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drawings/drawing2.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3.xml" ContentType="application/vnd.openxmlformats-officedocument.drawingml.chartshapes+xml"/>
  <Override PartName="/word/footer2.xml" ContentType="application/vnd.openxmlformats-officedocument.wordprocessingml.footer+xml"/>
  <Override PartName="/word/charts/chart14.xml" ContentType="application/vnd.openxmlformats-officedocument.drawingml.chart+xml"/>
  <Override PartName="/word/theme/themeOverride14.xml" ContentType="application/vnd.openxmlformats-officedocument.themeOverride+xml"/>
  <Override PartName="/word/drawings/drawing4.xml" ContentType="application/vnd.openxmlformats-officedocument.drawingml.chartshapes+xml"/>
  <Override PartName="/word/header2.xml" ContentType="application/vnd.openxmlformats-officedocument.wordprocessingml.header+xml"/>
  <Override PartName="/word/charts/chart15.xml" ContentType="application/vnd.openxmlformats-officedocument.drawingml.chart+xml"/>
  <Override PartName="/word/theme/themeOverride15.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6.xml" ContentType="application/vnd.openxmlformats-officedocument.drawingml.chart+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CFFC3E6" w14:textId="77777777" w:rsidR="001D04CF" w:rsidRPr="004F30BD" w:rsidRDefault="00212F79" w:rsidP="00FD32FA">
      <w:pPr>
        <w:pStyle w:val="Front"/>
        <w:ind w:right="283"/>
      </w:pPr>
      <w:r w:rsidRPr="004F30BD">
        <w:rPr>
          <w:noProof/>
          <w:lang w:eastAsia="en-AU"/>
        </w:rPr>
        <mc:AlternateContent>
          <mc:Choice Requires="wps">
            <w:drawing>
              <wp:anchor distT="0" distB="0" distL="114300" distR="114300" simplePos="0" relativeHeight="251655168" behindDoc="0" locked="0" layoutInCell="1" allowOverlap="1" wp14:anchorId="380DE6DF" wp14:editId="085EC418">
                <wp:simplePos x="0" y="0"/>
                <wp:positionH relativeFrom="page">
                  <wp:posOffset>1010285</wp:posOffset>
                </wp:positionH>
                <wp:positionV relativeFrom="page">
                  <wp:posOffset>9591040</wp:posOffset>
                </wp:positionV>
                <wp:extent cx="5124450" cy="721995"/>
                <wp:effectExtent l="0" t="0" r="0" b="190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89045" w14:textId="77777777" w:rsidR="00AB754F" w:rsidRPr="00212F79" w:rsidRDefault="00AB754F" w:rsidP="00212F79">
                            <w:pPr>
                              <w:pStyle w:val="Frontpagebottom"/>
                              <w:rPr>
                                <w:rFonts w:ascii="Arial Nova" w:hAnsi="Arial Nova"/>
                                <w:sz w:val="20"/>
                                <w:szCs w:val="22"/>
                              </w:rPr>
                            </w:pPr>
                            <w:r w:rsidRPr="00212F79">
                              <w:rPr>
                                <w:rFonts w:ascii="Arial Nova" w:hAnsi="Arial Nova"/>
                                <w:sz w:val="20"/>
                                <w:szCs w:val="22"/>
                              </w:rPr>
                              <w:t xml:space="preserve">Australian Survey Research Pty Ltd  </w:t>
                            </w:r>
                          </w:p>
                          <w:p w14:paraId="24E36F4D" w14:textId="77777777" w:rsidR="00AB754F" w:rsidRPr="00212F79" w:rsidRDefault="00AB754F">
                            <w:pPr>
                              <w:pStyle w:val="Frontpagebottom"/>
                              <w:rPr>
                                <w:rFonts w:ascii="Arial Nova" w:hAnsi="Arial Nova"/>
                                <w:sz w:val="20"/>
                                <w:szCs w:val="22"/>
                              </w:rPr>
                            </w:pPr>
                            <w:r w:rsidRPr="00212F79">
                              <w:rPr>
                                <w:rFonts w:ascii="Arial Nova" w:hAnsi="Arial Nova"/>
                                <w:sz w:val="20"/>
                                <w:szCs w:val="22"/>
                              </w:rPr>
                              <w:t>258 Centre Road Bentleigh Victoria 3204</w:t>
                            </w:r>
                          </w:p>
                          <w:p w14:paraId="44319458" w14:textId="77777777" w:rsidR="00AB754F" w:rsidRPr="00212F79" w:rsidRDefault="00AB754F">
                            <w:pPr>
                              <w:pStyle w:val="Frontpagebottom"/>
                              <w:rPr>
                                <w:rFonts w:ascii="Arial Nova" w:hAnsi="Arial Nova"/>
                                <w:sz w:val="20"/>
                                <w:szCs w:val="22"/>
                              </w:rPr>
                            </w:pPr>
                            <w:r w:rsidRPr="00212F79">
                              <w:rPr>
                                <w:rFonts w:ascii="Arial Nova" w:hAnsi="Arial Nova"/>
                                <w:sz w:val="20"/>
                                <w:szCs w:val="22"/>
                              </w:rPr>
                              <w:t>Level 3, 22 Darley Road | PO Box 807 Manly</w:t>
                            </w:r>
                            <w:r w:rsidRPr="00212F79">
                              <w:rPr>
                                <w:rFonts w:ascii="Arial Nova" w:hAnsi="Arial Nova"/>
                                <w:sz w:val="20"/>
                                <w:szCs w:val="22"/>
                                <w:u w:color="000000"/>
                              </w:rPr>
                              <w:t xml:space="preserve"> NSW 1655 </w:t>
                            </w:r>
                            <w:r w:rsidRPr="00212F79">
                              <w:rPr>
                                <w:rFonts w:ascii="Arial Nova" w:hAnsi="Arial Nova"/>
                                <w:sz w:val="20"/>
                                <w:szCs w:val="22"/>
                              </w:rPr>
                              <w:t xml:space="preserve"> </w:t>
                            </w:r>
                          </w:p>
                          <w:p w14:paraId="3D14D6BA" w14:textId="77777777" w:rsidR="00AB754F" w:rsidRPr="00212F79" w:rsidRDefault="00AB754F">
                            <w:pPr>
                              <w:pStyle w:val="Frontpagebottom"/>
                              <w:rPr>
                                <w:rFonts w:ascii="Arial Nova" w:hAnsi="Arial Nova"/>
                                <w:sz w:val="20"/>
                                <w:szCs w:val="22"/>
                                <w:lang w:val="it-IT"/>
                              </w:rPr>
                            </w:pPr>
                            <w:r w:rsidRPr="00212F79">
                              <w:rPr>
                                <w:rFonts w:ascii="Arial Nova" w:hAnsi="Arial Nova"/>
                                <w:caps/>
                                <w:color w:val="73C800"/>
                                <w:spacing w:val="1"/>
                                <w:position w:val="2"/>
                                <w:sz w:val="20"/>
                                <w:szCs w:val="22"/>
                                <w:u w:color="73C800"/>
                                <w:lang w:val="it-IT"/>
                              </w:rPr>
                              <w:t>|</w:t>
                            </w:r>
                            <w:r w:rsidRPr="00212F79">
                              <w:rPr>
                                <w:rFonts w:ascii="Arial Nova" w:hAnsi="Arial Nova"/>
                                <w:caps/>
                                <w:spacing w:val="1"/>
                                <w:position w:val="2"/>
                                <w:sz w:val="14"/>
                                <w:szCs w:val="22"/>
                                <w:u w:color="73C800"/>
                                <w:lang w:val="it-IT"/>
                              </w:rPr>
                              <w:t xml:space="preserve"> </w:t>
                            </w:r>
                            <w:r w:rsidRPr="00212F79">
                              <w:rPr>
                                <w:rFonts w:ascii="Arial Nova" w:hAnsi="Arial Nova"/>
                                <w:b/>
                                <w:color w:val="73C800"/>
                                <w:sz w:val="20"/>
                                <w:szCs w:val="22"/>
                                <w:lang w:val="it-IT"/>
                              </w:rPr>
                              <w:t>T</w:t>
                            </w:r>
                            <w:r w:rsidRPr="00212F79">
                              <w:rPr>
                                <w:rFonts w:ascii="Arial Nova" w:hAnsi="Arial Nova"/>
                                <w:sz w:val="20"/>
                                <w:szCs w:val="22"/>
                                <w:lang w:val="it-IT"/>
                              </w:rPr>
                              <w:t xml:space="preserve"> 03 9557 4211 </w:t>
                            </w:r>
                            <w:r w:rsidRPr="00212F79">
                              <w:rPr>
                                <w:rFonts w:ascii="Arial Nova" w:hAnsi="Arial Nova"/>
                                <w:caps/>
                                <w:color w:val="73C800"/>
                                <w:spacing w:val="1"/>
                                <w:position w:val="2"/>
                                <w:sz w:val="20"/>
                                <w:szCs w:val="22"/>
                                <w:u w:color="73C800"/>
                                <w:lang w:val="it-IT"/>
                              </w:rPr>
                              <w:t>|</w:t>
                            </w:r>
                            <w:r w:rsidRPr="00212F79">
                              <w:rPr>
                                <w:rFonts w:ascii="Arial Nova" w:hAnsi="Arial Nova"/>
                                <w:caps/>
                                <w:spacing w:val="1"/>
                                <w:position w:val="2"/>
                                <w:sz w:val="14"/>
                                <w:szCs w:val="22"/>
                                <w:u w:color="73C800"/>
                                <w:lang w:val="it-IT"/>
                              </w:rPr>
                              <w:t xml:space="preserve"> </w:t>
                            </w:r>
                            <w:r w:rsidRPr="00212F79">
                              <w:rPr>
                                <w:rFonts w:ascii="Arial Nova" w:hAnsi="Arial Nova"/>
                                <w:b/>
                                <w:color w:val="73C800"/>
                                <w:sz w:val="20"/>
                                <w:szCs w:val="22"/>
                                <w:lang w:val="it-IT"/>
                              </w:rPr>
                              <w:t>F</w:t>
                            </w:r>
                            <w:r w:rsidRPr="00212F79">
                              <w:rPr>
                                <w:rFonts w:ascii="Arial Nova" w:hAnsi="Arial Nova"/>
                                <w:sz w:val="20"/>
                                <w:szCs w:val="22"/>
                                <w:lang w:val="it-IT"/>
                              </w:rPr>
                              <w:t xml:space="preserve"> 03 9557 4311 </w:t>
                            </w:r>
                            <w:r w:rsidRPr="00212F79">
                              <w:rPr>
                                <w:rFonts w:ascii="Arial Nova" w:hAnsi="Arial Nova"/>
                                <w:caps/>
                                <w:color w:val="73C800"/>
                                <w:spacing w:val="1"/>
                                <w:position w:val="2"/>
                                <w:sz w:val="20"/>
                                <w:szCs w:val="22"/>
                                <w:u w:color="73C800"/>
                                <w:lang w:val="it-IT"/>
                              </w:rPr>
                              <w:t>|</w:t>
                            </w:r>
                            <w:r w:rsidRPr="00212F79">
                              <w:rPr>
                                <w:rFonts w:ascii="Arial Nova" w:hAnsi="Arial Nova"/>
                                <w:caps/>
                                <w:spacing w:val="1"/>
                                <w:position w:val="2"/>
                                <w:sz w:val="14"/>
                                <w:szCs w:val="22"/>
                                <w:u w:color="73C800"/>
                                <w:lang w:val="it-IT"/>
                              </w:rPr>
                              <w:t xml:space="preserve"> </w:t>
                            </w:r>
                            <w:r w:rsidRPr="00212F79">
                              <w:rPr>
                                <w:rFonts w:ascii="Arial Nova" w:hAnsi="Arial Nova"/>
                                <w:b/>
                                <w:color w:val="73C800"/>
                                <w:sz w:val="20"/>
                                <w:szCs w:val="22"/>
                                <w:lang w:val="it-IT"/>
                              </w:rPr>
                              <w:t>E</w:t>
                            </w:r>
                            <w:r w:rsidRPr="00212F79">
                              <w:rPr>
                                <w:rFonts w:ascii="Arial Nova" w:hAnsi="Arial Nova"/>
                                <w:sz w:val="20"/>
                                <w:szCs w:val="22"/>
                                <w:lang w:val="it-IT"/>
                              </w:rPr>
                              <w:t xml:space="preserve"> info@aussurveys.com</w:t>
                            </w:r>
                            <w:r w:rsidRPr="00212F79">
                              <w:rPr>
                                <w:rFonts w:ascii="Arial Nova" w:hAnsi="Arial Nova"/>
                                <w:outline/>
                                <w:sz w:val="20"/>
                                <w:szCs w:val="22"/>
                                <w:lang w:val="it-IT"/>
                                <w14:textOutline w14:w="9525" w14:cap="flat" w14:cmpd="sng" w14:algn="ctr">
                                  <w14:solidFill>
                                    <w14:srgbClr w14:val="00376E"/>
                                  </w14:solidFill>
                                  <w14:prstDash w14:val="solid"/>
                                  <w14:round/>
                                </w14:textOutline>
                                <w14:textFill>
                                  <w14:noFill/>
                                </w14:textFill>
                              </w:rPr>
                              <w:t xml:space="preserve"> </w:t>
                            </w:r>
                            <w:r w:rsidRPr="00212F79">
                              <w:rPr>
                                <w:rFonts w:ascii="Arial Nova" w:hAnsi="Arial Nova"/>
                                <w:b/>
                                <w:color w:val="73C800"/>
                                <w:sz w:val="20"/>
                                <w:szCs w:val="22"/>
                                <w:lang w:val="it-IT"/>
                              </w:rPr>
                              <w:t>www.aussurveys.com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0DE6DF" id="_x0000_t202" coordsize="21600,21600" o:spt="202" path="m,l,21600r21600,l21600,xe">
                <v:stroke joinstyle="miter"/>
                <v:path gradientshapeok="t" o:connecttype="rect"/>
              </v:shapetype>
              <v:shape id="Text Box 3" o:spid="_x0000_s1026" type="#_x0000_t202" style="position:absolute;margin-left:79.55pt;margin-top:755.2pt;width:403.5pt;height:56.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8OArAIAAKk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" filled="f" stroked="f">
                <v:textbox inset="0,0,0,0">
                  <w:txbxContent>
                    <w:p w14:paraId="11989045" w14:textId="77777777" w:rsidR="00AB754F" w:rsidRPr="00212F79" w:rsidRDefault="00AB754F" w:rsidP="00212F79">
                      <w:pPr>
                        <w:pStyle w:val="Frontpagebottom"/>
                        <w:rPr>
                          <w:rFonts w:ascii="Arial Nova" w:hAnsi="Arial Nova"/>
                          <w:sz w:val="20"/>
                          <w:szCs w:val="22"/>
                        </w:rPr>
                      </w:pPr>
                      <w:r w:rsidRPr="00212F79">
                        <w:rPr>
                          <w:rFonts w:ascii="Arial Nova" w:hAnsi="Arial Nova"/>
                          <w:sz w:val="20"/>
                          <w:szCs w:val="22"/>
                        </w:rPr>
                        <w:t xml:space="preserve">Australian Survey Research Pty Ltd  </w:t>
                      </w:r>
                    </w:p>
                    <w:p w14:paraId="24E36F4D" w14:textId="77777777" w:rsidR="00AB754F" w:rsidRPr="00212F79" w:rsidRDefault="00AB754F">
                      <w:pPr>
                        <w:pStyle w:val="Frontpagebottom"/>
                        <w:rPr>
                          <w:rFonts w:ascii="Arial Nova" w:hAnsi="Arial Nova"/>
                          <w:sz w:val="20"/>
                          <w:szCs w:val="22"/>
                        </w:rPr>
                      </w:pPr>
                      <w:r w:rsidRPr="00212F79">
                        <w:rPr>
                          <w:rFonts w:ascii="Arial Nova" w:hAnsi="Arial Nova"/>
                          <w:sz w:val="20"/>
                          <w:szCs w:val="22"/>
                        </w:rPr>
                        <w:t>258 Centre Road Bentleigh Victoria 3204</w:t>
                      </w:r>
                    </w:p>
                    <w:p w14:paraId="44319458" w14:textId="77777777" w:rsidR="00AB754F" w:rsidRPr="00212F79" w:rsidRDefault="00AB754F">
                      <w:pPr>
                        <w:pStyle w:val="Frontpagebottom"/>
                        <w:rPr>
                          <w:rFonts w:ascii="Arial Nova" w:hAnsi="Arial Nova"/>
                          <w:sz w:val="20"/>
                          <w:szCs w:val="22"/>
                        </w:rPr>
                      </w:pPr>
                      <w:r w:rsidRPr="00212F79">
                        <w:rPr>
                          <w:rFonts w:ascii="Arial Nova" w:hAnsi="Arial Nova"/>
                          <w:sz w:val="20"/>
                          <w:szCs w:val="22"/>
                        </w:rPr>
                        <w:t>Level 3, 22 Darley Road | PO Box 807 Manly</w:t>
                      </w:r>
                      <w:r w:rsidRPr="00212F79">
                        <w:rPr>
                          <w:rFonts w:ascii="Arial Nova" w:hAnsi="Arial Nova"/>
                          <w:sz w:val="20"/>
                          <w:szCs w:val="22"/>
                          <w:u w:color="000000"/>
                        </w:rPr>
                        <w:t xml:space="preserve"> NSW 1655 </w:t>
                      </w:r>
                      <w:r w:rsidRPr="00212F79">
                        <w:rPr>
                          <w:rFonts w:ascii="Arial Nova" w:hAnsi="Arial Nova"/>
                          <w:sz w:val="20"/>
                          <w:szCs w:val="22"/>
                        </w:rPr>
                        <w:t xml:space="preserve"> </w:t>
                      </w:r>
                    </w:p>
                    <w:p w14:paraId="3D14D6BA" w14:textId="77777777" w:rsidR="00AB754F" w:rsidRPr="00212F79" w:rsidRDefault="00AB754F">
                      <w:pPr>
                        <w:pStyle w:val="Frontpagebottom"/>
                        <w:rPr>
                          <w:rFonts w:ascii="Arial Nova" w:hAnsi="Arial Nova"/>
                          <w:sz w:val="20"/>
                          <w:szCs w:val="22"/>
                          <w:lang w:val="it-IT"/>
                        </w:rPr>
                      </w:pPr>
                      <w:r w:rsidRPr="00212F79">
                        <w:rPr>
                          <w:rFonts w:ascii="Arial Nova" w:hAnsi="Arial Nova"/>
                          <w:caps/>
                          <w:color w:val="73C800"/>
                          <w:spacing w:val="1"/>
                          <w:position w:val="2"/>
                          <w:sz w:val="20"/>
                          <w:szCs w:val="22"/>
                          <w:u w:color="73C800"/>
                          <w:lang w:val="it-IT"/>
                        </w:rPr>
                        <w:t>|</w:t>
                      </w:r>
                      <w:r w:rsidRPr="00212F79">
                        <w:rPr>
                          <w:rFonts w:ascii="Arial Nova" w:hAnsi="Arial Nova"/>
                          <w:caps/>
                          <w:spacing w:val="1"/>
                          <w:position w:val="2"/>
                          <w:sz w:val="14"/>
                          <w:szCs w:val="22"/>
                          <w:u w:color="73C800"/>
                          <w:lang w:val="it-IT"/>
                        </w:rPr>
                        <w:t xml:space="preserve"> </w:t>
                      </w:r>
                      <w:r w:rsidRPr="00212F79">
                        <w:rPr>
                          <w:rFonts w:ascii="Arial Nova" w:hAnsi="Arial Nova"/>
                          <w:b/>
                          <w:color w:val="73C800"/>
                          <w:sz w:val="20"/>
                          <w:szCs w:val="22"/>
                          <w:lang w:val="it-IT"/>
                        </w:rPr>
                        <w:t>T</w:t>
                      </w:r>
                      <w:r w:rsidRPr="00212F79">
                        <w:rPr>
                          <w:rFonts w:ascii="Arial Nova" w:hAnsi="Arial Nova"/>
                          <w:sz w:val="20"/>
                          <w:szCs w:val="22"/>
                          <w:lang w:val="it-IT"/>
                        </w:rPr>
                        <w:t xml:space="preserve"> 03 9557 4211 </w:t>
                      </w:r>
                      <w:r w:rsidRPr="00212F79">
                        <w:rPr>
                          <w:rFonts w:ascii="Arial Nova" w:hAnsi="Arial Nova"/>
                          <w:caps/>
                          <w:color w:val="73C800"/>
                          <w:spacing w:val="1"/>
                          <w:position w:val="2"/>
                          <w:sz w:val="20"/>
                          <w:szCs w:val="22"/>
                          <w:u w:color="73C800"/>
                          <w:lang w:val="it-IT"/>
                        </w:rPr>
                        <w:t>|</w:t>
                      </w:r>
                      <w:r w:rsidRPr="00212F79">
                        <w:rPr>
                          <w:rFonts w:ascii="Arial Nova" w:hAnsi="Arial Nova"/>
                          <w:caps/>
                          <w:spacing w:val="1"/>
                          <w:position w:val="2"/>
                          <w:sz w:val="14"/>
                          <w:szCs w:val="22"/>
                          <w:u w:color="73C800"/>
                          <w:lang w:val="it-IT"/>
                        </w:rPr>
                        <w:t xml:space="preserve"> </w:t>
                      </w:r>
                      <w:r w:rsidRPr="00212F79">
                        <w:rPr>
                          <w:rFonts w:ascii="Arial Nova" w:hAnsi="Arial Nova"/>
                          <w:b/>
                          <w:color w:val="73C800"/>
                          <w:sz w:val="20"/>
                          <w:szCs w:val="22"/>
                          <w:lang w:val="it-IT"/>
                        </w:rPr>
                        <w:t>F</w:t>
                      </w:r>
                      <w:r w:rsidRPr="00212F79">
                        <w:rPr>
                          <w:rFonts w:ascii="Arial Nova" w:hAnsi="Arial Nova"/>
                          <w:sz w:val="20"/>
                          <w:szCs w:val="22"/>
                          <w:lang w:val="it-IT"/>
                        </w:rPr>
                        <w:t xml:space="preserve"> 03 9557 4311 </w:t>
                      </w:r>
                      <w:r w:rsidRPr="00212F79">
                        <w:rPr>
                          <w:rFonts w:ascii="Arial Nova" w:hAnsi="Arial Nova"/>
                          <w:caps/>
                          <w:color w:val="73C800"/>
                          <w:spacing w:val="1"/>
                          <w:position w:val="2"/>
                          <w:sz w:val="20"/>
                          <w:szCs w:val="22"/>
                          <w:u w:color="73C800"/>
                          <w:lang w:val="it-IT"/>
                        </w:rPr>
                        <w:t>|</w:t>
                      </w:r>
                      <w:r w:rsidRPr="00212F79">
                        <w:rPr>
                          <w:rFonts w:ascii="Arial Nova" w:hAnsi="Arial Nova"/>
                          <w:caps/>
                          <w:spacing w:val="1"/>
                          <w:position w:val="2"/>
                          <w:sz w:val="14"/>
                          <w:szCs w:val="22"/>
                          <w:u w:color="73C800"/>
                          <w:lang w:val="it-IT"/>
                        </w:rPr>
                        <w:t xml:space="preserve"> </w:t>
                      </w:r>
                      <w:r w:rsidRPr="00212F79">
                        <w:rPr>
                          <w:rFonts w:ascii="Arial Nova" w:hAnsi="Arial Nova"/>
                          <w:b/>
                          <w:color w:val="73C800"/>
                          <w:sz w:val="20"/>
                          <w:szCs w:val="22"/>
                          <w:lang w:val="it-IT"/>
                        </w:rPr>
                        <w:t>E</w:t>
                      </w:r>
                      <w:r w:rsidRPr="00212F79">
                        <w:rPr>
                          <w:rFonts w:ascii="Arial Nova" w:hAnsi="Arial Nova"/>
                          <w:sz w:val="20"/>
                          <w:szCs w:val="22"/>
                          <w:lang w:val="it-IT"/>
                        </w:rPr>
                        <w:t xml:space="preserve"> info@aussurveys.com</w:t>
                      </w:r>
                      <w:r w:rsidRPr="00212F79">
                        <w:rPr>
                          <w:rFonts w:ascii="Arial Nova" w:hAnsi="Arial Nova"/>
                          <w:outline/>
                          <w:sz w:val="20"/>
                          <w:szCs w:val="22"/>
                          <w:lang w:val="it-IT"/>
                          <w14:textOutline w14:w="9525" w14:cap="flat" w14:cmpd="sng" w14:algn="ctr">
                            <w14:solidFill>
                              <w14:srgbClr w14:val="00376E"/>
                            </w14:solidFill>
                            <w14:prstDash w14:val="solid"/>
                            <w14:round/>
                          </w14:textOutline>
                          <w14:textFill>
                            <w14:noFill/>
                          </w14:textFill>
                        </w:rPr>
                        <w:t xml:space="preserve"> </w:t>
                      </w:r>
                      <w:r w:rsidRPr="00212F79">
                        <w:rPr>
                          <w:rFonts w:ascii="Arial Nova" w:hAnsi="Arial Nova"/>
                          <w:b/>
                          <w:color w:val="73C800"/>
                          <w:sz w:val="20"/>
                          <w:szCs w:val="22"/>
                          <w:lang w:val="it-IT"/>
                        </w:rPr>
                        <w:t>www.aussurveys.com</w:t>
                      </w:r>
                    </w:p>
                  </w:txbxContent>
                </v:textbox>
                <w10:wrap anchorx="page" anchory="page"/>
              </v:shape>
            </w:pict>
          </mc:Fallback>
        </mc:AlternateContent>
      </w:r>
      <w:r w:rsidR="000727ED" w:rsidRPr="004F30BD">
        <w:rPr>
          <w:noProof/>
          <w:lang w:eastAsia="en-AU"/>
        </w:rPr>
        <mc:AlternateContent>
          <mc:Choice Requires="wps">
            <w:drawing>
              <wp:anchor distT="0" distB="0" distL="114300" distR="114300" simplePos="0" relativeHeight="251653120" behindDoc="0" locked="0" layoutInCell="1" allowOverlap="1" wp14:anchorId="36958058" wp14:editId="20698F94">
                <wp:simplePos x="0" y="0"/>
                <wp:positionH relativeFrom="page">
                  <wp:posOffset>752475</wp:posOffset>
                </wp:positionH>
                <wp:positionV relativeFrom="page">
                  <wp:posOffset>1143000</wp:posOffset>
                </wp:positionV>
                <wp:extent cx="5972175" cy="36576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3657600"/>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83065" w14:textId="77777777" w:rsidR="00AB754F" w:rsidRDefault="00AB754F">
                            <w:pPr>
                              <w:pStyle w:val="Title-green"/>
                            </w:pPr>
                          </w:p>
                          <w:p w14:paraId="267540C6" w14:textId="77777777" w:rsidR="00AB754F" w:rsidRPr="004B355A" w:rsidRDefault="00AB754F">
                            <w:pPr>
                              <w:pStyle w:val="Title-green"/>
                              <w:rPr>
                                <w:sz w:val="44"/>
                              </w:rPr>
                            </w:pPr>
                            <w:r>
                              <w:rPr>
                                <w:sz w:val="44"/>
                              </w:rPr>
                              <w:t>TEQSA Stakeholder S</w:t>
                            </w:r>
                            <w:r w:rsidRPr="004B355A">
                              <w:rPr>
                                <w:sz w:val="44"/>
                              </w:rPr>
                              <w:t>urve</w:t>
                            </w:r>
                            <w:r>
                              <w:rPr>
                                <w:sz w:val="44"/>
                              </w:rPr>
                              <w:t>y 2019</w:t>
                            </w:r>
                          </w:p>
                          <w:p w14:paraId="7B42BA9A" w14:textId="5F5992B6" w:rsidR="00AB754F" w:rsidRDefault="00AB754F" w:rsidP="005D26E9">
                            <w:pPr>
                              <w:pStyle w:val="Title-white"/>
                              <w:rPr>
                                <w:sz w:val="44"/>
                              </w:rPr>
                            </w:pPr>
                            <w:r w:rsidRPr="004B355A">
                              <w:rPr>
                                <w:sz w:val="44"/>
                              </w:rPr>
                              <w:t>Report of findings</w:t>
                            </w:r>
                          </w:p>
                          <w:p w14:paraId="0A5E3B91" w14:textId="77777777" w:rsidR="00AB754F" w:rsidRPr="004B355A" w:rsidRDefault="00AB754F" w:rsidP="005D26E9">
                            <w:pPr>
                              <w:pStyle w:val="Title-white"/>
                              <w:rPr>
                                <w:sz w:val="44"/>
                              </w:rPr>
                            </w:pPr>
                          </w:p>
                          <w:p w14:paraId="24B61C24" w14:textId="77777777" w:rsidR="00AB754F" w:rsidRDefault="00AB754F" w:rsidP="000727ED">
                            <w:pPr>
                              <w:pStyle w:val="Title-white"/>
                              <w:rPr>
                                <w:b w:val="0"/>
                                <w:sz w:val="32"/>
                              </w:rPr>
                            </w:pPr>
                            <w:r>
                              <w:rPr>
                                <w:b w:val="0"/>
                                <w:sz w:val="32"/>
                              </w:rPr>
                              <w:t>September 2019</w:t>
                            </w:r>
                          </w:p>
                          <w:p w14:paraId="79624EAA" w14:textId="77777777" w:rsidR="00AB754F" w:rsidRPr="000727ED" w:rsidRDefault="00AB754F" w:rsidP="000727ED">
                            <w:pPr>
                              <w:pStyle w:val="Title-white"/>
                              <w:rPr>
                                <w:b w:val="0"/>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58058" id="Text Box 2" o:spid="_x0000_s1027" type="#_x0000_t202" style="position:absolute;margin-left:59.25pt;margin-top:90pt;width:470.25pt;height:4in;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" filled="f" fillcolor="red" stroked="f">
                <v:textbox>
                  <w:txbxContent>
                    <w:p w14:paraId="02483065" w14:textId="77777777" w:rsidR="00AB754F" w:rsidRDefault="00AB754F">
                      <w:pPr>
                        <w:pStyle w:val="Title-green"/>
                      </w:pPr>
                    </w:p>
                    <w:p w14:paraId="267540C6" w14:textId="77777777" w:rsidR="00AB754F" w:rsidRPr="004B355A" w:rsidRDefault="00AB754F">
                      <w:pPr>
                        <w:pStyle w:val="Title-green"/>
                        <w:rPr>
                          <w:sz w:val="44"/>
                        </w:rPr>
                      </w:pPr>
                      <w:r>
                        <w:rPr>
                          <w:sz w:val="44"/>
                        </w:rPr>
                        <w:t>TEQSA Stakeholder S</w:t>
                      </w:r>
                      <w:r w:rsidRPr="004B355A">
                        <w:rPr>
                          <w:sz w:val="44"/>
                        </w:rPr>
                        <w:t>urve</w:t>
                      </w:r>
                      <w:r>
                        <w:rPr>
                          <w:sz w:val="44"/>
                        </w:rPr>
                        <w:t>y 2019</w:t>
                      </w:r>
                    </w:p>
                    <w:p w14:paraId="7B42BA9A" w14:textId="5F5992B6" w:rsidR="00AB754F" w:rsidRDefault="00AB754F" w:rsidP="005D26E9">
                      <w:pPr>
                        <w:pStyle w:val="Title-white"/>
                        <w:rPr>
                          <w:sz w:val="44"/>
                        </w:rPr>
                      </w:pPr>
                      <w:r w:rsidRPr="004B355A">
                        <w:rPr>
                          <w:sz w:val="44"/>
                        </w:rPr>
                        <w:t>Report of findings</w:t>
                      </w:r>
                    </w:p>
                    <w:p w14:paraId="0A5E3B91" w14:textId="77777777" w:rsidR="00AB754F" w:rsidRPr="004B355A" w:rsidRDefault="00AB754F" w:rsidP="005D26E9">
                      <w:pPr>
                        <w:pStyle w:val="Title-white"/>
                        <w:rPr>
                          <w:sz w:val="44"/>
                        </w:rPr>
                      </w:pPr>
                    </w:p>
                    <w:p w14:paraId="24B61C24" w14:textId="77777777" w:rsidR="00AB754F" w:rsidRDefault="00AB754F" w:rsidP="000727ED">
                      <w:pPr>
                        <w:pStyle w:val="Title-white"/>
                        <w:rPr>
                          <w:b w:val="0"/>
                          <w:sz w:val="32"/>
                        </w:rPr>
                      </w:pPr>
                      <w:r>
                        <w:rPr>
                          <w:b w:val="0"/>
                          <w:sz w:val="32"/>
                        </w:rPr>
                        <w:t>September 2019</w:t>
                      </w:r>
                    </w:p>
                    <w:p w14:paraId="79624EAA" w14:textId="77777777" w:rsidR="00AB754F" w:rsidRPr="000727ED" w:rsidRDefault="00AB754F" w:rsidP="000727ED">
                      <w:pPr>
                        <w:pStyle w:val="Title-white"/>
                        <w:rPr>
                          <w:b w:val="0"/>
                          <w:sz w:val="32"/>
                        </w:rPr>
                      </w:pPr>
                    </w:p>
                  </w:txbxContent>
                </v:textbox>
                <w10:wrap anchorx="page" anchory="page"/>
              </v:shape>
            </w:pict>
          </mc:Fallback>
        </mc:AlternateContent>
      </w:r>
      <w:r w:rsidR="0081361E" w:rsidRPr="004F30BD">
        <w:rPr>
          <w:noProof/>
          <w:lang w:eastAsia="en-AU"/>
        </w:rPr>
        <mc:AlternateContent>
          <mc:Choice Requires="wps">
            <w:drawing>
              <wp:anchor distT="0" distB="0" distL="114300" distR="114300" simplePos="0" relativeHeight="251656192" behindDoc="0" locked="0" layoutInCell="1" allowOverlap="1" wp14:anchorId="0CB5F1EB" wp14:editId="3B0E6CFC">
                <wp:simplePos x="0" y="0"/>
                <wp:positionH relativeFrom="column">
                  <wp:posOffset>5173345</wp:posOffset>
                </wp:positionH>
                <wp:positionV relativeFrom="paragraph">
                  <wp:posOffset>8921750</wp:posOffset>
                </wp:positionV>
                <wp:extent cx="635" cy="531495"/>
                <wp:effectExtent l="0" t="0" r="37465" b="20955"/>
                <wp:wrapNone/>
                <wp:docPr id="1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1495"/>
                        </a:xfrm>
                        <a:prstGeom prst="line">
                          <a:avLst/>
                        </a:prstGeom>
                        <a:noFill/>
                        <a:ln w="9525">
                          <a:solidFill>
                            <a:srgbClr val="73C8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1695744" id="Line 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35pt,702.5pt" to="407.4pt,7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" strokecolor="#73c800"/>
            </w:pict>
          </mc:Fallback>
        </mc:AlternateContent>
      </w:r>
      <w:r w:rsidR="00CB4713" w:rsidRPr="004F30BD">
        <w:rPr>
          <w:noProof/>
          <w:lang w:eastAsia="en-AU"/>
        </w:rPr>
        <w:drawing>
          <wp:anchor distT="0" distB="0" distL="114300" distR="114300" simplePos="0" relativeHeight="251652096" behindDoc="1" locked="0" layoutInCell="1" allowOverlap="1" wp14:anchorId="3377C442" wp14:editId="14B0E11C">
            <wp:simplePos x="0" y="0"/>
            <wp:positionH relativeFrom="page">
              <wp:posOffset>0</wp:posOffset>
            </wp:positionH>
            <wp:positionV relativeFrom="page">
              <wp:posOffset>-117475</wp:posOffset>
            </wp:positionV>
            <wp:extent cx="7562850" cy="11264900"/>
            <wp:effectExtent l="19050" t="0" r="0" b="0"/>
            <wp:wrapNone/>
            <wp:docPr id="51" name="Picture 51" descr="ASRG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SRG Cover"/>
                    <pic:cNvPicPr>
                      <a:picLocks noChangeAspect="1" noChangeArrowheads="1"/>
                    </pic:cNvPicPr>
                  </pic:nvPicPr>
                  <pic:blipFill>
                    <a:blip r:embed="rId8" cstate="print"/>
                    <a:srcRect/>
                    <a:stretch>
                      <a:fillRect/>
                    </a:stretch>
                  </pic:blipFill>
                  <pic:spPr bwMode="auto">
                    <a:xfrm>
                      <a:off x="0" y="0"/>
                      <a:ext cx="7562850" cy="11264900"/>
                    </a:xfrm>
                    <a:prstGeom prst="rect">
                      <a:avLst/>
                    </a:prstGeom>
                    <a:noFill/>
                    <a:ln w="9525">
                      <a:noFill/>
                      <a:miter lim="800000"/>
                      <a:headEnd/>
                      <a:tailEnd/>
                    </a:ln>
                  </pic:spPr>
                </pic:pic>
              </a:graphicData>
            </a:graphic>
          </wp:anchor>
        </w:drawing>
      </w:r>
      <w:r w:rsidR="00CB4713" w:rsidRPr="004F30BD">
        <w:rPr>
          <w:noProof/>
          <w:lang w:eastAsia="en-AU"/>
        </w:rPr>
        <w:drawing>
          <wp:anchor distT="0" distB="0" distL="114300" distR="114300" simplePos="0" relativeHeight="251654144" behindDoc="1" locked="0" layoutInCell="1" allowOverlap="1" wp14:anchorId="60B8AD70" wp14:editId="27E2795B">
            <wp:simplePos x="0" y="0"/>
            <wp:positionH relativeFrom="page">
              <wp:posOffset>6301105</wp:posOffset>
            </wp:positionH>
            <wp:positionV relativeFrom="page">
              <wp:posOffset>9545955</wp:posOffset>
            </wp:positionV>
            <wp:extent cx="979170" cy="636905"/>
            <wp:effectExtent l="19050" t="0" r="0" b="0"/>
            <wp:wrapNone/>
            <wp:docPr id="48" name="Picture 48" descr="ASR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ASR Logo"/>
                    <pic:cNvPicPr>
                      <a:picLocks noChangeArrowheads="1"/>
                    </pic:cNvPicPr>
                  </pic:nvPicPr>
                  <pic:blipFill>
                    <a:blip r:embed="rId9" cstate="print"/>
                    <a:srcRect/>
                    <a:stretch>
                      <a:fillRect/>
                    </a:stretch>
                  </pic:blipFill>
                  <pic:spPr bwMode="auto">
                    <a:xfrm>
                      <a:off x="0" y="0"/>
                      <a:ext cx="979170" cy="636905"/>
                    </a:xfrm>
                    <a:prstGeom prst="rect">
                      <a:avLst/>
                    </a:prstGeom>
                    <a:noFill/>
                    <a:ln w="9525">
                      <a:noFill/>
                      <a:miter lim="800000"/>
                      <a:headEnd/>
                      <a:tailEnd/>
                    </a:ln>
                  </pic:spPr>
                </pic:pic>
              </a:graphicData>
            </a:graphic>
          </wp:anchor>
        </w:drawing>
      </w:r>
      <w:r w:rsidR="00F731C7" w:rsidRPr="004F30BD">
        <w:t xml:space="preserve"> </w:t>
      </w:r>
      <w:r w:rsidR="002E49C5" w:rsidRPr="004F30BD">
        <w:br w:type="page"/>
      </w:r>
      <w:r w:rsidR="001D04CF" w:rsidRPr="004F30BD">
        <w:lastRenderedPageBreak/>
        <w:t>Table of contents</w:t>
      </w:r>
    </w:p>
    <w:p w14:paraId="5DDE411C" w14:textId="4360D366" w:rsidR="00AB754F" w:rsidRDefault="00400D7F">
      <w:pPr>
        <w:pStyle w:val="TOC1"/>
        <w:rPr>
          <w:rFonts w:asciiTheme="minorHAnsi" w:eastAsiaTheme="minorEastAsia" w:hAnsiTheme="minorHAnsi" w:cstheme="minorBidi"/>
          <w:color w:val="auto"/>
          <w:sz w:val="22"/>
          <w:szCs w:val="22"/>
          <w:lang w:eastAsia="en-AU"/>
        </w:rPr>
      </w:pPr>
      <w:r w:rsidRPr="004F30BD">
        <w:rPr>
          <w:rFonts w:eastAsia="Times New Roman"/>
          <w:noProof w:val="0"/>
        </w:rPr>
        <w:fldChar w:fldCharType="begin"/>
      </w:r>
      <w:r w:rsidR="008B28AF" w:rsidRPr="004F30BD">
        <w:rPr>
          <w:rFonts w:eastAsia="Times New Roman"/>
          <w:noProof w:val="0"/>
        </w:rPr>
        <w:instrText xml:space="preserve"> TOC \o "1-2" \h \z \u </w:instrText>
      </w:r>
      <w:r w:rsidRPr="004F30BD">
        <w:rPr>
          <w:rFonts w:eastAsia="Times New Roman"/>
          <w:noProof w:val="0"/>
        </w:rPr>
        <w:fldChar w:fldCharType="separate"/>
      </w:r>
      <w:hyperlink w:anchor="_Toc22298008" w:history="1">
        <w:r w:rsidR="00AB754F" w:rsidRPr="00882C3A">
          <w:rPr>
            <w:rStyle w:val="Hyperlink"/>
          </w:rPr>
          <w:t>Executive summary</w:t>
        </w:r>
        <w:r w:rsidR="00AB754F">
          <w:rPr>
            <w:webHidden/>
          </w:rPr>
          <w:tab/>
        </w:r>
        <w:r w:rsidR="00AB754F">
          <w:rPr>
            <w:webHidden/>
          </w:rPr>
          <w:fldChar w:fldCharType="begin"/>
        </w:r>
        <w:r w:rsidR="00AB754F">
          <w:rPr>
            <w:webHidden/>
          </w:rPr>
          <w:instrText xml:space="preserve"> PAGEREF _Toc22298008 \h </w:instrText>
        </w:r>
        <w:r w:rsidR="00AB754F">
          <w:rPr>
            <w:webHidden/>
          </w:rPr>
        </w:r>
        <w:r w:rsidR="00AB754F">
          <w:rPr>
            <w:webHidden/>
          </w:rPr>
          <w:fldChar w:fldCharType="separate"/>
        </w:r>
        <w:r w:rsidR="007210CE">
          <w:rPr>
            <w:webHidden/>
          </w:rPr>
          <w:t>1</w:t>
        </w:r>
        <w:r w:rsidR="00AB754F">
          <w:rPr>
            <w:webHidden/>
          </w:rPr>
          <w:fldChar w:fldCharType="end"/>
        </w:r>
      </w:hyperlink>
    </w:p>
    <w:p w14:paraId="3274A677" w14:textId="02A333FF" w:rsidR="00AB754F" w:rsidRDefault="00036EFD">
      <w:pPr>
        <w:pStyle w:val="TOC2"/>
        <w:rPr>
          <w:rFonts w:asciiTheme="minorHAnsi" w:eastAsiaTheme="minorEastAsia" w:hAnsiTheme="minorHAnsi" w:cstheme="minorBidi"/>
          <w:sz w:val="22"/>
          <w:szCs w:val="22"/>
          <w:lang w:eastAsia="en-AU"/>
        </w:rPr>
      </w:pPr>
      <w:hyperlink w:anchor="_Toc22298009" w:history="1">
        <w:r w:rsidR="00AB754F" w:rsidRPr="00882C3A">
          <w:rPr>
            <w:rStyle w:val="Hyperlink"/>
          </w:rPr>
          <w:t>Response</w:t>
        </w:r>
        <w:r w:rsidR="00AB754F">
          <w:rPr>
            <w:webHidden/>
          </w:rPr>
          <w:tab/>
        </w:r>
        <w:r w:rsidR="00AB754F">
          <w:rPr>
            <w:webHidden/>
          </w:rPr>
          <w:fldChar w:fldCharType="begin"/>
        </w:r>
        <w:r w:rsidR="00AB754F">
          <w:rPr>
            <w:webHidden/>
          </w:rPr>
          <w:instrText xml:space="preserve"> PAGEREF _Toc22298009 \h </w:instrText>
        </w:r>
        <w:r w:rsidR="00AB754F">
          <w:rPr>
            <w:webHidden/>
          </w:rPr>
        </w:r>
        <w:r w:rsidR="00AB754F">
          <w:rPr>
            <w:webHidden/>
          </w:rPr>
          <w:fldChar w:fldCharType="separate"/>
        </w:r>
        <w:r w:rsidR="007210CE">
          <w:rPr>
            <w:webHidden/>
          </w:rPr>
          <w:t>1</w:t>
        </w:r>
        <w:r w:rsidR="00AB754F">
          <w:rPr>
            <w:webHidden/>
          </w:rPr>
          <w:fldChar w:fldCharType="end"/>
        </w:r>
      </w:hyperlink>
    </w:p>
    <w:p w14:paraId="4022EE29" w14:textId="24F6EFA7" w:rsidR="00AB754F" w:rsidRDefault="00036EFD">
      <w:pPr>
        <w:pStyle w:val="TOC2"/>
        <w:rPr>
          <w:rFonts w:asciiTheme="minorHAnsi" w:eastAsiaTheme="minorEastAsia" w:hAnsiTheme="minorHAnsi" w:cstheme="minorBidi"/>
          <w:sz w:val="22"/>
          <w:szCs w:val="22"/>
          <w:lang w:eastAsia="en-AU"/>
        </w:rPr>
      </w:pPr>
      <w:hyperlink w:anchor="_Toc22298010" w:history="1">
        <w:r w:rsidR="00AB754F" w:rsidRPr="00882C3A">
          <w:rPr>
            <w:rStyle w:val="Hyperlink"/>
          </w:rPr>
          <w:t>Principal contact survey key findings</w:t>
        </w:r>
        <w:r w:rsidR="00AB754F">
          <w:rPr>
            <w:webHidden/>
          </w:rPr>
          <w:tab/>
        </w:r>
        <w:r w:rsidR="00AB754F">
          <w:rPr>
            <w:webHidden/>
          </w:rPr>
          <w:fldChar w:fldCharType="begin"/>
        </w:r>
        <w:r w:rsidR="00AB754F">
          <w:rPr>
            <w:webHidden/>
          </w:rPr>
          <w:instrText xml:space="preserve"> PAGEREF _Toc22298010 \h </w:instrText>
        </w:r>
        <w:r w:rsidR="00AB754F">
          <w:rPr>
            <w:webHidden/>
          </w:rPr>
        </w:r>
        <w:r w:rsidR="00AB754F">
          <w:rPr>
            <w:webHidden/>
          </w:rPr>
          <w:fldChar w:fldCharType="separate"/>
        </w:r>
        <w:r w:rsidR="007210CE">
          <w:rPr>
            <w:webHidden/>
          </w:rPr>
          <w:t>1</w:t>
        </w:r>
        <w:r w:rsidR="00AB754F">
          <w:rPr>
            <w:webHidden/>
          </w:rPr>
          <w:fldChar w:fldCharType="end"/>
        </w:r>
      </w:hyperlink>
    </w:p>
    <w:p w14:paraId="171766F3" w14:textId="3BD65B24" w:rsidR="00AB754F" w:rsidRDefault="00036EFD">
      <w:pPr>
        <w:pStyle w:val="TOC2"/>
        <w:rPr>
          <w:rFonts w:asciiTheme="minorHAnsi" w:eastAsiaTheme="minorEastAsia" w:hAnsiTheme="minorHAnsi" w:cstheme="minorBidi"/>
          <w:sz w:val="22"/>
          <w:szCs w:val="22"/>
          <w:lang w:eastAsia="en-AU"/>
        </w:rPr>
      </w:pPr>
      <w:hyperlink w:anchor="_Toc22298011" w:history="1">
        <w:r w:rsidR="00AB754F" w:rsidRPr="00882C3A">
          <w:rPr>
            <w:rStyle w:val="Hyperlink"/>
          </w:rPr>
          <w:t>Conclusions</w:t>
        </w:r>
        <w:r w:rsidR="00AB754F">
          <w:rPr>
            <w:webHidden/>
          </w:rPr>
          <w:tab/>
        </w:r>
        <w:r w:rsidR="00AB754F">
          <w:rPr>
            <w:webHidden/>
          </w:rPr>
          <w:fldChar w:fldCharType="begin"/>
        </w:r>
        <w:r w:rsidR="00AB754F">
          <w:rPr>
            <w:webHidden/>
          </w:rPr>
          <w:instrText xml:space="preserve"> PAGEREF _Toc22298011 \h </w:instrText>
        </w:r>
        <w:r w:rsidR="00AB754F">
          <w:rPr>
            <w:webHidden/>
          </w:rPr>
        </w:r>
        <w:r w:rsidR="00AB754F">
          <w:rPr>
            <w:webHidden/>
          </w:rPr>
          <w:fldChar w:fldCharType="separate"/>
        </w:r>
        <w:r w:rsidR="007210CE">
          <w:rPr>
            <w:webHidden/>
          </w:rPr>
          <w:t>4</w:t>
        </w:r>
        <w:r w:rsidR="00AB754F">
          <w:rPr>
            <w:webHidden/>
          </w:rPr>
          <w:fldChar w:fldCharType="end"/>
        </w:r>
      </w:hyperlink>
    </w:p>
    <w:p w14:paraId="77D539C3" w14:textId="4786C1C9" w:rsidR="00AB754F" w:rsidRDefault="00036EFD">
      <w:pPr>
        <w:pStyle w:val="TOC1"/>
        <w:rPr>
          <w:rFonts w:asciiTheme="minorHAnsi" w:eastAsiaTheme="minorEastAsia" w:hAnsiTheme="minorHAnsi" w:cstheme="minorBidi"/>
          <w:color w:val="auto"/>
          <w:sz w:val="22"/>
          <w:szCs w:val="22"/>
          <w:lang w:eastAsia="en-AU"/>
        </w:rPr>
      </w:pPr>
      <w:hyperlink w:anchor="_Toc22298012" w:history="1">
        <w:r w:rsidR="00AB754F" w:rsidRPr="00882C3A">
          <w:rPr>
            <w:rStyle w:val="Hyperlink"/>
          </w:rPr>
          <w:t>Introduction</w:t>
        </w:r>
        <w:r w:rsidR="00AB754F">
          <w:rPr>
            <w:webHidden/>
          </w:rPr>
          <w:tab/>
        </w:r>
        <w:r w:rsidR="00AB754F">
          <w:rPr>
            <w:webHidden/>
          </w:rPr>
          <w:fldChar w:fldCharType="begin"/>
        </w:r>
        <w:r w:rsidR="00AB754F">
          <w:rPr>
            <w:webHidden/>
          </w:rPr>
          <w:instrText xml:space="preserve"> PAGEREF _Toc22298012 \h </w:instrText>
        </w:r>
        <w:r w:rsidR="00AB754F">
          <w:rPr>
            <w:webHidden/>
          </w:rPr>
        </w:r>
        <w:r w:rsidR="00AB754F">
          <w:rPr>
            <w:webHidden/>
          </w:rPr>
          <w:fldChar w:fldCharType="separate"/>
        </w:r>
        <w:r w:rsidR="007210CE">
          <w:rPr>
            <w:webHidden/>
          </w:rPr>
          <w:t>6</w:t>
        </w:r>
        <w:r w:rsidR="00AB754F">
          <w:rPr>
            <w:webHidden/>
          </w:rPr>
          <w:fldChar w:fldCharType="end"/>
        </w:r>
      </w:hyperlink>
    </w:p>
    <w:p w14:paraId="4A15E49A" w14:textId="7D96F998" w:rsidR="00AB754F" w:rsidRDefault="00036EFD">
      <w:pPr>
        <w:pStyle w:val="TOC1"/>
        <w:rPr>
          <w:rFonts w:asciiTheme="minorHAnsi" w:eastAsiaTheme="minorEastAsia" w:hAnsiTheme="minorHAnsi" w:cstheme="minorBidi"/>
          <w:color w:val="auto"/>
          <w:sz w:val="22"/>
          <w:szCs w:val="22"/>
          <w:lang w:eastAsia="en-AU"/>
        </w:rPr>
      </w:pPr>
      <w:hyperlink w:anchor="_Toc22298013" w:history="1">
        <w:r w:rsidR="00AB754F" w:rsidRPr="00882C3A">
          <w:rPr>
            <w:rStyle w:val="Hyperlink"/>
          </w:rPr>
          <w:t>Methodology</w:t>
        </w:r>
        <w:r w:rsidR="00AB754F">
          <w:rPr>
            <w:webHidden/>
          </w:rPr>
          <w:tab/>
        </w:r>
        <w:r w:rsidR="00AB754F">
          <w:rPr>
            <w:webHidden/>
          </w:rPr>
          <w:fldChar w:fldCharType="begin"/>
        </w:r>
        <w:r w:rsidR="00AB754F">
          <w:rPr>
            <w:webHidden/>
          </w:rPr>
          <w:instrText xml:space="preserve"> PAGEREF _Toc22298013 \h </w:instrText>
        </w:r>
        <w:r w:rsidR="00AB754F">
          <w:rPr>
            <w:webHidden/>
          </w:rPr>
        </w:r>
        <w:r w:rsidR="00AB754F">
          <w:rPr>
            <w:webHidden/>
          </w:rPr>
          <w:fldChar w:fldCharType="separate"/>
        </w:r>
        <w:r w:rsidR="007210CE">
          <w:rPr>
            <w:webHidden/>
          </w:rPr>
          <w:t>6</w:t>
        </w:r>
        <w:r w:rsidR="00AB754F">
          <w:rPr>
            <w:webHidden/>
          </w:rPr>
          <w:fldChar w:fldCharType="end"/>
        </w:r>
      </w:hyperlink>
    </w:p>
    <w:p w14:paraId="44EFBE0A" w14:textId="1BDA3174" w:rsidR="00AB754F" w:rsidRDefault="00036EFD">
      <w:pPr>
        <w:pStyle w:val="TOC2"/>
        <w:rPr>
          <w:rFonts w:asciiTheme="minorHAnsi" w:eastAsiaTheme="minorEastAsia" w:hAnsiTheme="minorHAnsi" w:cstheme="minorBidi"/>
          <w:sz w:val="22"/>
          <w:szCs w:val="22"/>
          <w:lang w:eastAsia="en-AU"/>
        </w:rPr>
      </w:pPr>
      <w:hyperlink w:anchor="_Toc22298014" w:history="1">
        <w:r w:rsidR="00AB754F" w:rsidRPr="00882C3A">
          <w:rPr>
            <w:rStyle w:val="Hyperlink"/>
          </w:rPr>
          <w:t>Questionnaire development</w:t>
        </w:r>
        <w:r w:rsidR="00AB754F">
          <w:rPr>
            <w:webHidden/>
          </w:rPr>
          <w:tab/>
        </w:r>
        <w:r w:rsidR="00AB754F">
          <w:rPr>
            <w:webHidden/>
          </w:rPr>
          <w:fldChar w:fldCharType="begin"/>
        </w:r>
        <w:r w:rsidR="00AB754F">
          <w:rPr>
            <w:webHidden/>
          </w:rPr>
          <w:instrText xml:space="preserve"> PAGEREF _Toc22298014 \h </w:instrText>
        </w:r>
        <w:r w:rsidR="00AB754F">
          <w:rPr>
            <w:webHidden/>
          </w:rPr>
        </w:r>
        <w:r w:rsidR="00AB754F">
          <w:rPr>
            <w:webHidden/>
          </w:rPr>
          <w:fldChar w:fldCharType="separate"/>
        </w:r>
        <w:r w:rsidR="007210CE">
          <w:rPr>
            <w:webHidden/>
          </w:rPr>
          <w:t>6</w:t>
        </w:r>
        <w:r w:rsidR="00AB754F">
          <w:rPr>
            <w:webHidden/>
          </w:rPr>
          <w:fldChar w:fldCharType="end"/>
        </w:r>
      </w:hyperlink>
    </w:p>
    <w:p w14:paraId="3C5A5429" w14:textId="7256DA6B" w:rsidR="00AB754F" w:rsidRDefault="00036EFD">
      <w:pPr>
        <w:pStyle w:val="TOC2"/>
        <w:rPr>
          <w:rFonts w:asciiTheme="minorHAnsi" w:eastAsiaTheme="minorEastAsia" w:hAnsiTheme="minorHAnsi" w:cstheme="minorBidi"/>
          <w:sz w:val="22"/>
          <w:szCs w:val="22"/>
          <w:lang w:eastAsia="en-AU"/>
        </w:rPr>
      </w:pPr>
      <w:hyperlink w:anchor="_Toc22298015" w:history="1">
        <w:r w:rsidR="00AB754F" w:rsidRPr="00882C3A">
          <w:rPr>
            <w:rStyle w:val="Hyperlink"/>
          </w:rPr>
          <w:t>Data collection</w:t>
        </w:r>
        <w:r w:rsidR="00AB754F">
          <w:rPr>
            <w:webHidden/>
          </w:rPr>
          <w:tab/>
        </w:r>
        <w:r w:rsidR="00AB754F">
          <w:rPr>
            <w:webHidden/>
          </w:rPr>
          <w:fldChar w:fldCharType="begin"/>
        </w:r>
        <w:r w:rsidR="00AB754F">
          <w:rPr>
            <w:webHidden/>
          </w:rPr>
          <w:instrText xml:space="preserve"> PAGEREF _Toc22298015 \h </w:instrText>
        </w:r>
        <w:r w:rsidR="00AB754F">
          <w:rPr>
            <w:webHidden/>
          </w:rPr>
        </w:r>
        <w:r w:rsidR="00AB754F">
          <w:rPr>
            <w:webHidden/>
          </w:rPr>
          <w:fldChar w:fldCharType="separate"/>
        </w:r>
        <w:r w:rsidR="007210CE">
          <w:rPr>
            <w:webHidden/>
          </w:rPr>
          <w:t>6</w:t>
        </w:r>
        <w:r w:rsidR="00AB754F">
          <w:rPr>
            <w:webHidden/>
          </w:rPr>
          <w:fldChar w:fldCharType="end"/>
        </w:r>
      </w:hyperlink>
    </w:p>
    <w:p w14:paraId="705B6A28" w14:textId="4C6058E4" w:rsidR="00AB754F" w:rsidRDefault="00036EFD">
      <w:pPr>
        <w:pStyle w:val="TOC2"/>
        <w:rPr>
          <w:rFonts w:asciiTheme="minorHAnsi" w:eastAsiaTheme="minorEastAsia" w:hAnsiTheme="minorHAnsi" w:cstheme="minorBidi"/>
          <w:sz w:val="22"/>
          <w:szCs w:val="22"/>
          <w:lang w:eastAsia="en-AU"/>
        </w:rPr>
      </w:pPr>
      <w:hyperlink w:anchor="_Toc22298016" w:history="1">
        <w:r w:rsidR="00AB754F" w:rsidRPr="00882C3A">
          <w:rPr>
            <w:rStyle w:val="Hyperlink"/>
          </w:rPr>
          <w:t>Data analysis</w:t>
        </w:r>
        <w:r w:rsidR="00AB754F">
          <w:rPr>
            <w:webHidden/>
          </w:rPr>
          <w:tab/>
        </w:r>
        <w:r w:rsidR="00AB754F">
          <w:rPr>
            <w:webHidden/>
          </w:rPr>
          <w:fldChar w:fldCharType="begin"/>
        </w:r>
        <w:r w:rsidR="00AB754F">
          <w:rPr>
            <w:webHidden/>
          </w:rPr>
          <w:instrText xml:space="preserve"> PAGEREF _Toc22298016 \h </w:instrText>
        </w:r>
        <w:r w:rsidR="00AB754F">
          <w:rPr>
            <w:webHidden/>
          </w:rPr>
        </w:r>
        <w:r w:rsidR="00AB754F">
          <w:rPr>
            <w:webHidden/>
          </w:rPr>
          <w:fldChar w:fldCharType="separate"/>
        </w:r>
        <w:r w:rsidR="007210CE">
          <w:rPr>
            <w:webHidden/>
          </w:rPr>
          <w:t>7</w:t>
        </w:r>
        <w:r w:rsidR="00AB754F">
          <w:rPr>
            <w:webHidden/>
          </w:rPr>
          <w:fldChar w:fldCharType="end"/>
        </w:r>
      </w:hyperlink>
    </w:p>
    <w:p w14:paraId="7E046262" w14:textId="37D18DE3" w:rsidR="00AB754F" w:rsidRDefault="00036EFD">
      <w:pPr>
        <w:pStyle w:val="TOC2"/>
        <w:rPr>
          <w:rFonts w:asciiTheme="minorHAnsi" w:eastAsiaTheme="minorEastAsia" w:hAnsiTheme="minorHAnsi" w:cstheme="minorBidi"/>
          <w:sz w:val="22"/>
          <w:szCs w:val="22"/>
          <w:lang w:eastAsia="en-AU"/>
        </w:rPr>
      </w:pPr>
      <w:hyperlink w:anchor="_Toc22298017" w:history="1">
        <w:r w:rsidR="00AB754F" w:rsidRPr="00882C3A">
          <w:rPr>
            <w:rStyle w:val="Hyperlink"/>
          </w:rPr>
          <w:t>Response and sample profile</w:t>
        </w:r>
        <w:r w:rsidR="00AB754F">
          <w:rPr>
            <w:webHidden/>
          </w:rPr>
          <w:tab/>
        </w:r>
        <w:r w:rsidR="00AB754F">
          <w:rPr>
            <w:webHidden/>
          </w:rPr>
          <w:fldChar w:fldCharType="begin"/>
        </w:r>
        <w:r w:rsidR="00AB754F">
          <w:rPr>
            <w:webHidden/>
          </w:rPr>
          <w:instrText xml:space="preserve"> PAGEREF _Toc22298017 \h </w:instrText>
        </w:r>
        <w:r w:rsidR="00AB754F">
          <w:rPr>
            <w:webHidden/>
          </w:rPr>
        </w:r>
        <w:r w:rsidR="00AB754F">
          <w:rPr>
            <w:webHidden/>
          </w:rPr>
          <w:fldChar w:fldCharType="separate"/>
        </w:r>
        <w:r w:rsidR="007210CE">
          <w:rPr>
            <w:webHidden/>
          </w:rPr>
          <w:t>7</w:t>
        </w:r>
        <w:r w:rsidR="00AB754F">
          <w:rPr>
            <w:webHidden/>
          </w:rPr>
          <w:fldChar w:fldCharType="end"/>
        </w:r>
      </w:hyperlink>
    </w:p>
    <w:p w14:paraId="093F5280" w14:textId="2A694BE2" w:rsidR="00AB754F" w:rsidRDefault="00036EFD">
      <w:pPr>
        <w:pStyle w:val="TOC2"/>
        <w:rPr>
          <w:rFonts w:asciiTheme="minorHAnsi" w:eastAsiaTheme="minorEastAsia" w:hAnsiTheme="minorHAnsi" w:cstheme="minorBidi"/>
          <w:sz w:val="22"/>
          <w:szCs w:val="22"/>
          <w:lang w:eastAsia="en-AU"/>
        </w:rPr>
      </w:pPr>
      <w:hyperlink w:anchor="_Toc22298018" w:history="1">
        <w:r w:rsidR="00AB754F" w:rsidRPr="00882C3A">
          <w:rPr>
            <w:rStyle w:val="Hyperlink"/>
          </w:rPr>
          <w:t>Data file</w:t>
        </w:r>
        <w:r w:rsidR="00AB754F">
          <w:rPr>
            <w:webHidden/>
          </w:rPr>
          <w:tab/>
        </w:r>
        <w:r w:rsidR="00AB754F">
          <w:rPr>
            <w:webHidden/>
          </w:rPr>
          <w:fldChar w:fldCharType="begin"/>
        </w:r>
        <w:r w:rsidR="00AB754F">
          <w:rPr>
            <w:webHidden/>
          </w:rPr>
          <w:instrText xml:space="preserve"> PAGEREF _Toc22298018 \h </w:instrText>
        </w:r>
        <w:r w:rsidR="00AB754F">
          <w:rPr>
            <w:webHidden/>
          </w:rPr>
        </w:r>
        <w:r w:rsidR="00AB754F">
          <w:rPr>
            <w:webHidden/>
          </w:rPr>
          <w:fldChar w:fldCharType="separate"/>
        </w:r>
        <w:r w:rsidR="007210CE">
          <w:rPr>
            <w:webHidden/>
          </w:rPr>
          <w:t>8</w:t>
        </w:r>
        <w:r w:rsidR="00AB754F">
          <w:rPr>
            <w:webHidden/>
          </w:rPr>
          <w:fldChar w:fldCharType="end"/>
        </w:r>
      </w:hyperlink>
    </w:p>
    <w:p w14:paraId="5D4CA694" w14:textId="649878AD" w:rsidR="00AB754F" w:rsidRDefault="00036EFD">
      <w:pPr>
        <w:pStyle w:val="TOC1"/>
        <w:rPr>
          <w:rFonts w:asciiTheme="minorHAnsi" w:eastAsiaTheme="minorEastAsia" w:hAnsiTheme="minorHAnsi" w:cstheme="minorBidi"/>
          <w:color w:val="auto"/>
          <w:sz w:val="22"/>
          <w:szCs w:val="22"/>
          <w:lang w:eastAsia="en-AU"/>
        </w:rPr>
      </w:pPr>
      <w:hyperlink w:anchor="_Toc22298019" w:history="1">
        <w:r w:rsidR="00AB754F" w:rsidRPr="00882C3A">
          <w:rPr>
            <w:rStyle w:val="Hyperlink"/>
          </w:rPr>
          <w:t>Principal contact survey - key findings</w:t>
        </w:r>
        <w:r w:rsidR="00AB754F">
          <w:rPr>
            <w:webHidden/>
          </w:rPr>
          <w:tab/>
        </w:r>
        <w:r w:rsidR="00AB754F">
          <w:rPr>
            <w:webHidden/>
          </w:rPr>
          <w:fldChar w:fldCharType="begin"/>
        </w:r>
        <w:r w:rsidR="00AB754F">
          <w:rPr>
            <w:webHidden/>
          </w:rPr>
          <w:instrText xml:space="preserve"> PAGEREF _Toc22298019 \h </w:instrText>
        </w:r>
        <w:r w:rsidR="00AB754F">
          <w:rPr>
            <w:webHidden/>
          </w:rPr>
        </w:r>
        <w:r w:rsidR="00AB754F">
          <w:rPr>
            <w:webHidden/>
          </w:rPr>
          <w:fldChar w:fldCharType="separate"/>
        </w:r>
        <w:r w:rsidR="007210CE">
          <w:rPr>
            <w:webHidden/>
          </w:rPr>
          <w:t>9</w:t>
        </w:r>
        <w:r w:rsidR="00AB754F">
          <w:rPr>
            <w:webHidden/>
          </w:rPr>
          <w:fldChar w:fldCharType="end"/>
        </w:r>
      </w:hyperlink>
    </w:p>
    <w:p w14:paraId="609F70CD" w14:textId="4E68122D" w:rsidR="00AB754F" w:rsidRDefault="00036EFD">
      <w:pPr>
        <w:pStyle w:val="TOC2"/>
        <w:rPr>
          <w:rFonts w:asciiTheme="minorHAnsi" w:eastAsiaTheme="minorEastAsia" w:hAnsiTheme="minorHAnsi" w:cstheme="minorBidi"/>
          <w:sz w:val="22"/>
          <w:szCs w:val="22"/>
          <w:lang w:eastAsia="en-AU"/>
        </w:rPr>
      </w:pPr>
      <w:hyperlink w:anchor="_Toc22298020" w:history="1">
        <w:r w:rsidR="00AB754F" w:rsidRPr="00882C3A">
          <w:rPr>
            <w:rStyle w:val="Hyperlink"/>
          </w:rPr>
          <w:t>Key performance indicators</w:t>
        </w:r>
        <w:r w:rsidR="00AB754F">
          <w:rPr>
            <w:webHidden/>
          </w:rPr>
          <w:tab/>
        </w:r>
        <w:r w:rsidR="00AB754F">
          <w:rPr>
            <w:webHidden/>
          </w:rPr>
          <w:fldChar w:fldCharType="begin"/>
        </w:r>
        <w:r w:rsidR="00AB754F">
          <w:rPr>
            <w:webHidden/>
          </w:rPr>
          <w:instrText xml:space="preserve"> PAGEREF _Toc22298020 \h </w:instrText>
        </w:r>
        <w:r w:rsidR="00AB754F">
          <w:rPr>
            <w:webHidden/>
          </w:rPr>
        </w:r>
        <w:r w:rsidR="00AB754F">
          <w:rPr>
            <w:webHidden/>
          </w:rPr>
          <w:fldChar w:fldCharType="separate"/>
        </w:r>
        <w:r w:rsidR="007210CE">
          <w:rPr>
            <w:webHidden/>
          </w:rPr>
          <w:t>10</w:t>
        </w:r>
        <w:r w:rsidR="00AB754F">
          <w:rPr>
            <w:webHidden/>
          </w:rPr>
          <w:fldChar w:fldCharType="end"/>
        </w:r>
      </w:hyperlink>
    </w:p>
    <w:p w14:paraId="5FB75E09" w14:textId="2F7FBD8E" w:rsidR="00AB754F" w:rsidRDefault="00036EFD">
      <w:pPr>
        <w:pStyle w:val="TOC2"/>
        <w:rPr>
          <w:rFonts w:asciiTheme="minorHAnsi" w:eastAsiaTheme="minorEastAsia" w:hAnsiTheme="minorHAnsi" w:cstheme="minorBidi"/>
          <w:sz w:val="22"/>
          <w:szCs w:val="22"/>
          <w:lang w:eastAsia="en-AU"/>
        </w:rPr>
      </w:pPr>
      <w:hyperlink w:anchor="_Toc22298021" w:history="1">
        <w:r w:rsidR="00AB754F" w:rsidRPr="00882C3A">
          <w:rPr>
            <w:rStyle w:val="Hyperlink"/>
          </w:rPr>
          <w:t>Interactions with TEQSA</w:t>
        </w:r>
        <w:r w:rsidR="00AB754F">
          <w:rPr>
            <w:webHidden/>
          </w:rPr>
          <w:tab/>
        </w:r>
        <w:r w:rsidR="00AB754F">
          <w:rPr>
            <w:webHidden/>
          </w:rPr>
          <w:fldChar w:fldCharType="begin"/>
        </w:r>
        <w:r w:rsidR="00AB754F">
          <w:rPr>
            <w:webHidden/>
          </w:rPr>
          <w:instrText xml:space="preserve"> PAGEREF _Toc22298021 \h </w:instrText>
        </w:r>
        <w:r w:rsidR="00AB754F">
          <w:rPr>
            <w:webHidden/>
          </w:rPr>
        </w:r>
        <w:r w:rsidR="00AB754F">
          <w:rPr>
            <w:webHidden/>
          </w:rPr>
          <w:fldChar w:fldCharType="separate"/>
        </w:r>
        <w:r w:rsidR="007210CE">
          <w:rPr>
            <w:webHidden/>
          </w:rPr>
          <w:t>13</w:t>
        </w:r>
        <w:r w:rsidR="00AB754F">
          <w:rPr>
            <w:webHidden/>
          </w:rPr>
          <w:fldChar w:fldCharType="end"/>
        </w:r>
      </w:hyperlink>
    </w:p>
    <w:p w14:paraId="189F58E3" w14:textId="22F5D804" w:rsidR="00AB754F" w:rsidRDefault="00036EFD">
      <w:pPr>
        <w:pStyle w:val="TOC2"/>
        <w:rPr>
          <w:rFonts w:asciiTheme="minorHAnsi" w:eastAsiaTheme="minorEastAsia" w:hAnsiTheme="minorHAnsi" w:cstheme="minorBidi"/>
          <w:sz w:val="22"/>
          <w:szCs w:val="22"/>
          <w:lang w:eastAsia="en-AU"/>
        </w:rPr>
      </w:pPr>
      <w:hyperlink w:anchor="_Toc22298022" w:history="1">
        <w:r w:rsidR="00AB754F" w:rsidRPr="00882C3A">
          <w:rPr>
            <w:rStyle w:val="Hyperlink"/>
          </w:rPr>
          <w:t>Communication and consultation</w:t>
        </w:r>
        <w:r w:rsidR="00AB754F">
          <w:rPr>
            <w:webHidden/>
          </w:rPr>
          <w:tab/>
        </w:r>
        <w:r w:rsidR="00AB754F">
          <w:rPr>
            <w:webHidden/>
          </w:rPr>
          <w:fldChar w:fldCharType="begin"/>
        </w:r>
        <w:r w:rsidR="00AB754F">
          <w:rPr>
            <w:webHidden/>
          </w:rPr>
          <w:instrText xml:space="preserve"> PAGEREF _Toc22298022 \h </w:instrText>
        </w:r>
        <w:r w:rsidR="00AB754F">
          <w:rPr>
            <w:webHidden/>
          </w:rPr>
        </w:r>
        <w:r w:rsidR="00AB754F">
          <w:rPr>
            <w:webHidden/>
          </w:rPr>
          <w:fldChar w:fldCharType="separate"/>
        </w:r>
        <w:r w:rsidR="007210CE">
          <w:rPr>
            <w:webHidden/>
          </w:rPr>
          <w:t>13</w:t>
        </w:r>
        <w:r w:rsidR="00AB754F">
          <w:rPr>
            <w:webHidden/>
          </w:rPr>
          <w:fldChar w:fldCharType="end"/>
        </w:r>
      </w:hyperlink>
    </w:p>
    <w:p w14:paraId="3421B93C" w14:textId="0524A09E" w:rsidR="00AB754F" w:rsidRDefault="00036EFD">
      <w:pPr>
        <w:pStyle w:val="TOC2"/>
        <w:rPr>
          <w:rFonts w:asciiTheme="minorHAnsi" w:eastAsiaTheme="minorEastAsia" w:hAnsiTheme="minorHAnsi" w:cstheme="minorBidi"/>
          <w:sz w:val="22"/>
          <w:szCs w:val="22"/>
          <w:lang w:eastAsia="en-AU"/>
        </w:rPr>
      </w:pPr>
      <w:hyperlink w:anchor="_Toc22298023" w:history="1">
        <w:r w:rsidR="00AB754F" w:rsidRPr="00882C3A">
          <w:rPr>
            <w:rStyle w:val="Hyperlink"/>
          </w:rPr>
          <w:t>Regulatory approach and activities</w:t>
        </w:r>
        <w:r w:rsidR="00AB754F">
          <w:rPr>
            <w:webHidden/>
          </w:rPr>
          <w:tab/>
        </w:r>
        <w:r w:rsidR="00AB754F">
          <w:rPr>
            <w:webHidden/>
          </w:rPr>
          <w:fldChar w:fldCharType="begin"/>
        </w:r>
        <w:r w:rsidR="00AB754F">
          <w:rPr>
            <w:webHidden/>
          </w:rPr>
          <w:instrText xml:space="preserve"> PAGEREF _Toc22298023 \h </w:instrText>
        </w:r>
        <w:r w:rsidR="00AB754F">
          <w:rPr>
            <w:webHidden/>
          </w:rPr>
        </w:r>
        <w:r w:rsidR="00AB754F">
          <w:rPr>
            <w:webHidden/>
          </w:rPr>
          <w:fldChar w:fldCharType="separate"/>
        </w:r>
        <w:r w:rsidR="007210CE">
          <w:rPr>
            <w:webHidden/>
          </w:rPr>
          <w:t>15</w:t>
        </w:r>
        <w:r w:rsidR="00AB754F">
          <w:rPr>
            <w:webHidden/>
          </w:rPr>
          <w:fldChar w:fldCharType="end"/>
        </w:r>
      </w:hyperlink>
    </w:p>
    <w:p w14:paraId="0CCBF231" w14:textId="52169C94" w:rsidR="00AB754F" w:rsidRDefault="00036EFD">
      <w:pPr>
        <w:pStyle w:val="TOC2"/>
        <w:rPr>
          <w:rFonts w:asciiTheme="minorHAnsi" w:eastAsiaTheme="minorEastAsia" w:hAnsiTheme="minorHAnsi" w:cstheme="minorBidi"/>
          <w:sz w:val="22"/>
          <w:szCs w:val="22"/>
          <w:lang w:eastAsia="en-AU"/>
        </w:rPr>
      </w:pPr>
      <w:hyperlink w:anchor="_Toc22298024" w:history="1">
        <w:r w:rsidR="00AB754F" w:rsidRPr="00882C3A">
          <w:rPr>
            <w:rStyle w:val="Hyperlink"/>
          </w:rPr>
          <w:t>Regulatory decisions</w:t>
        </w:r>
        <w:r w:rsidR="00AB754F">
          <w:rPr>
            <w:webHidden/>
          </w:rPr>
          <w:tab/>
        </w:r>
        <w:r w:rsidR="00AB754F">
          <w:rPr>
            <w:webHidden/>
          </w:rPr>
          <w:fldChar w:fldCharType="begin"/>
        </w:r>
        <w:r w:rsidR="00AB754F">
          <w:rPr>
            <w:webHidden/>
          </w:rPr>
          <w:instrText xml:space="preserve"> PAGEREF _Toc22298024 \h </w:instrText>
        </w:r>
        <w:r w:rsidR="00AB754F">
          <w:rPr>
            <w:webHidden/>
          </w:rPr>
        </w:r>
        <w:r w:rsidR="00AB754F">
          <w:rPr>
            <w:webHidden/>
          </w:rPr>
          <w:fldChar w:fldCharType="separate"/>
        </w:r>
        <w:r w:rsidR="007210CE">
          <w:rPr>
            <w:webHidden/>
          </w:rPr>
          <w:t>17</w:t>
        </w:r>
        <w:r w:rsidR="00AB754F">
          <w:rPr>
            <w:webHidden/>
          </w:rPr>
          <w:fldChar w:fldCharType="end"/>
        </w:r>
      </w:hyperlink>
    </w:p>
    <w:p w14:paraId="0716E88B" w14:textId="36606A1D" w:rsidR="00AB754F" w:rsidRDefault="00036EFD">
      <w:pPr>
        <w:pStyle w:val="TOC2"/>
        <w:rPr>
          <w:rFonts w:asciiTheme="minorHAnsi" w:eastAsiaTheme="minorEastAsia" w:hAnsiTheme="minorHAnsi" w:cstheme="minorBidi"/>
          <w:sz w:val="22"/>
          <w:szCs w:val="22"/>
          <w:lang w:eastAsia="en-AU"/>
        </w:rPr>
      </w:pPr>
      <w:hyperlink w:anchor="_Toc22298025" w:history="1">
        <w:r w:rsidR="00AB754F" w:rsidRPr="00882C3A">
          <w:rPr>
            <w:rStyle w:val="Hyperlink"/>
          </w:rPr>
          <w:t>Experience of an unfavourable regulatory decision</w:t>
        </w:r>
        <w:r w:rsidR="00AB754F">
          <w:rPr>
            <w:webHidden/>
          </w:rPr>
          <w:tab/>
        </w:r>
        <w:r w:rsidR="00AB754F">
          <w:rPr>
            <w:webHidden/>
          </w:rPr>
          <w:fldChar w:fldCharType="begin"/>
        </w:r>
        <w:r w:rsidR="00AB754F">
          <w:rPr>
            <w:webHidden/>
          </w:rPr>
          <w:instrText xml:space="preserve"> PAGEREF _Toc22298025 \h </w:instrText>
        </w:r>
        <w:r w:rsidR="00AB754F">
          <w:rPr>
            <w:webHidden/>
          </w:rPr>
        </w:r>
        <w:r w:rsidR="00AB754F">
          <w:rPr>
            <w:webHidden/>
          </w:rPr>
          <w:fldChar w:fldCharType="separate"/>
        </w:r>
        <w:r w:rsidR="007210CE">
          <w:rPr>
            <w:webHidden/>
          </w:rPr>
          <w:t>18</w:t>
        </w:r>
        <w:r w:rsidR="00AB754F">
          <w:rPr>
            <w:webHidden/>
          </w:rPr>
          <w:fldChar w:fldCharType="end"/>
        </w:r>
      </w:hyperlink>
    </w:p>
    <w:p w14:paraId="14E3CC74" w14:textId="73FAD5B3" w:rsidR="00AB754F" w:rsidRDefault="00036EFD">
      <w:pPr>
        <w:pStyle w:val="TOC2"/>
        <w:rPr>
          <w:rFonts w:asciiTheme="minorHAnsi" w:eastAsiaTheme="minorEastAsia" w:hAnsiTheme="minorHAnsi" w:cstheme="minorBidi"/>
          <w:sz w:val="22"/>
          <w:szCs w:val="22"/>
          <w:lang w:eastAsia="en-AU"/>
        </w:rPr>
      </w:pPr>
      <w:hyperlink w:anchor="_Toc22298026" w:history="1">
        <w:r w:rsidR="00AB754F" w:rsidRPr="00882C3A">
          <w:rPr>
            <w:rStyle w:val="Hyperlink"/>
          </w:rPr>
          <w:t>Monitoring quality</w:t>
        </w:r>
        <w:r w:rsidR="00AB754F">
          <w:rPr>
            <w:webHidden/>
          </w:rPr>
          <w:tab/>
        </w:r>
        <w:r w:rsidR="00AB754F">
          <w:rPr>
            <w:webHidden/>
          </w:rPr>
          <w:fldChar w:fldCharType="begin"/>
        </w:r>
        <w:r w:rsidR="00AB754F">
          <w:rPr>
            <w:webHidden/>
          </w:rPr>
          <w:instrText xml:space="preserve"> PAGEREF _Toc22298026 \h </w:instrText>
        </w:r>
        <w:r w:rsidR="00AB754F">
          <w:rPr>
            <w:webHidden/>
          </w:rPr>
        </w:r>
        <w:r w:rsidR="00AB754F">
          <w:rPr>
            <w:webHidden/>
          </w:rPr>
          <w:fldChar w:fldCharType="separate"/>
        </w:r>
        <w:r w:rsidR="007210CE">
          <w:rPr>
            <w:webHidden/>
          </w:rPr>
          <w:t>18</w:t>
        </w:r>
        <w:r w:rsidR="00AB754F">
          <w:rPr>
            <w:webHidden/>
          </w:rPr>
          <w:fldChar w:fldCharType="end"/>
        </w:r>
      </w:hyperlink>
    </w:p>
    <w:p w14:paraId="02273B36" w14:textId="09E9A604" w:rsidR="00AB754F" w:rsidRDefault="00036EFD">
      <w:pPr>
        <w:pStyle w:val="TOC2"/>
        <w:rPr>
          <w:rFonts w:asciiTheme="minorHAnsi" w:eastAsiaTheme="minorEastAsia" w:hAnsiTheme="minorHAnsi" w:cstheme="minorBidi"/>
          <w:sz w:val="22"/>
          <w:szCs w:val="22"/>
          <w:lang w:eastAsia="en-AU"/>
        </w:rPr>
      </w:pPr>
      <w:hyperlink w:anchor="_Toc22298027" w:history="1">
        <w:r w:rsidR="00AB754F" w:rsidRPr="00882C3A">
          <w:rPr>
            <w:rStyle w:val="Hyperlink"/>
          </w:rPr>
          <w:t>Applications to TEQSA</w:t>
        </w:r>
        <w:r w:rsidR="00AB754F">
          <w:rPr>
            <w:webHidden/>
          </w:rPr>
          <w:tab/>
        </w:r>
        <w:r w:rsidR="00AB754F">
          <w:rPr>
            <w:webHidden/>
          </w:rPr>
          <w:fldChar w:fldCharType="begin"/>
        </w:r>
        <w:r w:rsidR="00AB754F">
          <w:rPr>
            <w:webHidden/>
          </w:rPr>
          <w:instrText xml:space="preserve"> PAGEREF _Toc22298027 \h </w:instrText>
        </w:r>
        <w:r w:rsidR="00AB754F">
          <w:rPr>
            <w:webHidden/>
          </w:rPr>
        </w:r>
        <w:r w:rsidR="00AB754F">
          <w:rPr>
            <w:webHidden/>
          </w:rPr>
          <w:fldChar w:fldCharType="separate"/>
        </w:r>
        <w:r w:rsidR="007210CE">
          <w:rPr>
            <w:webHidden/>
          </w:rPr>
          <w:t>19</w:t>
        </w:r>
        <w:r w:rsidR="00AB754F">
          <w:rPr>
            <w:webHidden/>
          </w:rPr>
          <w:fldChar w:fldCharType="end"/>
        </w:r>
      </w:hyperlink>
    </w:p>
    <w:p w14:paraId="36173B84" w14:textId="09237B96" w:rsidR="00AB754F" w:rsidRDefault="00036EFD">
      <w:pPr>
        <w:pStyle w:val="TOC2"/>
        <w:rPr>
          <w:rFonts w:asciiTheme="minorHAnsi" w:eastAsiaTheme="minorEastAsia" w:hAnsiTheme="minorHAnsi" w:cstheme="minorBidi"/>
          <w:sz w:val="22"/>
          <w:szCs w:val="22"/>
          <w:lang w:eastAsia="en-AU"/>
        </w:rPr>
      </w:pPr>
      <w:hyperlink w:anchor="_Toc22298028" w:history="1">
        <w:r w:rsidR="00AB754F" w:rsidRPr="00882C3A">
          <w:rPr>
            <w:rStyle w:val="Hyperlink"/>
          </w:rPr>
          <w:t>Interaction with TEQSA staff</w:t>
        </w:r>
        <w:r w:rsidR="00AB754F">
          <w:rPr>
            <w:webHidden/>
          </w:rPr>
          <w:tab/>
        </w:r>
        <w:r w:rsidR="00AB754F">
          <w:rPr>
            <w:webHidden/>
          </w:rPr>
          <w:fldChar w:fldCharType="begin"/>
        </w:r>
        <w:r w:rsidR="00AB754F">
          <w:rPr>
            <w:webHidden/>
          </w:rPr>
          <w:instrText xml:space="preserve"> PAGEREF _Toc22298028 \h </w:instrText>
        </w:r>
        <w:r w:rsidR="00AB754F">
          <w:rPr>
            <w:webHidden/>
          </w:rPr>
        </w:r>
        <w:r w:rsidR="00AB754F">
          <w:rPr>
            <w:webHidden/>
          </w:rPr>
          <w:fldChar w:fldCharType="separate"/>
        </w:r>
        <w:r w:rsidR="007210CE">
          <w:rPr>
            <w:webHidden/>
          </w:rPr>
          <w:t>21</w:t>
        </w:r>
        <w:r w:rsidR="00AB754F">
          <w:rPr>
            <w:webHidden/>
          </w:rPr>
          <w:fldChar w:fldCharType="end"/>
        </w:r>
      </w:hyperlink>
    </w:p>
    <w:p w14:paraId="345319F0" w14:textId="543D9D29" w:rsidR="00AB754F" w:rsidRDefault="00036EFD">
      <w:pPr>
        <w:pStyle w:val="TOC2"/>
        <w:rPr>
          <w:rFonts w:asciiTheme="minorHAnsi" w:eastAsiaTheme="minorEastAsia" w:hAnsiTheme="minorHAnsi" w:cstheme="minorBidi"/>
          <w:sz w:val="22"/>
          <w:szCs w:val="22"/>
          <w:lang w:eastAsia="en-AU"/>
        </w:rPr>
      </w:pPr>
      <w:hyperlink w:anchor="_Toc22298029" w:history="1">
        <w:r w:rsidR="00AB754F" w:rsidRPr="00882C3A">
          <w:rPr>
            <w:rStyle w:val="Hyperlink"/>
          </w:rPr>
          <w:t>Changes in last 12 months</w:t>
        </w:r>
        <w:r w:rsidR="00AB754F">
          <w:rPr>
            <w:webHidden/>
          </w:rPr>
          <w:tab/>
        </w:r>
        <w:r w:rsidR="00AB754F">
          <w:rPr>
            <w:webHidden/>
          </w:rPr>
          <w:fldChar w:fldCharType="begin"/>
        </w:r>
        <w:r w:rsidR="00AB754F">
          <w:rPr>
            <w:webHidden/>
          </w:rPr>
          <w:instrText xml:space="preserve"> PAGEREF _Toc22298029 \h </w:instrText>
        </w:r>
        <w:r w:rsidR="00AB754F">
          <w:rPr>
            <w:webHidden/>
          </w:rPr>
        </w:r>
        <w:r w:rsidR="00AB754F">
          <w:rPr>
            <w:webHidden/>
          </w:rPr>
          <w:fldChar w:fldCharType="separate"/>
        </w:r>
        <w:r w:rsidR="007210CE">
          <w:rPr>
            <w:webHidden/>
          </w:rPr>
          <w:t>23</w:t>
        </w:r>
        <w:r w:rsidR="00AB754F">
          <w:rPr>
            <w:webHidden/>
          </w:rPr>
          <w:fldChar w:fldCharType="end"/>
        </w:r>
      </w:hyperlink>
    </w:p>
    <w:p w14:paraId="7316D4A4" w14:textId="0814FD13" w:rsidR="00AB754F" w:rsidRDefault="00036EFD">
      <w:pPr>
        <w:pStyle w:val="TOC2"/>
        <w:rPr>
          <w:rFonts w:asciiTheme="minorHAnsi" w:eastAsiaTheme="minorEastAsia" w:hAnsiTheme="minorHAnsi" w:cstheme="minorBidi"/>
          <w:sz w:val="22"/>
          <w:szCs w:val="22"/>
          <w:lang w:eastAsia="en-AU"/>
        </w:rPr>
      </w:pPr>
      <w:hyperlink w:anchor="_Toc22298030" w:history="1">
        <w:r w:rsidR="00AB754F" w:rsidRPr="00882C3A">
          <w:rPr>
            <w:rStyle w:val="Hyperlink"/>
          </w:rPr>
          <w:t>Sector risks</w:t>
        </w:r>
        <w:r w:rsidR="00AB754F">
          <w:rPr>
            <w:webHidden/>
          </w:rPr>
          <w:tab/>
        </w:r>
        <w:r w:rsidR="00AB754F">
          <w:rPr>
            <w:webHidden/>
          </w:rPr>
          <w:fldChar w:fldCharType="begin"/>
        </w:r>
        <w:r w:rsidR="00AB754F">
          <w:rPr>
            <w:webHidden/>
          </w:rPr>
          <w:instrText xml:space="preserve"> PAGEREF _Toc22298030 \h </w:instrText>
        </w:r>
        <w:r w:rsidR="00AB754F">
          <w:rPr>
            <w:webHidden/>
          </w:rPr>
        </w:r>
        <w:r w:rsidR="00AB754F">
          <w:rPr>
            <w:webHidden/>
          </w:rPr>
          <w:fldChar w:fldCharType="separate"/>
        </w:r>
        <w:r w:rsidR="007210CE">
          <w:rPr>
            <w:webHidden/>
          </w:rPr>
          <w:t>25</w:t>
        </w:r>
        <w:r w:rsidR="00AB754F">
          <w:rPr>
            <w:webHidden/>
          </w:rPr>
          <w:fldChar w:fldCharType="end"/>
        </w:r>
      </w:hyperlink>
    </w:p>
    <w:p w14:paraId="4DE88A38" w14:textId="596814ED" w:rsidR="00AB754F" w:rsidRDefault="00036EFD">
      <w:pPr>
        <w:pStyle w:val="TOC2"/>
        <w:rPr>
          <w:rFonts w:asciiTheme="minorHAnsi" w:eastAsiaTheme="minorEastAsia" w:hAnsiTheme="minorHAnsi" w:cstheme="minorBidi"/>
          <w:sz w:val="22"/>
          <w:szCs w:val="22"/>
          <w:lang w:eastAsia="en-AU"/>
        </w:rPr>
      </w:pPr>
      <w:hyperlink w:anchor="_Toc22298031" w:history="1">
        <w:r w:rsidR="00AB754F" w:rsidRPr="00882C3A">
          <w:rPr>
            <w:rStyle w:val="Hyperlink"/>
          </w:rPr>
          <w:t>Principal contacts - TEQSA overall</w:t>
        </w:r>
        <w:r w:rsidR="00AB754F">
          <w:rPr>
            <w:webHidden/>
          </w:rPr>
          <w:tab/>
        </w:r>
        <w:r w:rsidR="00AB754F">
          <w:rPr>
            <w:webHidden/>
          </w:rPr>
          <w:fldChar w:fldCharType="begin"/>
        </w:r>
        <w:r w:rsidR="00AB754F">
          <w:rPr>
            <w:webHidden/>
          </w:rPr>
          <w:instrText xml:space="preserve"> PAGEREF _Toc22298031 \h </w:instrText>
        </w:r>
        <w:r w:rsidR="00AB754F">
          <w:rPr>
            <w:webHidden/>
          </w:rPr>
        </w:r>
        <w:r w:rsidR="00AB754F">
          <w:rPr>
            <w:webHidden/>
          </w:rPr>
          <w:fldChar w:fldCharType="separate"/>
        </w:r>
        <w:r w:rsidR="007210CE">
          <w:rPr>
            <w:webHidden/>
          </w:rPr>
          <w:t>28</w:t>
        </w:r>
        <w:r w:rsidR="00AB754F">
          <w:rPr>
            <w:webHidden/>
          </w:rPr>
          <w:fldChar w:fldCharType="end"/>
        </w:r>
      </w:hyperlink>
    </w:p>
    <w:p w14:paraId="6D0B5CE2" w14:textId="20203972" w:rsidR="00AB754F" w:rsidRDefault="00036EFD">
      <w:pPr>
        <w:pStyle w:val="TOC2"/>
        <w:rPr>
          <w:rFonts w:asciiTheme="minorHAnsi" w:eastAsiaTheme="minorEastAsia" w:hAnsiTheme="minorHAnsi" w:cstheme="minorBidi"/>
          <w:sz w:val="22"/>
          <w:szCs w:val="22"/>
          <w:lang w:eastAsia="en-AU"/>
        </w:rPr>
      </w:pPr>
      <w:hyperlink w:anchor="_Toc22298032" w:history="1">
        <w:r w:rsidR="00AB754F" w:rsidRPr="00882C3A">
          <w:rPr>
            <w:rStyle w:val="Hyperlink"/>
          </w:rPr>
          <w:t>Overall comments</w:t>
        </w:r>
        <w:r w:rsidR="00AB754F">
          <w:rPr>
            <w:webHidden/>
          </w:rPr>
          <w:tab/>
        </w:r>
        <w:r w:rsidR="00AB754F">
          <w:rPr>
            <w:webHidden/>
          </w:rPr>
          <w:fldChar w:fldCharType="begin"/>
        </w:r>
        <w:r w:rsidR="00AB754F">
          <w:rPr>
            <w:webHidden/>
          </w:rPr>
          <w:instrText xml:space="preserve"> PAGEREF _Toc22298032 \h </w:instrText>
        </w:r>
        <w:r w:rsidR="00AB754F">
          <w:rPr>
            <w:webHidden/>
          </w:rPr>
        </w:r>
        <w:r w:rsidR="00AB754F">
          <w:rPr>
            <w:webHidden/>
          </w:rPr>
          <w:fldChar w:fldCharType="separate"/>
        </w:r>
        <w:r w:rsidR="007210CE">
          <w:rPr>
            <w:webHidden/>
          </w:rPr>
          <w:t>29</w:t>
        </w:r>
        <w:r w:rsidR="00AB754F">
          <w:rPr>
            <w:webHidden/>
          </w:rPr>
          <w:fldChar w:fldCharType="end"/>
        </w:r>
      </w:hyperlink>
    </w:p>
    <w:p w14:paraId="67F7426F" w14:textId="6EF4F8C0" w:rsidR="00AB754F" w:rsidRDefault="00036EFD">
      <w:pPr>
        <w:pStyle w:val="TOC2"/>
        <w:rPr>
          <w:rFonts w:asciiTheme="minorHAnsi" w:eastAsiaTheme="minorEastAsia" w:hAnsiTheme="minorHAnsi" w:cstheme="minorBidi"/>
          <w:sz w:val="22"/>
          <w:szCs w:val="22"/>
          <w:lang w:eastAsia="en-AU"/>
        </w:rPr>
      </w:pPr>
      <w:hyperlink w:anchor="_Toc22298033" w:history="1">
        <w:r w:rsidR="00AB754F" w:rsidRPr="00882C3A">
          <w:rPr>
            <w:rStyle w:val="Hyperlink"/>
          </w:rPr>
          <w:t>VC / CEO comments</w:t>
        </w:r>
        <w:r w:rsidR="00AB754F">
          <w:rPr>
            <w:webHidden/>
          </w:rPr>
          <w:tab/>
        </w:r>
        <w:r w:rsidR="00AB754F">
          <w:rPr>
            <w:webHidden/>
          </w:rPr>
          <w:fldChar w:fldCharType="begin"/>
        </w:r>
        <w:r w:rsidR="00AB754F">
          <w:rPr>
            <w:webHidden/>
          </w:rPr>
          <w:instrText xml:space="preserve"> PAGEREF _Toc22298033 \h </w:instrText>
        </w:r>
        <w:r w:rsidR="00AB754F">
          <w:rPr>
            <w:webHidden/>
          </w:rPr>
        </w:r>
        <w:r w:rsidR="00AB754F">
          <w:rPr>
            <w:webHidden/>
          </w:rPr>
          <w:fldChar w:fldCharType="separate"/>
        </w:r>
        <w:r w:rsidR="007210CE">
          <w:rPr>
            <w:webHidden/>
          </w:rPr>
          <w:t>31</w:t>
        </w:r>
        <w:r w:rsidR="00AB754F">
          <w:rPr>
            <w:webHidden/>
          </w:rPr>
          <w:fldChar w:fldCharType="end"/>
        </w:r>
      </w:hyperlink>
    </w:p>
    <w:p w14:paraId="13BC91BD" w14:textId="2D023749" w:rsidR="00AB754F" w:rsidRDefault="00036EFD">
      <w:pPr>
        <w:pStyle w:val="TOC1"/>
        <w:rPr>
          <w:rFonts w:asciiTheme="minorHAnsi" w:eastAsiaTheme="minorEastAsia" w:hAnsiTheme="minorHAnsi" w:cstheme="minorBidi"/>
          <w:color w:val="auto"/>
          <w:sz w:val="22"/>
          <w:szCs w:val="22"/>
          <w:lang w:eastAsia="en-AU"/>
        </w:rPr>
      </w:pPr>
      <w:hyperlink w:anchor="_Toc22298034" w:history="1">
        <w:r w:rsidR="00AB754F" w:rsidRPr="00882C3A">
          <w:rPr>
            <w:rStyle w:val="Hyperlink"/>
          </w:rPr>
          <w:t>Principal contact year comparison</w:t>
        </w:r>
        <w:r w:rsidR="00AB754F">
          <w:rPr>
            <w:webHidden/>
          </w:rPr>
          <w:tab/>
        </w:r>
        <w:r w:rsidR="00AB754F">
          <w:rPr>
            <w:webHidden/>
          </w:rPr>
          <w:fldChar w:fldCharType="begin"/>
        </w:r>
        <w:r w:rsidR="00AB754F">
          <w:rPr>
            <w:webHidden/>
          </w:rPr>
          <w:instrText xml:space="preserve"> PAGEREF _Toc22298034 \h </w:instrText>
        </w:r>
        <w:r w:rsidR="00AB754F">
          <w:rPr>
            <w:webHidden/>
          </w:rPr>
        </w:r>
        <w:r w:rsidR="00AB754F">
          <w:rPr>
            <w:webHidden/>
          </w:rPr>
          <w:fldChar w:fldCharType="separate"/>
        </w:r>
        <w:r w:rsidR="007210CE">
          <w:rPr>
            <w:webHidden/>
          </w:rPr>
          <w:t>32</w:t>
        </w:r>
        <w:r w:rsidR="00AB754F">
          <w:rPr>
            <w:webHidden/>
          </w:rPr>
          <w:fldChar w:fldCharType="end"/>
        </w:r>
      </w:hyperlink>
    </w:p>
    <w:p w14:paraId="442FCB56" w14:textId="7D60C899" w:rsidR="00AB754F" w:rsidRDefault="00036EFD">
      <w:pPr>
        <w:pStyle w:val="TOC1"/>
        <w:rPr>
          <w:rFonts w:asciiTheme="minorHAnsi" w:eastAsiaTheme="minorEastAsia" w:hAnsiTheme="minorHAnsi" w:cstheme="minorBidi"/>
          <w:color w:val="auto"/>
          <w:sz w:val="22"/>
          <w:szCs w:val="22"/>
          <w:lang w:eastAsia="en-AU"/>
        </w:rPr>
      </w:pPr>
      <w:hyperlink w:anchor="_Toc22298035" w:history="1">
        <w:r w:rsidR="00AB754F" w:rsidRPr="00882C3A">
          <w:rPr>
            <w:rStyle w:val="Hyperlink"/>
          </w:rPr>
          <w:t>Provider attribute analysis</w:t>
        </w:r>
        <w:r w:rsidR="00AB754F">
          <w:rPr>
            <w:webHidden/>
          </w:rPr>
          <w:tab/>
        </w:r>
        <w:r w:rsidR="00AB754F">
          <w:rPr>
            <w:webHidden/>
          </w:rPr>
          <w:fldChar w:fldCharType="begin"/>
        </w:r>
        <w:r w:rsidR="00AB754F">
          <w:rPr>
            <w:webHidden/>
          </w:rPr>
          <w:instrText xml:space="preserve"> PAGEREF _Toc22298035 \h </w:instrText>
        </w:r>
        <w:r w:rsidR="00AB754F">
          <w:rPr>
            <w:webHidden/>
          </w:rPr>
        </w:r>
        <w:r w:rsidR="00AB754F">
          <w:rPr>
            <w:webHidden/>
          </w:rPr>
          <w:fldChar w:fldCharType="separate"/>
        </w:r>
        <w:r w:rsidR="007210CE">
          <w:rPr>
            <w:webHidden/>
          </w:rPr>
          <w:t>34</w:t>
        </w:r>
        <w:r w:rsidR="00AB754F">
          <w:rPr>
            <w:webHidden/>
          </w:rPr>
          <w:fldChar w:fldCharType="end"/>
        </w:r>
      </w:hyperlink>
    </w:p>
    <w:p w14:paraId="78988D9C" w14:textId="698C6BDF" w:rsidR="00AB754F" w:rsidRDefault="00036EFD">
      <w:pPr>
        <w:pStyle w:val="TOC2"/>
        <w:rPr>
          <w:rFonts w:asciiTheme="minorHAnsi" w:eastAsiaTheme="minorEastAsia" w:hAnsiTheme="minorHAnsi" w:cstheme="minorBidi"/>
          <w:sz w:val="22"/>
          <w:szCs w:val="22"/>
          <w:lang w:eastAsia="en-AU"/>
        </w:rPr>
      </w:pPr>
      <w:hyperlink w:anchor="_Toc22298036" w:history="1">
        <w:r w:rsidR="00AB754F" w:rsidRPr="00882C3A">
          <w:rPr>
            <w:rStyle w:val="Hyperlink"/>
          </w:rPr>
          <w:t>Self-accrediting authority</w:t>
        </w:r>
        <w:r w:rsidR="00AB754F">
          <w:rPr>
            <w:webHidden/>
          </w:rPr>
          <w:tab/>
        </w:r>
        <w:r w:rsidR="00AB754F">
          <w:rPr>
            <w:webHidden/>
          </w:rPr>
          <w:fldChar w:fldCharType="begin"/>
        </w:r>
        <w:r w:rsidR="00AB754F">
          <w:rPr>
            <w:webHidden/>
          </w:rPr>
          <w:instrText xml:space="preserve"> PAGEREF _Toc22298036 \h </w:instrText>
        </w:r>
        <w:r w:rsidR="00AB754F">
          <w:rPr>
            <w:webHidden/>
          </w:rPr>
        </w:r>
        <w:r w:rsidR="00AB754F">
          <w:rPr>
            <w:webHidden/>
          </w:rPr>
          <w:fldChar w:fldCharType="separate"/>
        </w:r>
        <w:r w:rsidR="007210CE">
          <w:rPr>
            <w:webHidden/>
          </w:rPr>
          <w:t>35</w:t>
        </w:r>
        <w:r w:rsidR="00AB754F">
          <w:rPr>
            <w:webHidden/>
          </w:rPr>
          <w:fldChar w:fldCharType="end"/>
        </w:r>
      </w:hyperlink>
    </w:p>
    <w:p w14:paraId="0F7DA50B" w14:textId="393649A7" w:rsidR="00AB754F" w:rsidRDefault="00036EFD">
      <w:pPr>
        <w:pStyle w:val="TOC2"/>
        <w:rPr>
          <w:rFonts w:asciiTheme="minorHAnsi" w:eastAsiaTheme="minorEastAsia" w:hAnsiTheme="minorHAnsi" w:cstheme="minorBidi"/>
          <w:sz w:val="22"/>
          <w:szCs w:val="22"/>
          <w:lang w:eastAsia="en-AU"/>
        </w:rPr>
      </w:pPr>
      <w:hyperlink w:anchor="_Toc22298037" w:history="1">
        <w:r w:rsidR="00AB754F" w:rsidRPr="00882C3A">
          <w:rPr>
            <w:rStyle w:val="Hyperlink"/>
          </w:rPr>
          <w:t>2018 Risk to financial position</w:t>
        </w:r>
        <w:r w:rsidR="00AB754F">
          <w:rPr>
            <w:webHidden/>
          </w:rPr>
          <w:tab/>
        </w:r>
        <w:r w:rsidR="00AB754F">
          <w:rPr>
            <w:webHidden/>
          </w:rPr>
          <w:fldChar w:fldCharType="begin"/>
        </w:r>
        <w:r w:rsidR="00AB754F">
          <w:rPr>
            <w:webHidden/>
          </w:rPr>
          <w:instrText xml:space="preserve"> PAGEREF _Toc22298037 \h </w:instrText>
        </w:r>
        <w:r w:rsidR="00AB754F">
          <w:rPr>
            <w:webHidden/>
          </w:rPr>
        </w:r>
        <w:r w:rsidR="00AB754F">
          <w:rPr>
            <w:webHidden/>
          </w:rPr>
          <w:fldChar w:fldCharType="separate"/>
        </w:r>
        <w:r w:rsidR="007210CE">
          <w:rPr>
            <w:webHidden/>
          </w:rPr>
          <w:t>36</w:t>
        </w:r>
        <w:r w:rsidR="00AB754F">
          <w:rPr>
            <w:webHidden/>
          </w:rPr>
          <w:fldChar w:fldCharType="end"/>
        </w:r>
      </w:hyperlink>
    </w:p>
    <w:p w14:paraId="623144C7" w14:textId="0AC9FEE1" w:rsidR="00AB754F" w:rsidRDefault="00036EFD">
      <w:pPr>
        <w:pStyle w:val="TOC2"/>
        <w:rPr>
          <w:rFonts w:asciiTheme="minorHAnsi" w:eastAsiaTheme="minorEastAsia" w:hAnsiTheme="minorHAnsi" w:cstheme="minorBidi"/>
          <w:sz w:val="22"/>
          <w:szCs w:val="22"/>
          <w:lang w:eastAsia="en-AU"/>
        </w:rPr>
      </w:pPr>
      <w:hyperlink w:anchor="_Toc22298038" w:history="1">
        <w:r w:rsidR="00AB754F" w:rsidRPr="00882C3A">
          <w:rPr>
            <w:rStyle w:val="Hyperlink"/>
            <w:lang w:eastAsia="en-AU"/>
          </w:rPr>
          <w:t>2018 Risk to students</w:t>
        </w:r>
        <w:r w:rsidR="00AB754F">
          <w:rPr>
            <w:webHidden/>
          </w:rPr>
          <w:tab/>
        </w:r>
        <w:r w:rsidR="00AB754F">
          <w:rPr>
            <w:webHidden/>
          </w:rPr>
          <w:fldChar w:fldCharType="begin"/>
        </w:r>
        <w:r w:rsidR="00AB754F">
          <w:rPr>
            <w:webHidden/>
          </w:rPr>
          <w:instrText xml:space="preserve"> PAGEREF _Toc22298038 \h </w:instrText>
        </w:r>
        <w:r w:rsidR="00AB754F">
          <w:rPr>
            <w:webHidden/>
          </w:rPr>
        </w:r>
        <w:r w:rsidR="00AB754F">
          <w:rPr>
            <w:webHidden/>
          </w:rPr>
          <w:fldChar w:fldCharType="separate"/>
        </w:r>
        <w:r w:rsidR="007210CE">
          <w:rPr>
            <w:webHidden/>
          </w:rPr>
          <w:t>36</w:t>
        </w:r>
        <w:r w:rsidR="00AB754F">
          <w:rPr>
            <w:webHidden/>
          </w:rPr>
          <w:fldChar w:fldCharType="end"/>
        </w:r>
      </w:hyperlink>
    </w:p>
    <w:p w14:paraId="17285F76" w14:textId="7C25C34D" w:rsidR="00AB754F" w:rsidRDefault="00036EFD">
      <w:pPr>
        <w:pStyle w:val="TOC2"/>
        <w:rPr>
          <w:rFonts w:asciiTheme="minorHAnsi" w:eastAsiaTheme="minorEastAsia" w:hAnsiTheme="minorHAnsi" w:cstheme="minorBidi"/>
          <w:sz w:val="22"/>
          <w:szCs w:val="22"/>
          <w:lang w:eastAsia="en-AU"/>
        </w:rPr>
      </w:pPr>
      <w:hyperlink w:anchor="_Toc22298039" w:history="1">
        <w:r w:rsidR="00AB754F" w:rsidRPr="00882C3A">
          <w:rPr>
            <w:rStyle w:val="Hyperlink"/>
            <w:lang w:eastAsia="en-AU"/>
          </w:rPr>
          <w:t>Category</w:t>
        </w:r>
        <w:r w:rsidR="00AB754F">
          <w:rPr>
            <w:webHidden/>
          </w:rPr>
          <w:tab/>
        </w:r>
        <w:r w:rsidR="00AB754F">
          <w:rPr>
            <w:webHidden/>
          </w:rPr>
          <w:fldChar w:fldCharType="begin"/>
        </w:r>
        <w:r w:rsidR="00AB754F">
          <w:rPr>
            <w:webHidden/>
          </w:rPr>
          <w:instrText xml:space="preserve"> PAGEREF _Toc22298039 \h </w:instrText>
        </w:r>
        <w:r w:rsidR="00AB754F">
          <w:rPr>
            <w:webHidden/>
          </w:rPr>
        </w:r>
        <w:r w:rsidR="00AB754F">
          <w:rPr>
            <w:webHidden/>
          </w:rPr>
          <w:fldChar w:fldCharType="separate"/>
        </w:r>
        <w:r w:rsidR="007210CE">
          <w:rPr>
            <w:webHidden/>
          </w:rPr>
          <w:t>36</w:t>
        </w:r>
        <w:r w:rsidR="00AB754F">
          <w:rPr>
            <w:webHidden/>
          </w:rPr>
          <w:fldChar w:fldCharType="end"/>
        </w:r>
      </w:hyperlink>
    </w:p>
    <w:p w14:paraId="02E2EB31" w14:textId="6EB5286B" w:rsidR="00AB754F" w:rsidRDefault="00036EFD">
      <w:pPr>
        <w:pStyle w:val="TOC2"/>
        <w:rPr>
          <w:rFonts w:asciiTheme="minorHAnsi" w:eastAsiaTheme="minorEastAsia" w:hAnsiTheme="minorHAnsi" w:cstheme="minorBidi"/>
          <w:sz w:val="22"/>
          <w:szCs w:val="22"/>
          <w:lang w:eastAsia="en-AU"/>
        </w:rPr>
      </w:pPr>
      <w:hyperlink w:anchor="_Toc22298040" w:history="1">
        <w:r w:rsidR="00AB754F" w:rsidRPr="00882C3A">
          <w:rPr>
            <w:rStyle w:val="Hyperlink"/>
            <w:lang w:eastAsia="en-AU"/>
          </w:rPr>
          <w:t>Registered Training Organisation (RTO) activity</w:t>
        </w:r>
        <w:r w:rsidR="00AB754F">
          <w:rPr>
            <w:webHidden/>
          </w:rPr>
          <w:tab/>
        </w:r>
        <w:r w:rsidR="00AB754F">
          <w:rPr>
            <w:webHidden/>
          </w:rPr>
          <w:fldChar w:fldCharType="begin"/>
        </w:r>
        <w:r w:rsidR="00AB754F">
          <w:rPr>
            <w:webHidden/>
          </w:rPr>
          <w:instrText xml:space="preserve"> PAGEREF _Toc22298040 \h </w:instrText>
        </w:r>
        <w:r w:rsidR="00AB754F">
          <w:rPr>
            <w:webHidden/>
          </w:rPr>
        </w:r>
        <w:r w:rsidR="00AB754F">
          <w:rPr>
            <w:webHidden/>
          </w:rPr>
          <w:fldChar w:fldCharType="separate"/>
        </w:r>
        <w:r w:rsidR="007210CE">
          <w:rPr>
            <w:webHidden/>
          </w:rPr>
          <w:t>37</w:t>
        </w:r>
        <w:r w:rsidR="00AB754F">
          <w:rPr>
            <w:webHidden/>
          </w:rPr>
          <w:fldChar w:fldCharType="end"/>
        </w:r>
      </w:hyperlink>
    </w:p>
    <w:p w14:paraId="5665688D" w14:textId="43499F2B" w:rsidR="00AB754F" w:rsidRDefault="00036EFD">
      <w:pPr>
        <w:pStyle w:val="TOC2"/>
        <w:rPr>
          <w:rFonts w:asciiTheme="minorHAnsi" w:eastAsiaTheme="minorEastAsia" w:hAnsiTheme="minorHAnsi" w:cstheme="minorBidi"/>
          <w:sz w:val="22"/>
          <w:szCs w:val="22"/>
          <w:lang w:eastAsia="en-AU"/>
        </w:rPr>
      </w:pPr>
      <w:hyperlink w:anchor="_Toc22298041" w:history="1">
        <w:r w:rsidR="00AB754F" w:rsidRPr="00882C3A">
          <w:rPr>
            <w:rStyle w:val="Hyperlink"/>
            <w:lang w:eastAsia="en-AU"/>
          </w:rPr>
          <w:t>CRICOS registration</w:t>
        </w:r>
        <w:r w:rsidR="00AB754F">
          <w:rPr>
            <w:webHidden/>
          </w:rPr>
          <w:tab/>
        </w:r>
        <w:r w:rsidR="00AB754F">
          <w:rPr>
            <w:webHidden/>
          </w:rPr>
          <w:fldChar w:fldCharType="begin"/>
        </w:r>
        <w:r w:rsidR="00AB754F">
          <w:rPr>
            <w:webHidden/>
          </w:rPr>
          <w:instrText xml:space="preserve"> PAGEREF _Toc22298041 \h </w:instrText>
        </w:r>
        <w:r w:rsidR="00AB754F">
          <w:rPr>
            <w:webHidden/>
          </w:rPr>
        </w:r>
        <w:r w:rsidR="00AB754F">
          <w:rPr>
            <w:webHidden/>
          </w:rPr>
          <w:fldChar w:fldCharType="separate"/>
        </w:r>
        <w:r w:rsidR="007210CE">
          <w:rPr>
            <w:webHidden/>
          </w:rPr>
          <w:t>37</w:t>
        </w:r>
        <w:r w:rsidR="00AB754F">
          <w:rPr>
            <w:webHidden/>
          </w:rPr>
          <w:fldChar w:fldCharType="end"/>
        </w:r>
      </w:hyperlink>
    </w:p>
    <w:p w14:paraId="0B68DA72" w14:textId="1F1D2EE9" w:rsidR="00AB754F" w:rsidRDefault="00036EFD">
      <w:pPr>
        <w:pStyle w:val="TOC2"/>
        <w:rPr>
          <w:rFonts w:asciiTheme="minorHAnsi" w:eastAsiaTheme="minorEastAsia" w:hAnsiTheme="minorHAnsi" w:cstheme="minorBidi"/>
          <w:sz w:val="22"/>
          <w:szCs w:val="22"/>
          <w:lang w:eastAsia="en-AU"/>
        </w:rPr>
      </w:pPr>
      <w:hyperlink w:anchor="_Toc22298042" w:history="1">
        <w:r w:rsidR="00AB754F" w:rsidRPr="00882C3A">
          <w:rPr>
            <w:rStyle w:val="Hyperlink"/>
            <w:lang w:eastAsia="en-AU"/>
          </w:rPr>
          <w:t>Market groupings</w:t>
        </w:r>
        <w:r w:rsidR="00AB754F">
          <w:rPr>
            <w:webHidden/>
          </w:rPr>
          <w:tab/>
        </w:r>
        <w:r w:rsidR="00AB754F">
          <w:rPr>
            <w:webHidden/>
          </w:rPr>
          <w:fldChar w:fldCharType="begin"/>
        </w:r>
        <w:r w:rsidR="00AB754F">
          <w:rPr>
            <w:webHidden/>
          </w:rPr>
          <w:instrText xml:space="preserve"> PAGEREF _Toc22298042 \h </w:instrText>
        </w:r>
        <w:r w:rsidR="00AB754F">
          <w:rPr>
            <w:webHidden/>
          </w:rPr>
        </w:r>
        <w:r w:rsidR="00AB754F">
          <w:rPr>
            <w:webHidden/>
          </w:rPr>
          <w:fldChar w:fldCharType="separate"/>
        </w:r>
        <w:r w:rsidR="007210CE">
          <w:rPr>
            <w:webHidden/>
          </w:rPr>
          <w:t>38</w:t>
        </w:r>
        <w:r w:rsidR="00AB754F">
          <w:rPr>
            <w:webHidden/>
          </w:rPr>
          <w:fldChar w:fldCharType="end"/>
        </w:r>
      </w:hyperlink>
    </w:p>
    <w:p w14:paraId="5090FD23" w14:textId="5B710FBD" w:rsidR="00AB754F" w:rsidRDefault="00036EFD">
      <w:pPr>
        <w:pStyle w:val="TOC1"/>
        <w:rPr>
          <w:rFonts w:asciiTheme="minorHAnsi" w:eastAsiaTheme="minorEastAsia" w:hAnsiTheme="minorHAnsi" w:cstheme="minorBidi"/>
          <w:color w:val="auto"/>
          <w:sz w:val="22"/>
          <w:szCs w:val="22"/>
          <w:lang w:eastAsia="en-AU"/>
        </w:rPr>
      </w:pPr>
      <w:hyperlink w:anchor="_Toc22298043" w:history="1">
        <w:r w:rsidR="00AB754F" w:rsidRPr="00882C3A">
          <w:rPr>
            <w:rStyle w:val="Hyperlink"/>
          </w:rPr>
          <w:t>Peak, professional, student body survey results</w:t>
        </w:r>
        <w:r w:rsidR="00AB754F">
          <w:rPr>
            <w:webHidden/>
          </w:rPr>
          <w:tab/>
        </w:r>
        <w:r w:rsidR="00AB754F">
          <w:rPr>
            <w:webHidden/>
          </w:rPr>
          <w:fldChar w:fldCharType="begin"/>
        </w:r>
        <w:r w:rsidR="00AB754F">
          <w:rPr>
            <w:webHidden/>
          </w:rPr>
          <w:instrText xml:space="preserve"> PAGEREF _Toc22298043 \h </w:instrText>
        </w:r>
        <w:r w:rsidR="00AB754F">
          <w:rPr>
            <w:webHidden/>
          </w:rPr>
        </w:r>
        <w:r w:rsidR="00AB754F">
          <w:rPr>
            <w:webHidden/>
          </w:rPr>
          <w:fldChar w:fldCharType="separate"/>
        </w:r>
        <w:r w:rsidR="007210CE">
          <w:rPr>
            <w:webHidden/>
          </w:rPr>
          <w:t>39</w:t>
        </w:r>
        <w:r w:rsidR="00AB754F">
          <w:rPr>
            <w:webHidden/>
          </w:rPr>
          <w:fldChar w:fldCharType="end"/>
        </w:r>
      </w:hyperlink>
    </w:p>
    <w:p w14:paraId="654C0A9E" w14:textId="0B15BBEF" w:rsidR="00AB754F" w:rsidRDefault="00036EFD">
      <w:pPr>
        <w:pStyle w:val="TOC2"/>
        <w:rPr>
          <w:rFonts w:asciiTheme="minorHAnsi" w:eastAsiaTheme="minorEastAsia" w:hAnsiTheme="minorHAnsi" w:cstheme="minorBidi"/>
          <w:sz w:val="22"/>
          <w:szCs w:val="22"/>
          <w:lang w:eastAsia="en-AU"/>
        </w:rPr>
      </w:pPr>
      <w:hyperlink w:anchor="_Toc22298044" w:history="1">
        <w:r w:rsidR="00AB754F" w:rsidRPr="00882C3A">
          <w:rPr>
            <w:rStyle w:val="Hyperlink"/>
          </w:rPr>
          <w:t>PPSB interaction with TEQSA</w:t>
        </w:r>
        <w:r w:rsidR="00AB754F">
          <w:rPr>
            <w:webHidden/>
          </w:rPr>
          <w:tab/>
        </w:r>
        <w:r w:rsidR="00AB754F">
          <w:rPr>
            <w:webHidden/>
          </w:rPr>
          <w:fldChar w:fldCharType="begin"/>
        </w:r>
        <w:r w:rsidR="00AB754F">
          <w:rPr>
            <w:webHidden/>
          </w:rPr>
          <w:instrText xml:space="preserve"> PAGEREF _Toc22298044 \h </w:instrText>
        </w:r>
        <w:r w:rsidR="00AB754F">
          <w:rPr>
            <w:webHidden/>
          </w:rPr>
        </w:r>
        <w:r w:rsidR="00AB754F">
          <w:rPr>
            <w:webHidden/>
          </w:rPr>
          <w:fldChar w:fldCharType="separate"/>
        </w:r>
        <w:r w:rsidR="007210CE">
          <w:rPr>
            <w:webHidden/>
          </w:rPr>
          <w:t>39</w:t>
        </w:r>
        <w:r w:rsidR="00AB754F">
          <w:rPr>
            <w:webHidden/>
          </w:rPr>
          <w:fldChar w:fldCharType="end"/>
        </w:r>
      </w:hyperlink>
    </w:p>
    <w:p w14:paraId="3140469C" w14:textId="7346E474" w:rsidR="00AB754F" w:rsidRDefault="00036EFD">
      <w:pPr>
        <w:pStyle w:val="TOC2"/>
        <w:rPr>
          <w:rFonts w:asciiTheme="minorHAnsi" w:eastAsiaTheme="minorEastAsia" w:hAnsiTheme="minorHAnsi" w:cstheme="minorBidi"/>
          <w:sz w:val="22"/>
          <w:szCs w:val="22"/>
          <w:lang w:eastAsia="en-AU"/>
        </w:rPr>
      </w:pPr>
      <w:hyperlink w:anchor="_Toc22298045" w:history="1">
        <w:r w:rsidR="00AB754F" w:rsidRPr="00882C3A">
          <w:rPr>
            <w:rStyle w:val="Hyperlink"/>
          </w:rPr>
          <w:t>PPSB scores for all questions</w:t>
        </w:r>
        <w:r w:rsidR="00AB754F">
          <w:rPr>
            <w:webHidden/>
          </w:rPr>
          <w:tab/>
        </w:r>
        <w:r w:rsidR="00AB754F">
          <w:rPr>
            <w:webHidden/>
          </w:rPr>
          <w:fldChar w:fldCharType="begin"/>
        </w:r>
        <w:r w:rsidR="00AB754F">
          <w:rPr>
            <w:webHidden/>
          </w:rPr>
          <w:instrText xml:space="preserve"> PAGEREF _Toc22298045 \h </w:instrText>
        </w:r>
        <w:r w:rsidR="00AB754F">
          <w:rPr>
            <w:webHidden/>
          </w:rPr>
        </w:r>
        <w:r w:rsidR="00AB754F">
          <w:rPr>
            <w:webHidden/>
          </w:rPr>
          <w:fldChar w:fldCharType="separate"/>
        </w:r>
        <w:r w:rsidR="007210CE">
          <w:rPr>
            <w:webHidden/>
          </w:rPr>
          <w:t>39</w:t>
        </w:r>
        <w:r w:rsidR="00AB754F">
          <w:rPr>
            <w:webHidden/>
          </w:rPr>
          <w:fldChar w:fldCharType="end"/>
        </w:r>
      </w:hyperlink>
    </w:p>
    <w:p w14:paraId="09E1A824" w14:textId="69C14157" w:rsidR="00AB754F" w:rsidRDefault="00036EFD">
      <w:pPr>
        <w:pStyle w:val="TOC2"/>
        <w:rPr>
          <w:rFonts w:asciiTheme="minorHAnsi" w:eastAsiaTheme="minorEastAsia" w:hAnsiTheme="minorHAnsi" w:cstheme="minorBidi"/>
          <w:sz w:val="22"/>
          <w:szCs w:val="22"/>
          <w:lang w:eastAsia="en-AU"/>
        </w:rPr>
      </w:pPr>
      <w:hyperlink w:anchor="_Toc22298046" w:history="1">
        <w:r w:rsidR="00AB754F" w:rsidRPr="00882C3A">
          <w:rPr>
            <w:rStyle w:val="Hyperlink"/>
          </w:rPr>
          <w:t>PPSB KPI comments</w:t>
        </w:r>
        <w:r w:rsidR="00AB754F">
          <w:rPr>
            <w:webHidden/>
          </w:rPr>
          <w:tab/>
        </w:r>
        <w:r w:rsidR="00AB754F">
          <w:rPr>
            <w:webHidden/>
          </w:rPr>
          <w:fldChar w:fldCharType="begin"/>
        </w:r>
        <w:r w:rsidR="00AB754F">
          <w:rPr>
            <w:webHidden/>
          </w:rPr>
          <w:instrText xml:space="preserve"> PAGEREF _Toc22298046 \h </w:instrText>
        </w:r>
        <w:r w:rsidR="00AB754F">
          <w:rPr>
            <w:webHidden/>
          </w:rPr>
        </w:r>
        <w:r w:rsidR="00AB754F">
          <w:rPr>
            <w:webHidden/>
          </w:rPr>
          <w:fldChar w:fldCharType="separate"/>
        </w:r>
        <w:r w:rsidR="007210CE">
          <w:rPr>
            <w:webHidden/>
          </w:rPr>
          <w:t>40</w:t>
        </w:r>
        <w:r w:rsidR="00AB754F">
          <w:rPr>
            <w:webHidden/>
          </w:rPr>
          <w:fldChar w:fldCharType="end"/>
        </w:r>
      </w:hyperlink>
    </w:p>
    <w:p w14:paraId="30FC1BE9" w14:textId="0083177F" w:rsidR="00AB754F" w:rsidRDefault="00036EFD">
      <w:pPr>
        <w:pStyle w:val="TOC2"/>
        <w:rPr>
          <w:rFonts w:asciiTheme="minorHAnsi" w:eastAsiaTheme="minorEastAsia" w:hAnsiTheme="minorHAnsi" w:cstheme="minorBidi"/>
          <w:sz w:val="22"/>
          <w:szCs w:val="22"/>
          <w:lang w:eastAsia="en-AU"/>
        </w:rPr>
      </w:pPr>
      <w:hyperlink w:anchor="_Toc22298047" w:history="1">
        <w:r w:rsidR="00AB754F" w:rsidRPr="00882C3A">
          <w:rPr>
            <w:rStyle w:val="Hyperlink"/>
          </w:rPr>
          <w:t>Overall comments</w:t>
        </w:r>
        <w:r w:rsidR="00AB754F">
          <w:rPr>
            <w:webHidden/>
          </w:rPr>
          <w:tab/>
        </w:r>
        <w:r w:rsidR="00AB754F">
          <w:rPr>
            <w:webHidden/>
          </w:rPr>
          <w:fldChar w:fldCharType="begin"/>
        </w:r>
        <w:r w:rsidR="00AB754F">
          <w:rPr>
            <w:webHidden/>
          </w:rPr>
          <w:instrText xml:space="preserve"> PAGEREF _Toc22298047 \h </w:instrText>
        </w:r>
        <w:r w:rsidR="00AB754F">
          <w:rPr>
            <w:webHidden/>
          </w:rPr>
        </w:r>
        <w:r w:rsidR="00AB754F">
          <w:rPr>
            <w:webHidden/>
          </w:rPr>
          <w:fldChar w:fldCharType="separate"/>
        </w:r>
        <w:r w:rsidR="007210CE">
          <w:rPr>
            <w:webHidden/>
          </w:rPr>
          <w:t>41</w:t>
        </w:r>
        <w:r w:rsidR="00AB754F">
          <w:rPr>
            <w:webHidden/>
          </w:rPr>
          <w:fldChar w:fldCharType="end"/>
        </w:r>
      </w:hyperlink>
    </w:p>
    <w:p w14:paraId="52C78146" w14:textId="04E7C49B" w:rsidR="00AB754F" w:rsidRDefault="00036EFD">
      <w:pPr>
        <w:pStyle w:val="TOC1"/>
        <w:rPr>
          <w:rFonts w:asciiTheme="minorHAnsi" w:eastAsiaTheme="minorEastAsia" w:hAnsiTheme="minorHAnsi" w:cstheme="minorBidi"/>
          <w:color w:val="auto"/>
          <w:sz w:val="22"/>
          <w:szCs w:val="22"/>
          <w:lang w:eastAsia="en-AU"/>
        </w:rPr>
      </w:pPr>
      <w:hyperlink w:anchor="_Toc22298048" w:history="1">
        <w:r w:rsidR="00AB754F" w:rsidRPr="00882C3A">
          <w:rPr>
            <w:rStyle w:val="Hyperlink"/>
          </w:rPr>
          <w:t>PPSB risks to sector</w:t>
        </w:r>
        <w:r w:rsidR="00AB754F">
          <w:rPr>
            <w:webHidden/>
          </w:rPr>
          <w:tab/>
        </w:r>
        <w:r w:rsidR="00AB754F">
          <w:rPr>
            <w:webHidden/>
          </w:rPr>
          <w:fldChar w:fldCharType="begin"/>
        </w:r>
        <w:r w:rsidR="00AB754F">
          <w:rPr>
            <w:webHidden/>
          </w:rPr>
          <w:instrText xml:space="preserve"> PAGEREF _Toc22298048 \h </w:instrText>
        </w:r>
        <w:r w:rsidR="00AB754F">
          <w:rPr>
            <w:webHidden/>
          </w:rPr>
        </w:r>
        <w:r w:rsidR="00AB754F">
          <w:rPr>
            <w:webHidden/>
          </w:rPr>
          <w:fldChar w:fldCharType="separate"/>
        </w:r>
        <w:r w:rsidR="007210CE">
          <w:rPr>
            <w:webHidden/>
          </w:rPr>
          <w:t>42</w:t>
        </w:r>
        <w:r w:rsidR="00AB754F">
          <w:rPr>
            <w:webHidden/>
          </w:rPr>
          <w:fldChar w:fldCharType="end"/>
        </w:r>
      </w:hyperlink>
    </w:p>
    <w:p w14:paraId="4AB74D25" w14:textId="7F7FFD43" w:rsidR="00AB754F" w:rsidRDefault="00036EFD">
      <w:pPr>
        <w:pStyle w:val="TOC1"/>
        <w:rPr>
          <w:rFonts w:asciiTheme="minorHAnsi" w:eastAsiaTheme="minorEastAsia" w:hAnsiTheme="minorHAnsi" w:cstheme="minorBidi"/>
          <w:color w:val="auto"/>
          <w:sz w:val="22"/>
          <w:szCs w:val="22"/>
          <w:lang w:eastAsia="en-AU"/>
        </w:rPr>
      </w:pPr>
      <w:hyperlink w:anchor="_Toc22298049" w:history="1">
        <w:r w:rsidR="00AB754F" w:rsidRPr="00882C3A">
          <w:rPr>
            <w:rStyle w:val="Hyperlink"/>
          </w:rPr>
          <w:t>PPSB year comparison</w:t>
        </w:r>
        <w:r w:rsidR="00AB754F">
          <w:rPr>
            <w:webHidden/>
          </w:rPr>
          <w:tab/>
        </w:r>
        <w:r w:rsidR="00AB754F">
          <w:rPr>
            <w:webHidden/>
          </w:rPr>
          <w:fldChar w:fldCharType="begin"/>
        </w:r>
        <w:r w:rsidR="00AB754F">
          <w:rPr>
            <w:webHidden/>
          </w:rPr>
          <w:instrText xml:space="preserve"> PAGEREF _Toc22298049 \h </w:instrText>
        </w:r>
        <w:r w:rsidR="00AB754F">
          <w:rPr>
            <w:webHidden/>
          </w:rPr>
        </w:r>
        <w:r w:rsidR="00AB754F">
          <w:rPr>
            <w:webHidden/>
          </w:rPr>
          <w:fldChar w:fldCharType="separate"/>
        </w:r>
        <w:r w:rsidR="007210CE">
          <w:rPr>
            <w:webHidden/>
          </w:rPr>
          <w:t>42</w:t>
        </w:r>
        <w:r w:rsidR="00AB754F">
          <w:rPr>
            <w:webHidden/>
          </w:rPr>
          <w:fldChar w:fldCharType="end"/>
        </w:r>
      </w:hyperlink>
    </w:p>
    <w:p w14:paraId="751761CD" w14:textId="3C3FB647" w:rsidR="00AB754F" w:rsidRDefault="00036EFD">
      <w:pPr>
        <w:pStyle w:val="TOC1"/>
        <w:rPr>
          <w:rFonts w:asciiTheme="minorHAnsi" w:eastAsiaTheme="minorEastAsia" w:hAnsiTheme="minorHAnsi" w:cstheme="minorBidi"/>
          <w:color w:val="auto"/>
          <w:sz w:val="22"/>
          <w:szCs w:val="22"/>
          <w:lang w:eastAsia="en-AU"/>
        </w:rPr>
      </w:pPr>
      <w:hyperlink w:anchor="_Toc22298050" w:history="1">
        <w:r w:rsidR="00AB754F" w:rsidRPr="00882C3A">
          <w:rPr>
            <w:rStyle w:val="Hyperlink"/>
            <w:lang w:eastAsia="en-AU"/>
          </w:rPr>
          <w:t>Survey comparisons</w:t>
        </w:r>
        <w:r w:rsidR="00AB754F">
          <w:rPr>
            <w:webHidden/>
          </w:rPr>
          <w:tab/>
        </w:r>
        <w:r w:rsidR="00AB754F">
          <w:rPr>
            <w:webHidden/>
          </w:rPr>
          <w:fldChar w:fldCharType="begin"/>
        </w:r>
        <w:r w:rsidR="00AB754F">
          <w:rPr>
            <w:webHidden/>
          </w:rPr>
          <w:instrText xml:space="preserve"> PAGEREF _Toc22298050 \h </w:instrText>
        </w:r>
        <w:r w:rsidR="00AB754F">
          <w:rPr>
            <w:webHidden/>
          </w:rPr>
        </w:r>
        <w:r w:rsidR="00AB754F">
          <w:rPr>
            <w:webHidden/>
          </w:rPr>
          <w:fldChar w:fldCharType="separate"/>
        </w:r>
        <w:r w:rsidR="007210CE">
          <w:rPr>
            <w:webHidden/>
          </w:rPr>
          <w:t>44</w:t>
        </w:r>
        <w:r w:rsidR="00AB754F">
          <w:rPr>
            <w:webHidden/>
          </w:rPr>
          <w:fldChar w:fldCharType="end"/>
        </w:r>
      </w:hyperlink>
    </w:p>
    <w:p w14:paraId="1D0FDBC1" w14:textId="107CE914" w:rsidR="00AB754F" w:rsidRDefault="00036EFD">
      <w:pPr>
        <w:pStyle w:val="TOC1"/>
        <w:rPr>
          <w:rFonts w:asciiTheme="minorHAnsi" w:eastAsiaTheme="minorEastAsia" w:hAnsiTheme="minorHAnsi" w:cstheme="minorBidi"/>
          <w:color w:val="auto"/>
          <w:sz w:val="22"/>
          <w:szCs w:val="22"/>
          <w:lang w:eastAsia="en-AU"/>
        </w:rPr>
      </w:pPr>
      <w:hyperlink w:anchor="_Toc22298051" w:history="1">
        <w:r w:rsidR="00AB754F" w:rsidRPr="00882C3A">
          <w:rPr>
            <w:rStyle w:val="Hyperlink"/>
          </w:rPr>
          <w:t>Conclusions</w:t>
        </w:r>
        <w:r w:rsidR="00AB754F">
          <w:rPr>
            <w:webHidden/>
          </w:rPr>
          <w:tab/>
        </w:r>
        <w:r w:rsidR="00AB754F">
          <w:rPr>
            <w:webHidden/>
          </w:rPr>
          <w:fldChar w:fldCharType="begin"/>
        </w:r>
        <w:r w:rsidR="00AB754F">
          <w:rPr>
            <w:webHidden/>
          </w:rPr>
          <w:instrText xml:space="preserve"> PAGEREF _Toc22298051 \h </w:instrText>
        </w:r>
        <w:r w:rsidR="00AB754F">
          <w:rPr>
            <w:webHidden/>
          </w:rPr>
        </w:r>
        <w:r w:rsidR="00AB754F">
          <w:rPr>
            <w:webHidden/>
          </w:rPr>
          <w:fldChar w:fldCharType="separate"/>
        </w:r>
        <w:r w:rsidR="007210CE">
          <w:rPr>
            <w:webHidden/>
          </w:rPr>
          <w:t>45</w:t>
        </w:r>
        <w:r w:rsidR="00AB754F">
          <w:rPr>
            <w:webHidden/>
          </w:rPr>
          <w:fldChar w:fldCharType="end"/>
        </w:r>
      </w:hyperlink>
    </w:p>
    <w:p w14:paraId="5A260A11" w14:textId="77777777" w:rsidR="002A6D7D" w:rsidRPr="004F30BD" w:rsidRDefault="00400D7F" w:rsidP="00D71109">
      <w:pPr>
        <w:rPr>
          <w:rFonts w:eastAsia="Times New Roman"/>
          <w:color w:val="163758"/>
          <w:szCs w:val="36"/>
        </w:rPr>
      </w:pPr>
      <w:r w:rsidRPr="004F30BD">
        <w:rPr>
          <w:rFonts w:eastAsia="Times New Roman"/>
          <w:color w:val="163758"/>
          <w:szCs w:val="36"/>
        </w:rPr>
        <w:fldChar w:fldCharType="end"/>
      </w:r>
    </w:p>
    <w:p w14:paraId="005D19B4" w14:textId="77777777" w:rsidR="002A6D7D" w:rsidRPr="004F30BD" w:rsidRDefault="002A6D7D" w:rsidP="00D71109">
      <w:pPr>
        <w:rPr>
          <w:rFonts w:eastAsia="Times New Roman"/>
          <w:color w:val="163758"/>
          <w:szCs w:val="36"/>
        </w:rPr>
      </w:pPr>
    </w:p>
    <w:p w14:paraId="0EAFB49B" w14:textId="77777777" w:rsidR="00D61AB8" w:rsidRPr="004F30BD" w:rsidRDefault="00316DCC" w:rsidP="00D71109">
      <w:r w:rsidRPr="004F30BD">
        <w:rPr>
          <w:noProof/>
          <w:lang w:eastAsia="en-AU"/>
        </w:rPr>
        <w:drawing>
          <wp:anchor distT="0" distB="0" distL="114300" distR="114300" simplePos="0" relativeHeight="251657216" behindDoc="1" locked="0" layoutInCell="1" allowOverlap="1" wp14:anchorId="36565F77" wp14:editId="2A99360B">
            <wp:simplePos x="0" y="0"/>
            <wp:positionH relativeFrom="column">
              <wp:posOffset>635</wp:posOffset>
            </wp:positionH>
            <wp:positionV relativeFrom="paragraph">
              <wp:posOffset>32441</wp:posOffset>
            </wp:positionV>
            <wp:extent cx="612140" cy="612140"/>
            <wp:effectExtent l="0" t="0" r="0" b="0"/>
            <wp:wrapTight wrapText="bothSides">
              <wp:wrapPolygon edited="0">
                <wp:start x="5378" y="0"/>
                <wp:lineTo x="0" y="4033"/>
                <wp:lineTo x="0" y="16805"/>
                <wp:lineTo x="5378" y="20838"/>
                <wp:lineTo x="15461" y="20838"/>
                <wp:lineTo x="20838" y="16805"/>
                <wp:lineTo x="20838" y="4033"/>
                <wp:lineTo x="15461" y="0"/>
                <wp:lineTo x="5378"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RQ-seal-20252-WEB.png"/>
                    <pic:cNvPicPr/>
                  </pic:nvPicPr>
                  <pic:blipFill>
                    <a:blip r:embed="rId10">
                      <a:extLst>
                        <a:ext uri="{28A0092B-C50C-407E-A947-70E740481C1C}">
                          <a14:useLocalDpi xmlns:a14="http://schemas.microsoft.com/office/drawing/2010/main" val="0"/>
                        </a:ext>
                      </a:extLst>
                    </a:blip>
                    <a:stretch>
                      <a:fillRect/>
                    </a:stretch>
                  </pic:blipFill>
                  <pic:spPr>
                    <a:xfrm>
                      <a:off x="0" y="0"/>
                      <a:ext cx="612140" cy="612140"/>
                    </a:xfrm>
                    <a:prstGeom prst="rect">
                      <a:avLst/>
                    </a:prstGeom>
                  </pic:spPr>
                </pic:pic>
              </a:graphicData>
            </a:graphic>
            <wp14:sizeRelH relativeFrom="page">
              <wp14:pctWidth>0</wp14:pctWidth>
            </wp14:sizeRelH>
            <wp14:sizeRelV relativeFrom="page">
              <wp14:pctHeight>0</wp14:pctHeight>
            </wp14:sizeRelV>
          </wp:anchor>
        </w:drawing>
      </w:r>
      <w:r w:rsidR="00C969EF" w:rsidRPr="004F30BD">
        <w:t>Australian Survey Research Group Pty Ltd is accredited under the AS ISO 20252 quality standard applying to market and social research.</w:t>
      </w:r>
      <w:r w:rsidR="00B15F65" w:rsidRPr="004F30BD">
        <w:t xml:space="preserve"> </w:t>
      </w:r>
      <w:r w:rsidR="00C969EF" w:rsidRPr="004F30BD">
        <w:t>This research project was carried out in compliance with the AS ISO 20252 quality standard.</w:t>
      </w:r>
    </w:p>
    <w:p w14:paraId="05B06A37" w14:textId="77777777" w:rsidR="00BD25B0" w:rsidRPr="004F30BD" w:rsidRDefault="00BD25B0" w:rsidP="00BD25B0">
      <w:pPr>
        <w:sectPr w:rsidR="00BD25B0" w:rsidRPr="004F30BD" w:rsidSect="007C5F26">
          <w:headerReference w:type="default" r:id="rId11"/>
          <w:footerReference w:type="default" r:id="rId12"/>
          <w:pgSz w:w="11899" w:h="16838" w:code="9"/>
          <w:pgMar w:top="1077" w:right="1551" w:bottom="1134" w:left="1701" w:header="0" w:footer="454" w:gutter="0"/>
          <w:cols w:space="720"/>
        </w:sectPr>
      </w:pPr>
    </w:p>
    <w:p w14:paraId="5BE781E6" w14:textId="77777777" w:rsidR="00000E57" w:rsidRPr="004F30BD" w:rsidRDefault="00000E57" w:rsidP="00485ECD">
      <w:pPr>
        <w:pStyle w:val="Heading1"/>
      </w:pPr>
      <w:bookmarkStart w:id="1" w:name="_Toc22298008"/>
      <w:r w:rsidRPr="004F30BD">
        <w:lastRenderedPageBreak/>
        <w:t>Executive summary</w:t>
      </w:r>
      <w:bookmarkEnd w:id="1"/>
    </w:p>
    <w:p w14:paraId="5B6F303F" w14:textId="77777777" w:rsidR="007E127F" w:rsidRPr="004F30BD" w:rsidRDefault="007E127F" w:rsidP="007E127F">
      <w:r w:rsidRPr="004F30BD">
        <w:t xml:space="preserve">In August 2019 the Tertiary Education Quality Standards Agency (TEQSA) conducted </w:t>
      </w:r>
      <w:r w:rsidR="00212F79" w:rsidRPr="004F30BD">
        <w:t>an annual sector-wide stakeholder survey</w:t>
      </w:r>
      <w:r w:rsidRPr="004F30BD">
        <w:t xml:space="preserve">. The purpose of the survey was to increase TEQSA’s accountability, better understand its impact on higher education providers, and improve its performance. </w:t>
      </w:r>
    </w:p>
    <w:p w14:paraId="539ACF2E" w14:textId="77777777" w:rsidR="007E127F" w:rsidRPr="004F30BD" w:rsidRDefault="007E127F" w:rsidP="007E127F">
      <w:r w:rsidRPr="004F30BD">
        <w:t>TEQSA engaged Australian Survey Research (ASR) to deploy and analyse a web survey of 238</w:t>
      </w:r>
      <w:r w:rsidR="00BF0737" w:rsidRPr="004F30BD">
        <w:t xml:space="preserve"> </w:t>
      </w:r>
      <w:r w:rsidRPr="004F30BD">
        <w:t xml:space="preserve">principal contacts (PC) </w:t>
      </w:r>
      <w:r w:rsidR="00212F79" w:rsidRPr="004F30BD">
        <w:t>within regulated providers, as well as those seeking provider status. Also included were representatives from</w:t>
      </w:r>
      <w:r w:rsidRPr="004F30BD">
        <w:t xml:space="preserve"> 52 peak, professional and student bodies (PPSB). A total of 143 principal contacts and 24 PPSB</w:t>
      </w:r>
      <w:r w:rsidR="00212F79" w:rsidRPr="004F30BD">
        <w:t xml:space="preserve"> representative</w:t>
      </w:r>
      <w:r w:rsidRPr="004F30BD">
        <w:t>s completed the</w:t>
      </w:r>
      <w:r w:rsidR="00212F79" w:rsidRPr="004F30BD">
        <w:t>ir respective</w:t>
      </w:r>
      <w:r w:rsidRPr="004F30BD">
        <w:t xml:space="preserve"> survey</w:t>
      </w:r>
      <w:r w:rsidR="00212F79" w:rsidRPr="004F30BD">
        <w:t>s</w:t>
      </w:r>
      <w:r w:rsidRPr="004F30BD">
        <w:t xml:space="preserve">. </w:t>
      </w:r>
    </w:p>
    <w:p w14:paraId="64F090E0" w14:textId="77777777" w:rsidR="00516A99" w:rsidRDefault="00516A99" w:rsidP="00835A71">
      <w:r>
        <w:t>In 2019, the survey was subject to a review</w:t>
      </w:r>
      <w:r w:rsidRPr="005F7270">
        <w:t xml:space="preserve"> </w:t>
      </w:r>
      <w:r w:rsidRPr="004F30BD">
        <w:t xml:space="preserve">to ensure that KPIs remained fit for purpose and addressed TESQA’s strategic requirements. As a result, the 2019 PC survey questions (items) included some changes to those used in 2018. </w:t>
      </w:r>
    </w:p>
    <w:p w14:paraId="750AFFEF" w14:textId="3273F67D" w:rsidR="00835A71" w:rsidRPr="004F30BD" w:rsidRDefault="00835A71" w:rsidP="00835A71">
      <w:r w:rsidRPr="004F30BD">
        <w:t>The content of the surveys focused on TEQSA’s key performance indicators from its current Regulator Performance Framework. In addition, principal contacts were asked about various recent interactions with TEQSA including applications, case managers and sector risks. All respondents in all surveys were asked to rate TEQSA’s overall performance as a regulator.</w:t>
      </w:r>
      <w:r w:rsidR="005F7270">
        <w:t xml:space="preserve"> </w:t>
      </w:r>
    </w:p>
    <w:p w14:paraId="42096710" w14:textId="77777777" w:rsidR="007E127F" w:rsidRPr="004F30BD" w:rsidRDefault="007E127F" w:rsidP="007E127F">
      <w:pPr>
        <w:pStyle w:val="Heading2"/>
      </w:pPr>
      <w:bookmarkStart w:id="2" w:name="_Toc22298009"/>
      <w:r w:rsidRPr="004F30BD">
        <w:t>Response</w:t>
      </w:r>
      <w:bookmarkEnd w:id="2"/>
    </w:p>
    <w:p w14:paraId="7DC3B8BC" w14:textId="77777777" w:rsidR="00A73A38" w:rsidRPr="004F30BD" w:rsidRDefault="00A73A38" w:rsidP="00A73A38">
      <w:r w:rsidRPr="004F30BD">
        <w:t xml:space="preserve">A total of 238 principal contacts were invited to participate in their survey and 143 principal contacts responded, yielding a </w:t>
      </w:r>
      <w:r w:rsidRPr="004F30BD">
        <w:rPr>
          <w:b/>
        </w:rPr>
        <w:t>response rate of 60%</w:t>
      </w:r>
      <w:r w:rsidRPr="004F30BD">
        <w:t>. The sample is statistically representative of the principal contacts population at the 95% confidence level and a ±5.2% confidence interval. This is an acceptable scientific research confidence interval for scientific and market research. The profile of the response sample closely matched the population profiles on two demographics, meaning that it was a robust sample.</w:t>
      </w:r>
    </w:p>
    <w:p w14:paraId="58930206" w14:textId="77777777" w:rsidR="00A73A38" w:rsidRPr="004F30BD" w:rsidRDefault="00A73A38" w:rsidP="00A73A38">
      <w:pPr>
        <w:spacing w:after="240"/>
      </w:pPr>
      <w:r w:rsidRPr="004F30BD">
        <w:t xml:space="preserve">A total of 51 representatives from peak, professional and student bodies were invited to participate in their survey and 23 responded yielding a </w:t>
      </w:r>
      <w:r w:rsidRPr="004F30BD">
        <w:rPr>
          <w:b/>
        </w:rPr>
        <w:t>response rate of 45%.</w:t>
      </w:r>
      <w:r w:rsidRPr="004F30BD">
        <w:t xml:space="preserve"> The results for this survey have a confidence interval of ±15.4%. With this higher confidence interval and a small sample of 23, PPSB results should be treated with caution and as indicative only.</w:t>
      </w:r>
    </w:p>
    <w:p w14:paraId="1AC19898" w14:textId="77777777" w:rsidR="007E127F" w:rsidRPr="004F30BD" w:rsidRDefault="009A7018" w:rsidP="007E127F">
      <w:pPr>
        <w:pStyle w:val="Heading2"/>
      </w:pPr>
      <w:bookmarkStart w:id="3" w:name="_Toc22298010"/>
      <w:r w:rsidRPr="004F30BD">
        <w:t>Principal contact survey k</w:t>
      </w:r>
      <w:r w:rsidR="007E127F" w:rsidRPr="004F30BD">
        <w:t>ey findings</w:t>
      </w:r>
      <w:bookmarkEnd w:id="3"/>
    </w:p>
    <w:p w14:paraId="1007AEBA" w14:textId="77777777" w:rsidR="007E127F" w:rsidRPr="004F30BD" w:rsidRDefault="007E127F" w:rsidP="007E127F">
      <w:r w:rsidRPr="004F30BD">
        <w:t>Results were analysed to produce top 2 scores</w:t>
      </w:r>
      <w:r w:rsidR="00422E1E" w:rsidRPr="004F30BD">
        <w:t>—</w:t>
      </w:r>
      <w:r w:rsidRPr="004F30BD">
        <w:t>the proportion of respondents selecting the two most positive rating point</w:t>
      </w:r>
      <w:r w:rsidR="00422E1E" w:rsidRPr="004F30BD">
        <w:t xml:space="preserve">s of </w:t>
      </w:r>
      <w:r w:rsidRPr="004F30BD">
        <w:rPr>
          <w:i/>
        </w:rPr>
        <w:t>excellent</w:t>
      </w:r>
      <w:r w:rsidRPr="004F30BD">
        <w:t xml:space="preserve"> and </w:t>
      </w:r>
      <w:r w:rsidRPr="004F30BD">
        <w:rPr>
          <w:i/>
        </w:rPr>
        <w:t>good</w:t>
      </w:r>
      <w:r w:rsidRPr="004F30BD">
        <w:t xml:space="preserve">. </w:t>
      </w:r>
      <w:r w:rsidRPr="004F30BD">
        <w:rPr>
          <w:i/>
        </w:rPr>
        <w:t>Don’t know / not applicable</w:t>
      </w:r>
      <w:r w:rsidRPr="004F30BD">
        <w:t xml:space="preserve"> and </w:t>
      </w:r>
      <w:r w:rsidRPr="004F30BD">
        <w:rPr>
          <w:i/>
        </w:rPr>
        <w:t>no answ</w:t>
      </w:r>
      <w:r w:rsidRPr="004F30BD">
        <w:t xml:space="preserve">er responses were excluded from all top 2 score calculations. Top 2 scores of around 80% and above are considered are </w:t>
      </w:r>
      <w:r w:rsidR="006A226C" w:rsidRPr="004F30BD">
        <w:t xml:space="preserve">a </w:t>
      </w:r>
      <w:r w:rsidRPr="004F30BD">
        <w:t>good result in customer satisfaction research.</w:t>
      </w:r>
    </w:p>
    <w:p w14:paraId="11C6CF31" w14:textId="77777777" w:rsidR="007E127F" w:rsidRPr="004F30BD" w:rsidRDefault="007E127F" w:rsidP="007461B8">
      <w:pPr>
        <w:pStyle w:val="Heading4"/>
      </w:pPr>
      <w:r w:rsidRPr="004F30BD">
        <w:t>2019 highs and lows</w:t>
      </w:r>
    </w:p>
    <w:p w14:paraId="1307586E" w14:textId="77777777" w:rsidR="007E127F" w:rsidRPr="004F30BD" w:rsidRDefault="007E127F" w:rsidP="00FF6747">
      <w:r w:rsidRPr="004F30BD">
        <w:t xml:space="preserve">The table below shows the 2019 survey items which achieved a top 2 score of 75% </w:t>
      </w:r>
      <w:r w:rsidR="006A226C" w:rsidRPr="004F30BD">
        <w:t>or more, with comparisons to 2018 items where available</w:t>
      </w:r>
      <w:r w:rsidRPr="004F30BD">
        <w:t>. Communication</w:t>
      </w:r>
      <w:r w:rsidR="00860E6A" w:rsidRPr="004F30BD">
        <w:t xml:space="preserve"> around</w:t>
      </w:r>
      <w:r w:rsidRPr="004F30BD">
        <w:t xml:space="preserve"> the usefulness of regulatory information and </w:t>
      </w:r>
      <w:r w:rsidR="00860E6A" w:rsidRPr="004F30BD">
        <w:t xml:space="preserve">the </w:t>
      </w:r>
      <w:r w:rsidRPr="004F30BD">
        <w:t xml:space="preserve">HES Framework were highly rated as were the clarity of the </w:t>
      </w:r>
      <w:r w:rsidR="001D5C6D" w:rsidRPr="004F30BD">
        <w:t>a</w:t>
      </w:r>
      <w:r w:rsidRPr="004F30BD">
        <w:t xml:space="preserve">pplication </w:t>
      </w:r>
      <w:r w:rsidR="001D5C6D" w:rsidRPr="004F30BD">
        <w:t>g</w:t>
      </w:r>
      <w:r w:rsidRPr="004F30BD">
        <w:t>uide</w:t>
      </w:r>
      <w:r w:rsidR="001D5C6D" w:rsidRPr="004F30BD">
        <w:t>,</w:t>
      </w:r>
      <w:r w:rsidRPr="004F30BD">
        <w:t xml:space="preserve"> politeness and the respect shown by staff. There was a marked improvement in positive ratings of the usefulness of meeting face-to-face with case management teams.</w:t>
      </w:r>
    </w:p>
    <w:p w14:paraId="1BD82E55" w14:textId="77777777" w:rsidR="00FF6747" w:rsidRPr="004F30BD" w:rsidRDefault="00FF6747" w:rsidP="00B036AF">
      <w:pPr>
        <w:spacing w:after="240"/>
      </w:pPr>
      <w:r w:rsidRPr="004F30BD">
        <w:t>Communication activities around regulatory information, HES-related information and national register were better performing and noted as an area where TEQSA does well.</w:t>
      </w:r>
    </w:p>
    <w:tbl>
      <w:tblPr>
        <w:tblW w:w="8550" w:type="dxa"/>
        <w:tblLayout w:type="fixed"/>
        <w:tblLook w:val="0000" w:firstRow="0" w:lastRow="0" w:firstColumn="0" w:lastColumn="0" w:noHBand="0" w:noVBand="0"/>
      </w:tblPr>
      <w:tblGrid>
        <w:gridCol w:w="5220"/>
        <w:gridCol w:w="1110"/>
        <w:gridCol w:w="1110"/>
        <w:gridCol w:w="1110"/>
      </w:tblGrid>
      <w:tr w:rsidR="007E127F" w:rsidRPr="004F30BD" w14:paraId="244EC316" w14:textId="77777777" w:rsidTr="009A7018">
        <w:trPr>
          <w:trHeight w:val="725"/>
          <w:tblHeader/>
        </w:trPr>
        <w:tc>
          <w:tcPr>
            <w:tcW w:w="5220" w:type="dxa"/>
            <w:shd w:val="clear" w:color="auto" w:fill="00386E"/>
            <w:noWrap/>
            <w:vAlign w:val="center"/>
          </w:tcPr>
          <w:p w14:paraId="4F763976" w14:textId="77777777" w:rsidR="007E127F" w:rsidRPr="004F30BD" w:rsidRDefault="007E127F" w:rsidP="00212F79">
            <w:pPr>
              <w:pStyle w:val="Tabletext"/>
              <w:spacing w:before="0" w:after="0" w:line="240" w:lineRule="atLeast"/>
              <w:rPr>
                <w:rFonts w:ascii="Arial Nova" w:hAnsi="Arial Nova"/>
                <w:color w:val="FFFFFF"/>
                <w:sz w:val="18"/>
                <w:szCs w:val="16"/>
                <w:lang w:val="en-AU"/>
              </w:rPr>
            </w:pPr>
            <w:r w:rsidRPr="004F30BD">
              <w:rPr>
                <w:rFonts w:ascii="Arial Nova" w:hAnsi="Arial Nova"/>
                <w:color w:val="FFFFFF"/>
                <w:sz w:val="18"/>
                <w:szCs w:val="16"/>
                <w:lang w:val="en-AU"/>
              </w:rPr>
              <w:t>PC: TOP</w:t>
            </w:r>
            <w:r w:rsidR="006A226C" w:rsidRPr="004F30BD">
              <w:rPr>
                <w:rFonts w:ascii="Arial Nova" w:hAnsi="Arial Nova"/>
                <w:color w:val="FFFFFF"/>
                <w:sz w:val="18"/>
                <w:szCs w:val="16"/>
                <w:lang w:val="en-AU"/>
              </w:rPr>
              <w:t xml:space="preserve"> 10</w:t>
            </w:r>
            <w:r w:rsidRPr="004F30BD">
              <w:rPr>
                <w:rFonts w:ascii="Arial Nova" w:hAnsi="Arial Nova"/>
                <w:color w:val="FFFFFF"/>
                <w:sz w:val="18"/>
                <w:szCs w:val="16"/>
                <w:lang w:val="en-AU"/>
              </w:rPr>
              <w:t xml:space="preserve"> SCORING ITEMS</w:t>
            </w:r>
          </w:p>
        </w:tc>
        <w:tc>
          <w:tcPr>
            <w:tcW w:w="1110" w:type="dxa"/>
            <w:shd w:val="clear" w:color="auto" w:fill="00386E"/>
            <w:tcMar>
              <w:left w:w="28" w:type="dxa"/>
              <w:right w:w="28" w:type="dxa"/>
            </w:tcMar>
            <w:vAlign w:val="center"/>
          </w:tcPr>
          <w:p w14:paraId="058741C2" w14:textId="77777777" w:rsidR="007E127F" w:rsidRPr="004F30BD" w:rsidRDefault="007E127F" w:rsidP="00212F79">
            <w:pPr>
              <w:pStyle w:val="Tabletext"/>
              <w:spacing w:before="0" w:after="0" w:line="240" w:lineRule="atLeast"/>
              <w:jc w:val="center"/>
              <w:rPr>
                <w:rFonts w:ascii="Arial Nova" w:hAnsi="Arial Nova"/>
                <w:color w:val="FFFFFF"/>
                <w:sz w:val="18"/>
                <w:szCs w:val="16"/>
                <w:lang w:val="en-AU"/>
              </w:rPr>
            </w:pPr>
            <w:r w:rsidRPr="004F30BD">
              <w:rPr>
                <w:rFonts w:ascii="Arial Nova" w:hAnsi="Arial Nova"/>
                <w:color w:val="FFFFFF"/>
                <w:sz w:val="18"/>
                <w:szCs w:val="16"/>
                <w:lang w:val="en-AU"/>
              </w:rPr>
              <w:t>2019</w:t>
            </w:r>
            <w:r w:rsidR="00212F79" w:rsidRPr="004F30BD">
              <w:rPr>
                <w:rFonts w:ascii="Arial Nova" w:hAnsi="Arial Nova"/>
                <w:color w:val="FFFFFF"/>
                <w:sz w:val="18"/>
                <w:szCs w:val="16"/>
                <w:lang w:val="en-AU"/>
              </w:rPr>
              <w:br/>
            </w:r>
            <w:r w:rsidRPr="004F30BD">
              <w:rPr>
                <w:rFonts w:ascii="Arial Nova" w:hAnsi="Arial Nova"/>
                <w:color w:val="FFFFFF"/>
                <w:sz w:val="18"/>
                <w:szCs w:val="16"/>
                <w:lang w:val="en-AU"/>
              </w:rPr>
              <w:t>n</w:t>
            </w:r>
          </w:p>
        </w:tc>
        <w:tc>
          <w:tcPr>
            <w:tcW w:w="1110" w:type="dxa"/>
            <w:shd w:val="clear" w:color="auto" w:fill="00386E"/>
            <w:tcMar>
              <w:left w:w="28" w:type="dxa"/>
              <w:right w:w="28" w:type="dxa"/>
            </w:tcMar>
            <w:vAlign w:val="center"/>
          </w:tcPr>
          <w:p w14:paraId="30F25372" w14:textId="77777777" w:rsidR="007E127F" w:rsidRPr="004F30BD" w:rsidRDefault="007E127F" w:rsidP="00212F79">
            <w:pPr>
              <w:pStyle w:val="Tabletext"/>
              <w:spacing w:before="0" w:after="0" w:line="240" w:lineRule="atLeast"/>
              <w:jc w:val="center"/>
              <w:rPr>
                <w:rFonts w:ascii="Arial Nova" w:hAnsi="Arial Nova"/>
                <w:color w:val="FFFFFF"/>
                <w:sz w:val="18"/>
                <w:szCs w:val="16"/>
                <w:lang w:val="en-AU"/>
              </w:rPr>
            </w:pPr>
            <w:r w:rsidRPr="004F30BD">
              <w:rPr>
                <w:rFonts w:ascii="Arial Nova" w:hAnsi="Arial Nova"/>
                <w:color w:val="FFFFFF"/>
                <w:sz w:val="18"/>
                <w:szCs w:val="16"/>
                <w:lang w:val="en-AU"/>
              </w:rPr>
              <w:t>2019</w:t>
            </w:r>
            <w:r w:rsidR="00212F79" w:rsidRPr="004F30BD">
              <w:rPr>
                <w:rFonts w:ascii="Arial Nova" w:hAnsi="Arial Nova"/>
                <w:color w:val="FFFFFF"/>
                <w:sz w:val="18"/>
                <w:szCs w:val="16"/>
                <w:lang w:val="en-AU"/>
              </w:rPr>
              <w:br/>
            </w:r>
            <w:r w:rsidRPr="004F30BD">
              <w:rPr>
                <w:rFonts w:ascii="Arial Nova" w:hAnsi="Arial Nova"/>
                <w:color w:val="FFFFFF"/>
                <w:sz w:val="18"/>
                <w:szCs w:val="16"/>
                <w:lang w:val="en-AU"/>
              </w:rPr>
              <w:t>TOP 2 SCORE (%)</w:t>
            </w:r>
          </w:p>
        </w:tc>
        <w:tc>
          <w:tcPr>
            <w:tcW w:w="1110" w:type="dxa"/>
            <w:shd w:val="clear" w:color="auto" w:fill="00386E"/>
            <w:tcMar>
              <w:left w:w="28" w:type="dxa"/>
              <w:right w:w="28" w:type="dxa"/>
            </w:tcMar>
            <w:vAlign w:val="center"/>
          </w:tcPr>
          <w:p w14:paraId="5B77F715" w14:textId="77777777" w:rsidR="007E127F" w:rsidRPr="004F30BD" w:rsidRDefault="007E127F" w:rsidP="00212F79">
            <w:pPr>
              <w:pStyle w:val="Tabletext"/>
              <w:spacing w:before="0" w:after="0" w:line="240" w:lineRule="atLeast"/>
              <w:jc w:val="center"/>
              <w:rPr>
                <w:rFonts w:ascii="Arial Nova" w:hAnsi="Arial Nova"/>
                <w:color w:val="FFFFFF"/>
                <w:sz w:val="18"/>
                <w:szCs w:val="16"/>
                <w:lang w:val="en-AU"/>
              </w:rPr>
            </w:pPr>
            <w:r w:rsidRPr="004F30BD">
              <w:rPr>
                <w:rFonts w:ascii="Arial Nova" w:hAnsi="Arial Nova"/>
                <w:color w:val="FFFFFF"/>
                <w:sz w:val="18"/>
                <w:szCs w:val="16"/>
                <w:lang w:val="en-AU"/>
              </w:rPr>
              <w:t>2018</w:t>
            </w:r>
            <w:r w:rsidR="00212F79" w:rsidRPr="004F30BD">
              <w:rPr>
                <w:rFonts w:ascii="Arial Nova" w:hAnsi="Arial Nova"/>
                <w:color w:val="FFFFFF"/>
                <w:sz w:val="18"/>
                <w:szCs w:val="16"/>
                <w:lang w:val="en-AU"/>
              </w:rPr>
              <w:br/>
            </w:r>
            <w:r w:rsidRPr="004F30BD">
              <w:rPr>
                <w:rFonts w:ascii="Arial Nova" w:hAnsi="Arial Nova"/>
                <w:color w:val="FFFFFF"/>
                <w:sz w:val="18"/>
                <w:szCs w:val="16"/>
                <w:lang w:val="en-AU"/>
              </w:rPr>
              <w:t>TOP 2 SCORE (%)</w:t>
            </w:r>
          </w:p>
        </w:tc>
      </w:tr>
      <w:tr w:rsidR="007E127F" w:rsidRPr="004F30BD" w14:paraId="06B1A437" w14:textId="77777777" w:rsidTr="006A226C">
        <w:trPr>
          <w:trHeight w:val="340"/>
        </w:trPr>
        <w:tc>
          <w:tcPr>
            <w:tcW w:w="5220" w:type="dxa"/>
            <w:shd w:val="clear" w:color="auto" w:fill="auto"/>
            <w:noWrap/>
          </w:tcPr>
          <w:p w14:paraId="7C9EF064" w14:textId="77777777" w:rsidR="007E127F" w:rsidRPr="004F30BD" w:rsidRDefault="007E127F" w:rsidP="00212F79">
            <w:pPr>
              <w:spacing w:before="60" w:after="60" w:line="240" w:lineRule="auto"/>
              <w:ind w:right="0"/>
              <w:rPr>
                <w:color w:val="000000"/>
                <w:szCs w:val="16"/>
                <w:lang w:eastAsia="en-AU"/>
              </w:rPr>
            </w:pPr>
            <w:r w:rsidRPr="004F30BD">
              <w:t>Communication: Usefulness of regulatory information</w:t>
            </w:r>
          </w:p>
        </w:tc>
        <w:tc>
          <w:tcPr>
            <w:tcW w:w="1110" w:type="dxa"/>
            <w:shd w:val="clear" w:color="auto" w:fill="auto"/>
            <w:tcMar>
              <w:left w:w="28" w:type="dxa"/>
              <w:right w:w="28" w:type="dxa"/>
            </w:tcMar>
            <w:vAlign w:val="center"/>
          </w:tcPr>
          <w:p w14:paraId="78791E84" w14:textId="77777777" w:rsidR="007E127F" w:rsidRPr="004F30BD" w:rsidRDefault="00131752" w:rsidP="00AC1EDD">
            <w:pPr>
              <w:spacing w:before="60" w:after="60"/>
              <w:ind w:right="0"/>
              <w:jc w:val="center"/>
              <w:rPr>
                <w:iCs/>
                <w:color w:val="000000"/>
                <w:szCs w:val="16"/>
              </w:rPr>
            </w:pPr>
            <w:r w:rsidRPr="004F30BD">
              <w:rPr>
                <w:rFonts w:cs="Calibri"/>
                <w:color w:val="000000"/>
                <w:szCs w:val="16"/>
              </w:rPr>
              <w:t>140</w:t>
            </w:r>
          </w:p>
        </w:tc>
        <w:tc>
          <w:tcPr>
            <w:tcW w:w="1110" w:type="dxa"/>
            <w:shd w:val="clear" w:color="auto" w:fill="auto"/>
            <w:tcMar>
              <w:left w:w="28" w:type="dxa"/>
              <w:right w:w="28" w:type="dxa"/>
            </w:tcMar>
            <w:vAlign w:val="center"/>
          </w:tcPr>
          <w:p w14:paraId="5994A743" w14:textId="77777777" w:rsidR="007E127F" w:rsidRPr="004F30BD" w:rsidRDefault="007E127F" w:rsidP="00AC1EDD">
            <w:pPr>
              <w:spacing w:before="60" w:after="60"/>
              <w:ind w:right="0"/>
              <w:jc w:val="center"/>
              <w:rPr>
                <w:iCs/>
                <w:color w:val="000000"/>
                <w:szCs w:val="16"/>
              </w:rPr>
            </w:pPr>
            <w:r w:rsidRPr="004F30BD">
              <w:t>89</w:t>
            </w:r>
          </w:p>
        </w:tc>
        <w:tc>
          <w:tcPr>
            <w:tcW w:w="1110" w:type="dxa"/>
            <w:shd w:val="clear" w:color="auto" w:fill="auto"/>
            <w:tcMar>
              <w:left w:w="28" w:type="dxa"/>
              <w:right w:w="28" w:type="dxa"/>
            </w:tcMar>
            <w:vAlign w:val="center"/>
          </w:tcPr>
          <w:p w14:paraId="36E1922D" w14:textId="77777777" w:rsidR="007E127F" w:rsidRPr="004F30BD" w:rsidRDefault="007E127F" w:rsidP="00AC1EDD">
            <w:pPr>
              <w:spacing w:before="60" w:after="60"/>
              <w:ind w:right="0"/>
              <w:jc w:val="center"/>
            </w:pPr>
            <w:r w:rsidRPr="004F30BD">
              <w:t>8</w:t>
            </w:r>
            <w:r w:rsidR="00AC1EDD" w:rsidRPr="004F30BD">
              <w:t>3</w:t>
            </w:r>
          </w:p>
        </w:tc>
      </w:tr>
      <w:tr w:rsidR="007E127F" w:rsidRPr="004F30BD" w14:paraId="125369EB" w14:textId="77777777" w:rsidTr="006A226C">
        <w:trPr>
          <w:trHeight w:val="340"/>
        </w:trPr>
        <w:tc>
          <w:tcPr>
            <w:tcW w:w="5220" w:type="dxa"/>
            <w:shd w:val="clear" w:color="auto" w:fill="D9D9D9"/>
            <w:noWrap/>
          </w:tcPr>
          <w:p w14:paraId="67F5799E" w14:textId="77777777" w:rsidR="007E127F" w:rsidRPr="004F30BD" w:rsidRDefault="007E127F" w:rsidP="00212F79">
            <w:pPr>
              <w:spacing w:before="60" w:after="60"/>
              <w:ind w:right="0"/>
              <w:rPr>
                <w:color w:val="000000"/>
                <w:szCs w:val="16"/>
              </w:rPr>
            </w:pPr>
            <w:r w:rsidRPr="004F30BD">
              <w:t>Communication: Usefulness of the information on the HES Framework (Threshold Standards) 2015</w:t>
            </w:r>
          </w:p>
        </w:tc>
        <w:tc>
          <w:tcPr>
            <w:tcW w:w="1110" w:type="dxa"/>
            <w:shd w:val="clear" w:color="auto" w:fill="D9D9D9"/>
            <w:tcMar>
              <w:left w:w="28" w:type="dxa"/>
              <w:right w:w="28" w:type="dxa"/>
            </w:tcMar>
            <w:vAlign w:val="center"/>
          </w:tcPr>
          <w:p w14:paraId="4F477F9C" w14:textId="77777777" w:rsidR="007E127F" w:rsidRPr="004F30BD" w:rsidRDefault="00131752" w:rsidP="00AC1EDD">
            <w:pPr>
              <w:spacing w:before="60" w:after="60"/>
              <w:ind w:right="0"/>
              <w:jc w:val="center"/>
              <w:rPr>
                <w:iCs/>
                <w:color w:val="000000"/>
                <w:szCs w:val="16"/>
              </w:rPr>
            </w:pPr>
            <w:r w:rsidRPr="004F30BD">
              <w:rPr>
                <w:rFonts w:cs="Calibri"/>
                <w:color w:val="000000"/>
                <w:szCs w:val="16"/>
              </w:rPr>
              <w:t>138</w:t>
            </w:r>
          </w:p>
        </w:tc>
        <w:tc>
          <w:tcPr>
            <w:tcW w:w="1110" w:type="dxa"/>
            <w:shd w:val="clear" w:color="auto" w:fill="D9D9D9"/>
            <w:tcMar>
              <w:left w:w="28" w:type="dxa"/>
              <w:right w:w="28" w:type="dxa"/>
            </w:tcMar>
            <w:vAlign w:val="center"/>
          </w:tcPr>
          <w:p w14:paraId="04F75C04" w14:textId="77777777" w:rsidR="007E127F" w:rsidRPr="004F30BD" w:rsidRDefault="00AC1EDD" w:rsidP="00AC1EDD">
            <w:pPr>
              <w:spacing w:before="60" w:after="60"/>
              <w:ind w:right="0"/>
              <w:jc w:val="center"/>
              <w:rPr>
                <w:iCs/>
                <w:color w:val="000000"/>
                <w:szCs w:val="16"/>
              </w:rPr>
            </w:pPr>
            <w:r w:rsidRPr="004F30BD">
              <w:t>88</w:t>
            </w:r>
          </w:p>
        </w:tc>
        <w:tc>
          <w:tcPr>
            <w:tcW w:w="1110" w:type="dxa"/>
            <w:shd w:val="clear" w:color="auto" w:fill="D9D9D9"/>
            <w:tcMar>
              <w:left w:w="28" w:type="dxa"/>
              <w:right w:w="28" w:type="dxa"/>
            </w:tcMar>
            <w:vAlign w:val="center"/>
          </w:tcPr>
          <w:p w14:paraId="2091BEDA" w14:textId="77777777" w:rsidR="007E127F" w:rsidRPr="004F30BD" w:rsidRDefault="007E127F" w:rsidP="00AC1EDD">
            <w:pPr>
              <w:spacing w:before="60" w:after="60"/>
              <w:ind w:right="0"/>
              <w:jc w:val="center"/>
            </w:pPr>
            <w:r w:rsidRPr="004F30BD">
              <w:t>86</w:t>
            </w:r>
          </w:p>
        </w:tc>
      </w:tr>
      <w:tr w:rsidR="007E127F" w:rsidRPr="004F30BD" w14:paraId="775CC3B0" w14:textId="77777777" w:rsidTr="006A226C">
        <w:trPr>
          <w:trHeight w:val="340"/>
        </w:trPr>
        <w:tc>
          <w:tcPr>
            <w:tcW w:w="5220" w:type="dxa"/>
            <w:shd w:val="clear" w:color="auto" w:fill="auto"/>
            <w:noWrap/>
          </w:tcPr>
          <w:p w14:paraId="2513231B" w14:textId="77777777" w:rsidR="007E127F" w:rsidRPr="004F30BD" w:rsidRDefault="007E127F" w:rsidP="00212F79">
            <w:pPr>
              <w:spacing w:before="60" w:after="60"/>
              <w:ind w:right="0"/>
              <w:rPr>
                <w:color w:val="000000"/>
                <w:szCs w:val="16"/>
              </w:rPr>
            </w:pPr>
            <w:r w:rsidRPr="004F30BD">
              <w:t>Regulatory activities: Treating with politeness and respect</w:t>
            </w:r>
          </w:p>
        </w:tc>
        <w:tc>
          <w:tcPr>
            <w:tcW w:w="1110" w:type="dxa"/>
            <w:shd w:val="clear" w:color="auto" w:fill="auto"/>
            <w:tcMar>
              <w:left w:w="28" w:type="dxa"/>
              <w:right w:w="28" w:type="dxa"/>
            </w:tcMar>
            <w:vAlign w:val="center"/>
          </w:tcPr>
          <w:p w14:paraId="6A368844" w14:textId="77777777" w:rsidR="007E127F" w:rsidRPr="004F30BD" w:rsidRDefault="007E127F" w:rsidP="00AC1EDD">
            <w:pPr>
              <w:spacing w:before="60" w:after="60"/>
              <w:ind w:right="0"/>
              <w:jc w:val="center"/>
              <w:rPr>
                <w:iCs/>
                <w:color w:val="000000"/>
                <w:szCs w:val="16"/>
              </w:rPr>
            </w:pPr>
            <w:r w:rsidRPr="004F30BD">
              <w:rPr>
                <w:rFonts w:cs="Calibri"/>
                <w:color w:val="000000"/>
                <w:szCs w:val="16"/>
              </w:rPr>
              <w:t>13</w:t>
            </w:r>
            <w:r w:rsidR="00131752" w:rsidRPr="004F30BD">
              <w:rPr>
                <w:rFonts w:cs="Calibri"/>
                <w:color w:val="000000"/>
                <w:szCs w:val="16"/>
              </w:rPr>
              <w:t>9</w:t>
            </w:r>
          </w:p>
        </w:tc>
        <w:tc>
          <w:tcPr>
            <w:tcW w:w="1110" w:type="dxa"/>
            <w:shd w:val="clear" w:color="auto" w:fill="auto"/>
            <w:tcMar>
              <w:left w:w="28" w:type="dxa"/>
              <w:right w:w="28" w:type="dxa"/>
            </w:tcMar>
            <w:vAlign w:val="center"/>
          </w:tcPr>
          <w:p w14:paraId="49168127" w14:textId="77777777" w:rsidR="007E127F" w:rsidRPr="004F30BD" w:rsidRDefault="007E127F" w:rsidP="00AC1EDD">
            <w:pPr>
              <w:spacing w:before="60" w:after="60"/>
              <w:ind w:right="0"/>
              <w:jc w:val="center"/>
              <w:rPr>
                <w:iCs/>
                <w:color w:val="000000"/>
                <w:szCs w:val="16"/>
              </w:rPr>
            </w:pPr>
            <w:r w:rsidRPr="004F30BD">
              <w:t>86</w:t>
            </w:r>
          </w:p>
        </w:tc>
        <w:tc>
          <w:tcPr>
            <w:tcW w:w="1110" w:type="dxa"/>
            <w:shd w:val="clear" w:color="auto" w:fill="auto"/>
            <w:tcMar>
              <w:left w:w="28" w:type="dxa"/>
              <w:right w:w="28" w:type="dxa"/>
            </w:tcMar>
            <w:vAlign w:val="center"/>
          </w:tcPr>
          <w:p w14:paraId="7F6596F2" w14:textId="77777777" w:rsidR="007E127F" w:rsidRPr="004F30BD" w:rsidRDefault="007E127F" w:rsidP="00AC1EDD">
            <w:pPr>
              <w:spacing w:before="60" w:after="60"/>
              <w:ind w:right="0"/>
              <w:jc w:val="center"/>
            </w:pPr>
            <w:r w:rsidRPr="004F30BD">
              <w:t>NA</w:t>
            </w:r>
          </w:p>
        </w:tc>
      </w:tr>
      <w:tr w:rsidR="007E127F" w:rsidRPr="004F30BD" w14:paraId="7EE33FC1" w14:textId="77777777" w:rsidTr="006A226C">
        <w:trPr>
          <w:trHeight w:val="340"/>
        </w:trPr>
        <w:tc>
          <w:tcPr>
            <w:tcW w:w="5220" w:type="dxa"/>
            <w:shd w:val="clear" w:color="auto" w:fill="D9D9D9"/>
            <w:noWrap/>
          </w:tcPr>
          <w:p w14:paraId="3CCC27DB" w14:textId="77777777" w:rsidR="007E127F" w:rsidRPr="004F30BD" w:rsidRDefault="007E127F" w:rsidP="00212F79">
            <w:pPr>
              <w:spacing w:before="60" w:after="60"/>
              <w:ind w:right="0"/>
              <w:rPr>
                <w:color w:val="000000"/>
                <w:szCs w:val="16"/>
              </w:rPr>
            </w:pPr>
            <w:r w:rsidRPr="004F30BD">
              <w:lastRenderedPageBreak/>
              <w:t>Application process: Clarity of the application guide</w:t>
            </w:r>
          </w:p>
        </w:tc>
        <w:tc>
          <w:tcPr>
            <w:tcW w:w="1110" w:type="dxa"/>
            <w:shd w:val="clear" w:color="auto" w:fill="D9D9D9"/>
            <w:tcMar>
              <w:left w:w="28" w:type="dxa"/>
              <w:right w:w="28" w:type="dxa"/>
            </w:tcMar>
            <w:vAlign w:val="center"/>
          </w:tcPr>
          <w:p w14:paraId="7F21CC34" w14:textId="77777777" w:rsidR="007E127F" w:rsidRPr="004F30BD" w:rsidRDefault="00131752" w:rsidP="00AC1EDD">
            <w:pPr>
              <w:spacing w:before="60" w:after="60"/>
              <w:ind w:right="0"/>
              <w:jc w:val="center"/>
              <w:rPr>
                <w:iCs/>
                <w:color w:val="000000"/>
                <w:szCs w:val="16"/>
              </w:rPr>
            </w:pPr>
            <w:r w:rsidRPr="004F30BD">
              <w:rPr>
                <w:rFonts w:cs="Calibri"/>
                <w:color w:val="000000"/>
                <w:szCs w:val="16"/>
              </w:rPr>
              <w:t>84</w:t>
            </w:r>
          </w:p>
        </w:tc>
        <w:tc>
          <w:tcPr>
            <w:tcW w:w="1110" w:type="dxa"/>
            <w:shd w:val="clear" w:color="auto" w:fill="D9D9D9"/>
            <w:tcMar>
              <w:left w:w="28" w:type="dxa"/>
              <w:right w:w="28" w:type="dxa"/>
            </w:tcMar>
            <w:vAlign w:val="center"/>
          </w:tcPr>
          <w:p w14:paraId="4EA3EA50" w14:textId="77777777" w:rsidR="007E127F" w:rsidRPr="004F30BD" w:rsidRDefault="00AC1EDD" w:rsidP="00AC1EDD">
            <w:pPr>
              <w:spacing w:before="60" w:after="60"/>
              <w:ind w:right="0"/>
              <w:jc w:val="center"/>
              <w:rPr>
                <w:iCs/>
                <w:color w:val="000000"/>
                <w:szCs w:val="16"/>
              </w:rPr>
            </w:pPr>
            <w:r w:rsidRPr="004F30BD">
              <w:t>80</w:t>
            </w:r>
          </w:p>
        </w:tc>
        <w:tc>
          <w:tcPr>
            <w:tcW w:w="1110" w:type="dxa"/>
            <w:shd w:val="clear" w:color="auto" w:fill="D9D9D9"/>
            <w:tcMar>
              <w:left w:w="28" w:type="dxa"/>
              <w:right w:w="28" w:type="dxa"/>
            </w:tcMar>
            <w:vAlign w:val="center"/>
          </w:tcPr>
          <w:p w14:paraId="0160EFFC" w14:textId="77777777" w:rsidR="007E127F" w:rsidRPr="004F30BD" w:rsidRDefault="00AC1EDD" w:rsidP="00AC1EDD">
            <w:pPr>
              <w:spacing w:before="60" w:after="60"/>
              <w:ind w:right="0"/>
              <w:jc w:val="center"/>
            </w:pPr>
            <w:r w:rsidRPr="004F30BD">
              <w:t>70</w:t>
            </w:r>
          </w:p>
        </w:tc>
      </w:tr>
      <w:tr w:rsidR="007E127F" w:rsidRPr="004F30BD" w14:paraId="44F90FD9" w14:textId="77777777" w:rsidTr="006A226C">
        <w:trPr>
          <w:trHeight w:val="340"/>
        </w:trPr>
        <w:tc>
          <w:tcPr>
            <w:tcW w:w="5220" w:type="dxa"/>
            <w:shd w:val="clear" w:color="auto" w:fill="auto"/>
            <w:noWrap/>
          </w:tcPr>
          <w:p w14:paraId="6F11CB91" w14:textId="77777777" w:rsidR="007E127F" w:rsidRPr="004F30BD" w:rsidRDefault="00CC3A26" w:rsidP="00212F79">
            <w:pPr>
              <w:spacing w:before="60" w:after="60"/>
              <w:ind w:right="0"/>
              <w:rPr>
                <w:color w:val="000000"/>
                <w:szCs w:val="16"/>
              </w:rPr>
            </w:pPr>
            <w:r w:rsidRPr="004F30BD">
              <w:rPr>
                <w:color w:val="000000"/>
                <w:szCs w:val="16"/>
              </w:rPr>
              <w:t>Communication: Usefulness of TEQSA-facilitated workshops and webinars to discuss regulatory requirements</w:t>
            </w:r>
          </w:p>
        </w:tc>
        <w:tc>
          <w:tcPr>
            <w:tcW w:w="1110" w:type="dxa"/>
            <w:shd w:val="clear" w:color="auto" w:fill="auto"/>
            <w:tcMar>
              <w:left w:w="28" w:type="dxa"/>
              <w:right w:w="28" w:type="dxa"/>
            </w:tcMar>
            <w:vAlign w:val="center"/>
          </w:tcPr>
          <w:p w14:paraId="18BB7A2E" w14:textId="77777777" w:rsidR="007E127F" w:rsidRPr="004F30BD" w:rsidRDefault="00CC3A26" w:rsidP="00AC1EDD">
            <w:pPr>
              <w:spacing w:before="60" w:after="60"/>
              <w:ind w:right="0"/>
              <w:jc w:val="center"/>
              <w:rPr>
                <w:iCs/>
                <w:color w:val="000000"/>
                <w:szCs w:val="16"/>
              </w:rPr>
            </w:pPr>
            <w:r w:rsidRPr="004F30BD">
              <w:rPr>
                <w:iCs/>
                <w:color w:val="000000"/>
                <w:szCs w:val="16"/>
              </w:rPr>
              <w:t>125</w:t>
            </w:r>
          </w:p>
        </w:tc>
        <w:tc>
          <w:tcPr>
            <w:tcW w:w="1110" w:type="dxa"/>
            <w:shd w:val="clear" w:color="auto" w:fill="auto"/>
            <w:tcMar>
              <w:left w:w="28" w:type="dxa"/>
              <w:right w:w="28" w:type="dxa"/>
            </w:tcMar>
            <w:vAlign w:val="center"/>
          </w:tcPr>
          <w:p w14:paraId="6B4AFDF7" w14:textId="77777777" w:rsidR="007E127F" w:rsidRPr="004F30BD" w:rsidRDefault="00CC3A26" w:rsidP="00AC1EDD">
            <w:pPr>
              <w:spacing w:before="60" w:after="60"/>
              <w:ind w:right="0"/>
              <w:jc w:val="center"/>
              <w:rPr>
                <w:iCs/>
                <w:color w:val="000000"/>
                <w:szCs w:val="16"/>
              </w:rPr>
            </w:pPr>
            <w:r w:rsidRPr="004F30BD">
              <w:t>79</w:t>
            </w:r>
          </w:p>
        </w:tc>
        <w:tc>
          <w:tcPr>
            <w:tcW w:w="1110" w:type="dxa"/>
            <w:shd w:val="clear" w:color="auto" w:fill="auto"/>
            <w:tcMar>
              <w:left w:w="28" w:type="dxa"/>
              <w:right w:w="28" w:type="dxa"/>
            </w:tcMar>
            <w:vAlign w:val="center"/>
          </w:tcPr>
          <w:p w14:paraId="36FDE2F8" w14:textId="77777777" w:rsidR="007E127F" w:rsidRPr="004F30BD" w:rsidRDefault="00CC3A26" w:rsidP="00AC1EDD">
            <w:pPr>
              <w:spacing w:before="60" w:after="60"/>
              <w:ind w:right="0"/>
              <w:jc w:val="center"/>
            </w:pPr>
            <w:r w:rsidRPr="004F30BD">
              <w:t>NA</w:t>
            </w:r>
          </w:p>
        </w:tc>
      </w:tr>
      <w:tr w:rsidR="00CC3A26" w:rsidRPr="004F30BD" w14:paraId="06510CDC" w14:textId="77777777" w:rsidTr="006A226C">
        <w:trPr>
          <w:trHeight w:val="340"/>
        </w:trPr>
        <w:tc>
          <w:tcPr>
            <w:tcW w:w="5220" w:type="dxa"/>
            <w:shd w:val="clear" w:color="auto" w:fill="D9D9D9"/>
            <w:noWrap/>
          </w:tcPr>
          <w:p w14:paraId="21E1C3D0" w14:textId="77777777" w:rsidR="00CC3A26" w:rsidRPr="004F30BD" w:rsidRDefault="00CC3A26" w:rsidP="00212F79">
            <w:pPr>
              <w:spacing w:before="60" w:after="60"/>
              <w:ind w:right="0"/>
            </w:pPr>
            <w:r w:rsidRPr="004F30BD">
              <w:t>Interaction with TEQSA staff: Usefulness of meeting face-to-face with case management teams</w:t>
            </w:r>
          </w:p>
        </w:tc>
        <w:tc>
          <w:tcPr>
            <w:tcW w:w="1110" w:type="dxa"/>
            <w:shd w:val="clear" w:color="auto" w:fill="D9D9D9"/>
            <w:tcMar>
              <w:left w:w="28" w:type="dxa"/>
              <w:right w:w="28" w:type="dxa"/>
            </w:tcMar>
            <w:vAlign w:val="center"/>
          </w:tcPr>
          <w:p w14:paraId="6D21BD14" w14:textId="77777777" w:rsidR="00CC3A26" w:rsidRPr="004F30BD" w:rsidRDefault="00CC3A26" w:rsidP="00AC1EDD">
            <w:pPr>
              <w:spacing w:before="60" w:after="60"/>
              <w:ind w:right="0"/>
              <w:jc w:val="center"/>
              <w:rPr>
                <w:rFonts w:cs="Calibri"/>
                <w:color w:val="000000"/>
                <w:szCs w:val="16"/>
              </w:rPr>
            </w:pPr>
            <w:r w:rsidRPr="004F30BD">
              <w:rPr>
                <w:rFonts w:cs="Calibri"/>
                <w:color w:val="000000"/>
                <w:szCs w:val="16"/>
              </w:rPr>
              <w:t>78</w:t>
            </w:r>
          </w:p>
        </w:tc>
        <w:tc>
          <w:tcPr>
            <w:tcW w:w="1110" w:type="dxa"/>
            <w:shd w:val="clear" w:color="auto" w:fill="D9D9D9"/>
            <w:tcMar>
              <w:left w:w="28" w:type="dxa"/>
              <w:right w:w="28" w:type="dxa"/>
            </w:tcMar>
            <w:vAlign w:val="center"/>
          </w:tcPr>
          <w:p w14:paraId="425FA326" w14:textId="77777777" w:rsidR="00CC3A26" w:rsidRPr="004F30BD" w:rsidRDefault="00CC3A26" w:rsidP="00AC1EDD">
            <w:pPr>
              <w:spacing w:before="60" w:after="60"/>
              <w:ind w:right="0"/>
              <w:jc w:val="center"/>
            </w:pPr>
            <w:r w:rsidRPr="004F30BD">
              <w:t>78</w:t>
            </w:r>
          </w:p>
        </w:tc>
        <w:tc>
          <w:tcPr>
            <w:tcW w:w="1110" w:type="dxa"/>
            <w:shd w:val="clear" w:color="auto" w:fill="D9D9D9"/>
            <w:tcMar>
              <w:left w:w="28" w:type="dxa"/>
              <w:right w:w="28" w:type="dxa"/>
            </w:tcMar>
            <w:vAlign w:val="center"/>
          </w:tcPr>
          <w:p w14:paraId="6A02BE72" w14:textId="77777777" w:rsidR="00CC3A26" w:rsidRPr="004F30BD" w:rsidRDefault="00AC1EDD" w:rsidP="00AC1EDD">
            <w:pPr>
              <w:spacing w:before="60" w:after="60"/>
              <w:ind w:right="0"/>
              <w:jc w:val="center"/>
            </w:pPr>
            <w:r w:rsidRPr="004F30BD">
              <w:t>54</w:t>
            </w:r>
          </w:p>
        </w:tc>
      </w:tr>
      <w:tr w:rsidR="002A10A4" w:rsidRPr="004F30BD" w14:paraId="736D1D3F" w14:textId="77777777" w:rsidTr="006A226C">
        <w:trPr>
          <w:trHeight w:val="340"/>
        </w:trPr>
        <w:tc>
          <w:tcPr>
            <w:tcW w:w="5220" w:type="dxa"/>
            <w:shd w:val="clear" w:color="auto" w:fill="auto"/>
            <w:noWrap/>
          </w:tcPr>
          <w:p w14:paraId="6E67078C" w14:textId="77777777" w:rsidR="002A10A4" w:rsidRPr="004F30BD" w:rsidRDefault="004977E6" w:rsidP="00212F79">
            <w:pPr>
              <w:spacing w:before="60" w:after="60"/>
              <w:ind w:right="0"/>
            </w:pPr>
            <w:r w:rsidRPr="004F30BD">
              <w:t>Regulatory approach: Helping the sector as a whole to protect students</w:t>
            </w:r>
          </w:p>
        </w:tc>
        <w:tc>
          <w:tcPr>
            <w:tcW w:w="1110" w:type="dxa"/>
            <w:shd w:val="clear" w:color="auto" w:fill="auto"/>
            <w:tcMar>
              <w:left w:w="28" w:type="dxa"/>
              <w:right w:w="28" w:type="dxa"/>
            </w:tcMar>
            <w:vAlign w:val="center"/>
          </w:tcPr>
          <w:p w14:paraId="01996579" w14:textId="77777777" w:rsidR="002A10A4" w:rsidRPr="004F30BD" w:rsidRDefault="004977E6" w:rsidP="00AC1EDD">
            <w:pPr>
              <w:spacing w:before="60" w:after="60"/>
              <w:ind w:right="0"/>
              <w:jc w:val="center"/>
              <w:rPr>
                <w:rFonts w:cs="Calibri"/>
                <w:color w:val="000000"/>
                <w:szCs w:val="16"/>
              </w:rPr>
            </w:pPr>
            <w:r w:rsidRPr="004F30BD">
              <w:rPr>
                <w:rFonts w:cs="Calibri"/>
                <w:color w:val="000000"/>
                <w:szCs w:val="16"/>
              </w:rPr>
              <w:t>134</w:t>
            </w:r>
          </w:p>
        </w:tc>
        <w:tc>
          <w:tcPr>
            <w:tcW w:w="1110" w:type="dxa"/>
            <w:shd w:val="clear" w:color="auto" w:fill="auto"/>
            <w:tcMar>
              <w:left w:w="28" w:type="dxa"/>
              <w:right w:w="28" w:type="dxa"/>
            </w:tcMar>
            <w:vAlign w:val="center"/>
          </w:tcPr>
          <w:p w14:paraId="74D67DBD" w14:textId="77777777" w:rsidR="002A10A4" w:rsidRPr="004F30BD" w:rsidRDefault="00AC1EDD" w:rsidP="00AC1EDD">
            <w:pPr>
              <w:spacing w:before="60" w:after="60"/>
              <w:ind w:right="0"/>
              <w:jc w:val="center"/>
            </w:pPr>
            <w:r w:rsidRPr="004F30BD">
              <w:t>77</w:t>
            </w:r>
          </w:p>
        </w:tc>
        <w:tc>
          <w:tcPr>
            <w:tcW w:w="1110" w:type="dxa"/>
            <w:shd w:val="clear" w:color="auto" w:fill="auto"/>
            <w:tcMar>
              <w:left w:w="28" w:type="dxa"/>
              <w:right w:w="28" w:type="dxa"/>
            </w:tcMar>
            <w:vAlign w:val="center"/>
          </w:tcPr>
          <w:p w14:paraId="63A2B0FF" w14:textId="77777777" w:rsidR="002A10A4" w:rsidRPr="004F30BD" w:rsidRDefault="004977E6" w:rsidP="00AC1EDD">
            <w:pPr>
              <w:spacing w:before="60" w:after="60"/>
              <w:ind w:right="0"/>
              <w:jc w:val="center"/>
            </w:pPr>
            <w:r w:rsidRPr="004F30BD">
              <w:t>NA</w:t>
            </w:r>
          </w:p>
        </w:tc>
      </w:tr>
      <w:tr w:rsidR="007E127F" w:rsidRPr="004F30BD" w14:paraId="3287FA6E" w14:textId="77777777" w:rsidTr="006A226C">
        <w:trPr>
          <w:trHeight w:val="340"/>
        </w:trPr>
        <w:tc>
          <w:tcPr>
            <w:tcW w:w="5220" w:type="dxa"/>
            <w:shd w:val="clear" w:color="auto" w:fill="D9D9D9"/>
            <w:noWrap/>
          </w:tcPr>
          <w:p w14:paraId="3C07E855" w14:textId="77777777" w:rsidR="007E127F" w:rsidRPr="004F30BD" w:rsidRDefault="007E127F" w:rsidP="00212F79">
            <w:pPr>
              <w:spacing w:before="60" w:after="60"/>
              <w:ind w:right="0"/>
              <w:rPr>
                <w:color w:val="000000"/>
                <w:szCs w:val="16"/>
              </w:rPr>
            </w:pPr>
            <w:r w:rsidRPr="004F30BD">
              <w:t>Overall: TEQSA's performance as a regulator</w:t>
            </w:r>
          </w:p>
        </w:tc>
        <w:tc>
          <w:tcPr>
            <w:tcW w:w="1110" w:type="dxa"/>
            <w:shd w:val="clear" w:color="auto" w:fill="D9D9D9"/>
            <w:tcMar>
              <w:left w:w="28" w:type="dxa"/>
              <w:right w:w="28" w:type="dxa"/>
            </w:tcMar>
            <w:vAlign w:val="center"/>
          </w:tcPr>
          <w:p w14:paraId="1668D4D5" w14:textId="77777777" w:rsidR="007E127F" w:rsidRPr="004F30BD" w:rsidRDefault="00131752" w:rsidP="00AC1EDD">
            <w:pPr>
              <w:spacing w:before="60" w:after="60"/>
              <w:ind w:right="0"/>
              <w:jc w:val="center"/>
              <w:rPr>
                <w:iCs/>
                <w:color w:val="000000"/>
                <w:szCs w:val="16"/>
              </w:rPr>
            </w:pPr>
            <w:r w:rsidRPr="004F30BD">
              <w:rPr>
                <w:rFonts w:cs="Calibri"/>
                <w:color w:val="000000"/>
                <w:szCs w:val="16"/>
              </w:rPr>
              <w:t>136</w:t>
            </w:r>
          </w:p>
        </w:tc>
        <w:tc>
          <w:tcPr>
            <w:tcW w:w="1110" w:type="dxa"/>
            <w:shd w:val="clear" w:color="auto" w:fill="D9D9D9"/>
            <w:tcMar>
              <w:left w:w="28" w:type="dxa"/>
              <w:right w:w="28" w:type="dxa"/>
            </w:tcMar>
            <w:vAlign w:val="center"/>
          </w:tcPr>
          <w:p w14:paraId="4EB99B96" w14:textId="7907A66D" w:rsidR="007E127F" w:rsidRPr="004F30BD" w:rsidRDefault="00AC1EDD" w:rsidP="00AC1EDD">
            <w:pPr>
              <w:spacing w:before="60" w:after="60"/>
              <w:ind w:right="0"/>
              <w:jc w:val="center"/>
              <w:rPr>
                <w:iCs/>
                <w:color w:val="000000"/>
                <w:szCs w:val="16"/>
              </w:rPr>
            </w:pPr>
            <w:r w:rsidRPr="004F30BD">
              <w:t>7</w:t>
            </w:r>
            <w:r w:rsidR="00183FF4">
              <w:t>6</w:t>
            </w:r>
          </w:p>
        </w:tc>
        <w:tc>
          <w:tcPr>
            <w:tcW w:w="1110" w:type="dxa"/>
            <w:shd w:val="clear" w:color="auto" w:fill="D9D9D9"/>
            <w:tcMar>
              <w:left w:w="28" w:type="dxa"/>
              <w:right w:w="28" w:type="dxa"/>
            </w:tcMar>
            <w:vAlign w:val="center"/>
          </w:tcPr>
          <w:p w14:paraId="4192A9C6" w14:textId="77777777" w:rsidR="007E127F" w:rsidRPr="004F30BD" w:rsidRDefault="007E127F" w:rsidP="00AC1EDD">
            <w:pPr>
              <w:spacing w:before="60" w:after="60"/>
              <w:ind w:right="0"/>
              <w:jc w:val="center"/>
            </w:pPr>
            <w:r w:rsidRPr="004F30BD">
              <w:t>71</w:t>
            </w:r>
          </w:p>
        </w:tc>
      </w:tr>
      <w:tr w:rsidR="007E127F" w:rsidRPr="004F30BD" w14:paraId="27FB98D5" w14:textId="77777777" w:rsidTr="00874437">
        <w:trPr>
          <w:trHeight w:val="340"/>
        </w:trPr>
        <w:tc>
          <w:tcPr>
            <w:tcW w:w="5220" w:type="dxa"/>
            <w:shd w:val="clear" w:color="auto" w:fill="auto"/>
            <w:noWrap/>
            <w:vAlign w:val="center"/>
          </w:tcPr>
          <w:p w14:paraId="259F1E36" w14:textId="77777777" w:rsidR="007E127F" w:rsidRPr="004F30BD" w:rsidRDefault="007E127F" w:rsidP="00212F79">
            <w:pPr>
              <w:spacing w:before="60" w:after="60"/>
              <w:ind w:right="0"/>
              <w:rPr>
                <w:color w:val="000000"/>
                <w:szCs w:val="16"/>
              </w:rPr>
            </w:pPr>
            <w:r w:rsidRPr="004F30BD">
              <w:rPr>
                <w:rFonts w:cs="Calibri"/>
                <w:color w:val="000000"/>
                <w:szCs w:val="16"/>
              </w:rPr>
              <w:t xml:space="preserve">CRICOS </w:t>
            </w:r>
            <w:r w:rsidR="00874437" w:rsidRPr="004F30BD">
              <w:rPr>
                <w:rFonts w:cs="Calibri"/>
                <w:color w:val="000000"/>
                <w:szCs w:val="16"/>
              </w:rPr>
              <w:t>a</w:t>
            </w:r>
            <w:r w:rsidRPr="004F30BD">
              <w:rPr>
                <w:rFonts w:cs="Calibri"/>
                <w:color w:val="000000"/>
                <w:szCs w:val="16"/>
              </w:rPr>
              <w:t>pplication process: Usefulness of information on how to use the provider portal</w:t>
            </w:r>
          </w:p>
        </w:tc>
        <w:tc>
          <w:tcPr>
            <w:tcW w:w="1110" w:type="dxa"/>
            <w:shd w:val="clear" w:color="auto" w:fill="auto"/>
            <w:tcMar>
              <w:left w:w="28" w:type="dxa"/>
              <w:right w:w="28" w:type="dxa"/>
            </w:tcMar>
            <w:vAlign w:val="center"/>
          </w:tcPr>
          <w:p w14:paraId="6456C5B2" w14:textId="77777777" w:rsidR="007E127F" w:rsidRPr="004F30BD" w:rsidRDefault="00131752" w:rsidP="00AC1EDD">
            <w:pPr>
              <w:spacing w:before="60" w:after="60"/>
              <w:ind w:right="0"/>
              <w:jc w:val="center"/>
              <w:rPr>
                <w:iCs/>
                <w:color w:val="000000"/>
                <w:szCs w:val="16"/>
              </w:rPr>
            </w:pPr>
            <w:r w:rsidRPr="004F30BD">
              <w:rPr>
                <w:iCs/>
                <w:color w:val="000000"/>
                <w:szCs w:val="16"/>
              </w:rPr>
              <w:t>72</w:t>
            </w:r>
          </w:p>
        </w:tc>
        <w:tc>
          <w:tcPr>
            <w:tcW w:w="1110" w:type="dxa"/>
            <w:shd w:val="clear" w:color="auto" w:fill="auto"/>
            <w:tcMar>
              <w:left w:w="28" w:type="dxa"/>
              <w:right w:w="28" w:type="dxa"/>
            </w:tcMar>
            <w:vAlign w:val="center"/>
          </w:tcPr>
          <w:p w14:paraId="6FEB33D3" w14:textId="77777777" w:rsidR="007E127F" w:rsidRPr="004F30BD" w:rsidRDefault="007E127F" w:rsidP="00AC1EDD">
            <w:pPr>
              <w:spacing w:before="60" w:after="60"/>
              <w:ind w:right="0"/>
              <w:jc w:val="center"/>
              <w:rPr>
                <w:iCs/>
                <w:color w:val="000000"/>
                <w:szCs w:val="16"/>
              </w:rPr>
            </w:pPr>
            <w:r w:rsidRPr="004F30BD">
              <w:t>75</w:t>
            </w:r>
          </w:p>
        </w:tc>
        <w:tc>
          <w:tcPr>
            <w:tcW w:w="1110" w:type="dxa"/>
            <w:shd w:val="clear" w:color="auto" w:fill="auto"/>
            <w:tcMar>
              <w:left w:w="28" w:type="dxa"/>
              <w:right w:w="28" w:type="dxa"/>
            </w:tcMar>
            <w:vAlign w:val="center"/>
          </w:tcPr>
          <w:p w14:paraId="2D3010A7" w14:textId="77777777" w:rsidR="007E127F" w:rsidRPr="004F30BD" w:rsidRDefault="00AC1EDD" w:rsidP="00AC1EDD">
            <w:pPr>
              <w:spacing w:before="60" w:after="60"/>
              <w:ind w:right="0"/>
              <w:jc w:val="center"/>
            </w:pPr>
            <w:r w:rsidRPr="004F30BD">
              <w:t>66</w:t>
            </w:r>
          </w:p>
        </w:tc>
      </w:tr>
      <w:tr w:rsidR="00874437" w:rsidRPr="004F30BD" w14:paraId="4165A8D0" w14:textId="77777777" w:rsidTr="00422E1E">
        <w:trPr>
          <w:trHeight w:val="340"/>
        </w:trPr>
        <w:tc>
          <w:tcPr>
            <w:tcW w:w="5220" w:type="dxa"/>
            <w:tcBorders>
              <w:bottom w:val="single" w:sz="4" w:space="0" w:color="auto"/>
            </w:tcBorders>
            <w:shd w:val="clear" w:color="auto" w:fill="D9D9D9" w:themeFill="background1" w:themeFillShade="D9"/>
            <w:noWrap/>
            <w:vAlign w:val="center"/>
          </w:tcPr>
          <w:p w14:paraId="7A22E5C3" w14:textId="77777777" w:rsidR="00874437" w:rsidRPr="004F30BD" w:rsidRDefault="00874437" w:rsidP="008B501C">
            <w:pPr>
              <w:spacing w:before="60" w:after="60"/>
              <w:ind w:right="0"/>
              <w:rPr>
                <w:rFonts w:ascii="Verdana" w:hAnsi="Verdana" w:cs="Calibri"/>
                <w:color w:val="000000"/>
                <w:szCs w:val="18"/>
                <w:lang w:eastAsia="en-AU"/>
              </w:rPr>
            </w:pPr>
            <w:r w:rsidRPr="004F30BD">
              <w:rPr>
                <w:rFonts w:cs="Calibri"/>
                <w:color w:val="000000"/>
                <w:szCs w:val="16"/>
              </w:rPr>
              <w:t>Application process: Clarity of assessment scope and evidence requirement</w:t>
            </w:r>
          </w:p>
        </w:tc>
        <w:tc>
          <w:tcPr>
            <w:tcW w:w="1110" w:type="dxa"/>
            <w:tcBorders>
              <w:bottom w:val="single" w:sz="4" w:space="0" w:color="auto"/>
            </w:tcBorders>
            <w:shd w:val="clear" w:color="auto" w:fill="D9D9D9" w:themeFill="background1" w:themeFillShade="D9"/>
            <w:tcMar>
              <w:left w:w="28" w:type="dxa"/>
              <w:right w:w="28" w:type="dxa"/>
            </w:tcMar>
            <w:vAlign w:val="center"/>
          </w:tcPr>
          <w:p w14:paraId="27D5677F" w14:textId="77777777" w:rsidR="00874437" w:rsidRPr="004F30BD" w:rsidRDefault="00874437" w:rsidP="00AC1EDD">
            <w:pPr>
              <w:spacing w:before="60" w:after="60"/>
              <w:ind w:right="0"/>
              <w:jc w:val="center"/>
              <w:rPr>
                <w:iCs/>
                <w:color w:val="000000"/>
                <w:szCs w:val="16"/>
              </w:rPr>
            </w:pPr>
            <w:r w:rsidRPr="004F30BD">
              <w:rPr>
                <w:iCs/>
                <w:color w:val="000000"/>
                <w:szCs w:val="16"/>
              </w:rPr>
              <w:t>81</w:t>
            </w:r>
          </w:p>
        </w:tc>
        <w:tc>
          <w:tcPr>
            <w:tcW w:w="1110" w:type="dxa"/>
            <w:tcBorders>
              <w:bottom w:val="single" w:sz="4" w:space="0" w:color="auto"/>
            </w:tcBorders>
            <w:shd w:val="clear" w:color="auto" w:fill="D9D9D9" w:themeFill="background1" w:themeFillShade="D9"/>
            <w:tcMar>
              <w:left w:w="28" w:type="dxa"/>
              <w:right w:w="28" w:type="dxa"/>
            </w:tcMar>
            <w:vAlign w:val="center"/>
          </w:tcPr>
          <w:p w14:paraId="40F03E24" w14:textId="77777777" w:rsidR="00874437" w:rsidRPr="004F30BD" w:rsidRDefault="00874437" w:rsidP="00AC1EDD">
            <w:pPr>
              <w:spacing w:before="60" w:after="60"/>
              <w:ind w:right="0"/>
              <w:jc w:val="center"/>
            </w:pPr>
            <w:r w:rsidRPr="004F30BD">
              <w:t>74</w:t>
            </w:r>
          </w:p>
        </w:tc>
        <w:tc>
          <w:tcPr>
            <w:tcW w:w="1110" w:type="dxa"/>
            <w:tcBorders>
              <w:bottom w:val="single" w:sz="4" w:space="0" w:color="auto"/>
            </w:tcBorders>
            <w:shd w:val="clear" w:color="auto" w:fill="D9D9D9" w:themeFill="background1" w:themeFillShade="D9"/>
            <w:tcMar>
              <w:left w:w="28" w:type="dxa"/>
              <w:right w:w="28" w:type="dxa"/>
            </w:tcMar>
            <w:vAlign w:val="center"/>
          </w:tcPr>
          <w:p w14:paraId="5B8CBE19" w14:textId="77777777" w:rsidR="00874437" w:rsidRPr="004F30BD" w:rsidRDefault="00B036AF" w:rsidP="00AC1EDD">
            <w:pPr>
              <w:spacing w:before="60" w:after="60"/>
              <w:ind w:right="0"/>
              <w:jc w:val="center"/>
            </w:pPr>
            <w:r w:rsidRPr="004F30BD">
              <w:t>64</w:t>
            </w:r>
          </w:p>
        </w:tc>
      </w:tr>
    </w:tbl>
    <w:p w14:paraId="740A0455" w14:textId="77777777" w:rsidR="00212F79" w:rsidRPr="004F30BD" w:rsidRDefault="00FF6747" w:rsidP="006A226C">
      <w:pPr>
        <w:spacing w:before="60"/>
        <w:rPr>
          <w:i/>
          <w:iCs/>
          <w:sz w:val="16"/>
          <w:szCs w:val="18"/>
        </w:rPr>
      </w:pPr>
      <w:r w:rsidRPr="004F30BD">
        <w:rPr>
          <w:i/>
          <w:iCs/>
          <w:sz w:val="16"/>
          <w:szCs w:val="18"/>
        </w:rPr>
        <w:t>NA i</w:t>
      </w:r>
      <w:r w:rsidR="00212F79" w:rsidRPr="004F30BD">
        <w:rPr>
          <w:i/>
          <w:iCs/>
          <w:sz w:val="16"/>
          <w:szCs w:val="18"/>
        </w:rPr>
        <w:t>ndicates new question for 2019</w:t>
      </w:r>
    </w:p>
    <w:p w14:paraId="3F5529BD" w14:textId="77777777" w:rsidR="007E127F" w:rsidRPr="004F30BD" w:rsidRDefault="007E127F" w:rsidP="006A226C">
      <w:pPr>
        <w:spacing w:before="240" w:after="240"/>
      </w:pPr>
      <w:r w:rsidRPr="004F30BD">
        <w:t xml:space="preserve">The </w:t>
      </w:r>
      <w:r w:rsidR="00874437" w:rsidRPr="004F30BD">
        <w:t>10 lowest</w:t>
      </w:r>
      <w:r w:rsidRPr="004F30BD">
        <w:t xml:space="preserve"> scoring items in the PC survey are displayed in the table immediately below. These </w:t>
      </w:r>
      <w:r w:rsidR="00874437" w:rsidRPr="004F30BD">
        <w:t>scores</w:t>
      </w:r>
      <w:r w:rsidR="00406039" w:rsidRPr="004F30BD">
        <w:t xml:space="preserve"> </w:t>
      </w:r>
      <w:r w:rsidRPr="004F30BD">
        <w:t>were reflected in respondent</w:t>
      </w:r>
      <w:r w:rsidR="006A226C" w:rsidRPr="004F30BD">
        <w:t>s’ open-ended</w:t>
      </w:r>
      <w:r w:rsidRPr="004F30BD">
        <w:t xml:space="preserve"> comments, particularly around timeliness of responding to applications</w:t>
      </w:r>
      <w:r w:rsidR="00874437" w:rsidRPr="004F30BD">
        <w:t xml:space="preserve"> and making </w:t>
      </w:r>
      <w:r w:rsidRPr="004F30BD">
        <w:t xml:space="preserve">decisions. </w:t>
      </w:r>
      <w:r w:rsidR="00FF6747" w:rsidRPr="004F30BD">
        <w:t>Monitoring quality, consultation and interacting with staff were all topics that were lower scoring across the survey.</w:t>
      </w:r>
    </w:p>
    <w:tbl>
      <w:tblPr>
        <w:tblW w:w="8730" w:type="dxa"/>
        <w:tblLayout w:type="fixed"/>
        <w:tblCellMar>
          <w:left w:w="0" w:type="dxa"/>
          <w:right w:w="0" w:type="dxa"/>
        </w:tblCellMar>
        <w:tblLook w:val="0000" w:firstRow="0" w:lastRow="0" w:firstColumn="0" w:lastColumn="0" w:noHBand="0" w:noVBand="0"/>
      </w:tblPr>
      <w:tblGrid>
        <w:gridCol w:w="5400"/>
        <w:gridCol w:w="810"/>
        <w:gridCol w:w="1170"/>
        <w:gridCol w:w="1350"/>
      </w:tblGrid>
      <w:tr w:rsidR="007E127F" w:rsidRPr="004F30BD" w14:paraId="79639710" w14:textId="77777777" w:rsidTr="00860E6A">
        <w:trPr>
          <w:trHeight w:val="709"/>
          <w:tblHeader/>
        </w:trPr>
        <w:tc>
          <w:tcPr>
            <w:tcW w:w="5400" w:type="dxa"/>
            <w:shd w:val="clear" w:color="auto" w:fill="00386E"/>
            <w:noWrap/>
            <w:vAlign w:val="center"/>
          </w:tcPr>
          <w:p w14:paraId="412F110D" w14:textId="77777777" w:rsidR="007E127F" w:rsidRPr="004F30BD" w:rsidRDefault="007E127F" w:rsidP="00D75AF4">
            <w:pPr>
              <w:pStyle w:val="Tabletext"/>
              <w:spacing w:before="60" w:after="60" w:line="240" w:lineRule="atLeast"/>
              <w:rPr>
                <w:rFonts w:ascii="Arial Nova" w:hAnsi="Arial Nova"/>
                <w:color w:val="FFFFFF"/>
                <w:sz w:val="18"/>
                <w:szCs w:val="18"/>
                <w:lang w:val="en-AU"/>
              </w:rPr>
            </w:pPr>
            <w:r w:rsidRPr="004F30BD">
              <w:rPr>
                <w:rFonts w:ascii="Arial Nova" w:hAnsi="Arial Nova"/>
                <w:color w:val="FFFFFF"/>
                <w:sz w:val="18"/>
                <w:szCs w:val="18"/>
                <w:lang w:val="en-AU"/>
              </w:rPr>
              <w:t>PC: LOWE</w:t>
            </w:r>
            <w:r w:rsidR="00D355F4" w:rsidRPr="004F30BD">
              <w:rPr>
                <w:rFonts w:ascii="Arial Nova" w:hAnsi="Arial Nova"/>
                <w:color w:val="FFFFFF"/>
                <w:sz w:val="18"/>
                <w:szCs w:val="18"/>
                <w:lang w:val="en-AU"/>
              </w:rPr>
              <w:t>ST 10</w:t>
            </w:r>
            <w:r w:rsidRPr="004F30BD">
              <w:rPr>
                <w:rFonts w:ascii="Arial Nova" w:hAnsi="Arial Nova"/>
                <w:color w:val="FFFFFF"/>
                <w:sz w:val="18"/>
                <w:szCs w:val="18"/>
                <w:lang w:val="en-AU"/>
              </w:rPr>
              <w:t xml:space="preserve"> SCORING ITEMS</w:t>
            </w:r>
          </w:p>
        </w:tc>
        <w:tc>
          <w:tcPr>
            <w:tcW w:w="810" w:type="dxa"/>
            <w:shd w:val="clear" w:color="auto" w:fill="00386E"/>
            <w:vAlign w:val="center"/>
          </w:tcPr>
          <w:p w14:paraId="45ADEDF3" w14:textId="77777777" w:rsidR="007E127F" w:rsidRPr="004F30BD" w:rsidRDefault="007E127F" w:rsidP="00D75AF4">
            <w:pPr>
              <w:pStyle w:val="Tabletext"/>
              <w:spacing w:before="0" w:after="0" w:line="240" w:lineRule="atLeast"/>
              <w:jc w:val="center"/>
              <w:rPr>
                <w:rFonts w:ascii="Arial Nova" w:hAnsi="Arial Nova"/>
                <w:color w:val="FFFFFF"/>
                <w:sz w:val="18"/>
                <w:szCs w:val="18"/>
                <w:lang w:val="en-AU"/>
              </w:rPr>
            </w:pPr>
            <w:r w:rsidRPr="004F30BD">
              <w:rPr>
                <w:rFonts w:ascii="Arial Nova" w:hAnsi="Arial Nova"/>
                <w:color w:val="FFFFFF"/>
                <w:sz w:val="18"/>
                <w:szCs w:val="18"/>
                <w:lang w:val="en-AU"/>
              </w:rPr>
              <w:t>2019</w:t>
            </w:r>
          </w:p>
          <w:p w14:paraId="3C8E4F08" w14:textId="77777777" w:rsidR="007E127F" w:rsidRPr="004F30BD" w:rsidRDefault="007E127F" w:rsidP="00D75AF4">
            <w:pPr>
              <w:pStyle w:val="Tabletext"/>
              <w:spacing w:before="0" w:after="0" w:line="240" w:lineRule="atLeast"/>
              <w:jc w:val="center"/>
              <w:rPr>
                <w:rFonts w:ascii="Arial Nova" w:hAnsi="Arial Nova"/>
                <w:color w:val="FFFFFF"/>
                <w:sz w:val="18"/>
                <w:szCs w:val="18"/>
                <w:lang w:val="en-AU"/>
              </w:rPr>
            </w:pPr>
            <w:r w:rsidRPr="004F30BD">
              <w:rPr>
                <w:rFonts w:ascii="Arial Nova" w:hAnsi="Arial Nova"/>
                <w:color w:val="FFFFFF"/>
                <w:sz w:val="18"/>
                <w:szCs w:val="18"/>
                <w:lang w:val="en-AU"/>
              </w:rPr>
              <w:t>n</w:t>
            </w:r>
          </w:p>
        </w:tc>
        <w:tc>
          <w:tcPr>
            <w:tcW w:w="1170" w:type="dxa"/>
            <w:shd w:val="clear" w:color="auto" w:fill="00386E"/>
            <w:vAlign w:val="center"/>
          </w:tcPr>
          <w:p w14:paraId="3A7AB1E2" w14:textId="77777777" w:rsidR="007E127F" w:rsidRPr="004F30BD" w:rsidRDefault="007E127F" w:rsidP="00D75AF4">
            <w:pPr>
              <w:pStyle w:val="Tabletext"/>
              <w:spacing w:before="0" w:after="0" w:line="240" w:lineRule="atLeast"/>
              <w:jc w:val="center"/>
              <w:rPr>
                <w:rFonts w:ascii="Arial Nova" w:hAnsi="Arial Nova"/>
                <w:color w:val="FFFFFF"/>
                <w:sz w:val="18"/>
                <w:szCs w:val="18"/>
                <w:lang w:val="en-AU"/>
              </w:rPr>
            </w:pPr>
            <w:r w:rsidRPr="004F30BD">
              <w:rPr>
                <w:rFonts w:ascii="Arial Nova" w:hAnsi="Arial Nova"/>
                <w:color w:val="FFFFFF"/>
                <w:sz w:val="18"/>
                <w:szCs w:val="18"/>
                <w:lang w:val="en-AU"/>
              </w:rPr>
              <w:t>2019</w:t>
            </w:r>
            <w:r w:rsidR="00860E6A" w:rsidRPr="004F30BD">
              <w:rPr>
                <w:rFonts w:ascii="Arial Nova" w:hAnsi="Arial Nova"/>
                <w:color w:val="FFFFFF"/>
                <w:sz w:val="18"/>
                <w:szCs w:val="18"/>
                <w:lang w:val="en-AU"/>
              </w:rPr>
              <w:br/>
            </w:r>
            <w:r w:rsidRPr="004F30BD">
              <w:rPr>
                <w:rFonts w:ascii="Arial Nova" w:hAnsi="Arial Nova"/>
                <w:color w:val="FFFFFF"/>
                <w:sz w:val="18"/>
                <w:szCs w:val="18"/>
                <w:lang w:val="en-AU"/>
              </w:rPr>
              <w:t>TOP 2 SCORE (%)</w:t>
            </w:r>
          </w:p>
        </w:tc>
        <w:tc>
          <w:tcPr>
            <w:tcW w:w="1350" w:type="dxa"/>
            <w:shd w:val="clear" w:color="auto" w:fill="00386E"/>
            <w:vAlign w:val="center"/>
          </w:tcPr>
          <w:p w14:paraId="10070BFD" w14:textId="77777777" w:rsidR="007E127F" w:rsidRPr="004F30BD" w:rsidRDefault="007E127F" w:rsidP="00D75AF4">
            <w:pPr>
              <w:pStyle w:val="Tabletext"/>
              <w:spacing w:before="0" w:after="0" w:line="240" w:lineRule="atLeast"/>
              <w:jc w:val="center"/>
              <w:rPr>
                <w:rFonts w:ascii="Arial Nova" w:hAnsi="Arial Nova"/>
                <w:color w:val="FFFFFF"/>
                <w:sz w:val="18"/>
                <w:szCs w:val="18"/>
                <w:lang w:val="en-AU"/>
              </w:rPr>
            </w:pPr>
            <w:r w:rsidRPr="004F30BD">
              <w:rPr>
                <w:rFonts w:ascii="Arial Nova" w:hAnsi="Arial Nova"/>
                <w:color w:val="FFFFFF"/>
                <w:sz w:val="18"/>
                <w:szCs w:val="18"/>
                <w:lang w:val="en-AU"/>
              </w:rPr>
              <w:t xml:space="preserve">2018 </w:t>
            </w:r>
            <w:r w:rsidR="00860E6A" w:rsidRPr="004F30BD">
              <w:rPr>
                <w:rFonts w:ascii="Arial Nova" w:hAnsi="Arial Nova"/>
                <w:color w:val="FFFFFF"/>
                <w:sz w:val="18"/>
                <w:szCs w:val="18"/>
                <w:lang w:val="en-AU"/>
              </w:rPr>
              <w:br/>
            </w:r>
            <w:r w:rsidRPr="004F30BD">
              <w:rPr>
                <w:rFonts w:ascii="Arial Nova" w:hAnsi="Arial Nova"/>
                <w:color w:val="FFFFFF"/>
                <w:sz w:val="18"/>
                <w:szCs w:val="18"/>
                <w:lang w:val="en-AU"/>
              </w:rPr>
              <w:t>TOP 2 SCORE (%)</w:t>
            </w:r>
            <w:r w:rsidR="006A226C" w:rsidRPr="004F30BD">
              <w:rPr>
                <w:rFonts w:ascii="Arial Nova" w:hAnsi="Arial Nova"/>
                <w:color w:val="FFFFFF"/>
                <w:sz w:val="18"/>
                <w:szCs w:val="18"/>
                <w:lang w:val="en-AU"/>
              </w:rPr>
              <w:t>*</w:t>
            </w:r>
          </w:p>
        </w:tc>
      </w:tr>
      <w:tr w:rsidR="007E127F" w:rsidRPr="004F30BD" w14:paraId="30EC9C65" w14:textId="77777777" w:rsidTr="00860E6A">
        <w:trPr>
          <w:trHeight w:val="340"/>
        </w:trPr>
        <w:tc>
          <w:tcPr>
            <w:tcW w:w="5400" w:type="dxa"/>
            <w:shd w:val="clear" w:color="auto" w:fill="auto"/>
            <w:noWrap/>
          </w:tcPr>
          <w:p w14:paraId="7CA73CD1" w14:textId="77777777" w:rsidR="007E127F" w:rsidRPr="004F30BD" w:rsidRDefault="007E127F" w:rsidP="00D75AF4">
            <w:pPr>
              <w:spacing w:before="60" w:after="60"/>
              <w:ind w:right="0"/>
              <w:rPr>
                <w:color w:val="000000"/>
                <w:szCs w:val="18"/>
              </w:rPr>
            </w:pPr>
            <w:r w:rsidRPr="004F30BD">
              <w:rPr>
                <w:szCs w:val="18"/>
              </w:rPr>
              <w:t>Application process: Minimising time taken between submitting application and first receiving a regulatory decision</w:t>
            </w:r>
          </w:p>
        </w:tc>
        <w:tc>
          <w:tcPr>
            <w:tcW w:w="810" w:type="dxa"/>
            <w:shd w:val="clear" w:color="auto" w:fill="auto"/>
            <w:vAlign w:val="center"/>
          </w:tcPr>
          <w:p w14:paraId="36D50F71" w14:textId="77777777" w:rsidR="007E127F" w:rsidRPr="004F30BD" w:rsidRDefault="00131752" w:rsidP="00AC1EDD">
            <w:pPr>
              <w:spacing w:before="60" w:after="60"/>
              <w:ind w:right="0"/>
              <w:jc w:val="center"/>
              <w:rPr>
                <w:iCs/>
                <w:color w:val="000000"/>
                <w:szCs w:val="18"/>
              </w:rPr>
            </w:pPr>
            <w:r w:rsidRPr="004F30BD">
              <w:rPr>
                <w:iCs/>
                <w:color w:val="000000"/>
                <w:szCs w:val="18"/>
              </w:rPr>
              <w:t>65</w:t>
            </w:r>
          </w:p>
        </w:tc>
        <w:tc>
          <w:tcPr>
            <w:tcW w:w="1170" w:type="dxa"/>
            <w:vAlign w:val="center"/>
          </w:tcPr>
          <w:p w14:paraId="26BE4316" w14:textId="77777777" w:rsidR="007E127F" w:rsidRPr="004F30BD" w:rsidRDefault="007E127F" w:rsidP="00AC1EDD">
            <w:pPr>
              <w:spacing w:before="60" w:after="60"/>
              <w:ind w:right="0"/>
              <w:jc w:val="center"/>
              <w:rPr>
                <w:iCs/>
                <w:color w:val="000000"/>
                <w:szCs w:val="18"/>
              </w:rPr>
            </w:pPr>
            <w:r w:rsidRPr="004F30BD">
              <w:rPr>
                <w:szCs w:val="18"/>
              </w:rPr>
              <w:t>3</w:t>
            </w:r>
            <w:r w:rsidR="00AC1EDD" w:rsidRPr="004F30BD">
              <w:rPr>
                <w:szCs w:val="18"/>
              </w:rPr>
              <w:t>7</w:t>
            </w:r>
          </w:p>
        </w:tc>
        <w:tc>
          <w:tcPr>
            <w:tcW w:w="1350" w:type="dxa"/>
            <w:vAlign w:val="center"/>
          </w:tcPr>
          <w:p w14:paraId="6C205F15" w14:textId="77777777" w:rsidR="007E127F" w:rsidRPr="004F30BD" w:rsidRDefault="007E127F" w:rsidP="00AC1EDD">
            <w:pPr>
              <w:spacing w:before="60" w:after="60"/>
              <w:ind w:right="0"/>
              <w:jc w:val="center"/>
              <w:rPr>
                <w:rFonts w:cs="Calibri"/>
                <w:color w:val="000000"/>
                <w:szCs w:val="18"/>
              </w:rPr>
            </w:pPr>
            <w:r w:rsidRPr="004F30BD">
              <w:rPr>
                <w:szCs w:val="18"/>
              </w:rPr>
              <w:t>NA</w:t>
            </w:r>
          </w:p>
        </w:tc>
      </w:tr>
      <w:tr w:rsidR="007E127F" w:rsidRPr="004F30BD" w14:paraId="60AF5251" w14:textId="77777777" w:rsidTr="00860E6A">
        <w:trPr>
          <w:trHeight w:val="340"/>
        </w:trPr>
        <w:tc>
          <w:tcPr>
            <w:tcW w:w="5400" w:type="dxa"/>
            <w:shd w:val="clear" w:color="auto" w:fill="D9D9D9" w:themeFill="background1" w:themeFillShade="D9"/>
            <w:noWrap/>
          </w:tcPr>
          <w:p w14:paraId="00389A99" w14:textId="77777777" w:rsidR="007E127F" w:rsidRPr="004F30BD" w:rsidRDefault="007E127F" w:rsidP="00D75AF4">
            <w:pPr>
              <w:spacing w:before="60" w:after="60"/>
              <w:ind w:right="0"/>
              <w:rPr>
                <w:color w:val="000000"/>
                <w:szCs w:val="18"/>
              </w:rPr>
            </w:pPr>
            <w:r w:rsidRPr="004F30BD">
              <w:rPr>
                <w:szCs w:val="18"/>
              </w:rPr>
              <w:t>Monitoring quality: Suggesting networks and resources that organisation might use to improve performance</w:t>
            </w:r>
          </w:p>
        </w:tc>
        <w:tc>
          <w:tcPr>
            <w:tcW w:w="810" w:type="dxa"/>
            <w:shd w:val="clear" w:color="auto" w:fill="D9D9D9" w:themeFill="background1" w:themeFillShade="D9"/>
            <w:vAlign w:val="center"/>
          </w:tcPr>
          <w:p w14:paraId="168F9323" w14:textId="77777777" w:rsidR="007E127F" w:rsidRPr="004F30BD" w:rsidRDefault="00131752" w:rsidP="00AC1EDD">
            <w:pPr>
              <w:spacing w:before="60" w:after="60"/>
              <w:ind w:right="0"/>
              <w:jc w:val="center"/>
              <w:rPr>
                <w:iCs/>
                <w:color w:val="000000"/>
                <w:szCs w:val="18"/>
              </w:rPr>
            </w:pPr>
            <w:r w:rsidRPr="004F30BD">
              <w:rPr>
                <w:iCs/>
                <w:color w:val="000000"/>
                <w:szCs w:val="18"/>
              </w:rPr>
              <w:t>111</w:t>
            </w:r>
          </w:p>
        </w:tc>
        <w:tc>
          <w:tcPr>
            <w:tcW w:w="1170" w:type="dxa"/>
            <w:shd w:val="clear" w:color="auto" w:fill="D9D9D9" w:themeFill="background1" w:themeFillShade="D9"/>
            <w:vAlign w:val="center"/>
          </w:tcPr>
          <w:p w14:paraId="1D0C57FF" w14:textId="77777777" w:rsidR="007E127F" w:rsidRPr="004F30BD" w:rsidRDefault="007E127F" w:rsidP="00AC1EDD">
            <w:pPr>
              <w:spacing w:before="60" w:after="60"/>
              <w:ind w:right="0"/>
              <w:jc w:val="center"/>
              <w:rPr>
                <w:rFonts w:cs="Calibri"/>
                <w:color w:val="000000"/>
                <w:szCs w:val="18"/>
              </w:rPr>
            </w:pPr>
            <w:r w:rsidRPr="004F30BD">
              <w:rPr>
                <w:szCs w:val="18"/>
              </w:rPr>
              <w:t>4</w:t>
            </w:r>
            <w:r w:rsidR="00AC1EDD" w:rsidRPr="004F30BD">
              <w:rPr>
                <w:szCs w:val="18"/>
              </w:rPr>
              <w:t>1</w:t>
            </w:r>
          </w:p>
        </w:tc>
        <w:tc>
          <w:tcPr>
            <w:tcW w:w="1350" w:type="dxa"/>
            <w:shd w:val="clear" w:color="auto" w:fill="D9D9D9" w:themeFill="background1" w:themeFillShade="D9"/>
            <w:vAlign w:val="center"/>
          </w:tcPr>
          <w:p w14:paraId="7D988EE8" w14:textId="77777777" w:rsidR="007E127F" w:rsidRPr="004F30BD" w:rsidRDefault="007E127F" w:rsidP="00AC1EDD">
            <w:pPr>
              <w:spacing w:before="60" w:after="60"/>
              <w:ind w:right="0"/>
              <w:jc w:val="center"/>
              <w:rPr>
                <w:rFonts w:cs="Calibri"/>
                <w:color w:val="000000"/>
                <w:szCs w:val="18"/>
              </w:rPr>
            </w:pPr>
            <w:r w:rsidRPr="004F30BD">
              <w:rPr>
                <w:szCs w:val="18"/>
              </w:rPr>
              <w:t>NA</w:t>
            </w:r>
          </w:p>
        </w:tc>
      </w:tr>
      <w:tr w:rsidR="007E127F" w:rsidRPr="004F30BD" w14:paraId="5C24FBBC" w14:textId="77777777" w:rsidTr="00860E6A">
        <w:trPr>
          <w:trHeight w:val="340"/>
        </w:trPr>
        <w:tc>
          <w:tcPr>
            <w:tcW w:w="5400" w:type="dxa"/>
            <w:shd w:val="clear" w:color="auto" w:fill="auto"/>
            <w:noWrap/>
          </w:tcPr>
          <w:p w14:paraId="40F5C6F7" w14:textId="77777777" w:rsidR="007E127F" w:rsidRPr="004F30BD" w:rsidRDefault="007E127F" w:rsidP="00D75AF4">
            <w:pPr>
              <w:spacing w:before="60" w:after="60"/>
              <w:ind w:right="0"/>
              <w:rPr>
                <w:color w:val="000000"/>
                <w:szCs w:val="18"/>
              </w:rPr>
            </w:pPr>
            <w:r w:rsidRPr="004F30BD">
              <w:rPr>
                <w:szCs w:val="18"/>
              </w:rPr>
              <w:t>CRICOS Application process: Timeliness of feedback from TEQSA about application, including those unlikely successful</w:t>
            </w:r>
          </w:p>
        </w:tc>
        <w:tc>
          <w:tcPr>
            <w:tcW w:w="810" w:type="dxa"/>
            <w:shd w:val="clear" w:color="auto" w:fill="auto"/>
            <w:vAlign w:val="center"/>
          </w:tcPr>
          <w:p w14:paraId="2FDECDE5" w14:textId="77777777" w:rsidR="007E127F" w:rsidRPr="004F30BD" w:rsidRDefault="00131752" w:rsidP="00AC1EDD">
            <w:pPr>
              <w:spacing w:before="60" w:after="60"/>
              <w:ind w:right="0"/>
              <w:jc w:val="center"/>
              <w:rPr>
                <w:iCs/>
                <w:color w:val="000000"/>
                <w:szCs w:val="18"/>
              </w:rPr>
            </w:pPr>
            <w:r w:rsidRPr="004F30BD">
              <w:rPr>
                <w:iCs/>
                <w:color w:val="000000"/>
                <w:szCs w:val="18"/>
              </w:rPr>
              <w:t>68</w:t>
            </w:r>
          </w:p>
        </w:tc>
        <w:tc>
          <w:tcPr>
            <w:tcW w:w="1170" w:type="dxa"/>
            <w:shd w:val="clear" w:color="auto" w:fill="FFFFFF" w:themeFill="background1"/>
            <w:vAlign w:val="center"/>
          </w:tcPr>
          <w:p w14:paraId="118D8DB4" w14:textId="77777777" w:rsidR="007E127F" w:rsidRPr="004F30BD" w:rsidRDefault="007E127F" w:rsidP="00AC1EDD">
            <w:pPr>
              <w:spacing w:before="60" w:after="60"/>
              <w:ind w:right="0"/>
              <w:jc w:val="center"/>
              <w:rPr>
                <w:iCs/>
                <w:color w:val="000000"/>
                <w:szCs w:val="18"/>
              </w:rPr>
            </w:pPr>
            <w:r w:rsidRPr="004F30BD">
              <w:rPr>
                <w:szCs w:val="18"/>
              </w:rPr>
              <w:t>41</w:t>
            </w:r>
          </w:p>
        </w:tc>
        <w:tc>
          <w:tcPr>
            <w:tcW w:w="1350" w:type="dxa"/>
            <w:shd w:val="clear" w:color="auto" w:fill="FFFFFF" w:themeFill="background1"/>
            <w:vAlign w:val="center"/>
          </w:tcPr>
          <w:p w14:paraId="7E81FF1D" w14:textId="77777777" w:rsidR="007E127F" w:rsidRPr="004F30BD" w:rsidRDefault="007E127F" w:rsidP="00AC1EDD">
            <w:pPr>
              <w:spacing w:before="60" w:after="60"/>
              <w:ind w:right="0"/>
              <w:jc w:val="center"/>
              <w:rPr>
                <w:rFonts w:cs="Calibri"/>
                <w:color w:val="000000"/>
                <w:szCs w:val="18"/>
              </w:rPr>
            </w:pPr>
            <w:r w:rsidRPr="004F30BD">
              <w:rPr>
                <w:szCs w:val="18"/>
              </w:rPr>
              <w:t>52</w:t>
            </w:r>
          </w:p>
        </w:tc>
      </w:tr>
      <w:tr w:rsidR="007E127F" w:rsidRPr="004F30BD" w14:paraId="72918637" w14:textId="77777777" w:rsidTr="00860E6A">
        <w:trPr>
          <w:trHeight w:val="340"/>
        </w:trPr>
        <w:tc>
          <w:tcPr>
            <w:tcW w:w="5400" w:type="dxa"/>
            <w:shd w:val="clear" w:color="auto" w:fill="D9D9D9" w:themeFill="background1" w:themeFillShade="D9"/>
            <w:noWrap/>
          </w:tcPr>
          <w:p w14:paraId="11DA5369" w14:textId="77777777" w:rsidR="007E127F" w:rsidRPr="004F30BD" w:rsidRDefault="007E127F" w:rsidP="00D75AF4">
            <w:pPr>
              <w:spacing w:before="60" w:after="60"/>
              <w:ind w:right="0"/>
              <w:rPr>
                <w:color w:val="000000"/>
                <w:szCs w:val="18"/>
              </w:rPr>
            </w:pPr>
            <w:r w:rsidRPr="004F30BD">
              <w:rPr>
                <w:szCs w:val="18"/>
              </w:rPr>
              <w:t>Monitoring quality: Providing timely feedback on whether organisation is meeting expected standards</w:t>
            </w:r>
          </w:p>
        </w:tc>
        <w:tc>
          <w:tcPr>
            <w:tcW w:w="810" w:type="dxa"/>
            <w:shd w:val="clear" w:color="auto" w:fill="D9D9D9" w:themeFill="background1" w:themeFillShade="D9"/>
            <w:vAlign w:val="center"/>
          </w:tcPr>
          <w:p w14:paraId="7FBE9D23" w14:textId="77777777" w:rsidR="007E127F" w:rsidRPr="004F30BD" w:rsidRDefault="00131752" w:rsidP="00AC1EDD">
            <w:pPr>
              <w:spacing w:before="60" w:after="60"/>
              <w:ind w:right="0"/>
              <w:jc w:val="center"/>
              <w:rPr>
                <w:iCs/>
                <w:color w:val="000000"/>
                <w:szCs w:val="18"/>
              </w:rPr>
            </w:pPr>
            <w:r w:rsidRPr="004F30BD">
              <w:rPr>
                <w:iCs/>
                <w:color w:val="000000"/>
                <w:szCs w:val="18"/>
              </w:rPr>
              <w:t>126</w:t>
            </w:r>
          </w:p>
        </w:tc>
        <w:tc>
          <w:tcPr>
            <w:tcW w:w="1170" w:type="dxa"/>
            <w:shd w:val="clear" w:color="auto" w:fill="D9D9D9" w:themeFill="background1" w:themeFillShade="D9"/>
            <w:vAlign w:val="center"/>
          </w:tcPr>
          <w:p w14:paraId="4E9F382F" w14:textId="77777777" w:rsidR="007E127F" w:rsidRPr="004F30BD" w:rsidRDefault="007E127F" w:rsidP="00AC1EDD">
            <w:pPr>
              <w:spacing w:before="60" w:after="60"/>
              <w:ind w:right="0"/>
              <w:jc w:val="center"/>
              <w:rPr>
                <w:iCs/>
                <w:color w:val="000000"/>
                <w:szCs w:val="18"/>
              </w:rPr>
            </w:pPr>
            <w:r w:rsidRPr="004F30BD">
              <w:rPr>
                <w:szCs w:val="18"/>
              </w:rPr>
              <w:t>42</w:t>
            </w:r>
          </w:p>
        </w:tc>
        <w:tc>
          <w:tcPr>
            <w:tcW w:w="1350" w:type="dxa"/>
            <w:shd w:val="clear" w:color="auto" w:fill="D9D9D9" w:themeFill="background1" w:themeFillShade="D9"/>
            <w:vAlign w:val="center"/>
          </w:tcPr>
          <w:p w14:paraId="4D3B2F47" w14:textId="77777777" w:rsidR="007E127F" w:rsidRPr="004F30BD" w:rsidRDefault="007E127F" w:rsidP="00AC1EDD">
            <w:pPr>
              <w:spacing w:before="60" w:after="60"/>
              <w:ind w:right="0"/>
              <w:jc w:val="center"/>
              <w:rPr>
                <w:rFonts w:cs="Calibri"/>
                <w:color w:val="000000"/>
                <w:szCs w:val="18"/>
              </w:rPr>
            </w:pPr>
            <w:r w:rsidRPr="004F30BD">
              <w:rPr>
                <w:szCs w:val="18"/>
              </w:rPr>
              <w:t>NA</w:t>
            </w:r>
          </w:p>
        </w:tc>
      </w:tr>
      <w:tr w:rsidR="007E127F" w:rsidRPr="004F30BD" w14:paraId="783D8EED" w14:textId="77777777" w:rsidTr="00860E6A">
        <w:trPr>
          <w:trHeight w:val="340"/>
        </w:trPr>
        <w:tc>
          <w:tcPr>
            <w:tcW w:w="5400" w:type="dxa"/>
            <w:shd w:val="clear" w:color="auto" w:fill="auto"/>
            <w:noWrap/>
          </w:tcPr>
          <w:p w14:paraId="53D6DA80" w14:textId="77777777" w:rsidR="007E127F" w:rsidRPr="004F30BD" w:rsidRDefault="007E127F" w:rsidP="00D75AF4">
            <w:pPr>
              <w:spacing w:before="60" w:after="60"/>
              <w:ind w:right="0"/>
              <w:rPr>
                <w:color w:val="000000"/>
                <w:szCs w:val="18"/>
              </w:rPr>
            </w:pPr>
            <w:r w:rsidRPr="004F30BD">
              <w:rPr>
                <w:szCs w:val="18"/>
              </w:rPr>
              <w:t>Application process: Timeliness of feedback from TEQSA about application, including those unlikely successful</w:t>
            </w:r>
          </w:p>
        </w:tc>
        <w:tc>
          <w:tcPr>
            <w:tcW w:w="810" w:type="dxa"/>
            <w:shd w:val="clear" w:color="auto" w:fill="auto"/>
            <w:vAlign w:val="center"/>
          </w:tcPr>
          <w:p w14:paraId="74893757" w14:textId="77777777" w:rsidR="007E127F" w:rsidRPr="004F30BD" w:rsidRDefault="00131752" w:rsidP="00AC1EDD">
            <w:pPr>
              <w:spacing w:before="60" w:after="60"/>
              <w:ind w:right="0"/>
              <w:jc w:val="center"/>
              <w:rPr>
                <w:iCs/>
                <w:color w:val="000000"/>
                <w:szCs w:val="18"/>
              </w:rPr>
            </w:pPr>
            <w:r w:rsidRPr="004F30BD">
              <w:rPr>
                <w:iCs/>
                <w:color w:val="000000"/>
                <w:szCs w:val="18"/>
              </w:rPr>
              <w:t>72</w:t>
            </w:r>
          </w:p>
        </w:tc>
        <w:tc>
          <w:tcPr>
            <w:tcW w:w="1170" w:type="dxa"/>
            <w:shd w:val="clear" w:color="auto" w:fill="auto"/>
            <w:vAlign w:val="center"/>
          </w:tcPr>
          <w:p w14:paraId="4F1CF273" w14:textId="77777777" w:rsidR="007E127F" w:rsidRPr="004F30BD" w:rsidRDefault="007E127F" w:rsidP="00AC1EDD">
            <w:pPr>
              <w:spacing w:before="60" w:after="60"/>
              <w:ind w:right="0"/>
              <w:jc w:val="center"/>
              <w:rPr>
                <w:iCs/>
                <w:color w:val="000000"/>
                <w:szCs w:val="18"/>
              </w:rPr>
            </w:pPr>
            <w:r w:rsidRPr="004F30BD">
              <w:rPr>
                <w:szCs w:val="18"/>
              </w:rPr>
              <w:t>43</w:t>
            </w:r>
          </w:p>
        </w:tc>
        <w:tc>
          <w:tcPr>
            <w:tcW w:w="1350" w:type="dxa"/>
            <w:shd w:val="clear" w:color="auto" w:fill="auto"/>
            <w:vAlign w:val="center"/>
          </w:tcPr>
          <w:p w14:paraId="248E0AB5" w14:textId="77777777" w:rsidR="007E127F" w:rsidRPr="004F30BD" w:rsidRDefault="007E127F" w:rsidP="00AC1EDD">
            <w:pPr>
              <w:spacing w:before="60" w:after="60"/>
              <w:ind w:right="0"/>
              <w:jc w:val="center"/>
              <w:rPr>
                <w:rFonts w:cs="Calibri"/>
                <w:color w:val="000000"/>
                <w:szCs w:val="18"/>
              </w:rPr>
            </w:pPr>
            <w:r w:rsidRPr="004F30BD">
              <w:rPr>
                <w:szCs w:val="18"/>
              </w:rPr>
              <w:t>52</w:t>
            </w:r>
          </w:p>
        </w:tc>
      </w:tr>
      <w:tr w:rsidR="007E127F" w:rsidRPr="004F30BD" w14:paraId="6C0C0F80" w14:textId="77777777" w:rsidTr="00860E6A">
        <w:trPr>
          <w:trHeight w:val="340"/>
        </w:trPr>
        <w:tc>
          <w:tcPr>
            <w:tcW w:w="5400" w:type="dxa"/>
            <w:shd w:val="clear" w:color="auto" w:fill="D9D9D9" w:themeFill="background1" w:themeFillShade="D9"/>
            <w:noWrap/>
          </w:tcPr>
          <w:p w14:paraId="6CA11DBF" w14:textId="77777777" w:rsidR="007E127F" w:rsidRPr="004F30BD" w:rsidRDefault="007E127F" w:rsidP="00D75AF4">
            <w:pPr>
              <w:spacing w:before="60" w:after="60"/>
              <w:ind w:right="0"/>
              <w:rPr>
                <w:color w:val="000000"/>
                <w:szCs w:val="18"/>
              </w:rPr>
            </w:pPr>
            <w:r w:rsidRPr="004F30BD">
              <w:rPr>
                <w:szCs w:val="18"/>
              </w:rPr>
              <w:t>CRICOS Application process: Minimising time taken between submitting application and first receiving a regulatory decision</w:t>
            </w:r>
          </w:p>
        </w:tc>
        <w:tc>
          <w:tcPr>
            <w:tcW w:w="810" w:type="dxa"/>
            <w:shd w:val="clear" w:color="auto" w:fill="D9D9D9" w:themeFill="background1" w:themeFillShade="D9"/>
            <w:vAlign w:val="center"/>
          </w:tcPr>
          <w:p w14:paraId="7BFF07C4" w14:textId="77777777" w:rsidR="007E127F" w:rsidRPr="004F30BD" w:rsidRDefault="00131752" w:rsidP="00AC1EDD">
            <w:pPr>
              <w:spacing w:before="60" w:after="60"/>
              <w:ind w:right="0"/>
              <w:jc w:val="center"/>
              <w:rPr>
                <w:iCs/>
                <w:color w:val="000000"/>
                <w:szCs w:val="18"/>
              </w:rPr>
            </w:pPr>
            <w:r w:rsidRPr="004F30BD">
              <w:rPr>
                <w:iCs/>
                <w:color w:val="000000"/>
                <w:szCs w:val="18"/>
              </w:rPr>
              <w:t>61</w:t>
            </w:r>
          </w:p>
        </w:tc>
        <w:tc>
          <w:tcPr>
            <w:tcW w:w="1170" w:type="dxa"/>
            <w:shd w:val="clear" w:color="auto" w:fill="D9D9D9" w:themeFill="background1" w:themeFillShade="D9"/>
            <w:vAlign w:val="center"/>
          </w:tcPr>
          <w:p w14:paraId="01D9F340" w14:textId="77777777" w:rsidR="007E127F" w:rsidRPr="004F30BD" w:rsidRDefault="00AC1EDD" w:rsidP="00AC1EDD">
            <w:pPr>
              <w:spacing w:before="60" w:after="60"/>
              <w:ind w:right="0"/>
              <w:jc w:val="center"/>
              <w:rPr>
                <w:iCs/>
                <w:color w:val="000000"/>
                <w:szCs w:val="18"/>
              </w:rPr>
            </w:pPr>
            <w:r w:rsidRPr="004F30BD">
              <w:rPr>
                <w:szCs w:val="18"/>
              </w:rPr>
              <w:t>46</w:t>
            </w:r>
          </w:p>
        </w:tc>
        <w:tc>
          <w:tcPr>
            <w:tcW w:w="1350" w:type="dxa"/>
            <w:shd w:val="clear" w:color="auto" w:fill="D9D9D9" w:themeFill="background1" w:themeFillShade="D9"/>
            <w:vAlign w:val="center"/>
          </w:tcPr>
          <w:p w14:paraId="21559A45" w14:textId="77777777" w:rsidR="007E127F" w:rsidRPr="004F30BD" w:rsidRDefault="007E127F" w:rsidP="00AC1EDD">
            <w:pPr>
              <w:spacing w:before="60" w:after="60"/>
              <w:ind w:right="0"/>
              <w:jc w:val="center"/>
              <w:rPr>
                <w:rFonts w:cs="Calibri"/>
                <w:color w:val="000000"/>
                <w:szCs w:val="18"/>
              </w:rPr>
            </w:pPr>
            <w:r w:rsidRPr="004F30BD">
              <w:rPr>
                <w:szCs w:val="18"/>
              </w:rPr>
              <w:t>NA</w:t>
            </w:r>
          </w:p>
        </w:tc>
      </w:tr>
      <w:tr w:rsidR="007E127F" w:rsidRPr="004F30BD" w14:paraId="29EFDBC8" w14:textId="77777777" w:rsidTr="00860E6A">
        <w:trPr>
          <w:trHeight w:val="340"/>
        </w:trPr>
        <w:tc>
          <w:tcPr>
            <w:tcW w:w="5400" w:type="dxa"/>
            <w:shd w:val="clear" w:color="auto" w:fill="auto"/>
            <w:noWrap/>
          </w:tcPr>
          <w:p w14:paraId="25BB8874" w14:textId="77777777" w:rsidR="007E127F" w:rsidRPr="004F30BD" w:rsidRDefault="007E127F" w:rsidP="00D75AF4">
            <w:pPr>
              <w:spacing w:before="60" w:after="60"/>
              <w:ind w:right="0"/>
              <w:rPr>
                <w:color w:val="000000"/>
                <w:szCs w:val="18"/>
              </w:rPr>
            </w:pPr>
            <w:r w:rsidRPr="004F30BD">
              <w:rPr>
                <w:szCs w:val="18"/>
              </w:rPr>
              <w:t>Consultation: Listening to organisation’s views on ways to reduce regulatory burden</w:t>
            </w:r>
          </w:p>
        </w:tc>
        <w:tc>
          <w:tcPr>
            <w:tcW w:w="810" w:type="dxa"/>
            <w:shd w:val="clear" w:color="auto" w:fill="auto"/>
            <w:vAlign w:val="center"/>
          </w:tcPr>
          <w:p w14:paraId="266E93CC" w14:textId="77777777" w:rsidR="007E127F" w:rsidRPr="004F30BD" w:rsidRDefault="00131752" w:rsidP="00AC1EDD">
            <w:pPr>
              <w:spacing w:before="60" w:after="60"/>
              <w:ind w:right="0"/>
              <w:jc w:val="center"/>
              <w:rPr>
                <w:iCs/>
                <w:color w:val="000000"/>
                <w:szCs w:val="18"/>
              </w:rPr>
            </w:pPr>
            <w:r w:rsidRPr="004F30BD">
              <w:rPr>
                <w:iCs/>
                <w:color w:val="000000"/>
                <w:szCs w:val="18"/>
              </w:rPr>
              <w:t>103</w:t>
            </w:r>
          </w:p>
        </w:tc>
        <w:tc>
          <w:tcPr>
            <w:tcW w:w="1170" w:type="dxa"/>
            <w:shd w:val="clear" w:color="auto" w:fill="auto"/>
            <w:vAlign w:val="center"/>
          </w:tcPr>
          <w:p w14:paraId="7B28C1C9" w14:textId="77777777" w:rsidR="007E127F" w:rsidRPr="004F30BD" w:rsidRDefault="00AC1EDD" w:rsidP="00AC1EDD">
            <w:pPr>
              <w:spacing w:before="60" w:after="60"/>
              <w:ind w:right="0"/>
              <w:jc w:val="center"/>
              <w:rPr>
                <w:iCs/>
                <w:color w:val="000000"/>
                <w:szCs w:val="18"/>
              </w:rPr>
            </w:pPr>
            <w:r w:rsidRPr="004F30BD">
              <w:rPr>
                <w:szCs w:val="18"/>
              </w:rPr>
              <w:t>48</w:t>
            </w:r>
          </w:p>
        </w:tc>
        <w:tc>
          <w:tcPr>
            <w:tcW w:w="1350" w:type="dxa"/>
            <w:shd w:val="clear" w:color="auto" w:fill="auto"/>
            <w:vAlign w:val="center"/>
          </w:tcPr>
          <w:p w14:paraId="659F4390" w14:textId="77777777" w:rsidR="007E127F" w:rsidRPr="004F30BD" w:rsidRDefault="007E127F" w:rsidP="00AC1EDD">
            <w:pPr>
              <w:spacing w:before="60" w:after="60"/>
              <w:ind w:right="0"/>
              <w:jc w:val="center"/>
              <w:rPr>
                <w:rFonts w:cs="Calibri"/>
                <w:color w:val="000000"/>
                <w:szCs w:val="18"/>
              </w:rPr>
            </w:pPr>
            <w:r w:rsidRPr="004F30BD">
              <w:rPr>
                <w:szCs w:val="18"/>
              </w:rPr>
              <w:t>NA</w:t>
            </w:r>
          </w:p>
        </w:tc>
      </w:tr>
      <w:tr w:rsidR="007E127F" w:rsidRPr="004F30BD" w14:paraId="038975C0" w14:textId="77777777" w:rsidTr="00860E6A">
        <w:trPr>
          <w:trHeight w:val="340"/>
        </w:trPr>
        <w:tc>
          <w:tcPr>
            <w:tcW w:w="5400" w:type="dxa"/>
            <w:shd w:val="clear" w:color="auto" w:fill="D9D9D9" w:themeFill="background1" w:themeFillShade="D9"/>
            <w:noWrap/>
          </w:tcPr>
          <w:p w14:paraId="71CF53C8" w14:textId="77777777" w:rsidR="007E127F" w:rsidRPr="004F30BD" w:rsidRDefault="007E127F" w:rsidP="00D75AF4">
            <w:pPr>
              <w:spacing w:before="60" w:after="60"/>
              <w:ind w:right="0"/>
              <w:rPr>
                <w:color w:val="000000"/>
                <w:szCs w:val="18"/>
              </w:rPr>
            </w:pPr>
            <w:r w:rsidRPr="004F30BD">
              <w:rPr>
                <w:szCs w:val="18"/>
              </w:rPr>
              <w:t>CRICOS Application process: Tailoring application process to meet needs</w:t>
            </w:r>
          </w:p>
        </w:tc>
        <w:tc>
          <w:tcPr>
            <w:tcW w:w="810" w:type="dxa"/>
            <w:shd w:val="clear" w:color="auto" w:fill="D9D9D9" w:themeFill="background1" w:themeFillShade="D9"/>
            <w:vAlign w:val="center"/>
          </w:tcPr>
          <w:p w14:paraId="39CE0E7A" w14:textId="77777777" w:rsidR="007E127F" w:rsidRPr="004F30BD" w:rsidRDefault="00131752" w:rsidP="00AC1EDD">
            <w:pPr>
              <w:spacing w:before="60" w:after="60"/>
              <w:ind w:right="0"/>
              <w:jc w:val="center"/>
              <w:rPr>
                <w:iCs/>
                <w:color w:val="000000"/>
                <w:szCs w:val="18"/>
              </w:rPr>
            </w:pPr>
            <w:r w:rsidRPr="004F30BD">
              <w:rPr>
                <w:iCs/>
                <w:color w:val="000000"/>
                <w:szCs w:val="18"/>
              </w:rPr>
              <w:t>67</w:t>
            </w:r>
          </w:p>
        </w:tc>
        <w:tc>
          <w:tcPr>
            <w:tcW w:w="1170" w:type="dxa"/>
            <w:shd w:val="clear" w:color="auto" w:fill="D9D9D9" w:themeFill="background1" w:themeFillShade="D9"/>
            <w:vAlign w:val="center"/>
          </w:tcPr>
          <w:p w14:paraId="310E2AAC" w14:textId="77777777" w:rsidR="007E127F" w:rsidRPr="004F30BD" w:rsidRDefault="00AC1EDD" w:rsidP="00AC1EDD">
            <w:pPr>
              <w:spacing w:before="60" w:after="60"/>
              <w:ind w:right="0"/>
              <w:jc w:val="center"/>
              <w:rPr>
                <w:iCs/>
                <w:color w:val="000000"/>
                <w:szCs w:val="18"/>
              </w:rPr>
            </w:pPr>
            <w:r w:rsidRPr="004F30BD">
              <w:rPr>
                <w:szCs w:val="18"/>
              </w:rPr>
              <w:t>51</w:t>
            </w:r>
          </w:p>
        </w:tc>
        <w:tc>
          <w:tcPr>
            <w:tcW w:w="1350" w:type="dxa"/>
            <w:shd w:val="clear" w:color="auto" w:fill="D9D9D9" w:themeFill="background1" w:themeFillShade="D9"/>
            <w:vAlign w:val="center"/>
          </w:tcPr>
          <w:p w14:paraId="0787E5D9" w14:textId="77777777" w:rsidR="007E127F" w:rsidRPr="004F30BD" w:rsidRDefault="007E127F" w:rsidP="00AC1EDD">
            <w:pPr>
              <w:spacing w:before="60" w:after="60"/>
              <w:ind w:right="0"/>
              <w:jc w:val="center"/>
              <w:rPr>
                <w:rFonts w:cs="Calibri"/>
                <w:color w:val="000000"/>
                <w:szCs w:val="18"/>
              </w:rPr>
            </w:pPr>
            <w:r w:rsidRPr="004F30BD">
              <w:rPr>
                <w:szCs w:val="18"/>
              </w:rPr>
              <w:t>NA</w:t>
            </w:r>
          </w:p>
        </w:tc>
      </w:tr>
      <w:tr w:rsidR="007E127F" w:rsidRPr="004F30BD" w14:paraId="21E9D99D" w14:textId="77777777" w:rsidTr="00860E6A">
        <w:trPr>
          <w:trHeight w:val="340"/>
        </w:trPr>
        <w:tc>
          <w:tcPr>
            <w:tcW w:w="5400" w:type="dxa"/>
            <w:shd w:val="clear" w:color="auto" w:fill="auto"/>
            <w:noWrap/>
          </w:tcPr>
          <w:p w14:paraId="4B76F7E7" w14:textId="77777777" w:rsidR="007E127F" w:rsidRPr="004F30BD" w:rsidRDefault="007E127F" w:rsidP="00D75AF4">
            <w:pPr>
              <w:spacing w:before="60" w:after="60"/>
              <w:ind w:right="0"/>
              <w:rPr>
                <w:color w:val="000000"/>
                <w:szCs w:val="18"/>
              </w:rPr>
            </w:pPr>
            <w:r w:rsidRPr="004F30BD">
              <w:rPr>
                <w:szCs w:val="18"/>
              </w:rPr>
              <w:t>Interaction with TEQSA staff: Demonstrating an understanding of organisation’s business or operating environment</w:t>
            </w:r>
          </w:p>
        </w:tc>
        <w:tc>
          <w:tcPr>
            <w:tcW w:w="810" w:type="dxa"/>
            <w:shd w:val="clear" w:color="auto" w:fill="auto"/>
            <w:vAlign w:val="center"/>
          </w:tcPr>
          <w:p w14:paraId="2E1138C1" w14:textId="77777777" w:rsidR="007E127F" w:rsidRPr="004F30BD" w:rsidRDefault="00131752" w:rsidP="00AC1EDD">
            <w:pPr>
              <w:spacing w:before="60" w:after="60"/>
              <w:ind w:right="0"/>
              <w:jc w:val="center"/>
              <w:rPr>
                <w:iCs/>
                <w:color w:val="000000"/>
                <w:szCs w:val="18"/>
              </w:rPr>
            </w:pPr>
            <w:r w:rsidRPr="004F30BD">
              <w:rPr>
                <w:iCs/>
                <w:color w:val="000000"/>
                <w:szCs w:val="18"/>
              </w:rPr>
              <w:t>125</w:t>
            </w:r>
          </w:p>
        </w:tc>
        <w:tc>
          <w:tcPr>
            <w:tcW w:w="1170" w:type="dxa"/>
            <w:shd w:val="clear" w:color="auto" w:fill="auto"/>
            <w:vAlign w:val="center"/>
          </w:tcPr>
          <w:p w14:paraId="65BB03CD" w14:textId="77777777" w:rsidR="007E127F" w:rsidRPr="004F30BD" w:rsidRDefault="00AC1EDD" w:rsidP="00AC1EDD">
            <w:pPr>
              <w:spacing w:before="60" w:after="60"/>
              <w:ind w:right="0"/>
              <w:jc w:val="center"/>
              <w:rPr>
                <w:iCs/>
                <w:color w:val="000000"/>
                <w:szCs w:val="18"/>
              </w:rPr>
            </w:pPr>
            <w:r w:rsidRPr="004F30BD">
              <w:rPr>
                <w:szCs w:val="18"/>
              </w:rPr>
              <w:t>54</w:t>
            </w:r>
          </w:p>
        </w:tc>
        <w:tc>
          <w:tcPr>
            <w:tcW w:w="1350" w:type="dxa"/>
            <w:shd w:val="clear" w:color="auto" w:fill="auto"/>
            <w:vAlign w:val="center"/>
          </w:tcPr>
          <w:p w14:paraId="528DB872" w14:textId="77777777" w:rsidR="007E127F" w:rsidRPr="004F30BD" w:rsidRDefault="007E127F" w:rsidP="00AC1EDD">
            <w:pPr>
              <w:spacing w:before="60" w:after="60"/>
              <w:ind w:right="0"/>
              <w:jc w:val="center"/>
              <w:rPr>
                <w:rFonts w:cs="Calibri"/>
                <w:color w:val="000000"/>
                <w:szCs w:val="18"/>
              </w:rPr>
            </w:pPr>
            <w:r w:rsidRPr="004F30BD">
              <w:rPr>
                <w:szCs w:val="18"/>
              </w:rPr>
              <w:t>48</w:t>
            </w:r>
          </w:p>
        </w:tc>
      </w:tr>
      <w:tr w:rsidR="007E127F" w:rsidRPr="004F30BD" w14:paraId="2A293043" w14:textId="77777777" w:rsidTr="00860E6A">
        <w:trPr>
          <w:trHeight w:val="340"/>
        </w:trPr>
        <w:tc>
          <w:tcPr>
            <w:tcW w:w="5400" w:type="dxa"/>
            <w:tcBorders>
              <w:bottom w:val="single" w:sz="4" w:space="0" w:color="00376E"/>
            </w:tcBorders>
            <w:shd w:val="clear" w:color="auto" w:fill="D9D9D9"/>
            <w:noWrap/>
          </w:tcPr>
          <w:p w14:paraId="234E1A9A" w14:textId="77777777" w:rsidR="007E127F" w:rsidRPr="004F30BD" w:rsidRDefault="007E127F" w:rsidP="00D75AF4">
            <w:pPr>
              <w:spacing w:before="60" w:after="60"/>
              <w:ind w:right="0"/>
              <w:rPr>
                <w:rFonts w:cs="Calibri"/>
                <w:color w:val="000000"/>
                <w:szCs w:val="18"/>
              </w:rPr>
            </w:pPr>
            <w:r w:rsidRPr="004F30BD">
              <w:rPr>
                <w:szCs w:val="18"/>
              </w:rPr>
              <w:t>KPI 4: TEQSA’s compliance and monitoring approaches for higher education providers are streamlined and co-ordinated</w:t>
            </w:r>
          </w:p>
        </w:tc>
        <w:tc>
          <w:tcPr>
            <w:tcW w:w="810" w:type="dxa"/>
            <w:tcBorders>
              <w:bottom w:val="single" w:sz="4" w:space="0" w:color="00376E"/>
            </w:tcBorders>
            <w:shd w:val="clear" w:color="auto" w:fill="D9D9D9"/>
            <w:vAlign w:val="center"/>
          </w:tcPr>
          <w:p w14:paraId="065F5320" w14:textId="77777777" w:rsidR="007E127F" w:rsidRPr="004F30BD" w:rsidRDefault="00131752" w:rsidP="00AC1EDD">
            <w:pPr>
              <w:spacing w:before="60" w:after="60"/>
              <w:ind w:right="0"/>
              <w:jc w:val="center"/>
              <w:rPr>
                <w:rFonts w:cs="Calibri"/>
                <w:color w:val="000000"/>
                <w:szCs w:val="18"/>
              </w:rPr>
            </w:pPr>
            <w:r w:rsidRPr="004F30BD">
              <w:rPr>
                <w:rFonts w:cs="Calibri"/>
                <w:color w:val="000000"/>
                <w:szCs w:val="18"/>
              </w:rPr>
              <w:t>132</w:t>
            </w:r>
          </w:p>
        </w:tc>
        <w:tc>
          <w:tcPr>
            <w:tcW w:w="1170" w:type="dxa"/>
            <w:tcBorders>
              <w:bottom w:val="single" w:sz="4" w:space="0" w:color="00376E"/>
            </w:tcBorders>
            <w:shd w:val="clear" w:color="auto" w:fill="D9D9D9"/>
            <w:vAlign w:val="center"/>
          </w:tcPr>
          <w:p w14:paraId="1204A98D" w14:textId="77777777" w:rsidR="007E127F" w:rsidRPr="004F30BD" w:rsidRDefault="00AC1EDD" w:rsidP="00AC1EDD">
            <w:pPr>
              <w:spacing w:before="60" w:after="60"/>
              <w:ind w:right="0"/>
              <w:jc w:val="center"/>
              <w:rPr>
                <w:rFonts w:cs="Calibri"/>
                <w:color w:val="000000"/>
                <w:szCs w:val="18"/>
              </w:rPr>
            </w:pPr>
            <w:r w:rsidRPr="004F30BD">
              <w:rPr>
                <w:szCs w:val="18"/>
              </w:rPr>
              <w:t>54</w:t>
            </w:r>
          </w:p>
        </w:tc>
        <w:tc>
          <w:tcPr>
            <w:tcW w:w="1350" w:type="dxa"/>
            <w:tcBorders>
              <w:bottom w:val="single" w:sz="4" w:space="0" w:color="00376E"/>
            </w:tcBorders>
            <w:shd w:val="clear" w:color="auto" w:fill="D9D9D9"/>
            <w:vAlign w:val="center"/>
          </w:tcPr>
          <w:p w14:paraId="57E93F2B" w14:textId="77777777" w:rsidR="007E127F" w:rsidRPr="004F30BD" w:rsidRDefault="00AC1EDD" w:rsidP="00AC1EDD">
            <w:pPr>
              <w:spacing w:before="60" w:after="60"/>
              <w:ind w:right="0"/>
              <w:jc w:val="center"/>
              <w:rPr>
                <w:rFonts w:cs="Calibri"/>
                <w:color w:val="000000"/>
                <w:szCs w:val="18"/>
              </w:rPr>
            </w:pPr>
            <w:r w:rsidRPr="004F30BD">
              <w:rPr>
                <w:szCs w:val="18"/>
              </w:rPr>
              <w:t>52</w:t>
            </w:r>
          </w:p>
        </w:tc>
      </w:tr>
    </w:tbl>
    <w:p w14:paraId="092D3370" w14:textId="77777777" w:rsidR="006A226C" w:rsidRPr="004F30BD" w:rsidRDefault="006A226C" w:rsidP="006A226C">
      <w:pPr>
        <w:spacing w:before="60"/>
        <w:rPr>
          <w:i/>
          <w:iCs/>
          <w:sz w:val="16"/>
          <w:szCs w:val="18"/>
        </w:rPr>
      </w:pPr>
      <w:r w:rsidRPr="004F30BD">
        <w:rPr>
          <w:i/>
          <w:iCs/>
          <w:sz w:val="16"/>
          <w:szCs w:val="18"/>
        </w:rPr>
        <w:t>*Indicates new question for 2019</w:t>
      </w:r>
    </w:p>
    <w:p w14:paraId="261B12E6" w14:textId="77777777" w:rsidR="0070520B" w:rsidRPr="004F30BD" w:rsidRDefault="0070520B">
      <w:pPr>
        <w:spacing w:before="0" w:line="240" w:lineRule="auto"/>
        <w:ind w:right="0"/>
        <w:rPr>
          <w:rFonts w:cs="Arial"/>
          <w:b/>
          <w:bCs/>
          <w:iCs/>
          <w:color w:val="00376E"/>
          <w:sz w:val="22"/>
          <w:szCs w:val="28"/>
        </w:rPr>
      </w:pPr>
      <w:r w:rsidRPr="004F30BD">
        <w:br w:type="page"/>
      </w:r>
    </w:p>
    <w:p w14:paraId="77B0D8C5" w14:textId="77777777" w:rsidR="009A7018" w:rsidRPr="004F30BD" w:rsidRDefault="009A7018" w:rsidP="007461B8">
      <w:pPr>
        <w:pStyle w:val="Heading4"/>
      </w:pPr>
      <w:r w:rsidRPr="004F30BD">
        <w:lastRenderedPageBreak/>
        <w:t>Sector risks</w:t>
      </w:r>
    </w:p>
    <w:p w14:paraId="5678E7E3" w14:textId="77777777" w:rsidR="00422E1E" w:rsidRPr="004F30BD" w:rsidRDefault="00422E1E" w:rsidP="00422E1E">
      <w:r w:rsidRPr="004F30BD">
        <w:t>The highest threat risks combining all providers responses were identified as:</w:t>
      </w:r>
    </w:p>
    <w:p w14:paraId="7764E613" w14:textId="77777777" w:rsidR="00422E1E" w:rsidRPr="004F30BD" w:rsidRDefault="00422E1E" w:rsidP="00422E1E">
      <w:pPr>
        <w:pStyle w:val="ListParagraph"/>
        <w:numPr>
          <w:ilvl w:val="0"/>
          <w:numId w:val="19"/>
        </w:numPr>
        <w:spacing w:before="60"/>
        <w:ind w:right="1080"/>
        <w:contextualSpacing w:val="0"/>
      </w:pPr>
      <w:r w:rsidRPr="004F30BD">
        <w:t>Contract cheating</w:t>
      </w:r>
    </w:p>
    <w:p w14:paraId="74DB5558" w14:textId="77777777" w:rsidR="00422E1E" w:rsidRPr="004F30BD" w:rsidRDefault="00422E1E" w:rsidP="00422E1E">
      <w:pPr>
        <w:pStyle w:val="ListParagraph"/>
        <w:numPr>
          <w:ilvl w:val="0"/>
          <w:numId w:val="19"/>
        </w:numPr>
        <w:spacing w:before="60"/>
        <w:ind w:right="1080"/>
        <w:contextualSpacing w:val="0"/>
      </w:pPr>
      <w:r w:rsidRPr="004F30BD">
        <w:t>Cyber security</w:t>
      </w:r>
    </w:p>
    <w:p w14:paraId="1D660748" w14:textId="77777777" w:rsidR="00422E1E" w:rsidRPr="004F30BD" w:rsidRDefault="00422E1E" w:rsidP="00422E1E">
      <w:pPr>
        <w:pStyle w:val="ListParagraph"/>
        <w:numPr>
          <w:ilvl w:val="0"/>
          <w:numId w:val="19"/>
        </w:numPr>
        <w:spacing w:before="60"/>
        <w:ind w:right="1080"/>
        <w:contextualSpacing w:val="0"/>
      </w:pPr>
      <w:r w:rsidRPr="004F30BD">
        <w:t>Stereotyping of private providers.</w:t>
      </w:r>
    </w:p>
    <w:p w14:paraId="6E3227CD" w14:textId="77777777" w:rsidR="00FF6747" w:rsidRPr="004F30BD" w:rsidRDefault="00FF6747" w:rsidP="00FF6747">
      <w:pPr>
        <w:spacing w:before="60"/>
        <w:ind w:right="1080"/>
      </w:pPr>
      <w:r w:rsidRPr="004F30BD">
        <w:t xml:space="preserve">These risks varied somewhat between market groupings, with universities identifying different high threat risks than other providers. However, </w:t>
      </w:r>
      <w:r w:rsidR="004F30BD" w:rsidRPr="004F30BD">
        <w:t>all types</w:t>
      </w:r>
      <w:r w:rsidRPr="004F30BD">
        <w:t xml:space="preserve"> of providers identified contract cheating as a medium or high threat.</w:t>
      </w:r>
    </w:p>
    <w:p w14:paraId="152DCABA" w14:textId="77777777" w:rsidR="007E127F" w:rsidRPr="004F30BD" w:rsidRDefault="009A7018" w:rsidP="007461B8">
      <w:pPr>
        <w:pStyle w:val="Heading4"/>
      </w:pPr>
      <w:r w:rsidRPr="004F30BD">
        <w:t>O</w:t>
      </w:r>
      <w:r w:rsidR="007E127F" w:rsidRPr="004F30BD">
        <w:t>verall rating</w:t>
      </w:r>
    </w:p>
    <w:p w14:paraId="18C700BD" w14:textId="33DB62E9" w:rsidR="007E127F" w:rsidRPr="004F30BD" w:rsidRDefault="007E127F" w:rsidP="00B036AF">
      <w:r w:rsidRPr="004F30BD">
        <w:t>Pri</w:t>
      </w:r>
      <w:r w:rsidR="00D355F4" w:rsidRPr="004F30BD">
        <w:t>n</w:t>
      </w:r>
      <w:r w:rsidRPr="004F30BD">
        <w:t xml:space="preserve">cipal contacts rating of TEQSA’s overall performance as a regulator </w:t>
      </w:r>
      <w:r w:rsidR="00D355F4" w:rsidRPr="004F30BD">
        <w:t xml:space="preserve">was </w:t>
      </w:r>
      <w:r w:rsidR="008C3102" w:rsidRPr="004F30BD">
        <w:t>7</w:t>
      </w:r>
      <w:r w:rsidR="008C3102">
        <w:t>6</w:t>
      </w:r>
      <w:r w:rsidR="00D355F4" w:rsidRPr="004F30BD">
        <w:t>%</w:t>
      </w:r>
      <w:r w:rsidR="0020328E" w:rsidRPr="004F30BD">
        <w:t>--</w:t>
      </w:r>
      <w:r w:rsidRPr="004F30BD">
        <w:t>a</w:t>
      </w:r>
      <w:r w:rsidR="00FF6747" w:rsidRPr="004F30BD">
        <w:t xml:space="preserve">n improvement on the </w:t>
      </w:r>
      <w:r w:rsidRPr="004F30BD">
        <w:t xml:space="preserve">2018 score </w:t>
      </w:r>
      <w:r w:rsidR="00D355F4" w:rsidRPr="004F30BD">
        <w:t>of 7</w:t>
      </w:r>
      <w:r w:rsidR="00377C9F">
        <w:t>1</w:t>
      </w:r>
      <w:r w:rsidRPr="004F30BD">
        <w:t>%</w:t>
      </w:r>
      <w:r w:rsidR="00FF6747" w:rsidRPr="004F30BD">
        <w:t xml:space="preserve"> but not statistically significant.</w:t>
      </w:r>
    </w:p>
    <w:p w14:paraId="25740ADC" w14:textId="77777777" w:rsidR="008D0F26" w:rsidRPr="004F30BD" w:rsidRDefault="00B036AF" w:rsidP="007461B8">
      <w:pPr>
        <w:pStyle w:val="Heading4"/>
      </w:pPr>
      <w:r w:rsidRPr="004F30BD">
        <w:t>Comments and improvement suggestions</w:t>
      </w:r>
    </w:p>
    <w:p w14:paraId="6FD1563D" w14:textId="25C3F07B" w:rsidR="008D0F26" w:rsidRPr="004F30BD" w:rsidRDefault="00B036AF" w:rsidP="008D0F26">
      <w:r w:rsidRPr="004F30BD">
        <w:t>O</w:t>
      </w:r>
      <w:r w:rsidR="008D0F26" w:rsidRPr="004F30BD">
        <w:t>pen-ended comments highlight</w:t>
      </w:r>
      <w:r w:rsidRPr="004F30BD">
        <w:t>ed</w:t>
      </w:r>
      <w:r w:rsidR="008D0F26" w:rsidRPr="004F30BD">
        <w:t xml:space="preserve"> </w:t>
      </w:r>
      <w:r w:rsidR="00FF6747" w:rsidRPr="004F30BD">
        <w:t xml:space="preserve">the goods and bads of case management—where it worked well and </w:t>
      </w:r>
      <w:r w:rsidR="004B40D4">
        <w:t xml:space="preserve">where it </w:t>
      </w:r>
      <w:r w:rsidR="00FF6747" w:rsidRPr="004F30BD">
        <w:t xml:space="preserve">needed to improve. TEQSA was recognised for its </w:t>
      </w:r>
      <w:r w:rsidR="004F30BD" w:rsidRPr="004F30BD">
        <w:t>risk-based</w:t>
      </w:r>
      <w:r w:rsidR="00FF6747" w:rsidRPr="004F30BD">
        <w:t xml:space="preserve"> approach </w:t>
      </w:r>
      <w:r w:rsidR="004F30BD">
        <w:t>to</w:t>
      </w:r>
      <w:r w:rsidR="00FF6747" w:rsidRPr="004F30BD">
        <w:t xml:space="preserve"> regulat</w:t>
      </w:r>
      <w:r w:rsidR="004F30BD">
        <w:t>ion</w:t>
      </w:r>
      <w:r w:rsidR="00FF6747" w:rsidRPr="004F30BD">
        <w:t>, its strong stance on academic integrity</w:t>
      </w:r>
      <w:r w:rsidR="004C0D1A" w:rsidRPr="004F30BD">
        <w:t xml:space="preserve"> and the quality of </w:t>
      </w:r>
      <w:r w:rsidR="004B40D4">
        <w:t>the</w:t>
      </w:r>
      <w:r w:rsidR="004B40D4" w:rsidRPr="004F30BD">
        <w:t xml:space="preserve"> </w:t>
      </w:r>
      <w:r w:rsidR="004C0D1A" w:rsidRPr="004F30BD">
        <w:t>information provided about regulation and the sector in general.</w:t>
      </w:r>
    </w:p>
    <w:p w14:paraId="4CE64477" w14:textId="77777777" w:rsidR="005C708B" w:rsidRPr="004F30BD" w:rsidRDefault="005C708B" w:rsidP="005C708B">
      <w:pPr>
        <w:shd w:val="clear" w:color="auto" w:fill="FFFFFF" w:themeFill="background1"/>
      </w:pPr>
      <w:r w:rsidRPr="004F30BD">
        <w:t>Many of the suggestions for improvements or change are similar to previous surveys. Areas identified in 2019 that providers believe TEQSA needs to improve include:</w:t>
      </w:r>
    </w:p>
    <w:p w14:paraId="38DD6F0F" w14:textId="77777777" w:rsidR="005C708B" w:rsidRPr="004F30BD" w:rsidRDefault="005C708B" w:rsidP="005C708B">
      <w:pPr>
        <w:pStyle w:val="ListParagraph"/>
        <w:numPr>
          <w:ilvl w:val="0"/>
          <w:numId w:val="18"/>
        </w:numPr>
        <w:shd w:val="clear" w:color="auto" w:fill="FFFFFF" w:themeFill="background1"/>
        <w:spacing w:before="60"/>
        <w:ind w:right="1080"/>
        <w:contextualSpacing w:val="0"/>
      </w:pPr>
      <w:r w:rsidRPr="004F30BD">
        <w:t>Reduce timelines for applications, reaccreditation and accreditation</w:t>
      </w:r>
    </w:p>
    <w:p w14:paraId="21FA6685" w14:textId="77777777" w:rsidR="005C708B" w:rsidRPr="004F30BD" w:rsidRDefault="005C708B" w:rsidP="005C708B">
      <w:pPr>
        <w:pStyle w:val="ListParagraph"/>
        <w:numPr>
          <w:ilvl w:val="0"/>
          <w:numId w:val="18"/>
        </w:numPr>
        <w:shd w:val="clear" w:color="auto" w:fill="FFFFFF" w:themeFill="background1"/>
        <w:spacing w:before="60"/>
        <w:ind w:right="1080"/>
        <w:contextualSpacing w:val="0"/>
      </w:pPr>
      <w:r w:rsidRPr="004F30BD">
        <w:t>Streamline regulatory burden</w:t>
      </w:r>
    </w:p>
    <w:p w14:paraId="1E3BCE84" w14:textId="77777777" w:rsidR="005C708B" w:rsidRPr="004F30BD" w:rsidRDefault="005C708B" w:rsidP="005C708B">
      <w:pPr>
        <w:pStyle w:val="ListParagraph"/>
        <w:numPr>
          <w:ilvl w:val="0"/>
          <w:numId w:val="18"/>
        </w:numPr>
        <w:shd w:val="clear" w:color="auto" w:fill="FFFFFF" w:themeFill="background1"/>
        <w:spacing w:before="60"/>
        <w:ind w:right="1080"/>
        <w:contextualSpacing w:val="0"/>
      </w:pPr>
      <w:r w:rsidRPr="004F30BD">
        <w:t>Respond to queries in a timely fashion and provide status updates</w:t>
      </w:r>
    </w:p>
    <w:p w14:paraId="776E5B64" w14:textId="77777777" w:rsidR="005C708B" w:rsidRPr="004F30BD" w:rsidRDefault="005C708B" w:rsidP="005C708B">
      <w:pPr>
        <w:pStyle w:val="ListParagraph"/>
        <w:numPr>
          <w:ilvl w:val="0"/>
          <w:numId w:val="18"/>
        </w:numPr>
        <w:shd w:val="clear" w:color="auto" w:fill="FFFFFF" w:themeFill="background1"/>
        <w:spacing w:before="60"/>
        <w:ind w:right="1080"/>
        <w:contextualSpacing w:val="0"/>
      </w:pPr>
      <w:r w:rsidRPr="004F30BD">
        <w:t xml:space="preserve">Improve case managers’ knowledge of providers / internal dealings across other areas of TEQSA </w:t>
      </w:r>
    </w:p>
    <w:p w14:paraId="5FB5096E" w14:textId="77777777" w:rsidR="005C708B" w:rsidRPr="004F30BD" w:rsidRDefault="004F30BD" w:rsidP="005C708B">
      <w:pPr>
        <w:pStyle w:val="ListParagraph"/>
        <w:numPr>
          <w:ilvl w:val="0"/>
          <w:numId w:val="18"/>
        </w:numPr>
        <w:shd w:val="clear" w:color="auto" w:fill="FFFFFF" w:themeFill="background1"/>
        <w:spacing w:before="60"/>
        <w:ind w:right="1080"/>
        <w:contextualSpacing w:val="0"/>
      </w:pPr>
      <w:r w:rsidRPr="004F30BD">
        <w:t>Have</w:t>
      </w:r>
      <w:r w:rsidR="005C708B" w:rsidRPr="004F30BD">
        <w:t xml:space="preserve"> consistent engagement / collaboration to address strategic issues facing the sector </w:t>
      </w:r>
    </w:p>
    <w:p w14:paraId="3F37B5C6" w14:textId="77777777" w:rsidR="005C708B" w:rsidRPr="004F30BD" w:rsidRDefault="005C708B" w:rsidP="005C708B">
      <w:pPr>
        <w:pStyle w:val="ListParagraph"/>
        <w:numPr>
          <w:ilvl w:val="0"/>
          <w:numId w:val="18"/>
        </w:numPr>
        <w:shd w:val="clear" w:color="auto" w:fill="FFFFFF" w:themeFill="background1"/>
        <w:spacing w:before="60"/>
        <w:ind w:right="1080"/>
        <w:contextualSpacing w:val="0"/>
      </w:pPr>
      <w:r w:rsidRPr="004F30BD">
        <w:t>Partner more with other regulatory bodies to address regulatory issues in the sector</w:t>
      </w:r>
    </w:p>
    <w:p w14:paraId="57454D96" w14:textId="77777777" w:rsidR="005C708B" w:rsidRPr="004F30BD" w:rsidRDefault="005C708B" w:rsidP="005C708B">
      <w:pPr>
        <w:pStyle w:val="ListParagraph"/>
        <w:numPr>
          <w:ilvl w:val="0"/>
          <w:numId w:val="18"/>
        </w:numPr>
        <w:shd w:val="clear" w:color="auto" w:fill="FFFFFF" w:themeFill="background1"/>
        <w:spacing w:before="60"/>
        <w:ind w:right="1080"/>
        <w:contextualSpacing w:val="0"/>
      </w:pPr>
      <w:r w:rsidRPr="004F30BD">
        <w:t xml:space="preserve">Better understand the role / representation of public providers and regional universities </w:t>
      </w:r>
    </w:p>
    <w:p w14:paraId="18BE5979" w14:textId="77777777" w:rsidR="005C708B" w:rsidRPr="004F30BD" w:rsidRDefault="005C708B" w:rsidP="005C708B">
      <w:pPr>
        <w:pStyle w:val="ListParagraph"/>
        <w:numPr>
          <w:ilvl w:val="0"/>
          <w:numId w:val="18"/>
        </w:numPr>
        <w:shd w:val="clear" w:color="auto" w:fill="FFFFFF" w:themeFill="background1"/>
        <w:spacing w:before="60"/>
        <w:ind w:right="1080"/>
        <w:contextualSpacing w:val="0"/>
      </w:pPr>
      <w:r w:rsidRPr="004F30BD">
        <w:t>Continue to increase transparency around risk system and factors driving assessments</w:t>
      </w:r>
    </w:p>
    <w:p w14:paraId="597B3299" w14:textId="77777777" w:rsidR="005C708B" w:rsidRPr="004F30BD" w:rsidRDefault="005C708B" w:rsidP="005C708B">
      <w:pPr>
        <w:pStyle w:val="ListParagraph"/>
        <w:numPr>
          <w:ilvl w:val="0"/>
          <w:numId w:val="6"/>
        </w:numPr>
        <w:spacing w:before="60"/>
        <w:ind w:right="1080"/>
        <w:contextualSpacing w:val="0"/>
      </w:pPr>
      <w:r w:rsidRPr="004F30BD">
        <w:t>Support innovation in processes covering regulation, teaching and new learning technologies.</w:t>
      </w:r>
    </w:p>
    <w:p w14:paraId="665107E6" w14:textId="77777777" w:rsidR="008D0F26" w:rsidRPr="004F30BD" w:rsidRDefault="00B036AF" w:rsidP="008D0F26">
      <w:r w:rsidRPr="004F30BD">
        <w:t>Private / independent providers continue</w:t>
      </w:r>
      <w:r w:rsidR="009A7018" w:rsidRPr="004F30BD">
        <w:t>d</w:t>
      </w:r>
      <w:r w:rsidRPr="004F30BD">
        <w:t xml:space="preserve"> to have a</w:t>
      </w:r>
      <w:r w:rsidR="008D0F26" w:rsidRPr="004F30BD">
        <w:t xml:space="preserve"> view </w:t>
      </w:r>
      <w:r w:rsidRPr="004F30BD">
        <w:t>th</w:t>
      </w:r>
      <w:r w:rsidR="008D0F26" w:rsidRPr="004F30BD">
        <w:t>at TEQSA is university centric and does not understand the context in which non-public providers operate, particularly those that operate for profit or that are based in regional locations.</w:t>
      </w:r>
    </w:p>
    <w:p w14:paraId="7BD04F89" w14:textId="77777777" w:rsidR="007E127F" w:rsidRPr="004F30BD" w:rsidRDefault="009A7018" w:rsidP="007461B8">
      <w:pPr>
        <w:pStyle w:val="Heading4"/>
      </w:pPr>
      <w:r w:rsidRPr="004F30BD">
        <w:t>A</w:t>
      </w:r>
      <w:r w:rsidR="007E127F" w:rsidRPr="004F30BD">
        <w:t>ttribute differences</w:t>
      </w:r>
    </w:p>
    <w:p w14:paraId="01883E93" w14:textId="38699ADB" w:rsidR="007E127F" w:rsidRPr="004F30BD" w:rsidRDefault="00D355F4" w:rsidP="007E127F">
      <w:r w:rsidRPr="004F30BD">
        <w:t>P</w:t>
      </w:r>
      <w:r w:rsidR="00860E6A" w:rsidRPr="004F30BD">
        <w:t>rincipal contact</w:t>
      </w:r>
      <w:r w:rsidRPr="004F30BD">
        <w:t xml:space="preserve"> survey r</w:t>
      </w:r>
      <w:r w:rsidR="007E127F" w:rsidRPr="004F30BD">
        <w:t xml:space="preserve">esponses were analysed by various provider attributes to understand similarities and differences between provider sub-groups. This analysis helps identify issues with particular segments and allows TEQSA to tailor initiatives to these </w:t>
      </w:r>
      <w:r w:rsidRPr="004F30BD">
        <w:t>g</w:t>
      </w:r>
      <w:r w:rsidR="007E127F" w:rsidRPr="004F30BD">
        <w:t>roups.</w:t>
      </w:r>
      <w:r w:rsidR="00860E6A" w:rsidRPr="004F30BD">
        <w:t xml:space="preserve"> For 2019, there were fewer </w:t>
      </w:r>
      <w:r w:rsidR="00C5302F">
        <w:t xml:space="preserve">instances of </w:t>
      </w:r>
      <w:r w:rsidR="00860E6A" w:rsidRPr="004F30BD">
        <w:t>significant differences between provider sub-groups than in previous years. This, in itself, is a notable result for this year.</w:t>
      </w:r>
    </w:p>
    <w:p w14:paraId="6DB13D7B" w14:textId="77777777" w:rsidR="00377C9F" w:rsidRDefault="00377C9F">
      <w:pPr>
        <w:spacing w:before="0" w:line="240" w:lineRule="auto"/>
        <w:ind w:right="0"/>
      </w:pPr>
      <w:r>
        <w:br w:type="page"/>
      </w:r>
    </w:p>
    <w:p w14:paraId="62D52DFF" w14:textId="365B7556" w:rsidR="007E127F" w:rsidRPr="004F30BD" w:rsidRDefault="007E127F" w:rsidP="007E127F">
      <w:r w:rsidRPr="004F30BD">
        <w:lastRenderedPageBreak/>
        <w:t>There were</w:t>
      </w:r>
      <w:r w:rsidR="00D75AF4" w:rsidRPr="004F30BD">
        <w:t xml:space="preserve"> </w:t>
      </w:r>
      <w:r w:rsidR="004C0D1A" w:rsidRPr="004F30BD">
        <w:t>a small number of</w:t>
      </w:r>
      <w:r w:rsidR="00D75AF4" w:rsidRPr="004F30BD">
        <w:t xml:space="preserve"> statistically significant</w:t>
      </w:r>
      <w:r w:rsidRPr="004F30BD">
        <w:t xml:space="preserve"> differences in </w:t>
      </w:r>
      <w:r w:rsidR="00D75AF4" w:rsidRPr="004F30BD">
        <w:t xml:space="preserve">the 2019 results among </w:t>
      </w:r>
      <w:r w:rsidRPr="004F30BD">
        <w:t>the following sub-groups:</w:t>
      </w:r>
    </w:p>
    <w:p w14:paraId="27526A01" w14:textId="77777777" w:rsidR="007E127F" w:rsidRPr="004F30BD" w:rsidRDefault="007E127F" w:rsidP="00A06284">
      <w:pPr>
        <w:pStyle w:val="ListParagraph"/>
        <w:numPr>
          <w:ilvl w:val="0"/>
          <w:numId w:val="12"/>
        </w:numPr>
      </w:pPr>
      <w:r w:rsidRPr="004F30BD">
        <w:t>Self-accrediting authority (SAA) or not</w:t>
      </w:r>
    </w:p>
    <w:p w14:paraId="1FB9698E" w14:textId="77777777" w:rsidR="007E127F" w:rsidRPr="004F30BD" w:rsidRDefault="007E127F" w:rsidP="00A06284">
      <w:pPr>
        <w:pStyle w:val="ListParagraph"/>
        <w:numPr>
          <w:ilvl w:val="0"/>
          <w:numId w:val="12"/>
        </w:numPr>
      </w:pPr>
      <w:r w:rsidRPr="004F30BD">
        <w:t>High / moderate financial position risk as assessed by TEQSA</w:t>
      </w:r>
    </w:p>
    <w:p w14:paraId="2713211D" w14:textId="77777777" w:rsidR="007E127F" w:rsidRPr="004F30BD" w:rsidRDefault="007E127F" w:rsidP="00A06284">
      <w:pPr>
        <w:pStyle w:val="ListParagraph"/>
        <w:numPr>
          <w:ilvl w:val="0"/>
          <w:numId w:val="12"/>
        </w:numPr>
      </w:pPr>
      <w:r w:rsidRPr="004F30BD">
        <w:t>High / moderate student risk as assessed by TEQSA</w:t>
      </w:r>
    </w:p>
    <w:p w14:paraId="23EA15AD" w14:textId="77777777" w:rsidR="007E127F" w:rsidRPr="004F30BD" w:rsidRDefault="007E127F" w:rsidP="00A06284">
      <w:pPr>
        <w:pStyle w:val="ListParagraph"/>
        <w:numPr>
          <w:ilvl w:val="0"/>
          <w:numId w:val="12"/>
        </w:numPr>
        <w:spacing w:after="240"/>
      </w:pPr>
      <w:r w:rsidRPr="004F30BD">
        <w:t>Registered Training Organisation (RTO) activity</w:t>
      </w:r>
    </w:p>
    <w:p w14:paraId="664E53E7" w14:textId="77777777" w:rsidR="007E127F" w:rsidRPr="004F30BD" w:rsidRDefault="007E127F" w:rsidP="00A06284">
      <w:pPr>
        <w:pStyle w:val="ListParagraph"/>
        <w:numPr>
          <w:ilvl w:val="0"/>
          <w:numId w:val="12"/>
        </w:numPr>
        <w:rPr>
          <w:color w:val="000000" w:themeColor="text1"/>
        </w:rPr>
      </w:pPr>
      <w:r w:rsidRPr="004F30BD">
        <w:rPr>
          <w:color w:val="000000" w:themeColor="text1"/>
        </w:rPr>
        <w:t>CRICOS / not CRICOS registered</w:t>
      </w:r>
    </w:p>
    <w:p w14:paraId="65F5BEC0" w14:textId="77777777" w:rsidR="007E127F" w:rsidRPr="004F30BD" w:rsidRDefault="007E127F" w:rsidP="00A06284">
      <w:pPr>
        <w:pStyle w:val="ListParagraph"/>
        <w:numPr>
          <w:ilvl w:val="0"/>
          <w:numId w:val="12"/>
        </w:numPr>
      </w:pPr>
      <w:r w:rsidRPr="004F30BD">
        <w:t>Category</w:t>
      </w:r>
      <w:r w:rsidR="004C0D1A" w:rsidRPr="004F30BD">
        <w:t xml:space="preserve"> (university, HEP and prospective HEP)</w:t>
      </w:r>
    </w:p>
    <w:p w14:paraId="1FA3B2EE" w14:textId="5E81F459" w:rsidR="007E127F" w:rsidRPr="004F30BD" w:rsidRDefault="007E127F" w:rsidP="00A06284">
      <w:pPr>
        <w:pStyle w:val="ListParagraph"/>
        <w:numPr>
          <w:ilvl w:val="0"/>
          <w:numId w:val="12"/>
        </w:numPr>
      </w:pPr>
      <w:r w:rsidRPr="004F30BD">
        <w:t>Market groupings</w:t>
      </w:r>
      <w:r w:rsidR="004C0D1A" w:rsidRPr="004F30BD">
        <w:t xml:space="preserve"> (university, </w:t>
      </w:r>
      <w:r w:rsidR="00377C9F">
        <w:t>p</w:t>
      </w:r>
      <w:r w:rsidR="004C0D1A" w:rsidRPr="004F30BD">
        <w:t>rofit, faith based, etc)</w:t>
      </w:r>
    </w:p>
    <w:p w14:paraId="66140C81" w14:textId="77777777" w:rsidR="005C708B" w:rsidRPr="004F30BD" w:rsidRDefault="005C708B" w:rsidP="005C708B">
      <w:r w:rsidRPr="004F30BD">
        <w:t xml:space="preserve">Analysis by state (location of provider) showed no significant differences. </w:t>
      </w:r>
    </w:p>
    <w:p w14:paraId="2A30ABF9" w14:textId="66AEC662" w:rsidR="007E127F" w:rsidRPr="004F30BD" w:rsidRDefault="007E127F" w:rsidP="007E127F">
      <w:r w:rsidRPr="004F30BD">
        <w:t>Based on market groupings, the overall perception of TEQSA</w:t>
      </w:r>
      <w:r w:rsidR="00BA2945" w:rsidRPr="004F30BD">
        <w:t>’s performance as a regulator</w:t>
      </w:r>
      <w:r w:rsidRPr="004F30BD">
        <w:t xml:space="preserve"> (</w:t>
      </w:r>
      <w:r w:rsidR="005A2B9F" w:rsidRPr="004F30BD">
        <w:t>using</w:t>
      </w:r>
      <w:r w:rsidRPr="004F30BD">
        <w:t xml:space="preserve"> the</w:t>
      </w:r>
      <w:r w:rsidR="005A2B9F" w:rsidRPr="004F30BD">
        <w:t xml:space="preserve"> 2019</w:t>
      </w:r>
      <w:r w:rsidRPr="004F30BD">
        <w:t xml:space="preserve"> top 2 score) rated higher among universities (8</w:t>
      </w:r>
      <w:r w:rsidR="005A2B9F" w:rsidRPr="004F30BD">
        <w:t>9</w:t>
      </w:r>
      <w:r w:rsidRPr="004F30BD">
        <w:t>%) and miscellaneous providers (88%) compared to prospective HEPs (57%), for profit (6</w:t>
      </w:r>
      <w:r w:rsidR="005A2B9F" w:rsidRPr="004F30BD">
        <w:t>8</w:t>
      </w:r>
      <w:r w:rsidRPr="004F30BD">
        <w:t>%) and other providers (6</w:t>
      </w:r>
      <w:r w:rsidR="005A2B9F" w:rsidRPr="004F30BD">
        <w:t>9</w:t>
      </w:r>
      <w:r w:rsidRPr="004F30BD">
        <w:t>%), with faith based providers (7</w:t>
      </w:r>
      <w:r w:rsidR="005A2B9F" w:rsidRPr="004F30BD">
        <w:t>8</w:t>
      </w:r>
      <w:r w:rsidRPr="004F30BD">
        <w:t>%) similar to the overall average score (</w:t>
      </w:r>
      <w:r w:rsidR="00C5302F" w:rsidRPr="004F30BD">
        <w:t>7</w:t>
      </w:r>
      <w:r w:rsidR="00C5302F">
        <w:t>6</w:t>
      </w:r>
      <w:r w:rsidRPr="004F30BD">
        <w:t xml:space="preserve">%). However, </w:t>
      </w:r>
      <w:r w:rsidR="005A2B9F" w:rsidRPr="004F30BD">
        <w:t xml:space="preserve">none of </w:t>
      </w:r>
      <w:r w:rsidRPr="004F30BD">
        <w:t>these differences were statistically significant</w:t>
      </w:r>
      <w:r w:rsidR="005A2B9F" w:rsidRPr="004F30BD">
        <w:t xml:space="preserve"> (as in measuring a true difference), mainly</w:t>
      </w:r>
      <w:r w:rsidRPr="004F30BD">
        <w:t xml:space="preserve"> due to small </w:t>
      </w:r>
      <w:r w:rsidR="005A2B9F" w:rsidRPr="004F30BD">
        <w:t>sample</w:t>
      </w:r>
      <w:r w:rsidRPr="004F30BD">
        <w:t xml:space="preserve"> sizes.</w:t>
      </w:r>
    </w:p>
    <w:p w14:paraId="284233A5" w14:textId="77777777" w:rsidR="007E127F" w:rsidRPr="004F30BD" w:rsidRDefault="005A2B9F" w:rsidP="005C708B">
      <w:pPr>
        <w:pStyle w:val="Heading4"/>
      </w:pPr>
      <w:r w:rsidRPr="004F30BD">
        <w:t>Provider and peak / professional / study body</w:t>
      </w:r>
      <w:r w:rsidR="007E127F" w:rsidRPr="004F30BD">
        <w:t xml:space="preserve"> comparison</w:t>
      </w:r>
    </w:p>
    <w:p w14:paraId="0EC3FFA9" w14:textId="6BF36C4A" w:rsidR="008B501C" w:rsidRPr="004F30BD" w:rsidRDefault="007E127F" w:rsidP="005C708B">
      <w:pPr>
        <w:spacing w:after="240"/>
        <w:rPr>
          <w:lang w:eastAsia="en-AU"/>
        </w:rPr>
      </w:pPr>
      <w:r w:rsidRPr="004F30BD">
        <w:rPr>
          <w:lang w:eastAsia="en-AU"/>
        </w:rPr>
        <w:t xml:space="preserve">The comparative results </w:t>
      </w:r>
      <w:r w:rsidR="005A2B9F" w:rsidRPr="004F30BD">
        <w:rPr>
          <w:lang w:eastAsia="en-AU"/>
        </w:rPr>
        <w:t xml:space="preserve">from the two surveys </w:t>
      </w:r>
      <w:r w:rsidRPr="004F30BD">
        <w:rPr>
          <w:lang w:eastAsia="en-AU"/>
        </w:rPr>
        <w:t xml:space="preserve">are displayed in the table below. </w:t>
      </w:r>
      <w:r w:rsidR="00FA78B8" w:rsidRPr="004F30BD">
        <w:rPr>
          <w:lang w:eastAsia="en-AU"/>
        </w:rPr>
        <w:t>PPSB</w:t>
      </w:r>
      <w:r w:rsidR="005A2B9F" w:rsidRPr="004F30BD">
        <w:rPr>
          <w:lang w:eastAsia="en-AU"/>
        </w:rPr>
        <w:t xml:space="preserve"> representatives</w:t>
      </w:r>
      <w:r w:rsidR="00FA78B8" w:rsidRPr="004F30BD">
        <w:rPr>
          <w:lang w:eastAsia="en-AU"/>
        </w:rPr>
        <w:t xml:space="preserve"> </w:t>
      </w:r>
      <w:r w:rsidR="005A2B9F" w:rsidRPr="00516A99">
        <w:rPr>
          <w:lang w:eastAsia="en-AU"/>
        </w:rPr>
        <w:t xml:space="preserve">rated </w:t>
      </w:r>
      <w:r w:rsidR="008D0F26" w:rsidRPr="00516A99">
        <w:rPr>
          <w:lang w:eastAsia="en-AU"/>
        </w:rPr>
        <w:t xml:space="preserve">most items </w:t>
      </w:r>
      <w:r w:rsidR="00516A99">
        <w:rPr>
          <w:lang w:eastAsia="en-AU"/>
        </w:rPr>
        <w:t>at a similar level</w:t>
      </w:r>
      <w:r w:rsidR="005C708B" w:rsidRPr="004F30BD">
        <w:rPr>
          <w:lang w:eastAsia="en-AU"/>
        </w:rPr>
        <w:t>, given the difference in margins of error for both surveys.</w:t>
      </w:r>
    </w:p>
    <w:tbl>
      <w:tblPr>
        <w:tblW w:w="8789" w:type="dxa"/>
        <w:tblLayout w:type="fixed"/>
        <w:tblLook w:val="0000" w:firstRow="0" w:lastRow="0" w:firstColumn="0" w:lastColumn="0" w:noHBand="0" w:noVBand="0"/>
      </w:tblPr>
      <w:tblGrid>
        <w:gridCol w:w="5040"/>
        <w:gridCol w:w="1980"/>
        <w:gridCol w:w="1769"/>
      </w:tblGrid>
      <w:tr w:rsidR="007E127F" w:rsidRPr="004F30BD" w14:paraId="32C41867" w14:textId="77777777" w:rsidTr="0070520B">
        <w:trPr>
          <w:trHeight w:val="257"/>
          <w:tblHeader/>
        </w:trPr>
        <w:tc>
          <w:tcPr>
            <w:tcW w:w="5040" w:type="dxa"/>
            <w:shd w:val="clear" w:color="auto" w:fill="00386E"/>
            <w:noWrap/>
            <w:vAlign w:val="center"/>
          </w:tcPr>
          <w:p w14:paraId="1033AB26" w14:textId="77777777" w:rsidR="007E127F" w:rsidRPr="004F30BD" w:rsidRDefault="007E127F" w:rsidP="00D75AF4">
            <w:pPr>
              <w:pStyle w:val="Tabletext"/>
              <w:spacing w:before="60" w:after="60" w:line="240" w:lineRule="atLeast"/>
              <w:rPr>
                <w:rFonts w:ascii="Arial Nova" w:hAnsi="Arial Nova"/>
                <w:color w:val="FFFFFF"/>
                <w:sz w:val="18"/>
                <w:szCs w:val="16"/>
                <w:lang w:val="en-AU"/>
              </w:rPr>
            </w:pPr>
            <w:r w:rsidRPr="004F30BD">
              <w:rPr>
                <w:rFonts w:ascii="Arial Nova" w:hAnsi="Arial Nova"/>
                <w:color w:val="FFFFFF"/>
                <w:sz w:val="18"/>
                <w:szCs w:val="16"/>
                <w:lang w:val="en-AU"/>
              </w:rPr>
              <w:t xml:space="preserve">KPI </w:t>
            </w:r>
            <w:r w:rsidR="005A2B9F" w:rsidRPr="004F30BD">
              <w:rPr>
                <w:rFonts w:ascii="Arial Nova" w:hAnsi="Arial Nova"/>
                <w:color w:val="FFFFFF"/>
                <w:sz w:val="18"/>
                <w:szCs w:val="16"/>
                <w:lang w:val="en-AU"/>
              </w:rPr>
              <w:t xml:space="preserve">ITEM </w:t>
            </w:r>
          </w:p>
        </w:tc>
        <w:tc>
          <w:tcPr>
            <w:tcW w:w="1980" w:type="dxa"/>
            <w:shd w:val="clear" w:color="auto" w:fill="00386E"/>
            <w:vAlign w:val="bottom"/>
          </w:tcPr>
          <w:p w14:paraId="29397F7D" w14:textId="77777777" w:rsidR="007E127F" w:rsidRPr="004F30BD" w:rsidRDefault="007E127F" w:rsidP="00D75AF4">
            <w:pPr>
              <w:pStyle w:val="Tabletext"/>
              <w:spacing w:before="60" w:after="60" w:line="240" w:lineRule="atLeast"/>
              <w:jc w:val="center"/>
              <w:rPr>
                <w:rFonts w:ascii="Arial Nova" w:hAnsi="Arial Nova"/>
                <w:color w:val="FFFFFF"/>
                <w:sz w:val="18"/>
                <w:szCs w:val="16"/>
                <w:lang w:val="en-AU"/>
              </w:rPr>
            </w:pPr>
            <w:r w:rsidRPr="004F30BD">
              <w:rPr>
                <w:rFonts w:ascii="Arial Nova" w:hAnsi="Arial Nova"/>
                <w:color w:val="FFFFFF"/>
                <w:sz w:val="18"/>
                <w:szCs w:val="16"/>
                <w:lang w:val="en-AU"/>
              </w:rPr>
              <w:t>PRINCIPAL CONTACT</w:t>
            </w:r>
            <w:r w:rsidR="005A2B9F" w:rsidRPr="004F30BD">
              <w:rPr>
                <w:rFonts w:ascii="Arial Nova" w:hAnsi="Arial Nova"/>
                <w:color w:val="FFFFFF"/>
                <w:sz w:val="18"/>
                <w:szCs w:val="16"/>
                <w:lang w:val="en-AU"/>
              </w:rPr>
              <w:br/>
              <w:t>TOP 2 SCORE (%)</w:t>
            </w:r>
            <w:r w:rsidRPr="004F30BD">
              <w:rPr>
                <w:rFonts w:ascii="Arial Nova" w:hAnsi="Arial Nova"/>
                <w:color w:val="FFFFFF"/>
                <w:sz w:val="18"/>
                <w:szCs w:val="16"/>
                <w:lang w:val="en-AU"/>
              </w:rPr>
              <w:br/>
              <w:t>n=139</w:t>
            </w:r>
          </w:p>
        </w:tc>
        <w:tc>
          <w:tcPr>
            <w:tcW w:w="1769" w:type="dxa"/>
            <w:shd w:val="clear" w:color="auto" w:fill="00386E"/>
            <w:vAlign w:val="bottom"/>
          </w:tcPr>
          <w:p w14:paraId="1DDC981B" w14:textId="77777777" w:rsidR="007E127F" w:rsidRPr="004F30BD" w:rsidRDefault="007E127F" w:rsidP="00D75AF4">
            <w:pPr>
              <w:pStyle w:val="Tabletext"/>
              <w:spacing w:before="60" w:after="60" w:line="240" w:lineRule="atLeast"/>
              <w:jc w:val="center"/>
              <w:rPr>
                <w:rFonts w:ascii="Arial Nova" w:hAnsi="Arial Nova"/>
                <w:color w:val="FFFFFF"/>
                <w:sz w:val="18"/>
                <w:szCs w:val="16"/>
                <w:lang w:val="en-AU"/>
              </w:rPr>
            </w:pPr>
            <w:r w:rsidRPr="004F30BD">
              <w:rPr>
                <w:rFonts w:ascii="Arial Nova" w:hAnsi="Arial Nova"/>
                <w:color w:val="FFFFFF"/>
                <w:sz w:val="18"/>
                <w:szCs w:val="16"/>
                <w:lang w:val="en-AU"/>
              </w:rPr>
              <w:t>PEAK / PROF / STUDENT BODY</w:t>
            </w:r>
            <w:r w:rsidR="005A2B9F" w:rsidRPr="004F30BD">
              <w:rPr>
                <w:rFonts w:ascii="Arial Nova" w:hAnsi="Arial Nova"/>
                <w:color w:val="FFFFFF"/>
                <w:sz w:val="18"/>
                <w:szCs w:val="16"/>
                <w:lang w:val="en-AU"/>
              </w:rPr>
              <w:t xml:space="preserve"> TOP 2 SCORE (%)</w:t>
            </w:r>
            <w:r w:rsidRPr="004F30BD">
              <w:rPr>
                <w:rFonts w:ascii="Arial Nova" w:hAnsi="Arial Nova"/>
                <w:color w:val="FFFFFF"/>
                <w:sz w:val="18"/>
                <w:szCs w:val="16"/>
                <w:lang w:val="en-AU"/>
              </w:rPr>
              <w:br/>
              <w:t>n=2</w:t>
            </w:r>
            <w:r w:rsidR="005C708B" w:rsidRPr="004F30BD">
              <w:rPr>
                <w:rFonts w:ascii="Arial Nova" w:hAnsi="Arial Nova"/>
                <w:color w:val="FFFFFF"/>
                <w:sz w:val="18"/>
                <w:szCs w:val="16"/>
                <w:lang w:val="en-AU"/>
              </w:rPr>
              <w:t>3</w:t>
            </w:r>
          </w:p>
        </w:tc>
      </w:tr>
      <w:tr w:rsidR="00FA78B8" w:rsidRPr="004F30BD" w14:paraId="42236964" w14:textId="77777777" w:rsidTr="0070520B">
        <w:trPr>
          <w:trHeight w:val="340"/>
        </w:trPr>
        <w:tc>
          <w:tcPr>
            <w:tcW w:w="5040" w:type="dxa"/>
            <w:shd w:val="clear" w:color="auto" w:fill="auto"/>
            <w:noWrap/>
          </w:tcPr>
          <w:p w14:paraId="27E90408" w14:textId="77777777" w:rsidR="00FA78B8" w:rsidRPr="004F30BD" w:rsidRDefault="00FA78B8" w:rsidP="00FA78B8">
            <w:pPr>
              <w:spacing w:before="60" w:after="60" w:line="240" w:lineRule="auto"/>
              <w:ind w:right="0"/>
              <w:rPr>
                <w:rFonts w:eastAsia="Times New Roman"/>
                <w:color w:val="000000"/>
                <w:szCs w:val="22"/>
                <w:lang w:eastAsia="en-AU"/>
              </w:rPr>
            </w:pPr>
            <w:r w:rsidRPr="004F30BD">
              <w:t>KPI 1 - Regulation by TEQSA does not unnecessarily impede the efficient operation of higher education providers</w:t>
            </w:r>
          </w:p>
        </w:tc>
        <w:tc>
          <w:tcPr>
            <w:tcW w:w="1980" w:type="dxa"/>
            <w:shd w:val="clear" w:color="auto" w:fill="auto"/>
            <w:vAlign w:val="center"/>
          </w:tcPr>
          <w:p w14:paraId="314C6DDD" w14:textId="77777777" w:rsidR="00FA78B8" w:rsidRPr="004F30BD" w:rsidRDefault="00FA78B8" w:rsidP="00AC1EDD">
            <w:pPr>
              <w:spacing w:before="60" w:after="60" w:line="240" w:lineRule="auto"/>
              <w:ind w:right="0"/>
              <w:jc w:val="center"/>
              <w:rPr>
                <w:rFonts w:eastAsia="Times New Roman"/>
                <w:color w:val="000000"/>
                <w:szCs w:val="22"/>
                <w:lang w:eastAsia="en-AU"/>
              </w:rPr>
            </w:pPr>
            <w:r w:rsidRPr="004F30BD">
              <w:t>59</w:t>
            </w:r>
          </w:p>
        </w:tc>
        <w:tc>
          <w:tcPr>
            <w:tcW w:w="1769" w:type="dxa"/>
            <w:vAlign w:val="center"/>
          </w:tcPr>
          <w:p w14:paraId="5C1F91A6" w14:textId="77777777" w:rsidR="00FA78B8" w:rsidRPr="004F30BD" w:rsidRDefault="00FA78B8" w:rsidP="00AC1EDD">
            <w:pPr>
              <w:spacing w:before="60" w:after="60" w:line="240" w:lineRule="auto"/>
              <w:ind w:right="0"/>
              <w:jc w:val="center"/>
              <w:rPr>
                <w:rFonts w:eastAsia="Times New Roman"/>
                <w:color w:val="000000"/>
                <w:szCs w:val="22"/>
                <w:lang w:eastAsia="en-AU"/>
              </w:rPr>
            </w:pPr>
            <w:r w:rsidRPr="004F30BD">
              <w:t>63</w:t>
            </w:r>
          </w:p>
        </w:tc>
      </w:tr>
      <w:tr w:rsidR="00FA78B8" w:rsidRPr="004F30BD" w14:paraId="13B4A3FB" w14:textId="77777777" w:rsidTr="0070520B">
        <w:trPr>
          <w:trHeight w:val="340"/>
        </w:trPr>
        <w:tc>
          <w:tcPr>
            <w:tcW w:w="5040" w:type="dxa"/>
            <w:shd w:val="clear" w:color="auto" w:fill="E6E6E6"/>
            <w:noWrap/>
          </w:tcPr>
          <w:p w14:paraId="638F043B" w14:textId="77777777" w:rsidR="00FA78B8" w:rsidRPr="004F30BD" w:rsidRDefault="00FA78B8" w:rsidP="00FA78B8">
            <w:pPr>
              <w:spacing w:before="60" w:after="60" w:line="240" w:lineRule="auto"/>
              <w:ind w:right="0"/>
              <w:rPr>
                <w:rFonts w:eastAsia="Times New Roman"/>
                <w:color w:val="000000"/>
                <w:szCs w:val="22"/>
                <w:lang w:eastAsia="en-AU"/>
              </w:rPr>
            </w:pPr>
            <w:r w:rsidRPr="004F30BD">
              <w:t>KPI 2 - TEQSA’s communication with your organisation is clear, targeted and effective</w:t>
            </w:r>
          </w:p>
        </w:tc>
        <w:tc>
          <w:tcPr>
            <w:tcW w:w="1980" w:type="dxa"/>
            <w:shd w:val="clear" w:color="auto" w:fill="E6E6E6"/>
            <w:vAlign w:val="center"/>
          </w:tcPr>
          <w:p w14:paraId="00A242A6" w14:textId="77777777" w:rsidR="00FA78B8" w:rsidRPr="004F30BD" w:rsidRDefault="00FA78B8" w:rsidP="00AC1EDD">
            <w:pPr>
              <w:spacing w:before="60" w:after="60" w:line="240" w:lineRule="auto"/>
              <w:ind w:right="0"/>
              <w:jc w:val="center"/>
              <w:rPr>
                <w:rFonts w:eastAsia="Times New Roman"/>
                <w:color w:val="000000"/>
                <w:szCs w:val="22"/>
                <w:lang w:eastAsia="en-AU"/>
              </w:rPr>
            </w:pPr>
            <w:r w:rsidRPr="004F30BD">
              <w:t>65</w:t>
            </w:r>
          </w:p>
        </w:tc>
        <w:tc>
          <w:tcPr>
            <w:tcW w:w="1769" w:type="dxa"/>
            <w:shd w:val="clear" w:color="auto" w:fill="E6E6E6"/>
            <w:vAlign w:val="center"/>
          </w:tcPr>
          <w:p w14:paraId="6BE38D67" w14:textId="77777777" w:rsidR="00FA78B8" w:rsidRPr="004F30BD" w:rsidRDefault="00FA78B8" w:rsidP="00AC1EDD">
            <w:pPr>
              <w:spacing w:before="60" w:after="60" w:line="240" w:lineRule="auto"/>
              <w:ind w:right="0"/>
              <w:jc w:val="center"/>
              <w:rPr>
                <w:rFonts w:eastAsia="Times New Roman"/>
                <w:color w:val="000000"/>
                <w:szCs w:val="22"/>
                <w:lang w:eastAsia="en-AU"/>
              </w:rPr>
            </w:pPr>
            <w:r w:rsidRPr="004F30BD">
              <w:t>68</w:t>
            </w:r>
          </w:p>
        </w:tc>
      </w:tr>
      <w:tr w:rsidR="00FA78B8" w:rsidRPr="004F30BD" w14:paraId="164A580F" w14:textId="77777777" w:rsidTr="0070520B">
        <w:trPr>
          <w:trHeight w:val="340"/>
        </w:trPr>
        <w:tc>
          <w:tcPr>
            <w:tcW w:w="5040" w:type="dxa"/>
            <w:shd w:val="clear" w:color="auto" w:fill="auto"/>
            <w:noWrap/>
          </w:tcPr>
          <w:p w14:paraId="14038112" w14:textId="77777777" w:rsidR="00FA78B8" w:rsidRPr="004F30BD" w:rsidRDefault="00FA78B8" w:rsidP="00FA78B8">
            <w:pPr>
              <w:spacing w:before="60" w:after="60" w:line="240" w:lineRule="auto"/>
              <w:ind w:right="0"/>
              <w:rPr>
                <w:rFonts w:eastAsia="Times New Roman"/>
                <w:color w:val="000000"/>
                <w:szCs w:val="22"/>
                <w:lang w:eastAsia="en-AU"/>
              </w:rPr>
            </w:pPr>
            <w:r w:rsidRPr="004F30BD">
              <w:t>KPI 3 - Regulatory actions undertaken by TEQSA are proportionate to the risks being managed</w:t>
            </w:r>
          </w:p>
        </w:tc>
        <w:tc>
          <w:tcPr>
            <w:tcW w:w="1980" w:type="dxa"/>
            <w:shd w:val="clear" w:color="auto" w:fill="auto"/>
            <w:vAlign w:val="center"/>
          </w:tcPr>
          <w:p w14:paraId="657B3B72" w14:textId="77777777" w:rsidR="00FA78B8" w:rsidRPr="004F30BD" w:rsidRDefault="00FA78B8" w:rsidP="00AC1EDD">
            <w:pPr>
              <w:spacing w:before="60" w:after="60" w:line="240" w:lineRule="auto"/>
              <w:ind w:right="0"/>
              <w:jc w:val="center"/>
              <w:rPr>
                <w:rFonts w:eastAsia="Times New Roman"/>
                <w:color w:val="000000"/>
                <w:szCs w:val="22"/>
                <w:lang w:eastAsia="en-AU"/>
              </w:rPr>
            </w:pPr>
            <w:r w:rsidRPr="004F30BD">
              <w:t>63</w:t>
            </w:r>
          </w:p>
        </w:tc>
        <w:tc>
          <w:tcPr>
            <w:tcW w:w="1769" w:type="dxa"/>
            <w:shd w:val="clear" w:color="auto" w:fill="auto"/>
            <w:vAlign w:val="center"/>
          </w:tcPr>
          <w:p w14:paraId="43A46F30" w14:textId="77777777" w:rsidR="00FA78B8" w:rsidRPr="004F30BD" w:rsidRDefault="00FA78B8" w:rsidP="00AC1EDD">
            <w:pPr>
              <w:spacing w:before="60" w:after="60" w:line="240" w:lineRule="auto"/>
              <w:ind w:right="0"/>
              <w:jc w:val="center"/>
              <w:rPr>
                <w:rFonts w:eastAsia="Times New Roman"/>
                <w:color w:val="000000"/>
                <w:szCs w:val="22"/>
                <w:lang w:eastAsia="en-AU"/>
              </w:rPr>
            </w:pPr>
            <w:r w:rsidRPr="004F30BD">
              <w:t>6</w:t>
            </w:r>
            <w:r w:rsidR="00AC1EDD" w:rsidRPr="004F30BD">
              <w:t>5</w:t>
            </w:r>
          </w:p>
        </w:tc>
      </w:tr>
      <w:tr w:rsidR="00FA78B8" w:rsidRPr="004F30BD" w14:paraId="2D34040A" w14:textId="77777777" w:rsidTr="0070520B">
        <w:trPr>
          <w:trHeight w:val="340"/>
        </w:trPr>
        <w:tc>
          <w:tcPr>
            <w:tcW w:w="5040" w:type="dxa"/>
            <w:shd w:val="clear" w:color="auto" w:fill="E6E6E6"/>
            <w:noWrap/>
          </w:tcPr>
          <w:p w14:paraId="3D210633" w14:textId="77777777" w:rsidR="00FA78B8" w:rsidRPr="004F30BD" w:rsidRDefault="00FA78B8" w:rsidP="00FA78B8">
            <w:pPr>
              <w:spacing w:before="60" w:after="60" w:line="240" w:lineRule="auto"/>
              <w:ind w:right="0"/>
              <w:rPr>
                <w:rFonts w:eastAsia="Times New Roman"/>
                <w:color w:val="000000"/>
                <w:szCs w:val="22"/>
                <w:lang w:eastAsia="en-AU"/>
              </w:rPr>
            </w:pPr>
            <w:r w:rsidRPr="004F30BD">
              <w:t>KPI 4 - TEQSA’s compliance and monitoring approaches for higher education providers are streamlined and co-ordinated</w:t>
            </w:r>
          </w:p>
        </w:tc>
        <w:tc>
          <w:tcPr>
            <w:tcW w:w="1980" w:type="dxa"/>
            <w:shd w:val="clear" w:color="auto" w:fill="E6E6E6"/>
            <w:vAlign w:val="center"/>
          </w:tcPr>
          <w:p w14:paraId="36F7A8B2" w14:textId="77777777" w:rsidR="00FA78B8" w:rsidRPr="004F30BD" w:rsidRDefault="00FA78B8" w:rsidP="00AC1EDD">
            <w:pPr>
              <w:spacing w:before="60" w:after="60" w:line="240" w:lineRule="auto"/>
              <w:ind w:right="0"/>
              <w:jc w:val="center"/>
              <w:rPr>
                <w:rFonts w:eastAsia="Times New Roman"/>
                <w:color w:val="000000"/>
                <w:szCs w:val="22"/>
                <w:lang w:eastAsia="en-AU"/>
              </w:rPr>
            </w:pPr>
            <w:r w:rsidRPr="004F30BD">
              <w:t>54</w:t>
            </w:r>
          </w:p>
        </w:tc>
        <w:tc>
          <w:tcPr>
            <w:tcW w:w="1769" w:type="dxa"/>
            <w:shd w:val="clear" w:color="auto" w:fill="E6E6E6"/>
            <w:vAlign w:val="center"/>
          </w:tcPr>
          <w:p w14:paraId="560F8A28" w14:textId="77777777" w:rsidR="00FA78B8" w:rsidRPr="004F30BD" w:rsidRDefault="00FA78B8" w:rsidP="00AC1EDD">
            <w:pPr>
              <w:spacing w:before="60" w:after="60" w:line="240" w:lineRule="auto"/>
              <w:ind w:right="0"/>
              <w:jc w:val="center"/>
              <w:rPr>
                <w:rFonts w:eastAsia="Times New Roman"/>
                <w:color w:val="000000"/>
                <w:szCs w:val="22"/>
                <w:lang w:eastAsia="en-AU"/>
              </w:rPr>
            </w:pPr>
            <w:r w:rsidRPr="004F30BD">
              <w:t>6</w:t>
            </w:r>
            <w:r w:rsidR="00AC1EDD" w:rsidRPr="004F30BD">
              <w:t>3</w:t>
            </w:r>
          </w:p>
        </w:tc>
      </w:tr>
      <w:tr w:rsidR="00FA78B8" w:rsidRPr="004F30BD" w14:paraId="2BEC75EF" w14:textId="77777777" w:rsidTr="0070520B">
        <w:trPr>
          <w:trHeight w:val="340"/>
        </w:trPr>
        <w:tc>
          <w:tcPr>
            <w:tcW w:w="5040" w:type="dxa"/>
            <w:shd w:val="clear" w:color="auto" w:fill="auto"/>
            <w:noWrap/>
          </w:tcPr>
          <w:p w14:paraId="3F8BAF80" w14:textId="77777777" w:rsidR="00FA78B8" w:rsidRPr="004F30BD" w:rsidRDefault="00FA78B8" w:rsidP="00FA78B8">
            <w:pPr>
              <w:spacing w:before="60" w:after="60" w:line="240" w:lineRule="auto"/>
              <w:ind w:right="0"/>
              <w:rPr>
                <w:rFonts w:eastAsia="Times New Roman"/>
                <w:color w:val="000000"/>
                <w:szCs w:val="22"/>
                <w:lang w:eastAsia="en-AU"/>
              </w:rPr>
            </w:pPr>
            <w:r w:rsidRPr="004F30BD">
              <w:t>KPI 5 - TEQSA is open, transparent and consistent in its dealings with your organisation</w:t>
            </w:r>
          </w:p>
        </w:tc>
        <w:tc>
          <w:tcPr>
            <w:tcW w:w="1980" w:type="dxa"/>
            <w:shd w:val="clear" w:color="auto" w:fill="auto"/>
            <w:vAlign w:val="center"/>
          </w:tcPr>
          <w:p w14:paraId="6CD8A05B" w14:textId="77777777" w:rsidR="00FA78B8" w:rsidRPr="004F30BD" w:rsidRDefault="00FA78B8" w:rsidP="00AC1EDD">
            <w:pPr>
              <w:spacing w:before="60" w:after="60" w:line="240" w:lineRule="auto"/>
              <w:ind w:right="0"/>
              <w:jc w:val="center"/>
              <w:rPr>
                <w:rFonts w:eastAsia="Times New Roman"/>
                <w:color w:val="000000"/>
                <w:szCs w:val="22"/>
                <w:lang w:eastAsia="en-AU"/>
              </w:rPr>
            </w:pPr>
            <w:r w:rsidRPr="004F30BD">
              <w:t>73</w:t>
            </w:r>
          </w:p>
        </w:tc>
        <w:tc>
          <w:tcPr>
            <w:tcW w:w="1769" w:type="dxa"/>
            <w:shd w:val="clear" w:color="auto" w:fill="auto"/>
            <w:vAlign w:val="center"/>
          </w:tcPr>
          <w:p w14:paraId="4D8CC19D" w14:textId="77777777" w:rsidR="00FA78B8" w:rsidRPr="004F30BD" w:rsidRDefault="00FA78B8" w:rsidP="00AC1EDD">
            <w:pPr>
              <w:spacing w:before="60" w:after="60" w:line="240" w:lineRule="auto"/>
              <w:ind w:right="0"/>
              <w:jc w:val="center"/>
              <w:rPr>
                <w:rFonts w:eastAsia="Times New Roman"/>
                <w:color w:val="000000"/>
                <w:szCs w:val="22"/>
                <w:lang w:eastAsia="en-AU"/>
              </w:rPr>
            </w:pPr>
            <w:r w:rsidRPr="004F30BD">
              <w:t>71</w:t>
            </w:r>
          </w:p>
        </w:tc>
      </w:tr>
      <w:tr w:rsidR="00FA78B8" w:rsidRPr="004F30BD" w14:paraId="10730576" w14:textId="77777777" w:rsidTr="0070520B">
        <w:trPr>
          <w:trHeight w:val="340"/>
        </w:trPr>
        <w:tc>
          <w:tcPr>
            <w:tcW w:w="5040" w:type="dxa"/>
            <w:shd w:val="clear" w:color="auto" w:fill="E6E6E6"/>
            <w:noWrap/>
          </w:tcPr>
          <w:p w14:paraId="297519C2" w14:textId="77777777" w:rsidR="00FA78B8" w:rsidRPr="004F30BD" w:rsidRDefault="00FA78B8" w:rsidP="00FA78B8">
            <w:pPr>
              <w:spacing w:before="60" w:after="60" w:line="240" w:lineRule="auto"/>
              <w:ind w:right="0"/>
              <w:rPr>
                <w:rFonts w:eastAsia="Times New Roman"/>
                <w:color w:val="000000"/>
                <w:szCs w:val="22"/>
                <w:lang w:eastAsia="en-AU"/>
              </w:rPr>
            </w:pPr>
            <w:r w:rsidRPr="004F30BD">
              <w:t>KPI 6 - TEQSA continues to improve its regulatory framework</w:t>
            </w:r>
          </w:p>
        </w:tc>
        <w:tc>
          <w:tcPr>
            <w:tcW w:w="1980" w:type="dxa"/>
            <w:shd w:val="clear" w:color="auto" w:fill="E6E6E6"/>
            <w:vAlign w:val="center"/>
          </w:tcPr>
          <w:p w14:paraId="0C69E958" w14:textId="77777777" w:rsidR="00FA78B8" w:rsidRPr="004F30BD" w:rsidRDefault="00FA78B8" w:rsidP="00AC1EDD">
            <w:pPr>
              <w:spacing w:before="60" w:after="60" w:line="240" w:lineRule="auto"/>
              <w:ind w:right="0"/>
              <w:jc w:val="center"/>
              <w:rPr>
                <w:rFonts w:eastAsia="Times New Roman"/>
                <w:color w:val="000000"/>
                <w:szCs w:val="22"/>
                <w:lang w:eastAsia="en-AU"/>
              </w:rPr>
            </w:pPr>
            <w:r w:rsidRPr="004F30BD">
              <w:t>67</w:t>
            </w:r>
          </w:p>
        </w:tc>
        <w:tc>
          <w:tcPr>
            <w:tcW w:w="1769" w:type="dxa"/>
            <w:shd w:val="clear" w:color="auto" w:fill="E6E6E6"/>
            <w:vAlign w:val="center"/>
          </w:tcPr>
          <w:p w14:paraId="56297B7B" w14:textId="77777777" w:rsidR="00FA78B8" w:rsidRPr="004F30BD" w:rsidRDefault="00FA78B8" w:rsidP="00AC1EDD">
            <w:pPr>
              <w:spacing w:before="60" w:after="60" w:line="240" w:lineRule="auto"/>
              <w:ind w:right="0"/>
              <w:jc w:val="center"/>
              <w:rPr>
                <w:rFonts w:eastAsia="Times New Roman"/>
                <w:color w:val="000000"/>
                <w:szCs w:val="22"/>
                <w:lang w:eastAsia="en-AU"/>
              </w:rPr>
            </w:pPr>
            <w:r w:rsidRPr="004F30BD">
              <w:t>68</w:t>
            </w:r>
          </w:p>
        </w:tc>
      </w:tr>
      <w:tr w:rsidR="00FA78B8" w:rsidRPr="004F30BD" w14:paraId="6463C7BA" w14:textId="77777777" w:rsidTr="0070520B">
        <w:trPr>
          <w:trHeight w:val="340"/>
        </w:trPr>
        <w:tc>
          <w:tcPr>
            <w:tcW w:w="5040" w:type="dxa"/>
            <w:tcBorders>
              <w:bottom w:val="single" w:sz="4" w:space="0" w:color="auto"/>
            </w:tcBorders>
            <w:shd w:val="clear" w:color="auto" w:fill="auto"/>
            <w:noWrap/>
            <w:vAlign w:val="bottom"/>
          </w:tcPr>
          <w:p w14:paraId="27A5494C" w14:textId="77777777" w:rsidR="00FA78B8" w:rsidRPr="004F30BD" w:rsidRDefault="00FA78B8" w:rsidP="00FA78B8">
            <w:pPr>
              <w:spacing w:before="60" w:after="60" w:line="240" w:lineRule="auto"/>
              <w:ind w:right="0"/>
              <w:rPr>
                <w:rFonts w:eastAsia="Times New Roman"/>
                <w:color w:val="000000"/>
                <w:szCs w:val="22"/>
                <w:lang w:eastAsia="en-AU"/>
              </w:rPr>
            </w:pPr>
            <w:r w:rsidRPr="004F30BD">
              <w:rPr>
                <w:rFonts w:eastAsia="Times New Roman"/>
                <w:color w:val="000000"/>
                <w:szCs w:val="22"/>
                <w:lang w:eastAsia="en-AU"/>
              </w:rPr>
              <w:t>Overall TEQSA's performance as a regulator over the last 12 months</w:t>
            </w:r>
          </w:p>
        </w:tc>
        <w:tc>
          <w:tcPr>
            <w:tcW w:w="1980" w:type="dxa"/>
            <w:tcBorders>
              <w:bottom w:val="single" w:sz="4" w:space="0" w:color="auto"/>
            </w:tcBorders>
            <w:shd w:val="clear" w:color="auto" w:fill="auto"/>
            <w:vAlign w:val="center"/>
          </w:tcPr>
          <w:p w14:paraId="0AF9C2C0" w14:textId="275867C2" w:rsidR="00FA78B8" w:rsidRPr="004F30BD" w:rsidRDefault="00AC1EDD" w:rsidP="00C5302F">
            <w:pPr>
              <w:spacing w:before="60" w:after="60" w:line="240" w:lineRule="auto"/>
              <w:ind w:right="0"/>
              <w:jc w:val="center"/>
              <w:rPr>
                <w:rFonts w:eastAsia="Times New Roman"/>
                <w:color w:val="000000"/>
                <w:szCs w:val="22"/>
                <w:lang w:eastAsia="en-AU"/>
              </w:rPr>
            </w:pPr>
            <w:r w:rsidRPr="004F30BD">
              <w:rPr>
                <w:rFonts w:cs="Calibri"/>
                <w:color w:val="000000"/>
                <w:szCs w:val="16"/>
              </w:rPr>
              <w:t>7</w:t>
            </w:r>
            <w:r w:rsidR="00C5302F">
              <w:rPr>
                <w:rFonts w:cs="Calibri"/>
                <w:color w:val="000000"/>
                <w:szCs w:val="16"/>
              </w:rPr>
              <w:t>6</w:t>
            </w:r>
          </w:p>
        </w:tc>
        <w:tc>
          <w:tcPr>
            <w:tcW w:w="1769" w:type="dxa"/>
            <w:tcBorders>
              <w:bottom w:val="single" w:sz="4" w:space="0" w:color="auto"/>
            </w:tcBorders>
            <w:shd w:val="clear" w:color="auto" w:fill="auto"/>
            <w:vAlign w:val="center"/>
          </w:tcPr>
          <w:p w14:paraId="2AB106EF" w14:textId="77777777" w:rsidR="00FA78B8" w:rsidRPr="004F30BD" w:rsidRDefault="00AC1EDD" w:rsidP="00AC1EDD">
            <w:pPr>
              <w:spacing w:before="60" w:after="60" w:line="240" w:lineRule="auto"/>
              <w:ind w:right="0"/>
              <w:jc w:val="center"/>
              <w:rPr>
                <w:rFonts w:eastAsia="Times New Roman"/>
                <w:color w:val="000000"/>
                <w:szCs w:val="22"/>
                <w:lang w:eastAsia="en-AU"/>
              </w:rPr>
            </w:pPr>
            <w:r w:rsidRPr="004F30BD">
              <w:rPr>
                <w:rFonts w:eastAsia="Times New Roman"/>
                <w:color w:val="000000"/>
                <w:szCs w:val="22"/>
                <w:lang w:eastAsia="en-AU"/>
              </w:rPr>
              <w:t>64</w:t>
            </w:r>
          </w:p>
        </w:tc>
      </w:tr>
    </w:tbl>
    <w:p w14:paraId="62F220A8" w14:textId="77777777" w:rsidR="007E127F" w:rsidRPr="004F30BD" w:rsidRDefault="007E127F" w:rsidP="007461B8">
      <w:pPr>
        <w:pStyle w:val="Heading2"/>
      </w:pPr>
      <w:bookmarkStart w:id="4" w:name="_Toc22298011"/>
      <w:r w:rsidRPr="004F30BD">
        <w:t>Conclusions</w:t>
      </w:r>
      <w:bookmarkEnd w:id="4"/>
    </w:p>
    <w:p w14:paraId="7DDBB10F" w14:textId="0591451D" w:rsidR="005C708B" w:rsidRPr="004F30BD" w:rsidRDefault="005C708B" w:rsidP="005C708B">
      <w:pPr>
        <w:shd w:val="clear" w:color="auto" w:fill="FFFFFF" w:themeFill="background1"/>
      </w:pPr>
      <w:r w:rsidRPr="004F30BD">
        <w:t>This year’s results are somewhat mixed: overall performance has increased slightly but not significantly; KPIs have remained at similar levels to 2018; communication activities continue to be a strength for TEQSA; monitoring quality (a new topic for this year) has not performed well, while aspects of application processes (not CRICOS-related) have improved.</w:t>
      </w:r>
    </w:p>
    <w:p w14:paraId="70247918" w14:textId="31152687" w:rsidR="005C708B" w:rsidRPr="004F30BD" w:rsidRDefault="005C708B" w:rsidP="005C708B">
      <w:pPr>
        <w:shd w:val="clear" w:color="auto" w:fill="FFFFFF" w:themeFill="background1"/>
      </w:pPr>
      <w:r w:rsidRPr="004F30BD">
        <w:t xml:space="preserve">TEQSA’s conference, usually high scoring, did not do so well this year. Providers indicated that consultation activities, interaction with TEQSA staff and CRICOS applications need considerable improvements. Anything to do with speed of response and efficiency scored </w:t>
      </w:r>
      <w:r w:rsidR="00933BC8">
        <w:t>poorly</w:t>
      </w:r>
      <w:r w:rsidRPr="004F30BD">
        <w:t>.</w:t>
      </w:r>
    </w:p>
    <w:p w14:paraId="4246763E" w14:textId="77777777" w:rsidR="005C708B" w:rsidRPr="004F30BD" w:rsidRDefault="005C708B" w:rsidP="005C708B">
      <w:pPr>
        <w:shd w:val="clear" w:color="auto" w:fill="FFFFFF" w:themeFill="background1"/>
      </w:pPr>
      <w:r w:rsidRPr="004F30BD">
        <w:t>Principal contacts and peak, professional and student body representatives shared similar views across all KPIs and on TEQSA’s overall performance.</w:t>
      </w:r>
    </w:p>
    <w:p w14:paraId="2433115A" w14:textId="5EFF1358" w:rsidR="005C708B" w:rsidRPr="004F30BD" w:rsidRDefault="005C708B" w:rsidP="005C708B">
      <w:pPr>
        <w:shd w:val="clear" w:color="auto" w:fill="FFFFFF" w:themeFill="background1"/>
      </w:pPr>
      <w:r w:rsidRPr="004F30BD">
        <w:t>Notably, this year has also seen a convergence in views between sub-groups</w:t>
      </w:r>
      <w:r w:rsidR="00933BC8">
        <w:t>.</w:t>
      </w:r>
      <w:r w:rsidRPr="004F30BD">
        <w:t xml:space="preserve"> </w:t>
      </w:r>
      <w:r w:rsidR="00933BC8">
        <w:t>For example,</w:t>
      </w:r>
      <w:r w:rsidR="00933BC8" w:rsidRPr="004F30BD">
        <w:t xml:space="preserve"> </w:t>
      </w:r>
      <w:r w:rsidRPr="004F30BD">
        <w:t xml:space="preserve">universities compared with for-profits and those with and without self-accrediting authority. In 2019, views were more </w:t>
      </w:r>
      <w:r w:rsidRPr="004F30BD">
        <w:lastRenderedPageBreak/>
        <w:t>homogenous (not completely the same, but more similar) than in previous years indicating that an issue for one group is likely to be an issue for all.</w:t>
      </w:r>
    </w:p>
    <w:p w14:paraId="562D6197" w14:textId="64E80B02" w:rsidR="005C708B" w:rsidRPr="004F30BD" w:rsidRDefault="005C708B" w:rsidP="005C708B">
      <w:pPr>
        <w:shd w:val="clear" w:color="auto" w:fill="FFFFFF" w:themeFill="background1"/>
      </w:pPr>
      <w:r w:rsidRPr="004F30BD">
        <w:t xml:space="preserve">Survey results clearly show </w:t>
      </w:r>
      <w:r w:rsidR="00933BC8">
        <w:t>what</w:t>
      </w:r>
      <w:r w:rsidR="00933BC8" w:rsidRPr="004F30BD">
        <w:t xml:space="preserve"> </w:t>
      </w:r>
      <w:r w:rsidRPr="004F30BD">
        <w:t xml:space="preserve">the sector wants TEQSA to continue doing and to change. The challenge will be </w:t>
      </w:r>
      <w:r w:rsidR="00933BC8">
        <w:t>in modifying operations to address these aspects</w:t>
      </w:r>
      <w:r w:rsidRPr="004F30BD">
        <w:t>.</w:t>
      </w:r>
    </w:p>
    <w:p w14:paraId="2605CB07" w14:textId="77777777" w:rsidR="00485ECD" w:rsidRPr="004F30BD" w:rsidRDefault="00000E57" w:rsidP="0095404C">
      <w:pPr>
        <w:pStyle w:val="Heading1"/>
      </w:pPr>
      <w:r w:rsidRPr="004F30BD">
        <w:br w:type="page"/>
      </w:r>
      <w:bookmarkStart w:id="5" w:name="_Toc22298012"/>
      <w:r w:rsidR="00485ECD" w:rsidRPr="004F30BD">
        <w:lastRenderedPageBreak/>
        <w:t>Introduction</w:t>
      </w:r>
      <w:bookmarkEnd w:id="5"/>
    </w:p>
    <w:p w14:paraId="474A97F8" w14:textId="77777777" w:rsidR="001031D6" w:rsidRPr="004F30BD" w:rsidRDefault="001031D6" w:rsidP="001031D6">
      <w:r w:rsidRPr="004F30BD">
        <w:t xml:space="preserve">In </w:t>
      </w:r>
      <w:r w:rsidR="00510AF5" w:rsidRPr="004F30BD">
        <w:t>August 2019</w:t>
      </w:r>
      <w:r w:rsidR="000727ED" w:rsidRPr="004F30BD">
        <w:t xml:space="preserve"> TEQSA conducted sector-</w:t>
      </w:r>
      <w:r w:rsidRPr="004F30BD">
        <w:t xml:space="preserve">wide </w:t>
      </w:r>
      <w:r w:rsidR="000727ED" w:rsidRPr="004F30BD">
        <w:t xml:space="preserve">stakeholder </w:t>
      </w:r>
      <w:r w:rsidRPr="004F30BD">
        <w:t>surveys for 201</w:t>
      </w:r>
      <w:r w:rsidR="00510AF5" w:rsidRPr="004F30BD">
        <w:t>8</w:t>
      </w:r>
      <w:r w:rsidR="00F72A29" w:rsidRPr="004F30BD">
        <w:t>-1</w:t>
      </w:r>
      <w:r w:rsidR="003554C0" w:rsidRPr="004F30BD">
        <w:t>9</w:t>
      </w:r>
      <w:r w:rsidRPr="004F30BD">
        <w:t>. The purpose of the survey</w:t>
      </w:r>
      <w:r w:rsidR="000727ED" w:rsidRPr="004F30BD">
        <w:t>s</w:t>
      </w:r>
      <w:r w:rsidRPr="004F30BD">
        <w:t xml:space="preserve"> was to increase TEQSA’s accountability, better understand its impact on higher education providers, and </w:t>
      </w:r>
      <w:r w:rsidR="008B501C" w:rsidRPr="004F30BD">
        <w:t xml:space="preserve">to </w:t>
      </w:r>
      <w:r w:rsidRPr="004F30BD">
        <w:t xml:space="preserve">improve its performance. </w:t>
      </w:r>
      <w:r w:rsidR="000727ED" w:rsidRPr="004F30BD">
        <w:t xml:space="preserve">Results were also used in annual reporting activities. </w:t>
      </w:r>
      <w:r w:rsidR="008B501C" w:rsidRPr="004F30BD">
        <w:t>T</w:t>
      </w:r>
      <w:r w:rsidR="000727ED" w:rsidRPr="004F30BD">
        <w:t>wo surveys</w:t>
      </w:r>
      <w:r w:rsidR="008B501C" w:rsidRPr="004F30BD">
        <w:t xml:space="preserve"> were involved</w:t>
      </w:r>
      <w:r w:rsidRPr="004F30BD">
        <w:t>:</w:t>
      </w:r>
    </w:p>
    <w:p w14:paraId="13B4E96D" w14:textId="77777777" w:rsidR="001031D6" w:rsidRPr="004F30BD" w:rsidRDefault="000727ED" w:rsidP="00A06284">
      <w:pPr>
        <w:pStyle w:val="ListParagraph"/>
        <w:numPr>
          <w:ilvl w:val="0"/>
          <w:numId w:val="13"/>
        </w:numPr>
      </w:pPr>
      <w:r w:rsidRPr="004F30BD">
        <w:t>A</w:t>
      </w:r>
      <w:r w:rsidR="00CC21B4" w:rsidRPr="004F30BD">
        <w:t xml:space="preserve"> provider-</w:t>
      </w:r>
      <w:r w:rsidR="001031D6" w:rsidRPr="004F30BD">
        <w:t>specific version w</w:t>
      </w:r>
      <w:r w:rsidRPr="004F30BD">
        <w:t>ith principal contacts for all higher e</w:t>
      </w:r>
      <w:r w:rsidR="001031D6" w:rsidRPr="004F30BD">
        <w:t>ducation providers (those registered as well as those who had submitted initial registration applications)</w:t>
      </w:r>
    </w:p>
    <w:p w14:paraId="1E6BB665" w14:textId="77777777" w:rsidR="001031D6" w:rsidRPr="004F30BD" w:rsidRDefault="001031D6" w:rsidP="00A06284">
      <w:pPr>
        <w:pStyle w:val="ListParagraph"/>
        <w:numPr>
          <w:ilvl w:val="0"/>
          <w:numId w:val="13"/>
        </w:numPr>
      </w:pPr>
      <w:r w:rsidRPr="004F30BD">
        <w:t>A brief survey for the operational head</w:t>
      </w:r>
      <w:r w:rsidR="008B501C" w:rsidRPr="004F30BD">
        <w:t>s</w:t>
      </w:r>
      <w:r w:rsidRPr="004F30BD">
        <w:t xml:space="preserve"> of selected peak</w:t>
      </w:r>
      <w:r w:rsidR="000727ED" w:rsidRPr="004F30BD">
        <w:t xml:space="preserve">, professional and </w:t>
      </w:r>
      <w:r w:rsidRPr="004F30BD">
        <w:t>student bodies.</w:t>
      </w:r>
    </w:p>
    <w:p w14:paraId="2540F239" w14:textId="77777777" w:rsidR="001031D6" w:rsidRPr="004F30BD" w:rsidRDefault="001031D6" w:rsidP="001031D6">
      <w:r w:rsidRPr="004F30BD">
        <w:t xml:space="preserve">TEQSA engaged Australian Survey Research (ASR) to help design, deploy, analyse and report on the surveys. </w:t>
      </w:r>
    </w:p>
    <w:p w14:paraId="47992AA8" w14:textId="77777777" w:rsidR="009E57BD" w:rsidRPr="004F30BD" w:rsidRDefault="00310E63" w:rsidP="009E57BD">
      <w:r w:rsidRPr="004F30BD">
        <w:t>Th</w:t>
      </w:r>
      <w:r w:rsidR="008B501C" w:rsidRPr="004F30BD">
        <w:t>is</w:t>
      </w:r>
      <w:r w:rsidR="009E57BD" w:rsidRPr="004F30BD">
        <w:t xml:space="preserve"> report outlines the methodology used to conduct and analyse the web</w:t>
      </w:r>
      <w:r w:rsidR="009A717F" w:rsidRPr="004F30BD">
        <w:t xml:space="preserve"> surveys </w:t>
      </w:r>
      <w:r w:rsidR="00C56287" w:rsidRPr="004F30BD">
        <w:t>as well as</w:t>
      </w:r>
      <w:r w:rsidR="009A717F" w:rsidRPr="004F30BD">
        <w:t xml:space="preserve"> k</w:t>
      </w:r>
      <w:r w:rsidR="009E57BD" w:rsidRPr="004F30BD">
        <w:t xml:space="preserve">ey findings </w:t>
      </w:r>
      <w:r w:rsidR="009A717F" w:rsidRPr="004F30BD">
        <w:t>from</w:t>
      </w:r>
      <w:r w:rsidR="009E57BD" w:rsidRPr="004F30BD">
        <w:t xml:space="preserve"> each survey including provider attribute differences. The questionnaires used in the surveys </w:t>
      </w:r>
      <w:r w:rsidR="009A717F" w:rsidRPr="004F30BD">
        <w:t>form</w:t>
      </w:r>
      <w:r w:rsidR="009E57BD" w:rsidRPr="004F30BD">
        <w:t xml:space="preserve"> an </w:t>
      </w:r>
      <w:r w:rsidR="00C82BC7" w:rsidRPr="004F30BD">
        <w:t>appendix</w:t>
      </w:r>
      <w:r w:rsidR="009E57BD" w:rsidRPr="004F30BD">
        <w:t xml:space="preserve"> to the report.</w:t>
      </w:r>
    </w:p>
    <w:p w14:paraId="5A06407A" w14:textId="77777777" w:rsidR="002E49C5" w:rsidRPr="004F30BD" w:rsidRDefault="007D470A" w:rsidP="009E57BD">
      <w:pPr>
        <w:pStyle w:val="Heading1"/>
        <w:spacing w:before="480"/>
      </w:pPr>
      <w:bookmarkStart w:id="6" w:name="_Toc22298013"/>
      <w:r w:rsidRPr="004F30BD">
        <w:t>M</w:t>
      </w:r>
      <w:r w:rsidR="000C36CB" w:rsidRPr="004F30BD">
        <w:t>ethodology</w:t>
      </w:r>
      <w:bookmarkEnd w:id="6"/>
    </w:p>
    <w:p w14:paraId="3CE4732B" w14:textId="77777777" w:rsidR="0020531F" w:rsidRPr="004F30BD" w:rsidRDefault="00D03626" w:rsidP="00AE3C45">
      <w:r w:rsidRPr="004F30BD">
        <w:t xml:space="preserve">This section outlines how the </w:t>
      </w:r>
      <w:r w:rsidR="00F2464B" w:rsidRPr="004F30BD">
        <w:t>t</w:t>
      </w:r>
      <w:r w:rsidR="0038218C" w:rsidRPr="004F30BD">
        <w:t>wo</w:t>
      </w:r>
      <w:r w:rsidR="00F2464B" w:rsidRPr="004F30BD">
        <w:t xml:space="preserve"> surveys</w:t>
      </w:r>
      <w:r w:rsidR="007D06F1" w:rsidRPr="004F30BD">
        <w:t xml:space="preserve"> w</w:t>
      </w:r>
      <w:r w:rsidR="005D35DD" w:rsidRPr="004F30BD">
        <w:t>ere</w:t>
      </w:r>
      <w:r w:rsidR="007D06F1" w:rsidRPr="004F30BD">
        <w:t xml:space="preserve"> </w:t>
      </w:r>
      <w:r w:rsidR="009E57BD" w:rsidRPr="004F30BD">
        <w:t>developed</w:t>
      </w:r>
      <w:r w:rsidR="00C56287" w:rsidRPr="004F30BD">
        <w:t>;</w:t>
      </w:r>
      <w:r w:rsidR="007D06F1" w:rsidRPr="004F30BD">
        <w:t xml:space="preserve"> how survey participants were identified</w:t>
      </w:r>
      <w:r w:rsidR="00C56287" w:rsidRPr="004F30BD">
        <w:t>;</w:t>
      </w:r>
      <w:r w:rsidR="009A717F" w:rsidRPr="004F30BD">
        <w:t xml:space="preserve"> </w:t>
      </w:r>
      <w:r w:rsidR="007D06F1" w:rsidRPr="004F30BD">
        <w:t>how the survey was administered</w:t>
      </w:r>
      <w:r w:rsidR="009A717F" w:rsidRPr="004F30BD">
        <w:t xml:space="preserve"> and analysed</w:t>
      </w:r>
      <w:r w:rsidR="00C56287" w:rsidRPr="004F30BD">
        <w:t>;</w:t>
      </w:r>
      <w:r w:rsidR="009A717F" w:rsidRPr="004F30BD">
        <w:t xml:space="preserve"> and </w:t>
      </w:r>
      <w:r w:rsidR="00C56287" w:rsidRPr="004F30BD">
        <w:t xml:space="preserve">the composition of the </w:t>
      </w:r>
      <w:r w:rsidR="009A717F" w:rsidRPr="004F30BD">
        <w:t>response sample.</w:t>
      </w:r>
    </w:p>
    <w:p w14:paraId="23231336" w14:textId="77777777" w:rsidR="00E6065F" w:rsidRPr="004F30BD" w:rsidRDefault="00E6065F" w:rsidP="00E6065F">
      <w:pPr>
        <w:pStyle w:val="Heading2"/>
      </w:pPr>
      <w:bookmarkStart w:id="7" w:name="_Toc22298014"/>
      <w:r w:rsidRPr="004F30BD">
        <w:t>Questionnaire</w:t>
      </w:r>
      <w:r w:rsidR="001101F4" w:rsidRPr="004F30BD">
        <w:t xml:space="preserve"> development</w:t>
      </w:r>
      <w:bookmarkEnd w:id="7"/>
    </w:p>
    <w:p w14:paraId="13A4C940" w14:textId="2C862C0B" w:rsidR="009A717F" w:rsidRPr="004F30BD" w:rsidRDefault="0049755C" w:rsidP="008B501C">
      <w:r w:rsidRPr="004F30BD">
        <w:t>Previously</w:t>
      </w:r>
      <w:r w:rsidR="004D6972" w:rsidRPr="004F30BD">
        <w:t xml:space="preserve"> </w:t>
      </w:r>
      <w:r w:rsidR="009E57BD" w:rsidRPr="004F30BD">
        <w:t xml:space="preserve">TEQSA and ASR </w:t>
      </w:r>
      <w:r w:rsidRPr="004F30BD">
        <w:t xml:space="preserve">had </w:t>
      </w:r>
      <w:r w:rsidR="009E57BD" w:rsidRPr="004F30BD">
        <w:t xml:space="preserve">developed a series of questions based around TEQSA’s </w:t>
      </w:r>
      <w:r w:rsidR="009A717F" w:rsidRPr="004F30BD">
        <w:t xml:space="preserve">Regulator Performance Framework </w:t>
      </w:r>
      <w:r w:rsidR="00EC4D39" w:rsidRPr="004F30BD">
        <w:t>which encompassed</w:t>
      </w:r>
      <w:r w:rsidR="009A717F" w:rsidRPr="004F30BD">
        <w:t xml:space="preserve"> six key performance indicators (KPIs). The Framework also </w:t>
      </w:r>
      <w:r w:rsidRPr="004F30BD">
        <w:t>addressed</w:t>
      </w:r>
      <w:r w:rsidR="009A717F" w:rsidRPr="004F30BD">
        <w:t xml:space="preserve"> the key metrics within the TEQSA Corporate Plan </w:t>
      </w:r>
      <w:r w:rsidR="009A717F" w:rsidRPr="004F30BD">
        <w:rPr>
          <w:sz w:val="22"/>
          <w:szCs w:val="22"/>
        </w:rPr>
        <w:t xml:space="preserve">. </w:t>
      </w:r>
    </w:p>
    <w:p w14:paraId="33C94C6E" w14:textId="79F2E37E" w:rsidR="003554C0" w:rsidRPr="004F30BD" w:rsidRDefault="009A717F" w:rsidP="008B501C">
      <w:r w:rsidRPr="004F30BD">
        <w:t xml:space="preserve">The questionnaire developed for TEQSA’s principal contacts </w:t>
      </w:r>
      <w:r w:rsidR="003A0112" w:rsidRPr="004F30BD">
        <w:t xml:space="preserve">(PC) </w:t>
      </w:r>
      <w:r w:rsidRPr="004F30BD">
        <w:t>had an operational focus and included questions around recent interactions between themselves and TEQSA.</w:t>
      </w:r>
      <w:r w:rsidR="00EC4D39" w:rsidRPr="004F30BD">
        <w:t xml:space="preserve"> </w:t>
      </w:r>
      <w:r w:rsidR="003554C0" w:rsidRPr="004F30BD">
        <w:t xml:space="preserve">The PC survey metrics were subject to </w:t>
      </w:r>
      <w:r w:rsidR="0049755C" w:rsidRPr="004F30BD">
        <w:t>an</w:t>
      </w:r>
      <w:r w:rsidR="003554C0" w:rsidRPr="004F30BD">
        <w:t xml:space="preserve"> independent review in 2018-19 to ensure </w:t>
      </w:r>
      <w:r w:rsidR="008B501C" w:rsidRPr="004F30BD">
        <w:t xml:space="preserve">that </w:t>
      </w:r>
      <w:r w:rsidR="003554C0" w:rsidRPr="004F30BD">
        <w:t xml:space="preserve">KPIs </w:t>
      </w:r>
      <w:r w:rsidR="0049755C" w:rsidRPr="004F30BD">
        <w:t>remained</w:t>
      </w:r>
      <w:r w:rsidR="003554C0" w:rsidRPr="004F30BD">
        <w:t xml:space="preserve"> fit for purpose</w:t>
      </w:r>
      <w:r w:rsidR="0049755C" w:rsidRPr="004F30BD">
        <w:t xml:space="preserve"> and addressed </w:t>
      </w:r>
      <w:r w:rsidR="004D7C16" w:rsidRPr="004F30BD">
        <w:t>TESQA’s strategic requirements</w:t>
      </w:r>
      <w:r w:rsidR="003554C0" w:rsidRPr="004F30BD">
        <w:t>. As a result, the 2019 PC survey</w:t>
      </w:r>
      <w:r w:rsidR="008B501C" w:rsidRPr="004F30BD">
        <w:t xml:space="preserve"> questions (</w:t>
      </w:r>
      <w:r w:rsidR="003554C0" w:rsidRPr="004F30BD">
        <w:t>items</w:t>
      </w:r>
      <w:r w:rsidR="008B501C" w:rsidRPr="004F30BD">
        <w:t>)</w:t>
      </w:r>
      <w:r w:rsidR="003554C0" w:rsidRPr="004F30BD">
        <w:t xml:space="preserve"> included some changes to </w:t>
      </w:r>
      <w:r w:rsidR="008B501C" w:rsidRPr="004F30BD">
        <w:t>those</w:t>
      </w:r>
      <w:r w:rsidR="003554C0" w:rsidRPr="004F30BD">
        <w:t xml:space="preserve"> used in 2018. The main changes </w:t>
      </w:r>
      <w:r w:rsidR="008B501C" w:rsidRPr="004F30BD">
        <w:t>were to ask individual rating questions about each</w:t>
      </w:r>
      <w:r w:rsidR="006365E9" w:rsidRPr="004F30BD">
        <w:t xml:space="preserve"> KPI</w:t>
      </w:r>
      <w:r w:rsidR="008B501C" w:rsidRPr="004F30BD">
        <w:t xml:space="preserve">, as well as adding questions around communication and consultation, as well regulatory approach and TEQSA’s monitoring of quality. </w:t>
      </w:r>
      <w:r w:rsidR="00933BC8">
        <w:t xml:space="preserve">The format of </w:t>
      </w:r>
      <w:r w:rsidR="00377C9F">
        <w:t xml:space="preserve">the </w:t>
      </w:r>
      <w:r w:rsidR="00933BC8">
        <w:t>s</w:t>
      </w:r>
      <w:r w:rsidR="008B501C" w:rsidRPr="004F30BD">
        <w:t xml:space="preserve">ector risk question </w:t>
      </w:r>
      <w:r w:rsidR="00377C9F">
        <w:t>was</w:t>
      </w:r>
      <w:r w:rsidR="00377C9F" w:rsidRPr="004F30BD">
        <w:t xml:space="preserve"> </w:t>
      </w:r>
      <w:r w:rsidR="008B501C" w:rsidRPr="004F30BD">
        <w:t>also changed.</w:t>
      </w:r>
    </w:p>
    <w:p w14:paraId="4C85E9EF" w14:textId="77777777" w:rsidR="003554C0" w:rsidRPr="004F30BD" w:rsidRDefault="00EC4D39" w:rsidP="008B501C">
      <w:r w:rsidRPr="004F30BD">
        <w:t xml:space="preserve">VC / CEOS </w:t>
      </w:r>
      <w:r w:rsidR="004431C3" w:rsidRPr="004F30BD">
        <w:t xml:space="preserve">‘providers’ </w:t>
      </w:r>
      <w:r w:rsidRPr="004F30BD">
        <w:t>were given an opportunity to comment separately within the principal contact survey.</w:t>
      </w:r>
      <w:r w:rsidR="005146B1" w:rsidRPr="004F30BD">
        <w:t xml:space="preserve"> </w:t>
      </w:r>
      <w:r w:rsidR="009A717F" w:rsidRPr="004F30BD">
        <w:t xml:space="preserve"> </w:t>
      </w:r>
    </w:p>
    <w:p w14:paraId="486C44B9" w14:textId="77777777" w:rsidR="009A717F" w:rsidRPr="004F30BD" w:rsidRDefault="00510AF5" w:rsidP="008B501C">
      <w:r w:rsidRPr="004F30BD">
        <w:t>The</w:t>
      </w:r>
      <w:r w:rsidR="0049755C" w:rsidRPr="004F30BD">
        <w:t xml:space="preserve"> wording of</w:t>
      </w:r>
      <w:r w:rsidRPr="004F30BD">
        <w:t xml:space="preserve"> peak and professional body (PPSB) survey </w:t>
      </w:r>
      <w:r w:rsidR="007A72A2" w:rsidRPr="004F30BD">
        <w:t xml:space="preserve">questionnaire </w:t>
      </w:r>
      <w:r w:rsidR="0049755C" w:rsidRPr="004F30BD">
        <w:t>remained</w:t>
      </w:r>
      <w:r w:rsidR="007A72A2" w:rsidRPr="004F30BD">
        <w:t xml:space="preserve"> unchanged from 2018</w:t>
      </w:r>
      <w:r w:rsidRPr="004F30BD">
        <w:t>.</w:t>
      </w:r>
    </w:p>
    <w:p w14:paraId="7C95514F" w14:textId="77777777" w:rsidR="00170241" w:rsidRPr="004F30BD" w:rsidRDefault="00170241" w:rsidP="007F5143">
      <w:pPr>
        <w:pStyle w:val="Heading2"/>
      </w:pPr>
      <w:bookmarkStart w:id="8" w:name="_Toc22298015"/>
      <w:r w:rsidRPr="004F30BD">
        <w:t>Data collection</w:t>
      </w:r>
      <w:bookmarkEnd w:id="8"/>
    </w:p>
    <w:p w14:paraId="075D3751" w14:textId="77777777" w:rsidR="00202F28" w:rsidRPr="004F30BD" w:rsidRDefault="008A1FCF" w:rsidP="002E3F10">
      <w:r w:rsidRPr="004F30BD">
        <w:t>The two</w:t>
      </w:r>
      <w:r w:rsidR="00202F28" w:rsidRPr="004F30BD">
        <w:t xml:space="preserve"> web questionnaires were loaded into ASR’s proprietary web surveying tool, SurveyManager and hosted on A</w:t>
      </w:r>
      <w:r w:rsidR="003A0112" w:rsidRPr="004F30BD">
        <w:t>SR’s internet servers located at</w:t>
      </w:r>
      <w:r w:rsidR="00202F28" w:rsidRPr="004F30BD">
        <w:t xml:space="preserve"> a high security data centre</w:t>
      </w:r>
      <w:r w:rsidR="00A75665" w:rsidRPr="004F30BD">
        <w:t xml:space="preserve"> </w:t>
      </w:r>
      <w:r w:rsidR="00202F28" w:rsidRPr="004F30BD">
        <w:t xml:space="preserve">in Melbourne’s CBD. </w:t>
      </w:r>
    </w:p>
    <w:p w14:paraId="1E1FDC65" w14:textId="77777777" w:rsidR="00202F28" w:rsidRPr="004F30BD" w:rsidRDefault="00202F28" w:rsidP="00202F28">
      <w:r w:rsidRPr="004F30BD">
        <w:t xml:space="preserve">TEQSA provided ASR with a full listing of all current and </w:t>
      </w:r>
      <w:r w:rsidR="00476384" w:rsidRPr="004F30BD">
        <w:t xml:space="preserve">selected </w:t>
      </w:r>
      <w:r w:rsidRPr="004F30BD">
        <w:t>pending higher</w:t>
      </w:r>
      <w:r w:rsidR="004F47CE" w:rsidRPr="004F30BD">
        <w:t xml:space="preserve"> education providers (</w:t>
      </w:r>
      <w:r w:rsidR="008B501C" w:rsidRPr="004F30BD">
        <w:t>n</w:t>
      </w:r>
      <w:r w:rsidR="00745CF8" w:rsidRPr="004F30BD">
        <w:t>=23</w:t>
      </w:r>
      <w:r w:rsidR="00EF5842" w:rsidRPr="004F30BD">
        <w:t>8</w:t>
      </w:r>
      <w:r w:rsidRPr="004F30BD">
        <w:t>) that it regulates or is like</w:t>
      </w:r>
      <w:r w:rsidR="004F47CE" w:rsidRPr="004F30BD">
        <w:t>ly to regulate across Australia. T</w:t>
      </w:r>
      <w:r w:rsidRPr="004F30BD">
        <w:t>he lists included contact details of TEQSA</w:t>
      </w:r>
      <w:r w:rsidR="00C56287" w:rsidRPr="004F30BD">
        <w:t>’s</w:t>
      </w:r>
      <w:r w:rsidRPr="004F30BD">
        <w:t xml:space="preserve"> principal contact</w:t>
      </w:r>
      <w:r w:rsidR="00C56287" w:rsidRPr="004F30BD">
        <w:t xml:space="preserve"> within </w:t>
      </w:r>
      <w:r w:rsidR="008B501C" w:rsidRPr="004F30BD">
        <w:t>each</w:t>
      </w:r>
      <w:r w:rsidR="00C56287" w:rsidRPr="004F30BD">
        <w:t xml:space="preserve"> provider.</w:t>
      </w:r>
      <w:r w:rsidRPr="004F30BD">
        <w:t xml:space="preserve"> The </w:t>
      </w:r>
      <w:r w:rsidR="00C56287" w:rsidRPr="004F30BD">
        <w:t>listing</w:t>
      </w:r>
      <w:r w:rsidR="004F47CE" w:rsidRPr="004F30BD">
        <w:t xml:space="preserve"> also</w:t>
      </w:r>
      <w:r w:rsidR="00C56287" w:rsidRPr="004F30BD">
        <w:t xml:space="preserve"> i</w:t>
      </w:r>
      <w:r w:rsidRPr="004F30BD">
        <w:t xml:space="preserve">ncluded </w:t>
      </w:r>
      <w:r w:rsidR="00C56287" w:rsidRPr="004F30BD">
        <w:t xml:space="preserve">provider </w:t>
      </w:r>
      <w:r w:rsidRPr="004F30BD">
        <w:t xml:space="preserve">attributes </w:t>
      </w:r>
      <w:r w:rsidR="00C56287" w:rsidRPr="004F30BD">
        <w:t>such as</w:t>
      </w:r>
      <w:r w:rsidRPr="004F30BD">
        <w:t xml:space="preserve"> state, size</w:t>
      </w:r>
      <w:r w:rsidR="008B501C" w:rsidRPr="004F30BD">
        <w:t xml:space="preserve"> and</w:t>
      </w:r>
      <w:r w:rsidRPr="004F30BD">
        <w:t xml:space="preserve"> self-accrediting</w:t>
      </w:r>
      <w:r w:rsidR="004F47CE" w:rsidRPr="004F30BD">
        <w:t xml:space="preserve"> authority, which </w:t>
      </w:r>
      <w:r w:rsidRPr="004F30BD">
        <w:t>were used to analyse responses</w:t>
      </w:r>
      <w:r w:rsidR="00C56287" w:rsidRPr="004F30BD">
        <w:t>. R</w:t>
      </w:r>
      <w:r w:rsidRPr="004F30BD">
        <w:t>esults of this analys</w:t>
      </w:r>
      <w:r w:rsidR="00C56287" w:rsidRPr="004F30BD">
        <w:t>is</w:t>
      </w:r>
      <w:r w:rsidRPr="004F30BD">
        <w:t xml:space="preserve"> are discussed later in the report.</w:t>
      </w:r>
      <w:r w:rsidR="001A06DA" w:rsidRPr="004F30BD">
        <w:t xml:space="preserve"> </w:t>
      </w:r>
      <w:r w:rsidRPr="004F30BD">
        <w:t>Further to the higher education provider list, TEQSA p</w:t>
      </w:r>
      <w:r w:rsidR="00EC4D39" w:rsidRPr="004F30BD">
        <w:t xml:space="preserve">rovided ASR with a list of </w:t>
      </w:r>
      <w:r w:rsidR="005F49FD" w:rsidRPr="004F30BD">
        <w:t>contact details for representatives</w:t>
      </w:r>
      <w:r w:rsidR="008B501C" w:rsidRPr="004F30BD">
        <w:t xml:space="preserve"> </w:t>
      </w:r>
      <w:r w:rsidR="005F49FD" w:rsidRPr="004F30BD">
        <w:t xml:space="preserve">from </w:t>
      </w:r>
      <w:r w:rsidR="00EC4D39" w:rsidRPr="004F30BD">
        <w:t xml:space="preserve">peak, </w:t>
      </w:r>
      <w:r w:rsidRPr="004F30BD">
        <w:t>professional</w:t>
      </w:r>
      <w:r w:rsidR="00EC4D39" w:rsidRPr="004F30BD">
        <w:t xml:space="preserve"> and student</w:t>
      </w:r>
      <w:r w:rsidRPr="004F30BD">
        <w:t xml:space="preserve"> bod</w:t>
      </w:r>
      <w:r w:rsidR="005F49FD" w:rsidRPr="004F30BD">
        <w:t>ies (n</w:t>
      </w:r>
      <w:r w:rsidR="004F47CE" w:rsidRPr="004F30BD">
        <w:t>=</w:t>
      </w:r>
      <w:r w:rsidR="00EF5842" w:rsidRPr="004F30BD">
        <w:t>5</w:t>
      </w:r>
      <w:r w:rsidR="00A1453C" w:rsidRPr="004F30BD">
        <w:t>1</w:t>
      </w:r>
      <w:r w:rsidRPr="004F30BD">
        <w:t xml:space="preserve">). </w:t>
      </w:r>
    </w:p>
    <w:p w14:paraId="4756CA7C" w14:textId="3D09A563" w:rsidR="00202F28" w:rsidRPr="004F30BD" w:rsidRDefault="00202F28" w:rsidP="00202F28">
      <w:r w:rsidRPr="004F30BD">
        <w:t>Prior to going live with the full survey, TEQSA</w:t>
      </w:r>
      <w:r w:rsidR="001A06DA" w:rsidRPr="004F30BD">
        <w:t>’s</w:t>
      </w:r>
      <w:r w:rsidRPr="004F30BD">
        <w:t xml:space="preserve"> Chief Commissioner, Professor Nick Saunders</w:t>
      </w:r>
      <w:r w:rsidR="001A06DA" w:rsidRPr="004F30BD">
        <w:t>,</w:t>
      </w:r>
      <w:r w:rsidRPr="004F30BD">
        <w:t xml:space="preserve"> AO </w:t>
      </w:r>
      <w:r w:rsidR="00476384" w:rsidRPr="004F30BD">
        <w:t>and its CEO</w:t>
      </w:r>
      <w:r w:rsidR="00826E59">
        <w:t>,</w:t>
      </w:r>
      <w:r w:rsidR="00476384" w:rsidRPr="004F30BD">
        <w:t xml:space="preserve"> Mr Anthony McClaran</w:t>
      </w:r>
      <w:r w:rsidR="00826E59">
        <w:t>,</w:t>
      </w:r>
      <w:r w:rsidR="00476384" w:rsidRPr="004F30BD">
        <w:t xml:space="preserve"> </w:t>
      </w:r>
      <w:r w:rsidRPr="004F30BD">
        <w:t>emailed a</w:t>
      </w:r>
      <w:r w:rsidR="00476384" w:rsidRPr="004F30BD">
        <w:t xml:space="preserve"> joint </w:t>
      </w:r>
      <w:r w:rsidRPr="004F30BD">
        <w:t xml:space="preserve">letter to the CEOs </w:t>
      </w:r>
      <w:r w:rsidR="005F49FD" w:rsidRPr="004F30BD">
        <w:t xml:space="preserve">and principal contacts </w:t>
      </w:r>
      <w:r w:rsidRPr="004F30BD">
        <w:t xml:space="preserve">of all </w:t>
      </w:r>
      <w:r w:rsidR="00C24AA9" w:rsidRPr="004F30BD">
        <w:t>potential participants</w:t>
      </w:r>
      <w:r w:rsidRPr="004F30BD">
        <w:t xml:space="preserve"> advising them of the survey</w:t>
      </w:r>
      <w:r w:rsidR="00C24AA9" w:rsidRPr="004F30BD">
        <w:t xml:space="preserve"> and requesting their participation</w:t>
      </w:r>
      <w:r w:rsidRPr="004F30BD">
        <w:t>. Soon after, A</w:t>
      </w:r>
      <w:r w:rsidR="00C24AA9" w:rsidRPr="004F30BD">
        <w:t xml:space="preserve">SR sent invitation </w:t>
      </w:r>
      <w:r w:rsidR="001A06DA" w:rsidRPr="004F30BD">
        <w:t xml:space="preserve">emails </w:t>
      </w:r>
      <w:r w:rsidR="00C24AA9" w:rsidRPr="004F30BD">
        <w:t>to the principal</w:t>
      </w:r>
      <w:r w:rsidRPr="004F30BD">
        <w:t xml:space="preserve"> contact within each </w:t>
      </w:r>
      <w:r w:rsidR="00826E59">
        <w:t>potential respondent</w:t>
      </w:r>
      <w:r w:rsidR="00826E59" w:rsidRPr="004F30BD">
        <w:t xml:space="preserve"> </w:t>
      </w:r>
      <w:r w:rsidRPr="004F30BD">
        <w:t xml:space="preserve">and each </w:t>
      </w:r>
      <w:r w:rsidR="00B72BFB" w:rsidRPr="004F30BD">
        <w:t>PPSB</w:t>
      </w:r>
      <w:r w:rsidR="004F47CE" w:rsidRPr="004F30BD">
        <w:t xml:space="preserve"> representative</w:t>
      </w:r>
      <w:r w:rsidRPr="004F30BD">
        <w:t xml:space="preserve">. The </w:t>
      </w:r>
      <w:r w:rsidR="004F47CE" w:rsidRPr="004F30BD">
        <w:t xml:space="preserve">invitation </w:t>
      </w:r>
      <w:r w:rsidRPr="004F30BD">
        <w:t xml:space="preserve">email contained a unique hyperlink to access </w:t>
      </w:r>
      <w:r w:rsidR="001A06DA" w:rsidRPr="004F30BD">
        <w:t>a</w:t>
      </w:r>
      <w:r w:rsidRPr="004F30BD">
        <w:t xml:space="preserve"> recipient’s questionnaire.</w:t>
      </w:r>
    </w:p>
    <w:p w14:paraId="67A2CEF0" w14:textId="77777777" w:rsidR="00202F28" w:rsidRPr="004F30BD" w:rsidRDefault="00202F28" w:rsidP="00202F28">
      <w:r w:rsidRPr="004F30BD">
        <w:lastRenderedPageBreak/>
        <w:t xml:space="preserve">ASR </w:t>
      </w:r>
      <w:r w:rsidR="001A06DA" w:rsidRPr="004F30BD">
        <w:t>monitored</w:t>
      </w:r>
      <w:r w:rsidRPr="004F30BD">
        <w:t xml:space="preserve"> response rate</w:t>
      </w:r>
      <w:r w:rsidR="001A06DA" w:rsidRPr="004F30BD">
        <w:t>s</w:t>
      </w:r>
      <w:r w:rsidRPr="004F30BD">
        <w:t xml:space="preserve"> and sent </w:t>
      </w:r>
      <w:r w:rsidR="004F47CE" w:rsidRPr="004F30BD">
        <w:t>two</w:t>
      </w:r>
      <w:r w:rsidRPr="004F30BD">
        <w:t xml:space="preserve"> targeted reminder emails to all non-responders in </w:t>
      </w:r>
      <w:r w:rsidR="001A06DA" w:rsidRPr="004F30BD">
        <w:t>each</w:t>
      </w:r>
      <w:r w:rsidRPr="004F30BD">
        <w:t xml:space="preserve"> survey. The survey was in field from </w:t>
      </w:r>
      <w:r w:rsidR="00B73E0A" w:rsidRPr="004F30BD">
        <w:t>23</w:t>
      </w:r>
      <w:r w:rsidRPr="004F30BD">
        <w:t xml:space="preserve"> Ju</w:t>
      </w:r>
      <w:r w:rsidR="00B73E0A" w:rsidRPr="004F30BD">
        <w:t>ly</w:t>
      </w:r>
      <w:r w:rsidRPr="004F30BD">
        <w:t xml:space="preserve"> to </w:t>
      </w:r>
      <w:r w:rsidR="00B73E0A" w:rsidRPr="004F30BD">
        <w:t>14</w:t>
      </w:r>
      <w:r w:rsidR="00C24AA9" w:rsidRPr="004F30BD">
        <w:t xml:space="preserve"> </w:t>
      </w:r>
      <w:r w:rsidR="00B73E0A" w:rsidRPr="004F30BD">
        <w:t>August</w:t>
      </w:r>
      <w:r w:rsidR="00C24AA9" w:rsidRPr="004F30BD">
        <w:t xml:space="preserve"> 201</w:t>
      </w:r>
      <w:r w:rsidR="003554C0" w:rsidRPr="004F30BD">
        <w:t>9</w:t>
      </w:r>
      <w:r w:rsidR="00C24AA9" w:rsidRPr="004F30BD">
        <w:t>.</w:t>
      </w:r>
    </w:p>
    <w:p w14:paraId="6BE9A97F" w14:textId="77777777" w:rsidR="00224532" w:rsidRPr="004F30BD" w:rsidRDefault="00224532" w:rsidP="007F5143">
      <w:pPr>
        <w:pStyle w:val="Heading2"/>
      </w:pPr>
      <w:bookmarkStart w:id="9" w:name="_Toc22298016"/>
      <w:r w:rsidRPr="004F30BD">
        <w:t>Data analysis</w:t>
      </w:r>
      <w:bookmarkEnd w:id="9"/>
    </w:p>
    <w:p w14:paraId="7E1864F2" w14:textId="77777777" w:rsidR="00A76703" w:rsidRPr="004F30BD" w:rsidRDefault="00A76703" w:rsidP="00055FB5">
      <w:r w:rsidRPr="004F30BD">
        <w:t xml:space="preserve">Results </w:t>
      </w:r>
      <w:r w:rsidR="00AE7747" w:rsidRPr="004F30BD">
        <w:t>were</w:t>
      </w:r>
      <w:r w:rsidRPr="004F30BD">
        <w:t xml:space="preserve"> analysed to produce </w:t>
      </w:r>
      <w:r w:rsidR="00BF3CE2" w:rsidRPr="004F30BD">
        <w:t>top 2 scores (</w:t>
      </w:r>
      <w:r w:rsidR="001A06DA" w:rsidRPr="004F30BD">
        <w:t xml:space="preserve">the </w:t>
      </w:r>
      <w:r w:rsidR="00BF3CE2" w:rsidRPr="004F30BD">
        <w:t>proportion of respondents selecting the two most positive rating points)</w:t>
      </w:r>
      <w:r w:rsidRPr="004F30BD">
        <w:t xml:space="preserve"> and frequency distributions. </w:t>
      </w:r>
      <w:r w:rsidR="00C27963" w:rsidRPr="004F30BD">
        <w:t>A z</w:t>
      </w:r>
      <w:r w:rsidR="00DB48C0" w:rsidRPr="004F30BD">
        <w:t xml:space="preserve"> test</w:t>
      </w:r>
      <w:r w:rsidRPr="004F30BD">
        <w:t xml:space="preserve"> </w:t>
      </w:r>
      <w:r w:rsidR="00584B96" w:rsidRPr="004F30BD">
        <w:t>was</w:t>
      </w:r>
      <w:r w:rsidRPr="004F30BD">
        <w:t xml:space="preserve"> used to determine any statistical differences </w:t>
      </w:r>
      <w:r w:rsidR="00C24AA9" w:rsidRPr="004F30BD">
        <w:t xml:space="preserve">between </w:t>
      </w:r>
      <w:r w:rsidR="00C27963" w:rsidRPr="004F30BD">
        <w:t>attribute</w:t>
      </w:r>
      <w:r w:rsidR="00C24AA9" w:rsidRPr="004F30BD">
        <w:t xml:space="preserve"> sub-groups which included </w:t>
      </w:r>
      <w:r w:rsidR="00A6166A" w:rsidRPr="004F30BD">
        <w:t>self-accrediting authority, 201</w:t>
      </w:r>
      <w:r w:rsidR="00D40209" w:rsidRPr="004F30BD">
        <w:t>8</w:t>
      </w:r>
      <w:r w:rsidR="00F53F08" w:rsidRPr="004F30BD">
        <w:t xml:space="preserve"> </w:t>
      </w:r>
      <w:r w:rsidR="00EC31AE" w:rsidRPr="004F30BD">
        <w:t xml:space="preserve">financial </w:t>
      </w:r>
      <w:r w:rsidR="00F53F08" w:rsidRPr="004F30BD">
        <w:t>risk</w:t>
      </w:r>
      <w:r w:rsidR="00A6166A" w:rsidRPr="004F30BD">
        <w:t xml:space="preserve"> rating</w:t>
      </w:r>
      <w:r w:rsidR="006D3F5E" w:rsidRPr="004F30BD">
        <w:t>, 201</w:t>
      </w:r>
      <w:r w:rsidR="00745CF8" w:rsidRPr="004F30BD">
        <w:t>8</w:t>
      </w:r>
      <w:r w:rsidR="006D3F5E" w:rsidRPr="004F30BD">
        <w:t xml:space="preserve"> </w:t>
      </w:r>
      <w:r w:rsidR="00EC31AE" w:rsidRPr="004F30BD">
        <w:t xml:space="preserve">student </w:t>
      </w:r>
      <w:r w:rsidR="006D3F5E" w:rsidRPr="004F30BD">
        <w:t>risk</w:t>
      </w:r>
      <w:r w:rsidR="00A6166A" w:rsidRPr="004F30BD">
        <w:t xml:space="preserve"> rating</w:t>
      </w:r>
      <w:r w:rsidR="006D3F5E" w:rsidRPr="004F30BD">
        <w:t xml:space="preserve">, </w:t>
      </w:r>
      <w:r w:rsidR="00F53F08" w:rsidRPr="004F30BD">
        <w:t>category</w:t>
      </w:r>
      <w:r w:rsidR="00F536B1" w:rsidRPr="004F30BD">
        <w:t xml:space="preserve">, state, </w:t>
      </w:r>
      <w:r w:rsidR="006D3F5E" w:rsidRPr="004F30BD">
        <w:t>provider size</w:t>
      </w:r>
      <w:r w:rsidR="00F536B1" w:rsidRPr="004F30BD">
        <w:t>, RTO</w:t>
      </w:r>
      <w:r w:rsidR="00A20807" w:rsidRPr="004F30BD">
        <w:t xml:space="preserve"> activity</w:t>
      </w:r>
      <w:r w:rsidR="00F536B1" w:rsidRPr="004F30BD">
        <w:t>, CRICOS</w:t>
      </w:r>
      <w:r w:rsidR="00A20807" w:rsidRPr="004F30BD">
        <w:t xml:space="preserve"> </w:t>
      </w:r>
      <w:r w:rsidR="00071864" w:rsidRPr="004F30BD">
        <w:t>registration and</w:t>
      </w:r>
      <w:r w:rsidR="002D0064" w:rsidRPr="004F30BD">
        <w:t xml:space="preserve"> </w:t>
      </w:r>
      <w:r w:rsidR="00071864" w:rsidRPr="004F30BD">
        <w:t>mark</w:t>
      </w:r>
      <w:r w:rsidR="002D0064" w:rsidRPr="004F30BD">
        <w:t>et gro</w:t>
      </w:r>
      <w:r w:rsidR="00071864" w:rsidRPr="004F30BD">
        <w:t>upings</w:t>
      </w:r>
      <w:r w:rsidR="00F53F08" w:rsidRPr="004F30BD">
        <w:t>.</w:t>
      </w:r>
      <w:r w:rsidRPr="004F30BD">
        <w:t xml:space="preserve"> All tests </w:t>
      </w:r>
      <w:r w:rsidR="00C27963" w:rsidRPr="004F30BD">
        <w:t>were</w:t>
      </w:r>
      <w:r w:rsidRPr="004F30BD">
        <w:t xml:space="preserve"> reported at the p&lt;0.05 level (95% confidence level).</w:t>
      </w:r>
      <w:r w:rsidR="00B76C89" w:rsidRPr="004F30BD">
        <w:t xml:space="preserve"> See the box </w:t>
      </w:r>
      <w:r w:rsidR="001A06DA" w:rsidRPr="004F30BD">
        <w:t>below</w:t>
      </w:r>
      <w:r w:rsidR="00B76C89" w:rsidRPr="004F30BD">
        <w:t xml:space="preserve"> for further explanation</w:t>
      </w:r>
      <w:r w:rsidR="003A0112" w:rsidRPr="004F30BD">
        <w:t xml:space="preserve"> of</w:t>
      </w:r>
      <w:r w:rsidR="001A06DA" w:rsidRPr="004F30BD">
        <w:t xml:space="preserve"> confidence levels and intervals</w:t>
      </w:r>
      <w:r w:rsidR="00615158" w:rsidRPr="004F30BD">
        <w:t>.</w:t>
      </w:r>
    </w:p>
    <w:p w14:paraId="08E582D7" w14:textId="77777777" w:rsidR="00A76703" w:rsidRPr="004F30BD" w:rsidRDefault="00BF3CE2" w:rsidP="00055FB5">
      <w:r w:rsidRPr="004F30BD">
        <w:t xml:space="preserve">Top 2 scores </w:t>
      </w:r>
      <w:r w:rsidR="00BB7994" w:rsidRPr="004F30BD">
        <w:t>were</w:t>
      </w:r>
      <w:r w:rsidR="00A76703" w:rsidRPr="004F30BD">
        <w:t xml:space="preserve"> calculated using only the number of respondents who chose a rating point answer. In other </w:t>
      </w:r>
      <w:r w:rsidR="00BF0737" w:rsidRPr="004F30BD">
        <w:t>words,</w:t>
      </w:r>
      <w:r w:rsidR="00A76703" w:rsidRPr="004F30BD">
        <w:t xml:space="preserve"> </w:t>
      </w:r>
      <w:r w:rsidR="00A76703" w:rsidRPr="004F30BD">
        <w:rPr>
          <w:i/>
        </w:rPr>
        <w:t xml:space="preserve">don’t know, not applicable </w:t>
      </w:r>
      <w:r w:rsidR="00A76703" w:rsidRPr="004F30BD">
        <w:t>and</w:t>
      </w:r>
      <w:r w:rsidR="00A76703" w:rsidRPr="004F30BD">
        <w:rPr>
          <w:i/>
        </w:rPr>
        <w:t xml:space="preserve"> no</w:t>
      </w:r>
      <w:r w:rsidR="00A76703" w:rsidRPr="004F30BD">
        <w:t xml:space="preserve"> </w:t>
      </w:r>
      <w:r w:rsidR="00A76703" w:rsidRPr="004F30BD">
        <w:rPr>
          <w:i/>
        </w:rPr>
        <w:t xml:space="preserve">answers </w:t>
      </w:r>
      <w:r w:rsidR="00A76703" w:rsidRPr="004F30BD">
        <w:t>(blank)</w:t>
      </w:r>
      <w:r w:rsidR="00A76703" w:rsidRPr="004F30BD">
        <w:rPr>
          <w:i/>
        </w:rPr>
        <w:t xml:space="preserve"> </w:t>
      </w:r>
      <w:r w:rsidR="00BB7994" w:rsidRPr="004F30BD">
        <w:t>were</w:t>
      </w:r>
      <w:r w:rsidR="00A76703" w:rsidRPr="004F30BD">
        <w:t xml:space="preserve"> excluded from statistical calculations.</w:t>
      </w:r>
      <w:r w:rsidR="009068AD" w:rsidRPr="004F30BD">
        <w:t xml:space="preserve"> A top 2% score of 100% </w:t>
      </w:r>
      <w:r w:rsidR="00C27963" w:rsidRPr="004F30BD">
        <w:t>can be interpreted as</w:t>
      </w:r>
      <w:r w:rsidR="009068AD" w:rsidRPr="004F30BD">
        <w:t xml:space="preserve"> all respondents</w:t>
      </w:r>
      <w:r w:rsidR="001A06DA" w:rsidRPr="004F30BD">
        <w:t xml:space="preserve"> who answered a particular question</w:t>
      </w:r>
      <w:r w:rsidR="009068AD" w:rsidRPr="004F30BD">
        <w:t xml:space="preserve"> </w:t>
      </w:r>
      <w:r w:rsidR="001A06DA" w:rsidRPr="004F30BD">
        <w:t>indicated</w:t>
      </w:r>
      <w:r w:rsidR="009068AD" w:rsidRPr="004F30BD">
        <w:t xml:space="preserve"> that </w:t>
      </w:r>
      <w:r w:rsidR="00C24AA9" w:rsidRPr="004F30BD">
        <w:t>TEQSA</w:t>
      </w:r>
      <w:r w:rsidR="009068AD" w:rsidRPr="004F30BD">
        <w:t xml:space="preserve"> was performing at a </w:t>
      </w:r>
      <w:r w:rsidR="009068AD" w:rsidRPr="004F30BD">
        <w:rPr>
          <w:i/>
        </w:rPr>
        <w:t xml:space="preserve">good or excellent </w:t>
      </w:r>
      <w:r w:rsidR="009068AD" w:rsidRPr="004F30BD">
        <w:t>level on a particular item.</w:t>
      </w:r>
    </w:p>
    <w:p w14:paraId="67D92D5F" w14:textId="77777777" w:rsidR="007D470A" w:rsidRPr="004F30BD" w:rsidRDefault="004065F4" w:rsidP="00C24AA9">
      <w:pPr>
        <w:pStyle w:val="Heading2"/>
      </w:pPr>
      <w:bookmarkStart w:id="10" w:name="_Toc22298017"/>
      <w:r w:rsidRPr="004F30BD">
        <w:t>Response and s</w:t>
      </w:r>
      <w:r w:rsidR="00BA25FD" w:rsidRPr="004F30BD">
        <w:t>ample</w:t>
      </w:r>
      <w:r w:rsidR="007D470A" w:rsidRPr="004F30BD">
        <w:t xml:space="preserve"> profile</w:t>
      </w:r>
      <w:bookmarkEnd w:id="10"/>
    </w:p>
    <w:p w14:paraId="11AE895B" w14:textId="77777777" w:rsidR="009068AD" w:rsidRPr="004F30BD" w:rsidRDefault="00F95901" w:rsidP="009068AD">
      <w:r w:rsidRPr="004F30BD">
        <w:t xml:space="preserve">A total of </w:t>
      </w:r>
      <w:r w:rsidR="00130EE3" w:rsidRPr="004F30BD">
        <w:t>2</w:t>
      </w:r>
      <w:r w:rsidR="00F14D0B" w:rsidRPr="004F30BD">
        <w:t>38</w:t>
      </w:r>
      <w:r w:rsidRPr="004F30BD">
        <w:t xml:space="preserve"> principal contacts were invited to par</w:t>
      </w:r>
      <w:r w:rsidR="00384661" w:rsidRPr="004F30BD">
        <w:t>ticipate in their survey</w:t>
      </w:r>
      <w:r w:rsidR="005F49FD" w:rsidRPr="004F30BD">
        <w:t xml:space="preserve"> and</w:t>
      </w:r>
      <w:r w:rsidR="009068AD" w:rsidRPr="004F30BD">
        <w:t xml:space="preserve"> </w:t>
      </w:r>
      <w:r w:rsidR="003554C0" w:rsidRPr="004F30BD">
        <w:t>14</w:t>
      </w:r>
      <w:r w:rsidR="00F14D0B" w:rsidRPr="004F30BD">
        <w:t>3</w:t>
      </w:r>
      <w:r w:rsidR="009068AD" w:rsidRPr="004F30BD">
        <w:t xml:space="preserve"> principal contacts responded, yielding a </w:t>
      </w:r>
      <w:r w:rsidR="009068AD" w:rsidRPr="004F30BD">
        <w:rPr>
          <w:b/>
        </w:rPr>
        <w:t>response rate o</w:t>
      </w:r>
      <w:r w:rsidR="00843740" w:rsidRPr="004F30BD">
        <w:rPr>
          <w:b/>
        </w:rPr>
        <w:t xml:space="preserve">f </w:t>
      </w:r>
      <w:r w:rsidR="00130EE3" w:rsidRPr="004F30BD">
        <w:rPr>
          <w:b/>
        </w:rPr>
        <w:t>6</w:t>
      </w:r>
      <w:r w:rsidR="004D5A94" w:rsidRPr="004F30BD">
        <w:rPr>
          <w:b/>
        </w:rPr>
        <w:t>0</w:t>
      </w:r>
      <w:r w:rsidR="009068AD" w:rsidRPr="004F30BD">
        <w:rPr>
          <w:b/>
        </w:rPr>
        <w:t>%</w:t>
      </w:r>
      <w:r w:rsidR="009068AD" w:rsidRPr="004F30BD">
        <w:t xml:space="preserve">. The sample is statistically representative of the </w:t>
      </w:r>
      <w:r w:rsidR="00EE16C9" w:rsidRPr="004F30BD">
        <w:t>principal contacts</w:t>
      </w:r>
      <w:r w:rsidR="009068AD" w:rsidRPr="004F30BD">
        <w:t xml:space="preserve"> population at the 95% confidence level </w:t>
      </w:r>
      <w:r w:rsidR="001A06DA" w:rsidRPr="004F30BD">
        <w:t>and a ±</w:t>
      </w:r>
      <w:r w:rsidR="004D5A94" w:rsidRPr="004F30BD">
        <w:t>5</w:t>
      </w:r>
      <w:r w:rsidR="001A06DA" w:rsidRPr="004F30BD">
        <w:t>.</w:t>
      </w:r>
      <w:r w:rsidR="004D5A94" w:rsidRPr="004F30BD">
        <w:t>2</w:t>
      </w:r>
      <w:r w:rsidR="001A06DA" w:rsidRPr="004F30BD">
        <w:t xml:space="preserve">% confidence interval. </w:t>
      </w:r>
      <w:r w:rsidR="009068AD" w:rsidRPr="004F30BD">
        <w:t xml:space="preserve">This is an acceptable scientific </w:t>
      </w:r>
      <w:r w:rsidR="001A06DA" w:rsidRPr="004F30BD">
        <w:t>research confidence interval</w:t>
      </w:r>
      <w:r w:rsidR="005F49FD" w:rsidRPr="004F30BD">
        <w:t xml:space="preserve"> for scientific and market research</w:t>
      </w:r>
      <w:r w:rsidR="001A06DA" w:rsidRPr="004F30BD">
        <w:t>.</w:t>
      </w:r>
    </w:p>
    <w:p w14:paraId="6FD8147D" w14:textId="77777777" w:rsidR="009068AD" w:rsidRPr="004F30BD" w:rsidRDefault="00113803" w:rsidP="001A06DA">
      <w:pPr>
        <w:spacing w:after="240"/>
      </w:pPr>
      <w:r w:rsidRPr="004F30BD">
        <w:t xml:space="preserve">A total of </w:t>
      </w:r>
      <w:r w:rsidR="00D96712" w:rsidRPr="004F30BD">
        <w:t>5</w:t>
      </w:r>
      <w:r w:rsidR="0038446B" w:rsidRPr="004F30BD">
        <w:t>1</w:t>
      </w:r>
      <w:r w:rsidRPr="004F30BD">
        <w:t xml:space="preserve"> </w:t>
      </w:r>
      <w:r w:rsidR="003A0112" w:rsidRPr="004F30BD">
        <w:t xml:space="preserve">representatives from </w:t>
      </w:r>
      <w:r w:rsidRPr="004F30BD">
        <w:t>peak</w:t>
      </w:r>
      <w:r w:rsidR="002E3F10" w:rsidRPr="004F30BD">
        <w:t xml:space="preserve">, </w:t>
      </w:r>
      <w:r w:rsidRPr="004F30BD">
        <w:t>professio</w:t>
      </w:r>
      <w:r w:rsidR="003A0112" w:rsidRPr="004F30BD">
        <w:t xml:space="preserve">nal </w:t>
      </w:r>
      <w:r w:rsidR="00476384" w:rsidRPr="004F30BD">
        <w:t xml:space="preserve">and student </w:t>
      </w:r>
      <w:r w:rsidR="003A0112" w:rsidRPr="004F30BD">
        <w:t>bodies</w:t>
      </w:r>
      <w:r w:rsidRPr="004F30BD">
        <w:t xml:space="preserve"> were invited</w:t>
      </w:r>
      <w:r w:rsidR="00EC4D39" w:rsidRPr="004F30BD">
        <w:t xml:space="preserve"> to participate in their survey</w:t>
      </w:r>
      <w:r w:rsidR="005F49FD" w:rsidRPr="004F30BD">
        <w:t xml:space="preserve"> and 23 responded</w:t>
      </w:r>
      <w:r w:rsidR="009068AD" w:rsidRPr="004F30BD">
        <w:t xml:space="preserve"> </w:t>
      </w:r>
      <w:r w:rsidR="005F49FD" w:rsidRPr="004F30BD">
        <w:t>yielding</w:t>
      </w:r>
      <w:r w:rsidR="009068AD" w:rsidRPr="004F30BD">
        <w:t xml:space="preserve"> a </w:t>
      </w:r>
      <w:r w:rsidR="009068AD" w:rsidRPr="004F30BD">
        <w:rPr>
          <w:b/>
        </w:rPr>
        <w:t xml:space="preserve">response rate of </w:t>
      </w:r>
      <w:r w:rsidR="00D96712" w:rsidRPr="004F30BD">
        <w:rPr>
          <w:b/>
        </w:rPr>
        <w:t>4</w:t>
      </w:r>
      <w:r w:rsidR="0038446B" w:rsidRPr="004F30BD">
        <w:rPr>
          <w:b/>
        </w:rPr>
        <w:t>5</w:t>
      </w:r>
      <w:r w:rsidR="009068AD" w:rsidRPr="004F30BD">
        <w:rPr>
          <w:b/>
        </w:rPr>
        <w:t>%.</w:t>
      </w:r>
      <w:r w:rsidR="009068AD" w:rsidRPr="004F30BD">
        <w:t xml:space="preserve"> The results</w:t>
      </w:r>
      <w:r w:rsidR="003A0112" w:rsidRPr="004F30BD">
        <w:t xml:space="preserve"> for</w:t>
      </w:r>
      <w:r w:rsidR="009068AD" w:rsidRPr="004F30BD">
        <w:t xml:space="preserve"> </w:t>
      </w:r>
      <w:r w:rsidR="00E14B83" w:rsidRPr="004F30BD">
        <w:t>this</w:t>
      </w:r>
      <w:r w:rsidR="009068AD" w:rsidRPr="004F30BD">
        <w:t xml:space="preserve"> survey have a confidence interval of </w:t>
      </w:r>
      <w:r w:rsidR="006B03C5" w:rsidRPr="004F30BD">
        <w:t>±</w:t>
      </w:r>
      <w:r w:rsidR="0038446B" w:rsidRPr="004F30BD">
        <w:t>15</w:t>
      </w:r>
      <w:r w:rsidR="00D96712" w:rsidRPr="004F30BD">
        <w:t>.</w:t>
      </w:r>
      <w:r w:rsidR="0038446B" w:rsidRPr="004F30BD">
        <w:t>4</w:t>
      </w:r>
      <w:r w:rsidR="009068AD" w:rsidRPr="004F30BD">
        <w:t>%</w:t>
      </w:r>
      <w:r w:rsidR="00C27963" w:rsidRPr="004F30BD">
        <w:t>. With this higher confidence interval</w:t>
      </w:r>
      <w:r w:rsidR="00631CCC" w:rsidRPr="004F30BD">
        <w:t xml:space="preserve"> </w:t>
      </w:r>
      <w:r w:rsidR="000E2AEB" w:rsidRPr="004F30BD">
        <w:t>and</w:t>
      </w:r>
      <w:r w:rsidR="000579B9" w:rsidRPr="004F30BD">
        <w:t xml:space="preserve"> </w:t>
      </w:r>
      <w:r w:rsidR="00C27963" w:rsidRPr="004F30BD">
        <w:t>a small</w:t>
      </w:r>
      <w:r w:rsidR="000579B9" w:rsidRPr="004F30BD">
        <w:t xml:space="preserve"> sample of 2</w:t>
      </w:r>
      <w:r w:rsidR="0038446B" w:rsidRPr="004F30BD">
        <w:t>3</w:t>
      </w:r>
      <w:r w:rsidR="00C27963" w:rsidRPr="004F30BD">
        <w:t>,</w:t>
      </w:r>
      <w:r w:rsidR="000579B9" w:rsidRPr="004F30BD">
        <w:t xml:space="preserve"> </w:t>
      </w:r>
      <w:r w:rsidR="00C27963" w:rsidRPr="004F30BD">
        <w:t>PPSB</w:t>
      </w:r>
      <w:r w:rsidR="00014882" w:rsidRPr="004F30BD">
        <w:t xml:space="preserve"> results</w:t>
      </w:r>
      <w:r w:rsidR="009068AD" w:rsidRPr="004F30BD">
        <w:t xml:space="preserve"> </w:t>
      </w:r>
      <w:r w:rsidR="005F49FD" w:rsidRPr="004F30BD">
        <w:t xml:space="preserve">should be treated </w:t>
      </w:r>
      <w:r w:rsidR="00A20807" w:rsidRPr="004F30BD">
        <w:t>with caution and</w:t>
      </w:r>
      <w:r w:rsidR="003A0112" w:rsidRPr="004F30BD">
        <w:t xml:space="preserve"> </w:t>
      </w:r>
      <w:r w:rsidR="009068AD" w:rsidRPr="004F30BD">
        <w:t>as indicative</w:t>
      </w:r>
      <w:r w:rsidR="003A0112" w:rsidRPr="004F30BD">
        <w:t xml:space="preserve"> only</w:t>
      </w:r>
      <w:r w:rsidR="009068AD" w:rsidRPr="004F30BD">
        <w:t>.</w:t>
      </w:r>
    </w:p>
    <w:p w14:paraId="4F96F499" w14:textId="77777777" w:rsidR="00310481" w:rsidRPr="004F30BD" w:rsidRDefault="00310481" w:rsidP="005F49FD">
      <w:pPr>
        <w:pStyle w:val="Note"/>
        <w:pBdr>
          <w:top w:val="single" w:sz="4" w:space="8" w:color="C0C0C0"/>
          <w:left w:val="single" w:sz="4" w:space="8" w:color="C0C0C0"/>
          <w:bottom w:val="single" w:sz="4" w:space="8" w:color="C0C0C0"/>
          <w:right w:val="single" w:sz="4" w:space="8" w:color="C0C0C0"/>
        </w:pBdr>
        <w:shd w:val="clear" w:color="auto" w:fill="E6E6E6"/>
        <w:spacing w:line="240" w:lineRule="auto"/>
        <w:ind w:left="360" w:right="1621"/>
        <w:rPr>
          <w:rFonts w:ascii="Arial Nova" w:hAnsi="Arial Nova" w:cs="Open Sans"/>
          <w:szCs w:val="18"/>
          <w:lang w:val="en-AU"/>
        </w:rPr>
      </w:pPr>
      <w:r w:rsidRPr="004F30BD">
        <w:rPr>
          <w:rFonts w:ascii="Arial Nova" w:hAnsi="Arial Nova" w:cs="Open Sans"/>
          <w:szCs w:val="18"/>
          <w:lang w:val="en-AU"/>
        </w:rPr>
        <w:t xml:space="preserve">Representativeness of a sample is </w:t>
      </w:r>
      <w:r w:rsidR="00615158" w:rsidRPr="004F30BD">
        <w:rPr>
          <w:rFonts w:ascii="Arial Nova" w:hAnsi="Arial Nova" w:cs="Open Sans"/>
          <w:szCs w:val="18"/>
          <w:lang w:val="en-AU"/>
        </w:rPr>
        <w:t>often</w:t>
      </w:r>
      <w:r w:rsidRPr="004F30BD">
        <w:rPr>
          <w:rFonts w:ascii="Arial Nova" w:hAnsi="Arial Nova" w:cs="Open Sans"/>
          <w:szCs w:val="18"/>
          <w:lang w:val="en-AU"/>
        </w:rPr>
        <w:t xml:space="preserve"> assessed at a 95% confidence level (accuracy) and a ±5% confidence interval (precision).</w:t>
      </w:r>
    </w:p>
    <w:p w14:paraId="6D326EB7" w14:textId="77777777" w:rsidR="00615158" w:rsidRPr="004F30BD" w:rsidRDefault="00615158" w:rsidP="005F49FD">
      <w:pPr>
        <w:pStyle w:val="Note"/>
        <w:pBdr>
          <w:top w:val="single" w:sz="4" w:space="8" w:color="C0C0C0"/>
          <w:left w:val="single" w:sz="4" w:space="8" w:color="C0C0C0"/>
          <w:bottom w:val="single" w:sz="4" w:space="8" w:color="C0C0C0"/>
          <w:right w:val="single" w:sz="4" w:space="8" w:color="C0C0C0"/>
        </w:pBdr>
        <w:shd w:val="clear" w:color="auto" w:fill="E6E6E6"/>
        <w:spacing w:line="240" w:lineRule="auto"/>
        <w:ind w:left="360" w:right="1621"/>
        <w:rPr>
          <w:rFonts w:ascii="Arial Nova" w:hAnsi="Arial Nova" w:cs="Open Sans"/>
          <w:szCs w:val="18"/>
          <w:lang w:val="en-AU"/>
        </w:rPr>
      </w:pPr>
      <w:r w:rsidRPr="004F30BD">
        <w:rPr>
          <w:rFonts w:ascii="Arial Nova" w:hAnsi="Arial Nova" w:cs="Open Sans"/>
          <w:szCs w:val="18"/>
          <w:lang w:val="en-AU"/>
        </w:rPr>
        <w:t xml:space="preserve">The </w:t>
      </w:r>
      <w:r w:rsidRPr="004F30BD">
        <w:rPr>
          <w:rFonts w:ascii="Arial Nova" w:hAnsi="Arial Nova" w:cs="Open Sans"/>
          <w:b/>
          <w:bCs/>
          <w:szCs w:val="18"/>
          <w:lang w:val="en-AU"/>
        </w:rPr>
        <w:t>confidence interval</w:t>
      </w:r>
      <w:r w:rsidRPr="004F30BD">
        <w:rPr>
          <w:rFonts w:ascii="Arial Nova" w:hAnsi="Arial Nova" w:cs="Open Sans"/>
          <w:szCs w:val="18"/>
          <w:lang w:val="en-AU"/>
        </w:rPr>
        <w:t xml:space="preserve"> (also called margin of error) is the plus-or-minus figure usually reported in newspaper or television opinion poll results. For example, if you use a confidence interval of 4 and 47% percent of your sample picks an answer you can be "sure" that if you had asked the question of the entire relevant population between 43% (47-4) and 51% (47+4) would have picked that answer.</w:t>
      </w:r>
    </w:p>
    <w:p w14:paraId="42CE5A37" w14:textId="77777777" w:rsidR="00615158" w:rsidRPr="004F30BD" w:rsidRDefault="00615158" w:rsidP="005F49FD">
      <w:pPr>
        <w:pStyle w:val="Note"/>
        <w:pBdr>
          <w:top w:val="single" w:sz="4" w:space="8" w:color="C0C0C0"/>
          <w:left w:val="single" w:sz="4" w:space="8" w:color="C0C0C0"/>
          <w:bottom w:val="single" w:sz="4" w:space="8" w:color="C0C0C0"/>
          <w:right w:val="single" w:sz="4" w:space="8" w:color="C0C0C0"/>
        </w:pBdr>
        <w:shd w:val="clear" w:color="auto" w:fill="E6E6E6"/>
        <w:spacing w:line="240" w:lineRule="auto"/>
        <w:ind w:left="360" w:right="1621"/>
        <w:rPr>
          <w:rFonts w:ascii="Arial Nova" w:hAnsi="Arial Nova" w:cs="Open Sans"/>
          <w:szCs w:val="18"/>
          <w:lang w:val="en-AU"/>
        </w:rPr>
      </w:pPr>
      <w:r w:rsidRPr="004F30BD">
        <w:rPr>
          <w:rFonts w:ascii="Arial Nova" w:hAnsi="Arial Nova" w:cs="Open Sans"/>
          <w:szCs w:val="18"/>
          <w:lang w:val="en-AU"/>
        </w:rPr>
        <w:t xml:space="preserve">The </w:t>
      </w:r>
      <w:r w:rsidRPr="004F30BD">
        <w:rPr>
          <w:rFonts w:ascii="Arial Nova" w:hAnsi="Arial Nova" w:cs="Open Sans"/>
          <w:b/>
          <w:bCs/>
          <w:szCs w:val="18"/>
          <w:lang w:val="en-AU"/>
        </w:rPr>
        <w:t>confidence level</w:t>
      </w:r>
      <w:r w:rsidRPr="004F30BD">
        <w:rPr>
          <w:rFonts w:ascii="Arial Nova" w:hAnsi="Arial Nova" w:cs="Open Sans"/>
          <w:szCs w:val="18"/>
          <w:lang w:val="en-AU"/>
        </w:rPr>
        <w:t xml:space="preserve"> tells you how sure you can be. It is expressed as a percentage and represents how often the true percentage of the population who would pick an answer lies within the confidence interval. The 95% confidence level means you can be 95% certain; the 99% confidence level means you can be 99% certain. Most researchers use the 95% confidence level.</w:t>
      </w:r>
    </w:p>
    <w:p w14:paraId="0167D404" w14:textId="77777777" w:rsidR="00615158" w:rsidRPr="004F30BD" w:rsidRDefault="00615158" w:rsidP="005F49FD">
      <w:pPr>
        <w:pStyle w:val="Note"/>
        <w:pBdr>
          <w:top w:val="single" w:sz="4" w:space="8" w:color="C0C0C0"/>
          <w:left w:val="single" w:sz="4" w:space="8" w:color="C0C0C0"/>
          <w:bottom w:val="single" w:sz="4" w:space="8" w:color="C0C0C0"/>
          <w:right w:val="single" w:sz="4" w:space="8" w:color="C0C0C0"/>
        </w:pBdr>
        <w:shd w:val="clear" w:color="auto" w:fill="E6E6E6"/>
        <w:spacing w:line="240" w:lineRule="auto"/>
        <w:ind w:left="360" w:right="1621"/>
        <w:rPr>
          <w:rFonts w:ascii="Arial Nova" w:hAnsi="Arial Nova" w:cs="Open Sans"/>
          <w:szCs w:val="18"/>
          <w:lang w:val="en-AU"/>
        </w:rPr>
      </w:pPr>
      <w:r w:rsidRPr="004F30BD">
        <w:rPr>
          <w:rFonts w:ascii="Arial Nova" w:hAnsi="Arial Nova" w:cs="Open Sans"/>
          <w:szCs w:val="18"/>
          <w:lang w:val="en-AU"/>
        </w:rPr>
        <w:t>When you put the confidence level and the confidence interval together, you can say that you are 95% sure that the true percentage of the population is between 43% and 51%. The wider the confidence interval you are willing to accept, the more certain you can be that the whole population answers would be within that range.</w:t>
      </w:r>
    </w:p>
    <w:p w14:paraId="073D3D60" w14:textId="77777777" w:rsidR="00615158" w:rsidRPr="004F30BD" w:rsidRDefault="00615158" w:rsidP="005F49FD">
      <w:pPr>
        <w:pStyle w:val="Note"/>
        <w:pBdr>
          <w:top w:val="single" w:sz="4" w:space="8" w:color="C0C0C0"/>
          <w:left w:val="single" w:sz="4" w:space="8" w:color="C0C0C0"/>
          <w:bottom w:val="single" w:sz="4" w:space="8" w:color="C0C0C0"/>
          <w:right w:val="single" w:sz="4" w:space="8" w:color="C0C0C0"/>
        </w:pBdr>
        <w:shd w:val="clear" w:color="auto" w:fill="E6E6E6"/>
        <w:spacing w:line="240" w:lineRule="auto"/>
        <w:ind w:left="360" w:right="1621"/>
        <w:rPr>
          <w:rFonts w:ascii="Arial Nova" w:hAnsi="Arial Nova" w:cs="Open Sans"/>
          <w:szCs w:val="18"/>
          <w:lang w:val="en-AU"/>
        </w:rPr>
      </w:pPr>
      <w:r w:rsidRPr="004F30BD">
        <w:rPr>
          <w:rFonts w:ascii="Arial Nova" w:hAnsi="Arial Nova" w:cs="Open Sans"/>
          <w:szCs w:val="18"/>
          <w:lang w:val="en-AU"/>
        </w:rPr>
        <w:t xml:space="preserve">For example, if you asked a sample of 1000 people in a city which </w:t>
      </w:r>
      <w:r w:rsidR="00715C12" w:rsidRPr="004F30BD">
        <w:rPr>
          <w:rFonts w:ascii="Arial Nova" w:hAnsi="Arial Nova" w:cs="Open Sans"/>
          <w:szCs w:val="18"/>
          <w:lang w:val="en-AU"/>
        </w:rPr>
        <w:t>TV channel</w:t>
      </w:r>
      <w:r w:rsidRPr="004F30BD">
        <w:rPr>
          <w:rFonts w:ascii="Arial Nova" w:hAnsi="Arial Nova" w:cs="Open Sans"/>
          <w:szCs w:val="18"/>
          <w:lang w:val="en-AU"/>
        </w:rPr>
        <w:t xml:space="preserve"> they preferred</w:t>
      </w:r>
      <w:r w:rsidR="00715C12" w:rsidRPr="004F30BD">
        <w:rPr>
          <w:rFonts w:ascii="Arial Nova" w:hAnsi="Arial Nova" w:cs="Open Sans"/>
          <w:szCs w:val="18"/>
          <w:lang w:val="en-AU"/>
        </w:rPr>
        <w:t xml:space="preserve"> watching</w:t>
      </w:r>
      <w:r w:rsidRPr="004F30BD">
        <w:rPr>
          <w:rFonts w:ascii="Arial Nova" w:hAnsi="Arial Nova" w:cs="Open Sans"/>
          <w:szCs w:val="18"/>
          <w:lang w:val="en-AU"/>
        </w:rPr>
        <w:t xml:space="preserve">, and 60% said </w:t>
      </w:r>
      <w:r w:rsidR="00715C12" w:rsidRPr="004F30BD">
        <w:rPr>
          <w:rFonts w:ascii="Arial Nova" w:hAnsi="Arial Nova" w:cs="Open Sans"/>
          <w:szCs w:val="18"/>
          <w:lang w:val="en-AU"/>
        </w:rPr>
        <w:t>Channel</w:t>
      </w:r>
      <w:r w:rsidRPr="004F30BD">
        <w:rPr>
          <w:rFonts w:ascii="Arial Nova" w:hAnsi="Arial Nova" w:cs="Open Sans"/>
          <w:szCs w:val="18"/>
          <w:lang w:val="en-AU"/>
        </w:rPr>
        <w:t xml:space="preserve"> A, you can be very certain that between 40</w:t>
      </w:r>
      <w:r w:rsidR="00E14B83" w:rsidRPr="004F30BD">
        <w:rPr>
          <w:rFonts w:ascii="Arial Nova" w:hAnsi="Arial Nova" w:cs="Open Sans"/>
          <w:szCs w:val="18"/>
          <w:lang w:val="en-AU"/>
        </w:rPr>
        <w:t>%</w:t>
      </w:r>
      <w:r w:rsidRPr="004F30BD">
        <w:rPr>
          <w:rFonts w:ascii="Arial Nova" w:hAnsi="Arial Nova" w:cs="Open Sans"/>
          <w:szCs w:val="18"/>
          <w:lang w:val="en-AU"/>
        </w:rPr>
        <w:t xml:space="preserve"> and 80% of all the people in the city actually do prefer that </w:t>
      </w:r>
      <w:r w:rsidR="00715C12" w:rsidRPr="004F30BD">
        <w:rPr>
          <w:rFonts w:ascii="Arial Nova" w:hAnsi="Arial Nova" w:cs="Open Sans"/>
          <w:szCs w:val="18"/>
          <w:lang w:val="en-AU"/>
        </w:rPr>
        <w:t>channel</w:t>
      </w:r>
      <w:r w:rsidRPr="004F30BD">
        <w:rPr>
          <w:rFonts w:ascii="Arial Nova" w:hAnsi="Arial Nova" w:cs="Open Sans"/>
          <w:szCs w:val="18"/>
          <w:lang w:val="en-AU"/>
        </w:rPr>
        <w:t>, but you cannot be so sure that between 59</w:t>
      </w:r>
      <w:r w:rsidR="00E14B83" w:rsidRPr="004F30BD">
        <w:rPr>
          <w:rFonts w:ascii="Arial Nova" w:hAnsi="Arial Nova" w:cs="Open Sans"/>
          <w:szCs w:val="18"/>
          <w:lang w:val="en-AU"/>
        </w:rPr>
        <w:t>%</w:t>
      </w:r>
      <w:r w:rsidRPr="004F30BD">
        <w:rPr>
          <w:rFonts w:ascii="Arial Nova" w:hAnsi="Arial Nova" w:cs="Open Sans"/>
          <w:szCs w:val="18"/>
          <w:lang w:val="en-AU"/>
        </w:rPr>
        <w:t xml:space="preserve"> and 61% of the people in the city prefer the </w:t>
      </w:r>
      <w:r w:rsidR="00715C12" w:rsidRPr="004F30BD">
        <w:rPr>
          <w:rFonts w:ascii="Arial Nova" w:hAnsi="Arial Nova" w:cs="Open Sans"/>
          <w:szCs w:val="18"/>
          <w:lang w:val="en-AU"/>
        </w:rPr>
        <w:t>channel</w:t>
      </w:r>
      <w:r w:rsidRPr="004F30BD">
        <w:rPr>
          <w:rFonts w:ascii="Arial Nova" w:hAnsi="Arial Nova" w:cs="Open Sans"/>
          <w:szCs w:val="18"/>
          <w:lang w:val="en-AU"/>
        </w:rPr>
        <w:t>.</w:t>
      </w:r>
      <w:r w:rsidR="00CB7910" w:rsidRPr="004F30BD">
        <w:rPr>
          <w:rFonts w:ascii="Arial Nova" w:hAnsi="Arial Nova" w:cs="Open Sans"/>
          <w:szCs w:val="18"/>
          <w:lang w:val="en-AU"/>
        </w:rPr>
        <w:t xml:space="preserve">  </w:t>
      </w:r>
      <w:r w:rsidR="00CB7910" w:rsidRPr="004F30BD">
        <w:rPr>
          <w:rFonts w:ascii="Arial Nova" w:hAnsi="Arial Nova" w:cs="Open Sans"/>
          <w:i/>
          <w:szCs w:val="18"/>
          <w:lang w:val="en-AU"/>
        </w:rPr>
        <w:t>Reference: www.surveysystem.com/sscalc.htm</w:t>
      </w:r>
    </w:p>
    <w:p w14:paraId="53684DE3" w14:textId="77777777" w:rsidR="00113803" w:rsidRPr="004F30BD" w:rsidRDefault="00113803" w:rsidP="00113803">
      <w:pPr>
        <w:pStyle w:val="Heading4"/>
      </w:pPr>
      <w:r w:rsidRPr="004F30BD">
        <w:t>Population / sample comparison</w:t>
      </w:r>
    </w:p>
    <w:p w14:paraId="6380E3C7" w14:textId="77777777" w:rsidR="00D75AF4" w:rsidRPr="004F30BD" w:rsidRDefault="00E47BBE" w:rsidP="00173E3F">
      <w:pPr>
        <w:spacing w:after="120"/>
      </w:pPr>
      <w:r w:rsidRPr="004F30BD">
        <w:t xml:space="preserve">The </w:t>
      </w:r>
      <w:r w:rsidR="001A06DA" w:rsidRPr="004F30BD">
        <w:t>profiles of the provider</w:t>
      </w:r>
      <w:r w:rsidRPr="004F30BD">
        <w:t xml:space="preserve"> population and </w:t>
      </w:r>
      <w:r w:rsidR="00CC2261" w:rsidRPr="004F30BD">
        <w:t xml:space="preserve">the survey </w:t>
      </w:r>
      <w:r w:rsidRPr="004F30BD">
        <w:t xml:space="preserve">sample </w:t>
      </w:r>
      <w:r w:rsidR="00CC2261" w:rsidRPr="004F30BD">
        <w:t>were</w:t>
      </w:r>
      <w:r w:rsidRPr="004F30BD">
        <w:t xml:space="preserve"> compared by state and category to identify any over/under-r</w:t>
      </w:r>
      <w:r w:rsidR="00EC4D39" w:rsidRPr="004F30BD">
        <w:t>epresentation</w:t>
      </w:r>
      <w:r w:rsidRPr="004F30BD">
        <w:t xml:space="preserve"> in the </w:t>
      </w:r>
      <w:r w:rsidR="00CC2261" w:rsidRPr="004F30BD">
        <w:t xml:space="preserve">principal contact </w:t>
      </w:r>
      <w:r w:rsidRPr="004F30BD">
        <w:t xml:space="preserve">response set. </w:t>
      </w:r>
      <w:r w:rsidR="00CC2261" w:rsidRPr="004F30BD">
        <w:t>Both</w:t>
      </w:r>
      <w:r w:rsidRPr="004F30BD">
        <w:t xml:space="preserve"> profiles </w:t>
      </w:r>
      <w:r w:rsidR="00113803" w:rsidRPr="004F30BD">
        <w:t>had</w:t>
      </w:r>
      <w:r w:rsidRPr="004F30BD">
        <w:t xml:space="preserve"> </w:t>
      </w:r>
      <w:r w:rsidR="00403951" w:rsidRPr="004F30BD">
        <w:t>very</w:t>
      </w:r>
      <w:r w:rsidRPr="004F30BD">
        <w:t xml:space="preserve"> similar proportions (see tables immediately below)</w:t>
      </w:r>
      <w:r w:rsidR="00CC2261" w:rsidRPr="004F30BD">
        <w:t xml:space="preserve"> meaning that the response </w:t>
      </w:r>
      <w:r w:rsidR="003A0112" w:rsidRPr="004F30BD">
        <w:t>set showed no non-response bias, that is, the sample</w:t>
      </w:r>
      <w:r w:rsidR="00CC2261" w:rsidRPr="004F30BD">
        <w:t xml:space="preserve"> closely reflected the population on each attribute</w:t>
      </w:r>
      <w:r w:rsidRPr="004F30BD">
        <w:t xml:space="preserve">. </w:t>
      </w:r>
    </w:p>
    <w:p w14:paraId="62AF3770" w14:textId="77777777" w:rsidR="00E47BBE" w:rsidRPr="004F30BD" w:rsidRDefault="00E47BBE" w:rsidP="00173E3F">
      <w:pPr>
        <w:spacing w:after="120"/>
      </w:pPr>
      <w:r w:rsidRPr="004F30BD">
        <w:lastRenderedPageBreak/>
        <w:t xml:space="preserve">As a result, </w:t>
      </w:r>
      <w:r w:rsidR="00CC2261" w:rsidRPr="004F30BD">
        <w:t xml:space="preserve">the response sample was considered </w:t>
      </w:r>
      <w:r w:rsidR="00C27963" w:rsidRPr="004F30BD">
        <w:t xml:space="preserve">closely </w:t>
      </w:r>
      <w:r w:rsidR="00CC2261" w:rsidRPr="004F30BD">
        <w:t xml:space="preserve">representative of the population and </w:t>
      </w:r>
      <w:r w:rsidRPr="004F30BD">
        <w:rPr>
          <w:b/>
        </w:rPr>
        <w:t>no weighting</w:t>
      </w:r>
      <w:r w:rsidRPr="004F30BD">
        <w:t xml:space="preserve"> </w:t>
      </w:r>
      <w:r w:rsidR="00CC2261" w:rsidRPr="004F30BD">
        <w:t>was</w:t>
      </w:r>
      <w:r w:rsidRPr="004F30BD">
        <w:t xml:space="preserve"> applied to the principal contact</w:t>
      </w:r>
      <w:r w:rsidR="00CC2261" w:rsidRPr="004F30BD">
        <w:t xml:space="preserve"> survey</w:t>
      </w:r>
      <w:r w:rsidRPr="004F30BD">
        <w:t xml:space="preserve"> </w:t>
      </w:r>
      <w:r w:rsidR="00CC2261" w:rsidRPr="004F30BD">
        <w:t>response set</w:t>
      </w:r>
      <w:r w:rsidRPr="004F30BD">
        <w:t>.</w:t>
      </w:r>
    </w:p>
    <w:p w14:paraId="76EE9DF9" w14:textId="77777777" w:rsidR="00173E3F" w:rsidRPr="004F30BD" w:rsidRDefault="00173E3F" w:rsidP="00173E3F">
      <w:pPr>
        <w:spacing w:before="0" w:after="240"/>
      </w:pPr>
      <w:r w:rsidRPr="004F30BD">
        <w:t>Note that throughout this report, the total sample n count varies slightly. This is not an error. One institution chose to answer additionally from a group perspective, so was not included in the population figures and had no attributes associated with it.</w:t>
      </w:r>
    </w:p>
    <w:tbl>
      <w:tblPr>
        <w:tblW w:w="8442" w:type="dxa"/>
        <w:tblInd w:w="108" w:type="dxa"/>
        <w:tblLayout w:type="fixed"/>
        <w:tblLook w:val="0000" w:firstRow="0" w:lastRow="0" w:firstColumn="0" w:lastColumn="0" w:noHBand="0" w:noVBand="0"/>
      </w:tblPr>
      <w:tblGrid>
        <w:gridCol w:w="3153"/>
        <w:gridCol w:w="1322"/>
        <w:gridCol w:w="1322"/>
        <w:gridCol w:w="1322"/>
        <w:gridCol w:w="1323"/>
      </w:tblGrid>
      <w:tr w:rsidR="00CE3E1B" w:rsidRPr="004F30BD" w14:paraId="7EA94720" w14:textId="77777777" w:rsidTr="002C416A">
        <w:trPr>
          <w:trHeight w:val="257"/>
          <w:tblHeader/>
        </w:trPr>
        <w:tc>
          <w:tcPr>
            <w:tcW w:w="3153" w:type="dxa"/>
            <w:shd w:val="clear" w:color="auto" w:fill="00386E"/>
            <w:noWrap/>
            <w:vAlign w:val="center"/>
          </w:tcPr>
          <w:p w14:paraId="3B2F54F1" w14:textId="77777777" w:rsidR="00CE3E1B" w:rsidRPr="004F30BD" w:rsidRDefault="00670A94" w:rsidP="00E14B83">
            <w:pPr>
              <w:pStyle w:val="Tabletext"/>
              <w:spacing w:line="240" w:lineRule="atLeast"/>
              <w:rPr>
                <w:rFonts w:ascii="Arial Nova" w:hAnsi="Arial Nova"/>
                <w:color w:val="FFFFFF"/>
                <w:sz w:val="18"/>
                <w:szCs w:val="18"/>
                <w:lang w:val="en-AU"/>
              </w:rPr>
            </w:pPr>
            <w:r w:rsidRPr="004F30BD">
              <w:rPr>
                <w:rFonts w:ascii="Arial Nova" w:hAnsi="Arial Nova"/>
                <w:color w:val="FFFFFF"/>
                <w:sz w:val="18"/>
                <w:szCs w:val="18"/>
                <w:lang w:val="en-AU"/>
              </w:rPr>
              <w:t>LOCATION</w:t>
            </w:r>
          </w:p>
        </w:tc>
        <w:tc>
          <w:tcPr>
            <w:tcW w:w="2644" w:type="dxa"/>
            <w:gridSpan w:val="2"/>
            <w:shd w:val="clear" w:color="auto" w:fill="00386E"/>
            <w:vAlign w:val="center"/>
          </w:tcPr>
          <w:p w14:paraId="21DA6237" w14:textId="77777777" w:rsidR="00CE3E1B" w:rsidRPr="004F30BD" w:rsidRDefault="00CE3E1B" w:rsidP="00E14B83">
            <w:pPr>
              <w:pStyle w:val="Tabletext"/>
              <w:spacing w:line="240" w:lineRule="atLeast"/>
              <w:jc w:val="center"/>
              <w:rPr>
                <w:rFonts w:ascii="Arial Nova" w:hAnsi="Arial Nova"/>
                <w:b/>
                <w:color w:val="FFFFFF"/>
                <w:sz w:val="18"/>
                <w:szCs w:val="18"/>
                <w:lang w:val="en-AU"/>
              </w:rPr>
            </w:pPr>
            <w:r w:rsidRPr="004F30BD">
              <w:rPr>
                <w:rFonts w:ascii="Arial Nova" w:hAnsi="Arial Nova"/>
                <w:color w:val="FFFFFF"/>
                <w:sz w:val="18"/>
                <w:szCs w:val="18"/>
                <w:lang w:val="en-AU"/>
              </w:rPr>
              <w:t xml:space="preserve">PRINCIPAL CONTACT </w:t>
            </w:r>
            <w:r w:rsidR="00E14B83" w:rsidRPr="004F30BD">
              <w:rPr>
                <w:rFonts w:ascii="Arial Nova" w:hAnsi="Arial Nova"/>
                <w:color w:val="FFFFFF"/>
                <w:sz w:val="18"/>
                <w:szCs w:val="18"/>
                <w:lang w:val="en-AU"/>
              </w:rPr>
              <w:br/>
            </w:r>
            <w:r w:rsidRPr="004F30BD">
              <w:rPr>
                <w:rFonts w:ascii="Arial Nova" w:hAnsi="Arial Nova"/>
                <w:bCs/>
                <w:color w:val="FFFFFF"/>
                <w:sz w:val="18"/>
                <w:szCs w:val="18"/>
                <w:lang w:val="en-AU"/>
              </w:rPr>
              <w:t>POPULATION</w:t>
            </w:r>
          </w:p>
        </w:tc>
        <w:tc>
          <w:tcPr>
            <w:tcW w:w="2645" w:type="dxa"/>
            <w:gridSpan w:val="2"/>
            <w:shd w:val="clear" w:color="auto" w:fill="00386E"/>
            <w:vAlign w:val="center"/>
          </w:tcPr>
          <w:p w14:paraId="51F6A874" w14:textId="77777777" w:rsidR="00CE3E1B" w:rsidRPr="004F30BD" w:rsidRDefault="00CE3E1B" w:rsidP="00E14B83">
            <w:pPr>
              <w:pStyle w:val="Tabletext"/>
              <w:spacing w:line="240" w:lineRule="atLeast"/>
              <w:jc w:val="center"/>
              <w:rPr>
                <w:rFonts w:ascii="Arial Nova" w:hAnsi="Arial Nova"/>
                <w:b/>
                <w:color w:val="FFFFFF"/>
                <w:sz w:val="18"/>
                <w:szCs w:val="18"/>
                <w:lang w:val="en-AU"/>
              </w:rPr>
            </w:pPr>
            <w:r w:rsidRPr="004F30BD">
              <w:rPr>
                <w:rFonts w:ascii="Arial Nova" w:hAnsi="Arial Nova"/>
                <w:color w:val="FFFFFF"/>
                <w:sz w:val="18"/>
                <w:szCs w:val="18"/>
                <w:lang w:val="en-AU"/>
              </w:rPr>
              <w:t xml:space="preserve">RESPONSE </w:t>
            </w:r>
            <w:r w:rsidR="00E14B83" w:rsidRPr="004F30BD">
              <w:rPr>
                <w:rFonts w:ascii="Arial Nova" w:hAnsi="Arial Nova"/>
                <w:color w:val="FFFFFF"/>
                <w:sz w:val="18"/>
                <w:szCs w:val="18"/>
                <w:lang w:val="en-AU"/>
              </w:rPr>
              <w:br/>
            </w:r>
            <w:r w:rsidRPr="004F30BD">
              <w:rPr>
                <w:rFonts w:ascii="Arial Nova" w:hAnsi="Arial Nova"/>
                <w:bCs/>
                <w:color w:val="FFFFFF"/>
                <w:sz w:val="18"/>
                <w:szCs w:val="18"/>
                <w:lang w:val="en-AU"/>
              </w:rPr>
              <w:t>SAMPLE</w:t>
            </w:r>
          </w:p>
        </w:tc>
      </w:tr>
      <w:tr w:rsidR="00CE3E1B" w:rsidRPr="004F30BD" w14:paraId="74F1F606" w14:textId="77777777" w:rsidTr="004F6214">
        <w:trPr>
          <w:trHeight w:val="257"/>
        </w:trPr>
        <w:tc>
          <w:tcPr>
            <w:tcW w:w="3153" w:type="dxa"/>
            <w:shd w:val="clear" w:color="auto" w:fill="auto"/>
            <w:noWrap/>
            <w:vAlign w:val="bottom"/>
          </w:tcPr>
          <w:p w14:paraId="3F1A806D" w14:textId="77777777" w:rsidR="00CE3E1B" w:rsidRPr="004F30BD" w:rsidRDefault="00CE3E1B" w:rsidP="00E14B83">
            <w:pPr>
              <w:pStyle w:val="Tabletext"/>
              <w:keepNext/>
              <w:tabs>
                <w:tab w:val="right" w:pos="7454"/>
              </w:tabs>
              <w:spacing w:line="240" w:lineRule="atLeast"/>
              <w:rPr>
                <w:rFonts w:ascii="Arial Nova" w:hAnsi="Arial Nova"/>
                <w:b/>
                <w:i/>
                <w:sz w:val="18"/>
                <w:szCs w:val="18"/>
                <w:lang w:val="en-AU"/>
              </w:rPr>
            </w:pPr>
          </w:p>
        </w:tc>
        <w:tc>
          <w:tcPr>
            <w:tcW w:w="1322" w:type="dxa"/>
            <w:vAlign w:val="center"/>
          </w:tcPr>
          <w:p w14:paraId="76BD9B5A" w14:textId="77777777" w:rsidR="00CE3E1B" w:rsidRPr="004F30BD" w:rsidRDefault="00CE3E1B" w:rsidP="00200222">
            <w:pPr>
              <w:pStyle w:val="Tabletext"/>
              <w:keepNext/>
              <w:tabs>
                <w:tab w:val="right" w:pos="7454"/>
              </w:tabs>
              <w:spacing w:line="240" w:lineRule="atLeast"/>
              <w:jc w:val="center"/>
              <w:rPr>
                <w:rFonts w:ascii="Arial Nova" w:hAnsi="Arial Nova"/>
                <w:b/>
                <w:i/>
                <w:sz w:val="18"/>
                <w:szCs w:val="18"/>
                <w:lang w:val="en-AU"/>
              </w:rPr>
            </w:pPr>
            <w:r w:rsidRPr="004F30BD">
              <w:rPr>
                <w:rFonts w:ascii="Arial Nova" w:hAnsi="Arial Nova"/>
                <w:b/>
                <w:i/>
                <w:sz w:val="18"/>
                <w:szCs w:val="18"/>
                <w:lang w:val="en-AU"/>
              </w:rPr>
              <w:t>Freq</w:t>
            </w:r>
          </w:p>
        </w:tc>
        <w:tc>
          <w:tcPr>
            <w:tcW w:w="1322" w:type="dxa"/>
            <w:tcBorders>
              <w:right w:val="single" w:sz="4" w:space="0" w:color="auto"/>
            </w:tcBorders>
            <w:vAlign w:val="center"/>
          </w:tcPr>
          <w:p w14:paraId="62FDD004" w14:textId="77777777" w:rsidR="00CE3E1B" w:rsidRPr="004F30BD" w:rsidRDefault="00CE3E1B" w:rsidP="00200222">
            <w:pPr>
              <w:pStyle w:val="Tabletext"/>
              <w:keepNext/>
              <w:tabs>
                <w:tab w:val="right" w:pos="7454"/>
              </w:tabs>
              <w:spacing w:line="240" w:lineRule="atLeast"/>
              <w:jc w:val="center"/>
              <w:rPr>
                <w:rFonts w:ascii="Arial Nova" w:hAnsi="Arial Nova"/>
                <w:b/>
                <w:i/>
                <w:sz w:val="18"/>
                <w:szCs w:val="18"/>
                <w:lang w:val="en-AU"/>
              </w:rPr>
            </w:pPr>
            <w:r w:rsidRPr="004F30BD">
              <w:rPr>
                <w:rFonts w:ascii="Arial Nova" w:hAnsi="Arial Nova"/>
                <w:b/>
                <w:i/>
                <w:sz w:val="18"/>
                <w:szCs w:val="18"/>
                <w:lang w:val="en-AU"/>
              </w:rPr>
              <w:t>%</w:t>
            </w:r>
          </w:p>
        </w:tc>
        <w:tc>
          <w:tcPr>
            <w:tcW w:w="1322" w:type="dxa"/>
            <w:tcBorders>
              <w:left w:val="single" w:sz="4" w:space="0" w:color="auto"/>
            </w:tcBorders>
            <w:shd w:val="clear" w:color="auto" w:fill="auto"/>
            <w:vAlign w:val="center"/>
          </w:tcPr>
          <w:p w14:paraId="3E222144" w14:textId="77777777" w:rsidR="00CE3E1B" w:rsidRPr="004F30BD" w:rsidRDefault="00CE3E1B" w:rsidP="00200222">
            <w:pPr>
              <w:pStyle w:val="Tabletext"/>
              <w:keepNext/>
              <w:tabs>
                <w:tab w:val="right" w:pos="7454"/>
              </w:tabs>
              <w:spacing w:line="240" w:lineRule="atLeast"/>
              <w:jc w:val="center"/>
              <w:rPr>
                <w:rFonts w:ascii="Arial Nova" w:hAnsi="Arial Nova"/>
                <w:b/>
                <w:i/>
                <w:sz w:val="18"/>
                <w:szCs w:val="18"/>
                <w:lang w:val="en-AU"/>
              </w:rPr>
            </w:pPr>
            <w:r w:rsidRPr="004F30BD">
              <w:rPr>
                <w:rFonts w:ascii="Arial Nova" w:hAnsi="Arial Nova"/>
                <w:b/>
                <w:i/>
                <w:sz w:val="18"/>
                <w:szCs w:val="18"/>
                <w:lang w:val="en-AU"/>
              </w:rPr>
              <w:t>Freq</w:t>
            </w:r>
          </w:p>
        </w:tc>
        <w:tc>
          <w:tcPr>
            <w:tcW w:w="1323" w:type="dxa"/>
            <w:shd w:val="clear" w:color="auto" w:fill="auto"/>
            <w:vAlign w:val="center"/>
          </w:tcPr>
          <w:p w14:paraId="3E62F230" w14:textId="77777777" w:rsidR="00CE3E1B" w:rsidRPr="004F30BD" w:rsidRDefault="00CE3E1B" w:rsidP="00200222">
            <w:pPr>
              <w:pStyle w:val="Tabletext"/>
              <w:keepNext/>
              <w:tabs>
                <w:tab w:val="right" w:pos="7454"/>
              </w:tabs>
              <w:spacing w:line="240" w:lineRule="atLeast"/>
              <w:jc w:val="center"/>
              <w:rPr>
                <w:rFonts w:ascii="Arial Nova" w:hAnsi="Arial Nova"/>
                <w:b/>
                <w:i/>
                <w:sz w:val="18"/>
                <w:szCs w:val="18"/>
                <w:lang w:val="en-AU"/>
              </w:rPr>
            </w:pPr>
            <w:r w:rsidRPr="004F30BD">
              <w:rPr>
                <w:rFonts w:ascii="Arial Nova" w:hAnsi="Arial Nova"/>
                <w:b/>
                <w:i/>
                <w:sz w:val="18"/>
                <w:szCs w:val="18"/>
                <w:lang w:val="en-AU"/>
              </w:rPr>
              <w:t>%</w:t>
            </w:r>
          </w:p>
        </w:tc>
      </w:tr>
      <w:tr w:rsidR="00BA6B30" w:rsidRPr="004F30BD" w14:paraId="55CBE0E3" w14:textId="77777777" w:rsidTr="004F6214">
        <w:trPr>
          <w:trHeight w:val="283"/>
        </w:trPr>
        <w:tc>
          <w:tcPr>
            <w:tcW w:w="3153" w:type="dxa"/>
            <w:shd w:val="clear" w:color="auto" w:fill="E6E6E6"/>
            <w:noWrap/>
            <w:vAlign w:val="center"/>
          </w:tcPr>
          <w:p w14:paraId="0178352D" w14:textId="77777777" w:rsidR="00BA6B30" w:rsidRPr="004F30BD" w:rsidRDefault="00BA6B30" w:rsidP="00200222">
            <w:pPr>
              <w:spacing w:before="40" w:after="40"/>
              <w:ind w:right="0"/>
              <w:rPr>
                <w:szCs w:val="18"/>
              </w:rPr>
            </w:pPr>
            <w:r w:rsidRPr="004F30BD">
              <w:rPr>
                <w:szCs w:val="18"/>
              </w:rPr>
              <w:t>NSW</w:t>
            </w:r>
          </w:p>
        </w:tc>
        <w:tc>
          <w:tcPr>
            <w:tcW w:w="1322" w:type="dxa"/>
            <w:shd w:val="clear" w:color="auto" w:fill="E6E6E6"/>
            <w:vAlign w:val="center"/>
          </w:tcPr>
          <w:p w14:paraId="7B9CAF86" w14:textId="77777777" w:rsidR="00BA6B30" w:rsidRPr="004F30BD" w:rsidRDefault="00BA6B30" w:rsidP="00200222">
            <w:pPr>
              <w:pStyle w:val="Tabletext"/>
              <w:keepNext/>
              <w:tabs>
                <w:tab w:val="right" w:pos="7454"/>
              </w:tabs>
              <w:spacing w:line="240" w:lineRule="atLeast"/>
              <w:jc w:val="center"/>
              <w:rPr>
                <w:rFonts w:ascii="Arial Nova" w:hAnsi="Arial Nova"/>
                <w:sz w:val="18"/>
                <w:szCs w:val="18"/>
                <w:highlight w:val="yellow"/>
                <w:lang w:val="en-AU"/>
              </w:rPr>
            </w:pPr>
            <w:r w:rsidRPr="004F30BD">
              <w:rPr>
                <w:rFonts w:ascii="Arial Nova" w:hAnsi="Arial Nova" w:cs="Calibri"/>
                <w:color w:val="000000"/>
                <w:sz w:val="18"/>
                <w:szCs w:val="18"/>
                <w:lang w:val="en-AU"/>
              </w:rPr>
              <w:t>107</w:t>
            </w:r>
          </w:p>
        </w:tc>
        <w:tc>
          <w:tcPr>
            <w:tcW w:w="1322" w:type="dxa"/>
            <w:tcBorders>
              <w:right w:val="single" w:sz="4" w:space="0" w:color="auto"/>
            </w:tcBorders>
            <w:shd w:val="clear" w:color="auto" w:fill="E6E6E6"/>
            <w:vAlign w:val="center"/>
          </w:tcPr>
          <w:p w14:paraId="4506A004" w14:textId="77777777" w:rsidR="00BA6B30" w:rsidRPr="004F30BD" w:rsidRDefault="00BA6B30" w:rsidP="00200222">
            <w:pPr>
              <w:pStyle w:val="Tabletext"/>
              <w:keepNext/>
              <w:tabs>
                <w:tab w:val="right" w:pos="7454"/>
              </w:tabs>
              <w:spacing w:line="240" w:lineRule="atLeast"/>
              <w:jc w:val="center"/>
              <w:rPr>
                <w:rFonts w:ascii="Arial Nova" w:hAnsi="Arial Nova"/>
                <w:sz w:val="18"/>
                <w:szCs w:val="18"/>
                <w:highlight w:val="yellow"/>
                <w:lang w:val="en-AU"/>
              </w:rPr>
            </w:pPr>
            <w:r w:rsidRPr="004F30BD">
              <w:rPr>
                <w:rFonts w:ascii="Arial Nova" w:hAnsi="Arial Nova" w:cs="Calibri"/>
                <w:color w:val="000000"/>
                <w:sz w:val="18"/>
                <w:szCs w:val="18"/>
                <w:lang w:val="en-AU"/>
              </w:rPr>
              <w:t>46</w:t>
            </w:r>
          </w:p>
        </w:tc>
        <w:tc>
          <w:tcPr>
            <w:tcW w:w="1322" w:type="dxa"/>
            <w:tcBorders>
              <w:left w:val="single" w:sz="4" w:space="0" w:color="auto"/>
            </w:tcBorders>
            <w:shd w:val="clear" w:color="auto" w:fill="E6E6E6"/>
            <w:vAlign w:val="center"/>
          </w:tcPr>
          <w:p w14:paraId="2A3593E5" w14:textId="77777777" w:rsidR="00BA6B30" w:rsidRPr="004F30BD" w:rsidRDefault="00BA6B30" w:rsidP="00200222">
            <w:pPr>
              <w:pStyle w:val="Tabletext"/>
              <w:keepNext/>
              <w:tabs>
                <w:tab w:val="right" w:pos="7454"/>
              </w:tabs>
              <w:spacing w:line="240" w:lineRule="atLeast"/>
              <w:jc w:val="center"/>
              <w:rPr>
                <w:rFonts w:ascii="Arial Nova" w:hAnsi="Arial Nova"/>
                <w:sz w:val="18"/>
                <w:szCs w:val="18"/>
                <w:highlight w:val="yellow"/>
                <w:lang w:val="en-AU"/>
              </w:rPr>
            </w:pPr>
            <w:r w:rsidRPr="004F30BD">
              <w:rPr>
                <w:rFonts w:ascii="Arial Nova" w:hAnsi="Arial Nova"/>
                <w:sz w:val="18"/>
                <w:szCs w:val="18"/>
                <w:lang w:val="en-AU"/>
              </w:rPr>
              <w:t>64</w:t>
            </w:r>
          </w:p>
        </w:tc>
        <w:tc>
          <w:tcPr>
            <w:tcW w:w="1323" w:type="dxa"/>
            <w:shd w:val="clear" w:color="auto" w:fill="E6E6E6"/>
            <w:vAlign w:val="center"/>
          </w:tcPr>
          <w:p w14:paraId="647774E2" w14:textId="77777777" w:rsidR="00BA6B30" w:rsidRPr="004F30BD" w:rsidRDefault="0013091C" w:rsidP="00200222">
            <w:pPr>
              <w:pStyle w:val="Tabletext"/>
              <w:keepNext/>
              <w:tabs>
                <w:tab w:val="right" w:pos="7454"/>
              </w:tabs>
              <w:spacing w:line="240" w:lineRule="atLeast"/>
              <w:jc w:val="center"/>
              <w:rPr>
                <w:rFonts w:ascii="Arial Nova" w:hAnsi="Arial Nova"/>
                <w:sz w:val="18"/>
                <w:szCs w:val="18"/>
                <w:highlight w:val="yellow"/>
                <w:lang w:val="en-AU"/>
              </w:rPr>
            </w:pPr>
            <w:r w:rsidRPr="004F30BD">
              <w:rPr>
                <w:rFonts w:ascii="Arial Nova" w:hAnsi="Arial Nova"/>
                <w:sz w:val="18"/>
                <w:szCs w:val="18"/>
                <w:lang w:val="en-AU"/>
              </w:rPr>
              <w:t>45</w:t>
            </w:r>
          </w:p>
        </w:tc>
      </w:tr>
      <w:tr w:rsidR="00BA6B30" w:rsidRPr="004F30BD" w14:paraId="178AB0E9" w14:textId="77777777" w:rsidTr="004F6214">
        <w:trPr>
          <w:trHeight w:val="283"/>
        </w:trPr>
        <w:tc>
          <w:tcPr>
            <w:tcW w:w="3153" w:type="dxa"/>
            <w:shd w:val="clear" w:color="auto" w:fill="auto"/>
            <w:noWrap/>
            <w:vAlign w:val="center"/>
          </w:tcPr>
          <w:p w14:paraId="097F35B1" w14:textId="77777777" w:rsidR="00BA6B30" w:rsidRPr="004F30BD" w:rsidRDefault="00BA6B30" w:rsidP="00200222">
            <w:pPr>
              <w:spacing w:before="40" w:after="40"/>
              <w:ind w:right="0"/>
              <w:rPr>
                <w:szCs w:val="18"/>
              </w:rPr>
            </w:pPr>
            <w:r w:rsidRPr="004F30BD">
              <w:rPr>
                <w:szCs w:val="18"/>
              </w:rPr>
              <w:t>VIC</w:t>
            </w:r>
          </w:p>
        </w:tc>
        <w:tc>
          <w:tcPr>
            <w:tcW w:w="1322" w:type="dxa"/>
            <w:shd w:val="clear" w:color="auto" w:fill="auto"/>
            <w:vAlign w:val="center"/>
          </w:tcPr>
          <w:p w14:paraId="703B76E1" w14:textId="77777777" w:rsidR="00BA6B30" w:rsidRPr="004F30BD" w:rsidRDefault="00BA6B30" w:rsidP="00200222">
            <w:pPr>
              <w:pStyle w:val="Tabletext"/>
              <w:keepNext/>
              <w:tabs>
                <w:tab w:val="right" w:pos="7454"/>
              </w:tabs>
              <w:spacing w:line="240" w:lineRule="atLeast"/>
              <w:jc w:val="center"/>
              <w:rPr>
                <w:rFonts w:ascii="Arial Nova" w:hAnsi="Arial Nova"/>
                <w:sz w:val="18"/>
                <w:szCs w:val="18"/>
                <w:highlight w:val="yellow"/>
                <w:lang w:val="en-AU"/>
              </w:rPr>
            </w:pPr>
            <w:r w:rsidRPr="004F30BD">
              <w:rPr>
                <w:rFonts w:ascii="Arial Nova" w:hAnsi="Arial Nova" w:cs="Calibri"/>
                <w:color w:val="000000"/>
                <w:sz w:val="18"/>
                <w:szCs w:val="18"/>
                <w:lang w:val="en-AU"/>
              </w:rPr>
              <w:t>6</w:t>
            </w:r>
            <w:r w:rsidR="00951619" w:rsidRPr="004F30BD">
              <w:rPr>
                <w:rFonts w:ascii="Arial Nova" w:hAnsi="Arial Nova" w:cs="Calibri"/>
                <w:color w:val="000000"/>
                <w:sz w:val="18"/>
                <w:szCs w:val="18"/>
                <w:lang w:val="en-AU"/>
              </w:rPr>
              <w:t>2</w:t>
            </w:r>
          </w:p>
        </w:tc>
        <w:tc>
          <w:tcPr>
            <w:tcW w:w="1322" w:type="dxa"/>
            <w:tcBorders>
              <w:right w:val="single" w:sz="4" w:space="0" w:color="auto"/>
            </w:tcBorders>
            <w:shd w:val="clear" w:color="auto" w:fill="auto"/>
            <w:vAlign w:val="center"/>
          </w:tcPr>
          <w:p w14:paraId="344C7CB1" w14:textId="77777777" w:rsidR="00BA6B30" w:rsidRPr="004F30BD" w:rsidRDefault="00BA6B30" w:rsidP="00200222">
            <w:pPr>
              <w:pStyle w:val="Tabletext"/>
              <w:keepNext/>
              <w:tabs>
                <w:tab w:val="right" w:pos="7454"/>
              </w:tabs>
              <w:spacing w:line="240" w:lineRule="atLeast"/>
              <w:jc w:val="center"/>
              <w:rPr>
                <w:rFonts w:ascii="Arial Nova" w:hAnsi="Arial Nova"/>
                <w:sz w:val="18"/>
                <w:szCs w:val="18"/>
                <w:highlight w:val="yellow"/>
                <w:lang w:val="en-AU"/>
              </w:rPr>
            </w:pPr>
            <w:r w:rsidRPr="004F30BD">
              <w:rPr>
                <w:rFonts w:ascii="Arial Nova" w:hAnsi="Arial Nova" w:cs="Calibri"/>
                <w:color w:val="000000"/>
                <w:sz w:val="18"/>
                <w:szCs w:val="18"/>
                <w:lang w:val="en-AU"/>
              </w:rPr>
              <w:t>26</w:t>
            </w:r>
          </w:p>
        </w:tc>
        <w:tc>
          <w:tcPr>
            <w:tcW w:w="1322" w:type="dxa"/>
            <w:tcBorders>
              <w:left w:val="single" w:sz="4" w:space="0" w:color="auto"/>
            </w:tcBorders>
            <w:shd w:val="clear" w:color="auto" w:fill="auto"/>
            <w:vAlign w:val="center"/>
          </w:tcPr>
          <w:p w14:paraId="75585BF4" w14:textId="77777777" w:rsidR="00BA6B30" w:rsidRPr="004F30BD" w:rsidRDefault="00BA6B30" w:rsidP="00200222">
            <w:pPr>
              <w:pStyle w:val="Tabletext"/>
              <w:keepNext/>
              <w:tabs>
                <w:tab w:val="right" w:pos="7454"/>
              </w:tabs>
              <w:spacing w:line="240" w:lineRule="atLeast"/>
              <w:jc w:val="center"/>
              <w:rPr>
                <w:rFonts w:ascii="Arial Nova" w:hAnsi="Arial Nova"/>
                <w:sz w:val="18"/>
                <w:szCs w:val="18"/>
                <w:highlight w:val="yellow"/>
                <w:lang w:val="en-AU"/>
              </w:rPr>
            </w:pPr>
            <w:r w:rsidRPr="004F30BD">
              <w:rPr>
                <w:rFonts w:ascii="Arial Nova" w:hAnsi="Arial Nova"/>
                <w:sz w:val="18"/>
                <w:szCs w:val="18"/>
                <w:lang w:val="en-AU"/>
              </w:rPr>
              <w:t>3</w:t>
            </w:r>
            <w:r w:rsidR="0013091C" w:rsidRPr="004F30BD">
              <w:rPr>
                <w:rFonts w:ascii="Arial Nova" w:hAnsi="Arial Nova"/>
                <w:sz w:val="18"/>
                <w:szCs w:val="18"/>
                <w:lang w:val="en-AU"/>
              </w:rPr>
              <w:t>5</w:t>
            </w:r>
          </w:p>
        </w:tc>
        <w:tc>
          <w:tcPr>
            <w:tcW w:w="1323" w:type="dxa"/>
            <w:shd w:val="clear" w:color="auto" w:fill="auto"/>
            <w:vAlign w:val="center"/>
          </w:tcPr>
          <w:p w14:paraId="59CC8EAF" w14:textId="77777777" w:rsidR="00BA6B30" w:rsidRPr="004F30BD" w:rsidRDefault="0013091C" w:rsidP="00200222">
            <w:pPr>
              <w:pStyle w:val="Tabletext"/>
              <w:keepNext/>
              <w:tabs>
                <w:tab w:val="right" w:pos="7454"/>
              </w:tabs>
              <w:spacing w:line="240" w:lineRule="atLeast"/>
              <w:jc w:val="center"/>
              <w:rPr>
                <w:rFonts w:ascii="Arial Nova" w:hAnsi="Arial Nova"/>
                <w:sz w:val="18"/>
                <w:szCs w:val="18"/>
                <w:highlight w:val="yellow"/>
                <w:lang w:val="en-AU"/>
              </w:rPr>
            </w:pPr>
            <w:r w:rsidRPr="004F30BD">
              <w:rPr>
                <w:rFonts w:ascii="Arial Nova" w:hAnsi="Arial Nova"/>
                <w:sz w:val="18"/>
                <w:szCs w:val="18"/>
                <w:lang w:val="en-AU"/>
              </w:rPr>
              <w:t>25</w:t>
            </w:r>
          </w:p>
        </w:tc>
      </w:tr>
      <w:tr w:rsidR="00BA6B30" w:rsidRPr="004F30BD" w14:paraId="3230C30B" w14:textId="77777777" w:rsidTr="004F6214">
        <w:trPr>
          <w:trHeight w:val="283"/>
        </w:trPr>
        <w:tc>
          <w:tcPr>
            <w:tcW w:w="3153" w:type="dxa"/>
            <w:shd w:val="clear" w:color="auto" w:fill="E6E6E6"/>
            <w:noWrap/>
            <w:vAlign w:val="center"/>
          </w:tcPr>
          <w:p w14:paraId="3EB18C3F" w14:textId="77777777" w:rsidR="00BA6B30" w:rsidRPr="004F30BD" w:rsidRDefault="00BA6B30" w:rsidP="00200222">
            <w:pPr>
              <w:spacing w:before="40" w:after="40"/>
              <w:ind w:right="0"/>
              <w:rPr>
                <w:szCs w:val="18"/>
              </w:rPr>
            </w:pPr>
            <w:r w:rsidRPr="004F30BD">
              <w:rPr>
                <w:szCs w:val="18"/>
              </w:rPr>
              <w:t>QLD</w:t>
            </w:r>
          </w:p>
        </w:tc>
        <w:tc>
          <w:tcPr>
            <w:tcW w:w="1322" w:type="dxa"/>
            <w:shd w:val="clear" w:color="auto" w:fill="E6E6E6"/>
            <w:vAlign w:val="center"/>
          </w:tcPr>
          <w:p w14:paraId="3C5E302B" w14:textId="77777777" w:rsidR="00BA6B30" w:rsidRPr="004F30BD" w:rsidRDefault="00BA6B30" w:rsidP="00200222">
            <w:pPr>
              <w:pStyle w:val="Tabletext"/>
              <w:keepNext/>
              <w:tabs>
                <w:tab w:val="right" w:pos="7454"/>
              </w:tabs>
              <w:spacing w:line="240" w:lineRule="atLeast"/>
              <w:jc w:val="center"/>
              <w:rPr>
                <w:rFonts w:ascii="Arial Nova" w:hAnsi="Arial Nova"/>
                <w:sz w:val="18"/>
                <w:szCs w:val="18"/>
                <w:highlight w:val="yellow"/>
                <w:lang w:val="en-AU"/>
              </w:rPr>
            </w:pPr>
            <w:r w:rsidRPr="004F30BD">
              <w:rPr>
                <w:rFonts w:ascii="Arial Nova" w:hAnsi="Arial Nova" w:cs="Calibri"/>
                <w:color w:val="000000"/>
                <w:sz w:val="18"/>
                <w:szCs w:val="18"/>
                <w:lang w:val="en-AU"/>
              </w:rPr>
              <w:t>26</w:t>
            </w:r>
          </w:p>
        </w:tc>
        <w:tc>
          <w:tcPr>
            <w:tcW w:w="1322" w:type="dxa"/>
            <w:tcBorders>
              <w:right w:val="single" w:sz="4" w:space="0" w:color="auto"/>
            </w:tcBorders>
            <w:shd w:val="clear" w:color="auto" w:fill="E6E6E6"/>
            <w:vAlign w:val="center"/>
          </w:tcPr>
          <w:p w14:paraId="046AAEF3" w14:textId="77777777" w:rsidR="00BA6B30" w:rsidRPr="004F30BD" w:rsidRDefault="00BA6B30" w:rsidP="00200222">
            <w:pPr>
              <w:pStyle w:val="Tabletext"/>
              <w:keepNext/>
              <w:tabs>
                <w:tab w:val="right" w:pos="7454"/>
              </w:tabs>
              <w:spacing w:line="240" w:lineRule="atLeast"/>
              <w:jc w:val="center"/>
              <w:rPr>
                <w:rFonts w:ascii="Arial Nova" w:hAnsi="Arial Nova"/>
                <w:sz w:val="18"/>
                <w:szCs w:val="18"/>
                <w:highlight w:val="yellow"/>
                <w:lang w:val="en-AU"/>
              </w:rPr>
            </w:pPr>
            <w:r w:rsidRPr="004F30BD">
              <w:rPr>
                <w:rFonts w:ascii="Arial Nova" w:hAnsi="Arial Nova" w:cs="Calibri"/>
                <w:color w:val="000000"/>
                <w:sz w:val="18"/>
                <w:szCs w:val="18"/>
                <w:lang w:val="en-AU"/>
              </w:rPr>
              <w:t>11</w:t>
            </w:r>
          </w:p>
        </w:tc>
        <w:tc>
          <w:tcPr>
            <w:tcW w:w="1322" w:type="dxa"/>
            <w:tcBorders>
              <w:left w:val="single" w:sz="4" w:space="0" w:color="auto"/>
            </w:tcBorders>
            <w:shd w:val="clear" w:color="auto" w:fill="E6E6E6"/>
            <w:vAlign w:val="center"/>
          </w:tcPr>
          <w:p w14:paraId="0BC66524" w14:textId="77777777" w:rsidR="00BA6B30" w:rsidRPr="004F30BD" w:rsidRDefault="00BA6B30" w:rsidP="00200222">
            <w:pPr>
              <w:pStyle w:val="Tabletext"/>
              <w:keepNext/>
              <w:tabs>
                <w:tab w:val="right" w:pos="7454"/>
              </w:tabs>
              <w:spacing w:line="240" w:lineRule="atLeast"/>
              <w:jc w:val="center"/>
              <w:rPr>
                <w:rFonts w:ascii="Arial Nova" w:hAnsi="Arial Nova"/>
                <w:sz w:val="18"/>
                <w:szCs w:val="18"/>
                <w:highlight w:val="yellow"/>
                <w:lang w:val="en-AU"/>
              </w:rPr>
            </w:pPr>
            <w:r w:rsidRPr="004F30BD">
              <w:rPr>
                <w:rFonts w:ascii="Arial Nova" w:hAnsi="Arial Nova"/>
                <w:sz w:val="18"/>
                <w:szCs w:val="18"/>
                <w:lang w:val="en-AU"/>
              </w:rPr>
              <w:t>15</w:t>
            </w:r>
          </w:p>
        </w:tc>
        <w:tc>
          <w:tcPr>
            <w:tcW w:w="1323" w:type="dxa"/>
            <w:shd w:val="clear" w:color="auto" w:fill="E6E6E6"/>
            <w:vAlign w:val="center"/>
          </w:tcPr>
          <w:p w14:paraId="5522C6C8" w14:textId="77777777" w:rsidR="00BA6B30" w:rsidRPr="004F30BD" w:rsidRDefault="0013091C" w:rsidP="00200222">
            <w:pPr>
              <w:pStyle w:val="Tabletext"/>
              <w:keepNext/>
              <w:tabs>
                <w:tab w:val="right" w:pos="7454"/>
              </w:tabs>
              <w:spacing w:line="240" w:lineRule="atLeast"/>
              <w:jc w:val="center"/>
              <w:rPr>
                <w:rFonts w:ascii="Arial Nova" w:hAnsi="Arial Nova"/>
                <w:sz w:val="18"/>
                <w:szCs w:val="18"/>
                <w:highlight w:val="yellow"/>
                <w:lang w:val="en-AU"/>
              </w:rPr>
            </w:pPr>
            <w:r w:rsidRPr="004F30BD">
              <w:rPr>
                <w:rFonts w:ascii="Arial Nova" w:hAnsi="Arial Nova"/>
                <w:sz w:val="18"/>
                <w:szCs w:val="18"/>
                <w:lang w:val="en-AU"/>
              </w:rPr>
              <w:t>11</w:t>
            </w:r>
          </w:p>
        </w:tc>
      </w:tr>
      <w:tr w:rsidR="00BA6B30" w:rsidRPr="004F30BD" w14:paraId="1A493D8E" w14:textId="77777777" w:rsidTr="004F6214">
        <w:trPr>
          <w:trHeight w:val="283"/>
        </w:trPr>
        <w:tc>
          <w:tcPr>
            <w:tcW w:w="3153" w:type="dxa"/>
            <w:shd w:val="clear" w:color="auto" w:fill="auto"/>
            <w:noWrap/>
            <w:vAlign w:val="center"/>
          </w:tcPr>
          <w:p w14:paraId="13B7556A" w14:textId="77777777" w:rsidR="00BA6B30" w:rsidRPr="004F30BD" w:rsidRDefault="00BA6B30" w:rsidP="00200222">
            <w:pPr>
              <w:spacing w:before="40" w:after="40"/>
              <w:ind w:right="0"/>
              <w:rPr>
                <w:szCs w:val="18"/>
              </w:rPr>
            </w:pPr>
            <w:r w:rsidRPr="004F30BD">
              <w:rPr>
                <w:szCs w:val="18"/>
              </w:rPr>
              <w:t>SA</w:t>
            </w:r>
          </w:p>
        </w:tc>
        <w:tc>
          <w:tcPr>
            <w:tcW w:w="1322" w:type="dxa"/>
            <w:shd w:val="clear" w:color="auto" w:fill="auto"/>
            <w:vAlign w:val="center"/>
          </w:tcPr>
          <w:p w14:paraId="7B5483DE" w14:textId="77777777" w:rsidR="00BA6B30" w:rsidRPr="004F30BD" w:rsidRDefault="00BA6B30" w:rsidP="00200222">
            <w:pPr>
              <w:pStyle w:val="Tabletext"/>
              <w:keepNext/>
              <w:tabs>
                <w:tab w:val="right" w:pos="7454"/>
              </w:tabs>
              <w:spacing w:line="240" w:lineRule="atLeast"/>
              <w:jc w:val="center"/>
              <w:rPr>
                <w:rFonts w:ascii="Arial Nova" w:hAnsi="Arial Nova"/>
                <w:sz w:val="18"/>
                <w:szCs w:val="18"/>
                <w:highlight w:val="yellow"/>
                <w:lang w:val="en-AU"/>
              </w:rPr>
            </w:pPr>
            <w:r w:rsidRPr="004F30BD">
              <w:rPr>
                <w:rFonts w:ascii="Arial Nova" w:hAnsi="Arial Nova" w:cs="Calibri"/>
                <w:color w:val="000000"/>
                <w:sz w:val="18"/>
                <w:szCs w:val="18"/>
                <w:lang w:val="en-AU"/>
              </w:rPr>
              <w:t>17</w:t>
            </w:r>
          </w:p>
        </w:tc>
        <w:tc>
          <w:tcPr>
            <w:tcW w:w="1322" w:type="dxa"/>
            <w:tcBorders>
              <w:right w:val="single" w:sz="4" w:space="0" w:color="auto"/>
            </w:tcBorders>
            <w:shd w:val="clear" w:color="auto" w:fill="auto"/>
            <w:vAlign w:val="center"/>
          </w:tcPr>
          <w:p w14:paraId="7453DCF9" w14:textId="77777777" w:rsidR="00BA6B30" w:rsidRPr="004F30BD" w:rsidRDefault="00BA6B30" w:rsidP="00200222">
            <w:pPr>
              <w:pStyle w:val="Tabletext"/>
              <w:keepNext/>
              <w:tabs>
                <w:tab w:val="right" w:pos="7454"/>
              </w:tabs>
              <w:spacing w:line="240" w:lineRule="atLeast"/>
              <w:jc w:val="center"/>
              <w:rPr>
                <w:rFonts w:ascii="Arial Nova" w:hAnsi="Arial Nova"/>
                <w:sz w:val="18"/>
                <w:szCs w:val="18"/>
                <w:highlight w:val="yellow"/>
                <w:lang w:val="en-AU"/>
              </w:rPr>
            </w:pPr>
            <w:r w:rsidRPr="004F30BD">
              <w:rPr>
                <w:rFonts w:ascii="Arial Nova" w:hAnsi="Arial Nova" w:cs="Calibri"/>
                <w:color w:val="000000"/>
                <w:sz w:val="18"/>
                <w:szCs w:val="18"/>
                <w:lang w:val="en-AU"/>
              </w:rPr>
              <w:t>7</w:t>
            </w:r>
          </w:p>
        </w:tc>
        <w:tc>
          <w:tcPr>
            <w:tcW w:w="1322" w:type="dxa"/>
            <w:tcBorders>
              <w:left w:val="single" w:sz="4" w:space="0" w:color="auto"/>
            </w:tcBorders>
            <w:shd w:val="clear" w:color="auto" w:fill="auto"/>
            <w:vAlign w:val="center"/>
          </w:tcPr>
          <w:p w14:paraId="50512A14" w14:textId="77777777" w:rsidR="00BA6B30" w:rsidRPr="004F30BD" w:rsidRDefault="00BA6B30" w:rsidP="00200222">
            <w:pPr>
              <w:pStyle w:val="Tabletext"/>
              <w:keepNext/>
              <w:tabs>
                <w:tab w:val="right" w:pos="7454"/>
              </w:tabs>
              <w:spacing w:line="240" w:lineRule="atLeast"/>
              <w:jc w:val="center"/>
              <w:rPr>
                <w:rFonts w:ascii="Arial Nova" w:hAnsi="Arial Nova"/>
                <w:sz w:val="18"/>
                <w:szCs w:val="18"/>
                <w:highlight w:val="yellow"/>
                <w:lang w:val="en-AU"/>
              </w:rPr>
            </w:pPr>
            <w:r w:rsidRPr="004F30BD">
              <w:rPr>
                <w:rFonts w:ascii="Arial Nova" w:hAnsi="Arial Nova"/>
                <w:sz w:val="18"/>
                <w:szCs w:val="18"/>
                <w:lang w:val="en-AU"/>
              </w:rPr>
              <w:t>14</w:t>
            </w:r>
          </w:p>
        </w:tc>
        <w:tc>
          <w:tcPr>
            <w:tcW w:w="1323" w:type="dxa"/>
            <w:shd w:val="clear" w:color="auto" w:fill="auto"/>
            <w:vAlign w:val="center"/>
          </w:tcPr>
          <w:p w14:paraId="54C81137" w14:textId="77777777" w:rsidR="00BA6B30" w:rsidRPr="004F30BD" w:rsidRDefault="0013091C" w:rsidP="00200222">
            <w:pPr>
              <w:pStyle w:val="Tabletext"/>
              <w:keepNext/>
              <w:tabs>
                <w:tab w:val="right" w:pos="7454"/>
              </w:tabs>
              <w:spacing w:line="240" w:lineRule="atLeast"/>
              <w:jc w:val="center"/>
              <w:rPr>
                <w:rFonts w:ascii="Arial Nova" w:hAnsi="Arial Nova"/>
                <w:sz w:val="18"/>
                <w:szCs w:val="18"/>
                <w:highlight w:val="yellow"/>
                <w:lang w:val="en-AU"/>
              </w:rPr>
            </w:pPr>
            <w:r w:rsidRPr="004F30BD">
              <w:rPr>
                <w:rFonts w:ascii="Arial Nova" w:hAnsi="Arial Nova"/>
                <w:sz w:val="18"/>
                <w:szCs w:val="18"/>
                <w:lang w:val="en-AU"/>
              </w:rPr>
              <w:t>10</w:t>
            </w:r>
          </w:p>
        </w:tc>
      </w:tr>
      <w:tr w:rsidR="00BA6B30" w:rsidRPr="004F30BD" w14:paraId="3B2291C6" w14:textId="77777777" w:rsidTr="00E80391">
        <w:trPr>
          <w:trHeight w:val="283"/>
        </w:trPr>
        <w:tc>
          <w:tcPr>
            <w:tcW w:w="3153" w:type="dxa"/>
            <w:shd w:val="clear" w:color="auto" w:fill="E6E6E6"/>
            <w:noWrap/>
            <w:vAlign w:val="center"/>
          </w:tcPr>
          <w:p w14:paraId="06CB2A82" w14:textId="77777777" w:rsidR="00BA6B30" w:rsidRPr="004F30BD" w:rsidRDefault="00BA6B30" w:rsidP="00200222">
            <w:pPr>
              <w:spacing w:before="40" w:after="40"/>
              <w:ind w:right="0"/>
              <w:rPr>
                <w:szCs w:val="18"/>
              </w:rPr>
            </w:pPr>
            <w:r w:rsidRPr="004F30BD">
              <w:rPr>
                <w:szCs w:val="18"/>
              </w:rPr>
              <w:t>WA</w:t>
            </w:r>
          </w:p>
        </w:tc>
        <w:tc>
          <w:tcPr>
            <w:tcW w:w="1322" w:type="dxa"/>
            <w:shd w:val="clear" w:color="auto" w:fill="E6E6E6"/>
            <w:vAlign w:val="center"/>
          </w:tcPr>
          <w:p w14:paraId="3B2A805D" w14:textId="77777777" w:rsidR="00BA6B30" w:rsidRPr="004F30BD" w:rsidRDefault="00BA6B30" w:rsidP="00200222">
            <w:pPr>
              <w:pStyle w:val="Tabletext"/>
              <w:keepNext/>
              <w:tabs>
                <w:tab w:val="right" w:pos="7454"/>
              </w:tabs>
              <w:spacing w:line="240" w:lineRule="atLeast"/>
              <w:jc w:val="center"/>
              <w:rPr>
                <w:rFonts w:ascii="Arial Nova" w:hAnsi="Arial Nova"/>
                <w:sz w:val="18"/>
                <w:szCs w:val="18"/>
                <w:highlight w:val="yellow"/>
                <w:lang w:val="en-AU"/>
              </w:rPr>
            </w:pPr>
            <w:r w:rsidRPr="004F30BD">
              <w:rPr>
                <w:rFonts w:ascii="Arial Nova" w:hAnsi="Arial Nova" w:cs="Calibri"/>
                <w:color w:val="000000"/>
                <w:sz w:val="18"/>
                <w:szCs w:val="18"/>
                <w:lang w:val="en-AU"/>
              </w:rPr>
              <w:t>16</w:t>
            </w:r>
          </w:p>
        </w:tc>
        <w:tc>
          <w:tcPr>
            <w:tcW w:w="1322" w:type="dxa"/>
            <w:tcBorders>
              <w:right w:val="single" w:sz="4" w:space="0" w:color="auto"/>
            </w:tcBorders>
            <w:shd w:val="clear" w:color="auto" w:fill="E6E6E6"/>
            <w:vAlign w:val="center"/>
          </w:tcPr>
          <w:p w14:paraId="688B4008" w14:textId="77777777" w:rsidR="00BA6B30" w:rsidRPr="004F30BD" w:rsidRDefault="00BA6B30" w:rsidP="00200222">
            <w:pPr>
              <w:pStyle w:val="Tabletext"/>
              <w:keepNext/>
              <w:tabs>
                <w:tab w:val="right" w:pos="7454"/>
              </w:tabs>
              <w:spacing w:line="240" w:lineRule="atLeast"/>
              <w:jc w:val="center"/>
              <w:rPr>
                <w:rFonts w:ascii="Arial Nova" w:hAnsi="Arial Nova"/>
                <w:sz w:val="18"/>
                <w:szCs w:val="18"/>
                <w:highlight w:val="yellow"/>
                <w:lang w:val="en-AU"/>
              </w:rPr>
            </w:pPr>
            <w:r w:rsidRPr="004F30BD">
              <w:rPr>
                <w:rFonts w:ascii="Arial Nova" w:hAnsi="Arial Nova" w:cs="Calibri"/>
                <w:color w:val="000000"/>
                <w:sz w:val="18"/>
                <w:szCs w:val="18"/>
                <w:lang w:val="en-AU"/>
              </w:rPr>
              <w:t>7</w:t>
            </w:r>
          </w:p>
        </w:tc>
        <w:tc>
          <w:tcPr>
            <w:tcW w:w="1322" w:type="dxa"/>
            <w:tcBorders>
              <w:left w:val="single" w:sz="4" w:space="0" w:color="auto"/>
            </w:tcBorders>
            <w:shd w:val="clear" w:color="auto" w:fill="E6E6E6"/>
            <w:vAlign w:val="center"/>
          </w:tcPr>
          <w:p w14:paraId="4124615A" w14:textId="77777777" w:rsidR="00BA6B30" w:rsidRPr="004F30BD" w:rsidRDefault="00BA6B30" w:rsidP="00200222">
            <w:pPr>
              <w:pStyle w:val="Tabletext"/>
              <w:keepNext/>
              <w:tabs>
                <w:tab w:val="right" w:pos="7454"/>
              </w:tabs>
              <w:spacing w:line="240" w:lineRule="atLeast"/>
              <w:jc w:val="center"/>
              <w:rPr>
                <w:rFonts w:ascii="Arial Nova" w:hAnsi="Arial Nova"/>
                <w:sz w:val="18"/>
                <w:szCs w:val="18"/>
                <w:highlight w:val="yellow"/>
                <w:lang w:val="en-AU"/>
              </w:rPr>
            </w:pPr>
            <w:r w:rsidRPr="004F30BD">
              <w:rPr>
                <w:rFonts w:ascii="Arial Nova" w:hAnsi="Arial Nova"/>
                <w:sz w:val="18"/>
                <w:szCs w:val="18"/>
                <w:lang w:val="en-AU"/>
              </w:rPr>
              <w:t>9</w:t>
            </w:r>
          </w:p>
        </w:tc>
        <w:tc>
          <w:tcPr>
            <w:tcW w:w="1323" w:type="dxa"/>
            <w:shd w:val="clear" w:color="auto" w:fill="E6E6E6"/>
            <w:vAlign w:val="center"/>
          </w:tcPr>
          <w:p w14:paraId="2BB7897F" w14:textId="77777777" w:rsidR="00BA6B30" w:rsidRPr="004F30BD" w:rsidRDefault="0013091C" w:rsidP="00200222">
            <w:pPr>
              <w:pStyle w:val="Tabletext"/>
              <w:keepNext/>
              <w:tabs>
                <w:tab w:val="right" w:pos="7454"/>
              </w:tabs>
              <w:spacing w:line="240" w:lineRule="atLeast"/>
              <w:jc w:val="center"/>
              <w:rPr>
                <w:rFonts w:ascii="Arial Nova" w:hAnsi="Arial Nova"/>
                <w:sz w:val="18"/>
                <w:szCs w:val="18"/>
                <w:highlight w:val="yellow"/>
                <w:lang w:val="en-AU"/>
              </w:rPr>
            </w:pPr>
            <w:r w:rsidRPr="004F30BD">
              <w:rPr>
                <w:rFonts w:ascii="Arial Nova" w:hAnsi="Arial Nova"/>
                <w:sz w:val="18"/>
                <w:szCs w:val="18"/>
                <w:lang w:val="en-AU"/>
              </w:rPr>
              <w:t>6</w:t>
            </w:r>
          </w:p>
        </w:tc>
      </w:tr>
      <w:tr w:rsidR="00BA6B30" w:rsidRPr="004F30BD" w14:paraId="01D20AF4" w14:textId="77777777" w:rsidTr="00E80391">
        <w:trPr>
          <w:trHeight w:val="283"/>
        </w:trPr>
        <w:tc>
          <w:tcPr>
            <w:tcW w:w="3153" w:type="dxa"/>
            <w:shd w:val="clear" w:color="auto" w:fill="auto"/>
            <w:noWrap/>
            <w:vAlign w:val="center"/>
          </w:tcPr>
          <w:p w14:paraId="383F1B18" w14:textId="77777777" w:rsidR="00BA6B30" w:rsidRPr="004F30BD" w:rsidRDefault="00BA6B30" w:rsidP="00200222">
            <w:pPr>
              <w:spacing w:before="40" w:after="40"/>
              <w:ind w:right="0"/>
              <w:rPr>
                <w:szCs w:val="18"/>
              </w:rPr>
            </w:pPr>
            <w:r w:rsidRPr="004F30BD">
              <w:rPr>
                <w:szCs w:val="18"/>
              </w:rPr>
              <w:t>ACT/NT/TAS</w:t>
            </w:r>
          </w:p>
        </w:tc>
        <w:tc>
          <w:tcPr>
            <w:tcW w:w="1322" w:type="dxa"/>
            <w:shd w:val="clear" w:color="auto" w:fill="auto"/>
            <w:vAlign w:val="center"/>
          </w:tcPr>
          <w:p w14:paraId="67FF2A1A" w14:textId="77777777" w:rsidR="00BA6B30" w:rsidRPr="004F30BD" w:rsidRDefault="00BA6B30" w:rsidP="00200222">
            <w:pPr>
              <w:pStyle w:val="Tabletext"/>
              <w:keepNext/>
              <w:tabs>
                <w:tab w:val="right" w:pos="7454"/>
              </w:tabs>
              <w:spacing w:line="240" w:lineRule="atLeast"/>
              <w:jc w:val="center"/>
              <w:rPr>
                <w:rFonts w:ascii="Arial Nova" w:hAnsi="Arial Nova"/>
                <w:sz w:val="18"/>
                <w:szCs w:val="18"/>
                <w:lang w:val="en-AU"/>
              </w:rPr>
            </w:pPr>
            <w:r w:rsidRPr="004F30BD">
              <w:rPr>
                <w:rFonts w:ascii="Arial Nova" w:hAnsi="Arial Nova"/>
                <w:sz w:val="18"/>
                <w:szCs w:val="18"/>
                <w:lang w:val="en-AU"/>
              </w:rPr>
              <w:t>8</w:t>
            </w:r>
          </w:p>
        </w:tc>
        <w:tc>
          <w:tcPr>
            <w:tcW w:w="1322" w:type="dxa"/>
            <w:tcBorders>
              <w:right w:val="single" w:sz="4" w:space="0" w:color="auto"/>
            </w:tcBorders>
            <w:shd w:val="clear" w:color="auto" w:fill="auto"/>
            <w:vAlign w:val="center"/>
          </w:tcPr>
          <w:p w14:paraId="42FF251A" w14:textId="77777777" w:rsidR="00BA6B30" w:rsidRPr="004F30BD" w:rsidRDefault="00BA6B30" w:rsidP="00200222">
            <w:pPr>
              <w:pStyle w:val="Tabletext"/>
              <w:keepNext/>
              <w:tabs>
                <w:tab w:val="right" w:pos="7454"/>
              </w:tabs>
              <w:spacing w:line="240" w:lineRule="atLeast"/>
              <w:jc w:val="center"/>
              <w:rPr>
                <w:rFonts w:ascii="Arial Nova" w:hAnsi="Arial Nova"/>
                <w:sz w:val="18"/>
                <w:szCs w:val="18"/>
                <w:lang w:val="en-AU"/>
              </w:rPr>
            </w:pPr>
            <w:r w:rsidRPr="004F30BD">
              <w:rPr>
                <w:rFonts w:ascii="Arial Nova" w:hAnsi="Arial Nova" w:cs="Calibri"/>
                <w:color w:val="000000"/>
                <w:sz w:val="18"/>
                <w:szCs w:val="18"/>
                <w:lang w:val="en-AU"/>
              </w:rPr>
              <w:t>3</w:t>
            </w:r>
          </w:p>
        </w:tc>
        <w:tc>
          <w:tcPr>
            <w:tcW w:w="1322" w:type="dxa"/>
            <w:tcBorders>
              <w:left w:val="single" w:sz="4" w:space="0" w:color="auto"/>
            </w:tcBorders>
            <w:shd w:val="clear" w:color="auto" w:fill="auto"/>
            <w:vAlign w:val="center"/>
          </w:tcPr>
          <w:p w14:paraId="513F215F" w14:textId="77777777" w:rsidR="00BA6B30" w:rsidRPr="004F30BD" w:rsidRDefault="00BA6B30" w:rsidP="00200222">
            <w:pPr>
              <w:pStyle w:val="Tabletext"/>
              <w:keepNext/>
              <w:tabs>
                <w:tab w:val="right" w:pos="7454"/>
              </w:tabs>
              <w:spacing w:line="240" w:lineRule="atLeast"/>
              <w:jc w:val="center"/>
              <w:rPr>
                <w:rFonts w:ascii="Arial Nova" w:hAnsi="Arial Nova"/>
                <w:sz w:val="18"/>
                <w:szCs w:val="18"/>
                <w:highlight w:val="yellow"/>
                <w:lang w:val="en-AU"/>
              </w:rPr>
            </w:pPr>
            <w:r w:rsidRPr="004F30BD">
              <w:rPr>
                <w:rFonts w:ascii="Arial Nova" w:hAnsi="Arial Nova"/>
                <w:sz w:val="18"/>
                <w:szCs w:val="18"/>
                <w:lang w:val="en-AU"/>
              </w:rPr>
              <w:t>4</w:t>
            </w:r>
          </w:p>
        </w:tc>
        <w:tc>
          <w:tcPr>
            <w:tcW w:w="1323" w:type="dxa"/>
            <w:shd w:val="clear" w:color="auto" w:fill="auto"/>
            <w:vAlign w:val="center"/>
          </w:tcPr>
          <w:p w14:paraId="7DF02BEC" w14:textId="77777777" w:rsidR="00BA6B30" w:rsidRPr="004F30BD" w:rsidRDefault="0013091C" w:rsidP="00200222">
            <w:pPr>
              <w:pStyle w:val="Tabletext"/>
              <w:keepNext/>
              <w:tabs>
                <w:tab w:val="right" w:pos="7454"/>
              </w:tabs>
              <w:spacing w:line="240" w:lineRule="atLeast"/>
              <w:jc w:val="center"/>
              <w:rPr>
                <w:rFonts w:ascii="Arial Nova" w:hAnsi="Arial Nova"/>
                <w:sz w:val="18"/>
                <w:szCs w:val="18"/>
                <w:highlight w:val="yellow"/>
                <w:lang w:val="en-AU"/>
              </w:rPr>
            </w:pPr>
            <w:r w:rsidRPr="004F30BD">
              <w:rPr>
                <w:rFonts w:ascii="Arial Nova" w:hAnsi="Arial Nova"/>
                <w:sz w:val="18"/>
                <w:szCs w:val="18"/>
                <w:lang w:val="en-AU"/>
              </w:rPr>
              <w:t>3</w:t>
            </w:r>
          </w:p>
        </w:tc>
      </w:tr>
      <w:tr w:rsidR="00E80391" w:rsidRPr="004F30BD" w14:paraId="104D1CD6" w14:textId="77777777" w:rsidTr="00E80391">
        <w:trPr>
          <w:trHeight w:val="283"/>
        </w:trPr>
        <w:tc>
          <w:tcPr>
            <w:tcW w:w="3153" w:type="dxa"/>
            <w:shd w:val="clear" w:color="auto" w:fill="E6E6E6"/>
            <w:noWrap/>
            <w:vAlign w:val="center"/>
          </w:tcPr>
          <w:p w14:paraId="71FADCD3" w14:textId="77777777" w:rsidR="00E80391" w:rsidRPr="004F30BD" w:rsidRDefault="00E80391" w:rsidP="00200222">
            <w:pPr>
              <w:pStyle w:val="Tabletext"/>
              <w:keepNext/>
              <w:tabs>
                <w:tab w:val="right" w:pos="7454"/>
              </w:tabs>
              <w:spacing w:line="240" w:lineRule="atLeast"/>
              <w:rPr>
                <w:rFonts w:ascii="Arial Nova" w:hAnsi="Arial Nova"/>
                <w:bCs/>
                <w:sz w:val="18"/>
                <w:szCs w:val="18"/>
                <w:lang w:val="en-AU"/>
              </w:rPr>
            </w:pPr>
            <w:r w:rsidRPr="004F30BD">
              <w:rPr>
                <w:rFonts w:ascii="Arial Nova" w:hAnsi="Arial Nova"/>
                <w:bCs/>
                <w:sz w:val="18"/>
                <w:szCs w:val="18"/>
                <w:lang w:val="en-AU"/>
              </w:rPr>
              <w:t>O</w:t>
            </w:r>
            <w:r w:rsidR="00670A94" w:rsidRPr="004F30BD">
              <w:rPr>
                <w:rFonts w:ascii="Arial Nova" w:hAnsi="Arial Nova"/>
                <w:bCs/>
                <w:sz w:val="18"/>
                <w:szCs w:val="18"/>
                <w:lang w:val="en-AU"/>
              </w:rPr>
              <w:t>verseas</w:t>
            </w:r>
          </w:p>
        </w:tc>
        <w:tc>
          <w:tcPr>
            <w:tcW w:w="1322" w:type="dxa"/>
            <w:shd w:val="clear" w:color="auto" w:fill="E6E6E6"/>
            <w:vAlign w:val="center"/>
          </w:tcPr>
          <w:p w14:paraId="3FF66E9C" w14:textId="77777777" w:rsidR="00E80391" w:rsidRPr="004F30BD" w:rsidRDefault="00E80391" w:rsidP="00200222">
            <w:pPr>
              <w:pStyle w:val="Tabletext"/>
              <w:keepNext/>
              <w:tabs>
                <w:tab w:val="right" w:pos="7454"/>
              </w:tabs>
              <w:spacing w:line="240" w:lineRule="atLeast"/>
              <w:jc w:val="center"/>
              <w:rPr>
                <w:rFonts w:ascii="Arial Nova" w:hAnsi="Arial Nova"/>
                <w:sz w:val="18"/>
                <w:szCs w:val="18"/>
                <w:lang w:val="en-AU"/>
              </w:rPr>
            </w:pPr>
            <w:r w:rsidRPr="004F30BD">
              <w:rPr>
                <w:rFonts w:ascii="Arial Nova" w:hAnsi="Arial Nova"/>
                <w:sz w:val="18"/>
                <w:szCs w:val="18"/>
                <w:lang w:val="en-AU"/>
              </w:rPr>
              <w:t>1</w:t>
            </w:r>
          </w:p>
        </w:tc>
        <w:tc>
          <w:tcPr>
            <w:tcW w:w="1322" w:type="dxa"/>
            <w:tcBorders>
              <w:right w:val="single" w:sz="4" w:space="0" w:color="auto"/>
            </w:tcBorders>
            <w:shd w:val="clear" w:color="auto" w:fill="E6E6E6"/>
            <w:vAlign w:val="center"/>
          </w:tcPr>
          <w:p w14:paraId="6BFE2D10" w14:textId="77777777" w:rsidR="00E80391" w:rsidRPr="004F30BD" w:rsidRDefault="00E80391" w:rsidP="00200222">
            <w:pPr>
              <w:pStyle w:val="Tabletext"/>
              <w:keepNext/>
              <w:tabs>
                <w:tab w:val="right" w:pos="7454"/>
              </w:tabs>
              <w:spacing w:line="240" w:lineRule="atLeast"/>
              <w:jc w:val="center"/>
              <w:rPr>
                <w:rFonts w:ascii="Arial Nova" w:hAnsi="Arial Nova"/>
                <w:sz w:val="18"/>
                <w:szCs w:val="18"/>
                <w:lang w:val="en-AU"/>
              </w:rPr>
            </w:pPr>
            <w:r w:rsidRPr="004F30BD">
              <w:rPr>
                <w:rFonts w:ascii="Arial Nova" w:hAnsi="Arial Nova"/>
                <w:sz w:val="18"/>
                <w:szCs w:val="18"/>
                <w:lang w:val="en-AU"/>
              </w:rPr>
              <w:t>0</w:t>
            </w:r>
          </w:p>
        </w:tc>
        <w:tc>
          <w:tcPr>
            <w:tcW w:w="1322" w:type="dxa"/>
            <w:tcBorders>
              <w:left w:val="single" w:sz="4" w:space="0" w:color="auto"/>
            </w:tcBorders>
            <w:shd w:val="clear" w:color="auto" w:fill="E6E6E6"/>
            <w:vAlign w:val="center"/>
          </w:tcPr>
          <w:p w14:paraId="1113A937" w14:textId="77777777" w:rsidR="00E80391" w:rsidRPr="004F30BD" w:rsidRDefault="00E80391" w:rsidP="00200222">
            <w:pPr>
              <w:pStyle w:val="Tabletext"/>
              <w:keepNext/>
              <w:tabs>
                <w:tab w:val="right" w:pos="7454"/>
              </w:tabs>
              <w:spacing w:line="240" w:lineRule="atLeast"/>
              <w:jc w:val="center"/>
              <w:rPr>
                <w:rFonts w:ascii="Arial Nova" w:hAnsi="Arial Nova"/>
                <w:sz w:val="18"/>
                <w:szCs w:val="18"/>
                <w:lang w:val="en-AU"/>
              </w:rPr>
            </w:pPr>
            <w:r w:rsidRPr="004F30BD">
              <w:rPr>
                <w:rFonts w:ascii="Arial Nova" w:hAnsi="Arial Nova"/>
                <w:sz w:val="18"/>
                <w:szCs w:val="18"/>
                <w:lang w:val="en-AU"/>
              </w:rPr>
              <w:t>1</w:t>
            </w:r>
          </w:p>
        </w:tc>
        <w:tc>
          <w:tcPr>
            <w:tcW w:w="1323" w:type="dxa"/>
            <w:shd w:val="clear" w:color="auto" w:fill="E6E6E6"/>
            <w:vAlign w:val="center"/>
          </w:tcPr>
          <w:p w14:paraId="3A4F53C2" w14:textId="77777777" w:rsidR="00E80391" w:rsidRPr="004F30BD" w:rsidRDefault="0013091C" w:rsidP="00200222">
            <w:pPr>
              <w:pStyle w:val="Tabletext"/>
              <w:keepNext/>
              <w:tabs>
                <w:tab w:val="right" w:pos="7454"/>
              </w:tabs>
              <w:spacing w:line="240" w:lineRule="atLeast"/>
              <w:jc w:val="center"/>
              <w:rPr>
                <w:rFonts w:ascii="Arial Nova" w:hAnsi="Arial Nova"/>
                <w:sz w:val="18"/>
                <w:szCs w:val="18"/>
                <w:lang w:val="en-AU"/>
              </w:rPr>
            </w:pPr>
            <w:r w:rsidRPr="004F30BD">
              <w:rPr>
                <w:rFonts w:ascii="Arial Nova" w:hAnsi="Arial Nova"/>
                <w:sz w:val="18"/>
                <w:szCs w:val="18"/>
                <w:lang w:val="en-AU"/>
              </w:rPr>
              <w:t>1</w:t>
            </w:r>
          </w:p>
        </w:tc>
      </w:tr>
      <w:tr w:rsidR="00FB4206" w:rsidRPr="004F30BD" w14:paraId="076C0EC7" w14:textId="77777777" w:rsidTr="00E80391">
        <w:trPr>
          <w:trHeight w:val="283"/>
        </w:trPr>
        <w:tc>
          <w:tcPr>
            <w:tcW w:w="3153" w:type="dxa"/>
            <w:tcBorders>
              <w:bottom w:val="single" w:sz="4" w:space="0" w:color="auto"/>
            </w:tcBorders>
            <w:shd w:val="clear" w:color="auto" w:fill="auto"/>
            <w:noWrap/>
            <w:vAlign w:val="center"/>
          </w:tcPr>
          <w:p w14:paraId="7957EBAC" w14:textId="77777777" w:rsidR="00FB4206" w:rsidRPr="004F30BD" w:rsidRDefault="00FB4206" w:rsidP="00200222">
            <w:pPr>
              <w:pStyle w:val="Tabletext"/>
              <w:keepNext/>
              <w:tabs>
                <w:tab w:val="right" w:pos="7454"/>
              </w:tabs>
              <w:spacing w:line="240" w:lineRule="atLeast"/>
              <w:rPr>
                <w:rFonts w:ascii="Arial Nova" w:hAnsi="Arial Nova"/>
                <w:b/>
                <w:sz w:val="18"/>
                <w:szCs w:val="18"/>
                <w:lang w:val="en-AU"/>
              </w:rPr>
            </w:pPr>
            <w:r w:rsidRPr="004F30BD">
              <w:rPr>
                <w:rFonts w:ascii="Arial Nova" w:hAnsi="Arial Nova"/>
                <w:b/>
                <w:sz w:val="18"/>
                <w:szCs w:val="18"/>
                <w:lang w:val="en-AU"/>
              </w:rPr>
              <w:t>Total</w:t>
            </w:r>
          </w:p>
        </w:tc>
        <w:tc>
          <w:tcPr>
            <w:tcW w:w="1322" w:type="dxa"/>
            <w:tcBorders>
              <w:bottom w:val="single" w:sz="4" w:space="0" w:color="auto"/>
            </w:tcBorders>
            <w:shd w:val="clear" w:color="auto" w:fill="auto"/>
            <w:vAlign w:val="center"/>
          </w:tcPr>
          <w:p w14:paraId="3CF90C96" w14:textId="77777777" w:rsidR="00FB4206" w:rsidRPr="004F30BD" w:rsidRDefault="003052C7" w:rsidP="00200222">
            <w:pPr>
              <w:pStyle w:val="Tabletext"/>
              <w:keepNext/>
              <w:tabs>
                <w:tab w:val="right" w:pos="7454"/>
              </w:tabs>
              <w:spacing w:line="240" w:lineRule="atLeast"/>
              <w:jc w:val="center"/>
              <w:rPr>
                <w:rFonts w:ascii="Arial Nova" w:hAnsi="Arial Nova"/>
                <w:b/>
                <w:bCs/>
                <w:sz w:val="18"/>
                <w:szCs w:val="18"/>
                <w:lang w:val="en-AU"/>
              </w:rPr>
            </w:pPr>
            <w:r w:rsidRPr="004F30BD">
              <w:rPr>
                <w:rFonts w:ascii="Arial Nova" w:hAnsi="Arial Nova"/>
                <w:b/>
                <w:bCs/>
                <w:sz w:val="18"/>
                <w:szCs w:val="18"/>
                <w:lang w:val="en-AU"/>
              </w:rPr>
              <w:t>23</w:t>
            </w:r>
            <w:r w:rsidR="00E80391" w:rsidRPr="004F30BD">
              <w:rPr>
                <w:rFonts w:ascii="Arial Nova" w:hAnsi="Arial Nova"/>
                <w:b/>
                <w:bCs/>
                <w:sz w:val="18"/>
                <w:szCs w:val="18"/>
                <w:lang w:val="en-AU"/>
              </w:rPr>
              <w:t>7</w:t>
            </w:r>
          </w:p>
        </w:tc>
        <w:tc>
          <w:tcPr>
            <w:tcW w:w="1322" w:type="dxa"/>
            <w:tcBorders>
              <w:bottom w:val="single" w:sz="4" w:space="0" w:color="auto"/>
              <w:right w:val="single" w:sz="4" w:space="0" w:color="auto"/>
            </w:tcBorders>
            <w:shd w:val="clear" w:color="auto" w:fill="auto"/>
            <w:vAlign w:val="center"/>
          </w:tcPr>
          <w:p w14:paraId="3964ADEF" w14:textId="77777777" w:rsidR="00FB4206" w:rsidRPr="004F30BD" w:rsidRDefault="00FB4206" w:rsidP="00200222">
            <w:pPr>
              <w:pStyle w:val="Tabletext"/>
              <w:keepNext/>
              <w:tabs>
                <w:tab w:val="right" w:pos="7454"/>
              </w:tabs>
              <w:spacing w:line="240" w:lineRule="atLeast"/>
              <w:jc w:val="center"/>
              <w:rPr>
                <w:rFonts w:ascii="Arial Nova" w:hAnsi="Arial Nova"/>
                <w:b/>
                <w:bCs/>
                <w:sz w:val="18"/>
                <w:szCs w:val="18"/>
                <w:lang w:val="en-AU"/>
              </w:rPr>
            </w:pPr>
            <w:r w:rsidRPr="004F30BD">
              <w:rPr>
                <w:rFonts w:ascii="Arial Nova" w:hAnsi="Arial Nova"/>
                <w:b/>
                <w:bCs/>
                <w:sz w:val="18"/>
                <w:szCs w:val="18"/>
                <w:lang w:val="en-AU"/>
              </w:rPr>
              <w:t>100.0</w:t>
            </w:r>
          </w:p>
        </w:tc>
        <w:tc>
          <w:tcPr>
            <w:tcW w:w="1322" w:type="dxa"/>
            <w:tcBorders>
              <w:left w:val="single" w:sz="4" w:space="0" w:color="auto"/>
              <w:bottom w:val="single" w:sz="4" w:space="0" w:color="auto"/>
            </w:tcBorders>
            <w:shd w:val="clear" w:color="auto" w:fill="auto"/>
            <w:vAlign w:val="center"/>
          </w:tcPr>
          <w:p w14:paraId="667182B0" w14:textId="77777777" w:rsidR="00FB4206" w:rsidRPr="004F30BD" w:rsidRDefault="00FB4206" w:rsidP="00200222">
            <w:pPr>
              <w:pStyle w:val="Tabletext"/>
              <w:keepNext/>
              <w:tabs>
                <w:tab w:val="right" w:pos="7454"/>
              </w:tabs>
              <w:spacing w:line="240" w:lineRule="atLeast"/>
              <w:jc w:val="center"/>
              <w:rPr>
                <w:rFonts w:ascii="Arial Nova" w:hAnsi="Arial Nova"/>
                <w:b/>
                <w:bCs/>
                <w:sz w:val="18"/>
                <w:szCs w:val="18"/>
                <w:highlight w:val="yellow"/>
                <w:lang w:val="en-AU"/>
              </w:rPr>
            </w:pPr>
            <w:r w:rsidRPr="004F30BD">
              <w:rPr>
                <w:rFonts w:ascii="Arial Nova" w:hAnsi="Arial Nova"/>
                <w:b/>
                <w:bCs/>
                <w:sz w:val="18"/>
                <w:szCs w:val="18"/>
                <w:lang w:val="en-AU"/>
              </w:rPr>
              <w:t>14</w:t>
            </w:r>
            <w:r w:rsidR="0013091C" w:rsidRPr="004F30BD">
              <w:rPr>
                <w:rFonts w:ascii="Arial Nova" w:hAnsi="Arial Nova"/>
                <w:b/>
                <w:bCs/>
                <w:sz w:val="18"/>
                <w:szCs w:val="18"/>
                <w:lang w:val="en-AU"/>
              </w:rPr>
              <w:t>2</w:t>
            </w:r>
          </w:p>
        </w:tc>
        <w:tc>
          <w:tcPr>
            <w:tcW w:w="1323" w:type="dxa"/>
            <w:tcBorders>
              <w:bottom w:val="single" w:sz="4" w:space="0" w:color="auto"/>
            </w:tcBorders>
            <w:shd w:val="clear" w:color="auto" w:fill="auto"/>
            <w:vAlign w:val="center"/>
          </w:tcPr>
          <w:p w14:paraId="2BAF841D" w14:textId="77777777" w:rsidR="00FB4206" w:rsidRPr="004F30BD" w:rsidRDefault="00FB4206" w:rsidP="00200222">
            <w:pPr>
              <w:pStyle w:val="Tabletext"/>
              <w:keepNext/>
              <w:tabs>
                <w:tab w:val="right" w:pos="7454"/>
              </w:tabs>
              <w:spacing w:line="240" w:lineRule="atLeast"/>
              <w:jc w:val="center"/>
              <w:rPr>
                <w:rFonts w:ascii="Arial Nova" w:hAnsi="Arial Nova"/>
                <w:b/>
                <w:bCs/>
                <w:sz w:val="18"/>
                <w:szCs w:val="18"/>
                <w:highlight w:val="yellow"/>
                <w:lang w:val="en-AU"/>
              </w:rPr>
            </w:pPr>
            <w:r w:rsidRPr="004F30BD">
              <w:rPr>
                <w:rFonts w:ascii="Arial Nova" w:hAnsi="Arial Nova"/>
                <w:b/>
                <w:bCs/>
                <w:sz w:val="18"/>
                <w:szCs w:val="18"/>
                <w:lang w:val="en-AU"/>
              </w:rPr>
              <w:t>100</w:t>
            </w:r>
          </w:p>
        </w:tc>
      </w:tr>
    </w:tbl>
    <w:p w14:paraId="577F8B49" w14:textId="77777777" w:rsidR="007951A5" w:rsidRPr="004F30BD" w:rsidRDefault="007951A5" w:rsidP="00F86F40"/>
    <w:tbl>
      <w:tblPr>
        <w:tblW w:w="8550" w:type="dxa"/>
        <w:tblInd w:w="90" w:type="dxa"/>
        <w:tblLayout w:type="fixed"/>
        <w:tblLook w:val="0000" w:firstRow="0" w:lastRow="0" w:firstColumn="0" w:lastColumn="0" w:noHBand="0" w:noVBand="0"/>
      </w:tblPr>
      <w:tblGrid>
        <w:gridCol w:w="3240"/>
        <w:gridCol w:w="1327"/>
        <w:gridCol w:w="1328"/>
        <w:gridCol w:w="1327"/>
        <w:gridCol w:w="1328"/>
      </w:tblGrid>
      <w:tr w:rsidR="00CE3E1B" w:rsidRPr="004F30BD" w14:paraId="0815A85B" w14:textId="77777777" w:rsidTr="002C416A">
        <w:trPr>
          <w:trHeight w:val="257"/>
          <w:tblHeader/>
        </w:trPr>
        <w:tc>
          <w:tcPr>
            <w:tcW w:w="3240" w:type="dxa"/>
            <w:shd w:val="clear" w:color="auto" w:fill="00386E"/>
            <w:noWrap/>
            <w:vAlign w:val="center"/>
          </w:tcPr>
          <w:p w14:paraId="530F42B0" w14:textId="77777777" w:rsidR="00CE3E1B" w:rsidRPr="004F30BD" w:rsidRDefault="00937ADD" w:rsidP="00403951">
            <w:pPr>
              <w:pStyle w:val="Tabletext"/>
              <w:spacing w:line="240" w:lineRule="atLeast"/>
              <w:rPr>
                <w:rFonts w:ascii="Arial Nova" w:hAnsi="Arial Nova"/>
                <w:color w:val="FFFFFF"/>
                <w:sz w:val="18"/>
                <w:szCs w:val="18"/>
                <w:lang w:val="en-AU"/>
              </w:rPr>
            </w:pPr>
            <w:r w:rsidRPr="004F30BD">
              <w:rPr>
                <w:rFonts w:ascii="Arial Nova" w:hAnsi="Arial Nova"/>
                <w:color w:val="FFFFFF"/>
                <w:sz w:val="18"/>
                <w:szCs w:val="18"/>
                <w:lang w:val="en-AU"/>
              </w:rPr>
              <w:t xml:space="preserve">PROVIDER </w:t>
            </w:r>
            <w:r w:rsidR="00CE3E1B" w:rsidRPr="004F30BD">
              <w:rPr>
                <w:rFonts w:ascii="Arial Nova" w:hAnsi="Arial Nova"/>
                <w:color w:val="FFFFFF"/>
                <w:sz w:val="18"/>
                <w:szCs w:val="18"/>
                <w:lang w:val="en-AU"/>
              </w:rPr>
              <w:t>CATEGORY</w:t>
            </w:r>
          </w:p>
        </w:tc>
        <w:tc>
          <w:tcPr>
            <w:tcW w:w="2655" w:type="dxa"/>
            <w:gridSpan w:val="2"/>
            <w:shd w:val="clear" w:color="auto" w:fill="00386E"/>
            <w:vAlign w:val="center"/>
          </w:tcPr>
          <w:p w14:paraId="0B7E4B9B" w14:textId="77777777" w:rsidR="00CE3E1B" w:rsidRPr="004F30BD" w:rsidRDefault="00CE3E1B" w:rsidP="00403951">
            <w:pPr>
              <w:pStyle w:val="Tabletext"/>
              <w:spacing w:line="240" w:lineRule="atLeast"/>
              <w:jc w:val="center"/>
              <w:rPr>
                <w:rFonts w:ascii="Arial Nova" w:hAnsi="Arial Nova"/>
                <w:color w:val="FFFFFF"/>
                <w:sz w:val="18"/>
                <w:szCs w:val="18"/>
                <w:lang w:val="en-AU"/>
              </w:rPr>
            </w:pPr>
            <w:r w:rsidRPr="004F30BD">
              <w:rPr>
                <w:rFonts w:ascii="Arial Nova" w:hAnsi="Arial Nova"/>
                <w:color w:val="FFFFFF"/>
                <w:sz w:val="18"/>
                <w:szCs w:val="18"/>
                <w:lang w:val="en-AU"/>
              </w:rPr>
              <w:t>PRINCIPAL CONTACT</w:t>
            </w:r>
            <w:r w:rsidR="00403951" w:rsidRPr="004F30BD">
              <w:rPr>
                <w:rFonts w:ascii="Arial Nova" w:hAnsi="Arial Nova"/>
                <w:color w:val="FFFFFF"/>
                <w:sz w:val="18"/>
                <w:szCs w:val="18"/>
                <w:lang w:val="en-AU"/>
              </w:rPr>
              <w:br/>
            </w:r>
            <w:r w:rsidRPr="004F30BD">
              <w:rPr>
                <w:rFonts w:ascii="Arial Nova" w:hAnsi="Arial Nova"/>
                <w:bCs/>
                <w:color w:val="FFFFFF"/>
                <w:sz w:val="18"/>
                <w:szCs w:val="18"/>
                <w:lang w:val="en-AU"/>
              </w:rPr>
              <w:t>POPULATION</w:t>
            </w:r>
          </w:p>
        </w:tc>
        <w:tc>
          <w:tcPr>
            <w:tcW w:w="2655" w:type="dxa"/>
            <w:gridSpan w:val="2"/>
            <w:shd w:val="clear" w:color="auto" w:fill="00386E"/>
            <w:vAlign w:val="center"/>
          </w:tcPr>
          <w:p w14:paraId="072741D8" w14:textId="77777777" w:rsidR="00CE3E1B" w:rsidRPr="004F30BD" w:rsidRDefault="00CE3E1B" w:rsidP="00403951">
            <w:pPr>
              <w:pStyle w:val="Tabletext"/>
              <w:spacing w:line="240" w:lineRule="atLeast"/>
              <w:jc w:val="center"/>
              <w:rPr>
                <w:rFonts w:ascii="Arial Nova" w:hAnsi="Arial Nova"/>
                <w:color w:val="FFFFFF"/>
                <w:sz w:val="18"/>
                <w:szCs w:val="18"/>
                <w:lang w:val="en-AU"/>
              </w:rPr>
            </w:pPr>
            <w:r w:rsidRPr="004F30BD">
              <w:rPr>
                <w:rFonts w:ascii="Arial Nova" w:hAnsi="Arial Nova"/>
                <w:color w:val="FFFFFF"/>
                <w:sz w:val="18"/>
                <w:szCs w:val="18"/>
                <w:lang w:val="en-AU"/>
              </w:rPr>
              <w:t>RE</w:t>
            </w:r>
            <w:r w:rsidR="00403951" w:rsidRPr="004F30BD">
              <w:rPr>
                <w:rFonts w:ascii="Arial Nova" w:hAnsi="Arial Nova"/>
                <w:color w:val="FFFFFF"/>
                <w:sz w:val="18"/>
                <w:szCs w:val="18"/>
                <w:lang w:val="en-AU"/>
              </w:rPr>
              <w:t>SPONSE</w:t>
            </w:r>
            <w:r w:rsidR="00403951" w:rsidRPr="004F30BD">
              <w:rPr>
                <w:rFonts w:ascii="Arial Nova" w:hAnsi="Arial Nova"/>
                <w:color w:val="FFFFFF"/>
                <w:sz w:val="18"/>
                <w:szCs w:val="18"/>
                <w:lang w:val="en-AU"/>
              </w:rPr>
              <w:br/>
            </w:r>
            <w:r w:rsidRPr="004F30BD">
              <w:rPr>
                <w:rFonts w:ascii="Arial Nova" w:hAnsi="Arial Nova"/>
                <w:bCs/>
                <w:color w:val="FFFFFF"/>
                <w:sz w:val="18"/>
                <w:szCs w:val="18"/>
                <w:lang w:val="en-AU"/>
              </w:rPr>
              <w:t>SAMPL</w:t>
            </w:r>
            <w:r w:rsidRPr="004F30BD">
              <w:rPr>
                <w:rFonts w:ascii="Arial Nova" w:hAnsi="Arial Nova"/>
                <w:b/>
                <w:color w:val="FFFFFF"/>
                <w:sz w:val="18"/>
                <w:szCs w:val="18"/>
                <w:lang w:val="en-AU"/>
              </w:rPr>
              <w:t>E</w:t>
            </w:r>
          </w:p>
        </w:tc>
      </w:tr>
      <w:tr w:rsidR="00CE3E1B" w:rsidRPr="004F30BD" w14:paraId="00ADB04A" w14:textId="77777777" w:rsidTr="004F6214">
        <w:trPr>
          <w:trHeight w:val="257"/>
        </w:trPr>
        <w:tc>
          <w:tcPr>
            <w:tcW w:w="3240" w:type="dxa"/>
            <w:shd w:val="clear" w:color="auto" w:fill="auto"/>
            <w:noWrap/>
            <w:vAlign w:val="center"/>
          </w:tcPr>
          <w:p w14:paraId="41E856F7" w14:textId="77777777" w:rsidR="00CE3E1B" w:rsidRPr="004F30BD" w:rsidRDefault="00CE3E1B" w:rsidP="00200222">
            <w:pPr>
              <w:pStyle w:val="Tabletext"/>
              <w:keepNext/>
              <w:tabs>
                <w:tab w:val="right" w:pos="7454"/>
              </w:tabs>
              <w:spacing w:line="240" w:lineRule="atLeast"/>
              <w:rPr>
                <w:rFonts w:ascii="Arial Nova" w:hAnsi="Arial Nova"/>
                <w:b/>
                <w:i/>
                <w:sz w:val="18"/>
                <w:szCs w:val="18"/>
                <w:lang w:val="en-AU"/>
              </w:rPr>
            </w:pPr>
          </w:p>
        </w:tc>
        <w:tc>
          <w:tcPr>
            <w:tcW w:w="1327" w:type="dxa"/>
            <w:vAlign w:val="center"/>
          </w:tcPr>
          <w:p w14:paraId="095D2C82" w14:textId="77777777" w:rsidR="00CE3E1B" w:rsidRPr="004F30BD" w:rsidRDefault="00CE3E1B" w:rsidP="00200222">
            <w:pPr>
              <w:pStyle w:val="Tabletext"/>
              <w:keepNext/>
              <w:tabs>
                <w:tab w:val="right" w:pos="7454"/>
              </w:tabs>
              <w:spacing w:line="240" w:lineRule="atLeast"/>
              <w:jc w:val="center"/>
              <w:rPr>
                <w:rFonts w:ascii="Arial Nova" w:hAnsi="Arial Nova"/>
                <w:b/>
                <w:i/>
                <w:sz w:val="18"/>
                <w:szCs w:val="18"/>
                <w:lang w:val="en-AU"/>
              </w:rPr>
            </w:pPr>
            <w:r w:rsidRPr="004F30BD">
              <w:rPr>
                <w:rFonts w:ascii="Arial Nova" w:hAnsi="Arial Nova"/>
                <w:b/>
                <w:i/>
                <w:sz w:val="18"/>
                <w:szCs w:val="18"/>
                <w:lang w:val="en-AU"/>
              </w:rPr>
              <w:t>Freq</w:t>
            </w:r>
          </w:p>
        </w:tc>
        <w:tc>
          <w:tcPr>
            <w:tcW w:w="1328" w:type="dxa"/>
            <w:tcBorders>
              <w:right w:val="single" w:sz="4" w:space="0" w:color="auto"/>
            </w:tcBorders>
            <w:vAlign w:val="center"/>
          </w:tcPr>
          <w:p w14:paraId="5681247B" w14:textId="77777777" w:rsidR="00CE3E1B" w:rsidRPr="004F30BD" w:rsidRDefault="00CE3E1B" w:rsidP="00200222">
            <w:pPr>
              <w:pStyle w:val="Tabletext"/>
              <w:keepNext/>
              <w:tabs>
                <w:tab w:val="right" w:pos="7454"/>
              </w:tabs>
              <w:spacing w:line="240" w:lineRule="atLeast"/>
              <w:jc w:val="center"/>
              <w:rPr>
                <w:rFonts w:ascii="Arial Nova" w:hAnsi="Arial Nova"/>
                <w:b/>
                <w:i/>
                <w:sz w:val="18"/>
                <w:szCs w:val="18"/>
                <w:lang w:val="en-AU"/>
              </w:rPr>
            </w:pPr>
            <w:r w:rsidRPr="004F30BD">
              <w:rPr>
                <w:rFonts w:ascii="Arial Nova" w:hAnsi="Arial Nova"/>
                <w:b/>
                <w:i/>
                <w:sz w:val="18"/>
                <w:szCs w:val="18"/>
                <w:lang w:val="en-AU"/>
              </w:rPr>
              <w:t>%</w:t>
            </w:r>
          </w:p>
        </w:tc>
        <w:tc>
          <w:tcPr>
            <w:tcW w:w="1327" w:type="dxa"/>
            <w:tcBorders>
              <w:left w:val="single" w:sz="4" w:space="0" w:color="auto"/>
            </w:tcBorders>
            <w:shd w:val="clear" w:color="auto" w:fill="auto"/>
            <w:vAlign w:val="center"/>
          </w:tcPr>
          <w:p w14:paraId="336177CC" w14:textId="77777777" w:rsidR="00CE3E1B" w:rsidRPr="004F30BD" w:rsidRDefault="00CE3E1B" w:rsidP="00200222">
            <w:pPr>
              <w:pStyle w:val="Tabletext"/>
              <w:keepNext/>
              <w:tabs>
                <w:tab w:val="right" w:pos="7454"/>
              </w:tabs>
              <w:spacing w:line="240" w:lineRule="atLeast"/>
              <w:jc w:val="center"/>
              <w:rPr>
                <w:rFonts w:ascii="Arial Nova" w:hAnsi="Arial Nova"/>
                <w:b/>
                <w:i/>
                <w:sz w:val="18"/>
                <w:szCs w:val="18"/>
                <w:lang w:val="en-AU"/>
              </w:rPr>
            </w:pPr>
            <w:r w:rsidRPr="004F30BD">
              <w:rPr>
                <w:rFonts w:ascii="Arial Nova" w:hAnsi="Arial Nova"/>
                <w:b/>
                <w:i/>
                <w:sz w:val="18"/>
                <w:szCs w:val="18"/>
                <w:lang w:val="en-AU"/>
              </w:rPr>
              <w:t>Freq</w:t>
            </w:r>
          </w:p>
        </w:tc>
        <w:tc>
          <w:tcPr>
            <w:tcW w:w="1328" w:type="dxa"/>
            <w:shd w:val="clear" w:color="auto" w:fill="auto"/>
            <w:vAlign w:val="center"/>
          </w:tcPr>
          <w:p w14:paraId="3D3DA347" w14:textId="77777777" w:rsidR="00CE3E1B" w:rsidRPr="004F30BD" w:rsidRDefault="00CE3E1B" w:rsidP="00200222">
            <w:pPr>
              <w:pStyle w:val="Tabletext"/>
              <w:keepNext/>
              <w:tabs>
                <w:tab w:val="right" w:pos="7454"/>
              </w:tabs>
              <w:spacing w:line="240" w:lineRule="atLeast"/>
              <w:jc w:val="center"/>
              <w:rPr>
                <w:rFonts w:ascii="Arial Nova" w:hAnsi="Arial Nova"/>
                <w:b/>
                <w:i/>
                <w:sz w:val="18"/>
                <w:szCs w:val="18"/>
                <w:lang w:val="en-AU"/>
              </w:rPr>
            </w:pPr>
            <w:r w:rsidRPr="004F30BD">
              <w:rPr>
                <w:rFonts w:ascii="Arial Nova" w:hAnsi="Arial Nova"/>
                <w:b/>
                <w:i/>
                <w:sz w:val="18"/>
                <w:szCs w:val="18"/>
                <w:lang w:val="en-AU"/>
              </w:rPr>
              <w:t>%</w:t>
            </w:r>
          </w:p>
        </w:tc>
      </w:tr>
      <w:tr w:rsidR="00FB4206" w:rsidRPr="004F30BD" w14:paraId="27474A2B" w14:textId="77777777" w:rsidTr="004F6214">
        <w:trPr>
          <w:trHeight w:val="283"/>
        </w:trPr>
        <w:tc>
          <w:tcPr>
            <w:tcW w:w="3240" w:type="dxa"/>
            <w:shd w:val="clear" w:color="auto" w:fill="E6E6E6"/>
            <w:noWrap/>
            <w:vAlign w:val="center"/>
          </w:tcPr>
          <w:p w14:paraId="2250C407" w14:textId="77777777" w:rsidR="00FB4206" w:rsidRPr="004F30BD" w:rsidRDefault="00FB4206" w:rsidP="00200222">
            <w:pPr>
              <w:spacing w:before="40" w:after="40"/>
              <w:ind w:right="0"/>
              <w:rPr>
                <w:szCs w:val="18"/>
              </w:rPr>
            </w:pPr>
            <w:r w:rsidRPr="004F30BD">
              <w:rPr>
                <w:szCs w:val="18"/>
              </w:rPr>
              <w:t>University</w:t>
            </w:r>
          </w:p>
        </w:tc>
        <w:tc>
          <w:tcPr>
            <w:tcW w:w="1327" w:type="dxa"/>
            <w:shd w:val="clear" w:color="auto" w:fill="E6E6E6"/>
            <w:vAlign w:val="center"/>
          </w:tcPr>
          <w:p w14:paraId="0F7CFC6A" w14:textId="77777777" w:rsidR="00FB4206" w:rsidRPr="004F30BD" w:rsidRDefault="00DC74DE" w:rsidP="00AC1EDD">
            <w:pPr>
              <w:pStyle w:val="Tabletext"/>
              <w:keepNext/>
              <w:tabs>
                <w:tab w:val="right" w:pos="7454"/>
              </w:tabs>
              <w:spacing w:line="240" w:lineRule="atLeast"/>
              <w:jc w:val="center"/>
              <w:rPr>
                <w:rFonts w:ascii="Arial Nova" w:hAnsi="Arial Nova"/>
                <w:sz w:val="18"/>
                <w:szCs w:val="18"/>
                <w:lang w:val="en-AU"/>
              </w:rPr>
            </w:pPr>
            <w:r w:rsidRPr="004F30BD">
              <w:rPr>
                <w:rFonts w:ascii="Arial Nova" w:hAnsi="Arial Nova"/>
                <w:sz w:val="18"/>
                <w:szCs w:val="18"/>
                <w:lang w:val="en-AU"/>
              </w:rPr>
              <w:t>43</w:t>
            </w:r>
          </w:p>
        </w:tc>
        <w:tc>
          <w:tcPr>
            <w:tcW w:w="1328" w:type="dxa"/>
            <w:tcBorders>
              <w:right w:val="single" w:sz="4" w:space="0" w:color="auto"/>
            </w:tcBorders>
            <w:shd w:val="clear" w:color="auto" w:fill="E6E6E6"/>
            <w:vAlign w:val="center"/>
          </w:tcPr>
          <w:p w14:paraId="48EC3281" w14:textId="77777777" w:rsidR="00FB4206" w:rsidRPr="004F30BD" w:rsidRDefault="004B492B" w:rsidP="00AC1EDD">
            <w:pPr>
              <w:pStyle w:val="Tabletext"/>
              <w:keepNext/>
              <w:tabs>
                <w:tab w:val="right" w:pos="7454"/>
              </w:tabs>
              <w:spacing w:line="240" w:lineRule="atLeast"/>
              <w:jc w:val="center"/>
              <w:rPr>
                <w:rFonts w:ascii="Arial Nova" w:hAnsi="Arial Nova"/>
                <w:sz w:val="18"/>
                <w:szCs w:val="18"/>
                <w:lang w:val="en-AU"/>
              </w:rPr>
            </w:pPr>
            <w:r w:rsidRPr="004F30BD">
              <w:rPr>
                <w:rFonts w:ascii="Arial Nova" w:hAnsi="Arial Nova"/>
                <w:sz w:val="18"/>
                <w:szCs w:val="18"/>
                <w:lang w:val="en-AU"/>
              </w:rPr>
              <w:t>18</w:t>
            </w:r>
          </w:p>
        </w:tc>
        <w:tc>
          <w:tcPr>
            <w:tcW w:w="1327" w:type="dxa"/>
            <w:tcBorders>
              <w:left w:val="single" w:sz="4" w:space="0" w:color="auto"/>
            </w:tcBorders>
            <w:shd w:val="clear" w:color="auto" w:fill="E6E6E6"/>
            <w:vAlign w:val="center"/>
          </w:tcPr>
          <w:p w14:paraId="285A65B4" w14:textId="77777777" w:rsidR="00FB4206" w:rsidRPr="004F30BD" w:rsidRDefault="00FB4206" w:rsidP="00AC1EDD">
            <w:pPr>
              <w:pStyle w:val="Tabletext"/>
              <w:keepNext/>
              <w:tabs>
                <w:tab w:val="right" w:pos="7454"/>
              </w:tabs>
              <w:spacing w:line="240" w:lineRule="atLeast"/>
              <w:jc w:val="center"/>
              <w:rPr>
                <w:rFonts w:ascii="Arial Nova" w:hAnsi="Arial Nova"/>
                <w:sz w:val="18"/>
                <w:szCs w:val="18"/>
                <w:highlight w:val="yellow"/>
                <w:lang w:val="en-AU"/>
              </w:rPr>
            </w:pPr>
            <w:r w:rsidRPr="004F30BD">
              <w:rPr>
                <w:rFonts w:ascii="Arial Nova" w:hAnsi="Arial Nova"/>
                <w:sz w:val="18"/>
                <w:szCs w:val="18"/>
                <w:lang w:val="en-AU"/>
              </w:rPr>
              <w:t>35</w:t>
            </w:r>
          </w:p>
        </w:tc>
        <w:tc>
          <w:tcPr>
            <w:tcW w:w="1328" w:type="dxa"/>
            <w:shd w:val="clear" w:color="auto" w:fill="E6E6E6"/>
            <w:vAlign w:val="center"/>
          </w:tcPr>
          <w:p w14:paraId="2EFC7CAA" w14:textId="77777777" w:rsidR="00FB4206" w:rsidRPr="004F30BD" w:rsidRDefault="00FB4206" w:rsidP="00AC1EDD">
            <w:pPr>
              <w:pStyle w:val="Tabletext"/>
              <w:keepNext/>
              <w:tabs>
                <w:tab w:val="right" w:pos="7454"/>
              </w:tabs>
              <w:spacing w:line="240" w:lineRule="atLeast"/>
              <w:jc w:val="center"/>
              <w:rPr>
                <w:rFonts w:ascii="Arial Nova" w:hAnsi="Arial Nova"/>
                <w:sz w:val="18"/>
                <w:szCs w:val="18"/>
                <w:highlight w:val="yellow"/>
                <w:lang w:val="en-AU"/>
              </w:rPr>
            </w:pPr>
            <w:r w:rsidRPr="004F30BD">
              <w:rPr>
                <w:rFonts w:ascii="Arial Nova" w:hAnsi="Arial Nova"/>
                <w:sz w:val="18"/>
                <w:szCs w:val="18"/>
                <w:lang w:val="en-AU"/>
              </w:rPr>
              <w:t>25</w:t>
            </w:r>
          </w:p>
        </w:tc>
      </w:tr>
      <w:tr w:rsidR="00FB4206" w:rsidRPr="004F30BD" w14:paraId="0658BC1C" w14:textId="77777777" w:rsidTr="004F6214">
        <w:trPr>
          <w:trHeight w:val="283"/>
        </w:trPr>
        <w:tc>
          <w:tcPr>
            <w:tcW w:w="3240" w:type="dxa"/>
            <w:shd w:val="clear" w:color="auto" w:fill="auto"/>
            <w:noWrap/>
            <w:vAlign w:val="center"/>
          </w:tcPr>
          <w:p w14:paraId="74F5273D" w14:textId="77777777" w:rsidR="00FB4206" w:rsidRPr="004F30BD" w:rsidRDefault="00FB4206" w:rsidP="00200222">
            <w:pPr>
              <w:spacing w:before="40" w:after="40"/>
              <w:ind w:right="0"/>
              <w:rPr>
                <w:szCs w:val="18"/>
              </w:rPr>
            </w:pPr>
            <w:r w:rsidRPr="004F30BD">
              <w:rPr>
                <w:szCs w:val="18"/>
              </w:rPr>
              <w:t>Higher Education Provider (HEP)</w:t>
            </w:r>
          </w:p>
        </w:tc>
        <w:tc>
          <w:tcPr>
            <w:tcW w:w="1327" w:type="dxa"/>
            <w:shd w:val="clear" w:color="auto" w:fill="auto"/>
            <w:vAlign w:val="center"/>
          </w:tcPr>
          <w:p w14:paraId="7BEF4445" w14:textId="77777777" w:rsidR="00FB4206" w:rsidRPr="004F30BD" w:rsidRDefault="00DC74DE" w:rsidP="00AC1EDD">
            <w:pPr>
              <w:pStyle w:val="Tabletext"/>
              <w:keepNext/>
              <w:tabs>
                <w:tab w:val="right" w:pos="7454"/>
              </w:tabs>
              <w:spacing w:line="240" w:lineRule="atLeast"/>
              <w:jc w:val="center"/>
              <w:rPr>
                <w:rFonts w:ascii="Arial Nova" w:hAnsi="Arial Nova"/>
                <w:sz w:val="18"/>
                <w:szCs w:val="18"/>
                <w:lang w:val="en-AU"/>
              </w:rPr>
            </w:pPr>
            <w:r w:rsidRPr="004F30BD">
              <w:rPr>
                <w:rFonts w:ascii="Arial Nova" w:hAnsi="Arial Nova"/>
                <w:sz w:val="18"/>
                <w:szCs w:val="18"/>
                <w:lang w:val="en-AU"/>
              </w:rPr>
              <w:t>130</w:t>
            </w:r>
          </w:p>
        </w:tc>
        <w:tc>
          <w:tcPr>
            <w:tcW w:w="1328" w:type="dxa"/>
            <w:tcBorders>
              <w:right w:val="single" w:sz="4" w:space="0" w:color="auto"/>
            </w:tcBorders>
            <w:shd w:val="clear" w:color="auto" w:fill="auto"/>
            <w:vAlign w:val="center"/>
          </w:tcPr>
          <w:p w14:paraId="251B07AD" w14:textId="77777777" w:rsidR="00FB4206" w:rsidRPr="004F30BD" w:rsidRDefault="004B492B" w:rsidP="00AC1EDD">
            <w:pPr>
              <w:pStyle w:val="Tabletext"/>
              <w:keepNext/>
              <w:tabs>
                <w:tab w:val="right" w:pos="7454"/>
              </w:tabs>
              <w:spacing w:line="240" w:lineRule="atLeast"/>
              <w:jc w:val="center"/>
              <w:rPr>
                <w:rFonts w:ascii="Arial Nova" w:hAnsi="Arial Nova"/>
                <w:sz w:val="18"/>
                <w:szCs w:val="18"/>
                <w:lang w:val="en-AU"/>
              </w:rPr>
            </w:pPr>
            <w:r w:rsidRPr="004F30BD">
              <w:rPr>
                <w:rFonts w:ascii="Arial Nova" w:hAnsi="Arial Nova"/>
                <w:sz w:val="18"/>
                <w:szCs w:val="18"/>
                <w:lang w:val="en-AU"/>
              </w:rPr>
              <w:t>55</w:t>
            </w:r>
          </w:p>
        </w:tc>
        <w:tc>
          <w:tcPr>
            <w:tcW w:w="1327" w:type="dxa"/>
            <w:tcBorders>
              <w:left w:val="single" w:sz="4" w:space="0" w:color="auto"/>
            </w:tcBorders>
            <w:shd w:val="clear" w:color="auto" w:fill="auto"/>
            <w:vAlign w:val="center"/>
          </w:tcPr>
          <w:p w14:paraId="19022E06" w14:textId="77777777" w:rsidR="00FB4206" w:rsidRPr="004F30BD" w:rsidRDefault="00FB4206" w:rsidP="00AC1EDD">
            <w:pPr>
              <w:pStyle w:val="Tabletext"/>
              <w:keepNext/>
              <w:tabs>
                <w:tab w:val="right" w:pos="7454"/>
              </w:tabs>
              <w:spacing w:line="240" w:lineRule="atLeast"/>
              <w:jc w:val="center"/>
              <w:rPr>
                <w:rFonts w:ascii="Arial Nova" w:hAnsi="Arial Nova"/>
                <w:sz w:val="18"/>
                <w:szCs w:val="18"/>
                <w:highlight w:val="yellow"/>
                <w:lang w:val="en-AU"/>
              </w:rPr>
            </w:pPr>
            <w:r w:rsidRPr="004F30BD">
              <w:rPr>
                <w:rFonts w:ascii="Arial Nova" w:hAnsi="Arial Nova"/>
                <w:sz w:val="18"/>
                <w:szCs w:val="18"/>
                <w:lang w:val="en-AU"/>
              </w:rPr>
              <w:t>89</w:t>
            </w:r>
          </w:p>
        </w:tc>
        <w:tc>
          <w:tcPr>
            <w:tcW w:w="1328" w:type="dxa"/>
            <w:shd w:val="clear" w:color="auto" w:fill="auto"/>
            <w:vAlign w:val="center"/>
          </w:tcPr>
          <w:p w14:paraId="03AC5C2C" w14:textId="77777777" w:rsidR="00FB4206" w:rsidRPr="004F30BD" w:rsidRDefault="00FB4206" w:rsidP="00AC1EDD">
            <w:pPr>
              <w:pStyle w:val="Tabletext"/>
              <w:keepNext/>
              <w:tabs>
                <w:tab w:val="right" w:pos="7454"/>
              </w:tabs>
              <w:spacing w:line="240" w:lineRule="atLeast"/>
              <w:jc w:val="center"/>
              <w:rPr>
                <w:rFonts w:ascii="Arial Nova" w:hAnsi="Arial Nova"/>
                <w:sz w:val="18"/>
                <w:szCs w:val="18"/>
                <w:highlight w:val="yellow"/>
                <w:lang w:val="en-AU"/>
              </w:rPr>
            </w:pPr>
            <w:r w:rsidRPr="004F30BD">
              <w:rPr>
                <w:rFonts w:ascii="Arial Nova" w:hAnsi="Arial Nova"/>
                <w:sz w:val="18"/>
                <w:szCs w:val="18"/>
                <w:lang w:val="en-AU"/>
              </w:rPr>
              <w:t>63</w:t>
            </w:r>
          </w:p>
        </w:tc>
      </w:tr>
      <w:tr w:rsidR="00FB4206" w:rsidRPr="004F30BD" w14:paraId="06E15C59" w14:textId="77777777" w:rsidTr="004F6214">
        <w:trPr>
          <w:trHeight w:val="283"/>
        </w:trPr>
        <w:tc>
          <w:tcPr>
            <w:tcW w:w="3240" w:type="dxa"/>
            <w:shd w:val="clear" w:color="auto" w:fill="E6E6E6"/>
            <w:noWrap/>
            <w:vAlign w:val="center"/>
          </w:tcPr>
          <w:p w14:paraId="15353386" w14:textId="77777777" w:rsidR="00FB4206" w:rsidRPr="004F30BD" w:rsidRDefault="00FB4206" w:rsidP="00200222">
            <w:pPr>
              <w:spacing w:before="40" w:after="40"/>
              <w:ind w:right="0"/>
              <w:rPr>
                <w:szCs w:val="18"/>
              </w:rPr>
            </w:pPr>
            <w:r w:rsidRPr="004F30BD">
              <w:rPr>
                <w:szCs w:val="18"/>
              </w:rPr>
              <w:t>Prospective Higher Education Provider (Prop HEP)</w:t>
            </w:r>
          </w:p>
        </w:tc>
        <w:tc>
          <w:tcPr>
            <w:tcW w:w="1327" w:type="dxa"/>
            <w:shd w:val="clear" w:color="auto" w:fill="E6E6E6"/>
            <w:vAlign w:val="center"/>
          </w:tcPr>
          <w:p w14:paraId="35065BBF" w14:textId="77777777" w:rsidR="00FB4206" w:rsidRPr="004F30BD" w:rsidRDefault="004B492B" w:rsidP="00AC1EDD">
            <w:pPr>
              <w:pStyle w:val="Tabletext"/>
              <w:keepNext/>
              <w:tabs>
                <w:tab w:val="right" w:pos="7454"/>
              </w:tabs>
              <w:spacing w:line="240" w:lineRule="atLeast"/>
              <w:jc w:val="center"/>
              <w:rPr>
                <w:rFonts w:ascii="Arial Nova" w:hAnsi="Arial Nova"/>
                <w:sz w:val="18"/>
                <w:szCs w:val="18"/>
                <w:lang w:val="en-AU"/>
              </w:rPr>
            </w:pPr>
            <w:r w:rsidRPr="004F30BD">
              <w:rPr>
                <w:rFonts w:ascii="Arial Nova" w:hAnsi="Arial Nova"/>
                <w:sz w:val="18"/>
                <w:szCs w:val="18"/>
                <w:lang w:val="en-AU"/>
              </w:rPr>
              <w:t>53</w:t>
            </w:r>
          </w:p>
        </w:tc>
        <w:tc>
          <w:tcPr>
            <w:tcW w:w="1328" w:type="dxa"/>
            <w:tcBorders>
              <w:right w:val="single" w:sz="4" w:space="0" w:color="auto"/>
            </w:tcBorders>
            <w:shd w:val="clear" w:color="auto" w:fill="E6E6E6"/>
            <w:vAlign w:val="center"/>
          </w:tcPr>
          <w:p w14:paraId="4FFA6D7A" w14:textId="77777777" w:rsidR="00FB4206" w:rsidRPr="004F30BD" w:rsidRDefault="004B492B" w:rsidP="00AC1EDD">
            <w:pPr>
              <w:pStyle w:val="Tabletext"/>
              <w:keepNext/>
              <w:tabs>
                <w:tab w:val="right" w:pos="7454"/>
              </w:tabs>
              <w:spacing w:line="240" w:lineRule="atLeast"/>
              <w:jc w:val="center"/>
              <w:rPr>
                <w:rFonts w:ascii="Arial Nova" w:hAnsi="Arial Nova"/>
                <w:sz w:val="18"/>
                <w:szCs w:val="18"/>
                <w:lang w:val="en-AU"/>
              </w:rPr>
            </w:pPr>
            <w:r w:rsidRPr="004F30BD">
              <w:rPr>
                <w:rFonts w:ascii="Arial Nova" w:hAnsi="Arial Nova"/>
                <w:sz w:val="18"/>
                <w:szCs w:val="18"/>
                <w:lang w:val="en-AU"/>
              </w:rPr>
              <w:t>22</w:t>
            </w:r>
          </w:p>
        </w:tc>
        <w:tc>
          <w:tcPr>
            <w:tcW w:w="1327" w:type="dxa"/>
            <w:tcBorders>
              <w:left w:val="single" w:sz="4" w:space="0" w:color="auto"/>
            </w:tcBorders>
            <w:shd w:val="clear" w:color="auto" w:fill="E6E6E6"/>
            <w:vAlign w:val="center"/>
          </w:tcPr>
          <w:p w14:paraId="5546B8E9" w14:textId="77777777" w:rsidR="00FB4206" w:rsidRPr="004F30BD" w:rsidRDefault="00FB4206" w:rsidP="00AC1EDD">
            <w:pPr>
              <w:pStyle w:val="Tabletext"/>
              <w:keepNext/>
              <w:tabs>
                <w:tab w:val="right" w:pos="7454"/>
              </w:tabs>
              <w:spacing w:line="240" w:lineRule="atLeast"/>
              <w:jc w:val="center"/>
              <w:rPr>
                <w:rFonts w:ascii="Arial Nova" w:hAnsi="Arial Nova"/>
                <w:sz w:val="18"/>
                <w:szCs w:val="18"/>
                <w:highlight w:val="yellow"/>
                <w:lang w:val="en-AU"/>
              </w:rPr>
            </w:pPr>
            <w:r w:rsidRPr="004F30BD">
              <w:rPr>
                <w:rFonts w:ascii="Arial Nova" w:hAnsi="Arial Nova"/>
                <w:sz w:val="18"/>
                <w:szCs w:val="18"/>
                <w:lang w:val="en-AU"/>
              </w:rPr>
              <w:t>15</w:t>
            </w:r>
          </w:p>
        </w:tc>
        <w:tc>
          <w:tcPr>
            <w:tcW w:w="1328" w:type="dxa"/>
            <w:shd w:val="clear" w:color="auto" w:fill="E6E6E6"/>
            <w:vAlign w:val="center"/>
          </w:tcPr>
          <w:p w14:paraId="1530A973" w14:textId="77777777" w:rsidR="00FB4206" w:rsidRPr="004F30BD" w:rsidRDefault="00FB4206" w:rsidP="00AC1EDD">
            <w:pPr>
              <w:pStyle w:val="Tabletext"/>
              <w:keepNext/>
              <w:tabs>
                <w:tab w:val="right" w:pos="7454"/>
              </w:tabs>
              <w:spacing w:line="240" w:lineRule="atLeast"/>
              <w:jc w:val="center"/>
              <w:rPr>
                <w:rFonts w:ascii="Arial Nova" w:hAnsi="Arial Nova"/>
                <w:sz w:val="18"/>
                <w:szCs w:val="18"/>
                <w:highlight w:val="yellow"/>
                <w:lang w:val="en-AU"/>
              </w:rPr>
            </w:pPr>
            <w:r w:rsidRPr="004F30BD">
              <w:rPr>
                <w:rFonts w:ascii="Arial Nova" w:hAnsi="Arial Nova"/>
                <w:sz w:val="18"/>
                <w:szCs w:val="18"/>
                <w:lang w:val="en-AU"/>
              </w:rPr>
              <w:t>11</w:t>
            </w:r>
          </w:p>
        </w:tc>
      </w:tr>
      <w:tr w:rsidR="00FB4206" w:rsidRPr="004F30BD" w14:paraId="6ACF236C" w14:textId="77777777" w:rsidTr="004F6214">
        <w:trPr>
          <w:trHeight w:val="283"/>
        </w:trPr>
        <w:tc>
          <w:tcPr>
            <w:tcW w:w="3240" w:type="dxa"/>
            <w:shd w:val="clear" w:color="auto" w:fill="FFFFFF" w:themeFill="background1"/>
            <w:noWrap/>
            <w:vAlign w:val="center"/>
          </w:tcPr>
          <w:p w14:paraId="0EA08552" w14:textId="77777777" w:rsidR="00FB4206" w:rsidRPr="004F30BD" w:rsidRDefault="00FB4206" w:rsidP="00200222">
            <w:pPr>
              <w:spacing w:before="40" w:after="40"/>
              <w:ind w:right="0"/>
              <w:rPr>
                <w:szCs w:val="18"/>
              </w:rPr>
            </w:pPr>
            <w:r w:rsidRPr="004F30BD">
              <w:rPr>
                <w:szCs w:val="18"/>
              </w:rPr>
              <w:t>Non-HEP</w:t>
            </w:r>
          </w:p>
        </w:tc>
        <w:tc>
          <w:tcPr>
            <w:tcW w:w="1327" w:type="dxa"/>
            <w:shd w:val="clear" w:color="auto" w:fill="FFFFFF" w:themeFill="background1"/>
            <w:vAlign w:val="center"/>
          </w:tcPr>
          <w:p w14:paraId="3F275D1A" w14:textId="77777777" w:rsidR="00FB4206" w:rsidRPr="004F30BD" w:rsidRDefault="004B492B" w:rsidP="00AC1EDD">
            <w:pPr>
              <w:pStyle w:val="Tabletext"/>
              <w:keepNext/>
              <w:tabs>
                <w:tab w:val="right" w:pos="7454"/>
              </w:tabs>
              <w:spacing w:line="240" w:lineRule="atLeast"/>
              <w:jc w:val="center"/>
              <w:rPr>
                <w:rFonts w:ascii="Arial Nova" w:hAnsi="Arial Nova"/>
                <w:sz w:val="18"/>
                <w:szCs w:val="18"/>
                <w:lang w:val="en-AU"/>
              </w:rPr>
            </w:pPr>
            <w:r w:rsidRPr="004F30BD">
              <w:rPr>
                <w:rFonts w:ascii="Arial Nova" w:hAnsi="Arial Nova"/>
                <w:sz w:val="18"/>
                <w:szCs w:val="18"/>
                <w:lang w:val="en-AU"/>
              </w:rPr>
              <w:t>11</w:t>
            </w:r>
          </w:p>
        </w:tc>
        <w:tc>
          <w:tcPr>
            <w:tcW w:w="1328" w:type="dxa"/>
            <w:tcBorders>
              <w:right w:val="single" w:sz="4" w:space="0" w:color="auto"/>
            </w:tcBorders>
            <w:shd w:val="clear" w:color="auto" w:fill="FFFFFF" w:themeFill="background1"/>
            <w:vAlign w:val="center"/>
          </w:tcPr>
          <w:p w14:paraId="642B7EC4" w14:textId="77777777" w:rsidR="00FB4206" w:rsidRPr="004F30BD" w:rsidRDefault="004B492B" w:rsidP="00AC1EDD">
            <w:pPr>
              <w:pStyle w:val="Tabletext"/>
              <w:keepNext/>
              <w:tabs>
                <w:tab w:val="right" w:pos="7454"/>
              </w:tabs>
              <w:spacing w:line="240" w:lineRule="atLeast"/>
              <w:jc w:val="center"/>
              <w:rPr>
                <w:rFonts w:ascii="Arial Nova" w:hAnsi="Arial Nova"/>
                <w:sz w:val="18"/>
                <w:szCs w:val="18"/>
                <w:lang w:val="en-AU"/>
              </w:rPr>
            </w:pPr>
            <w:r w:rsidRPr="004F30BD">
              <w:rPr>
                <w:rFonts w:ascii="Arial Nova" w:hAnsi="Arial Nova"/>
                <w:sz w:val="18"/>
                <w:szCs w:val="18"/>
                <w:lang w:val="en-AU"/>
              </w:rPr>
              <w:t>5</w:t>
            </w:r>
          </w:p>
        </w:tc>
        <w:tc>
          <w:tcPr>
            <w:tcW w:w="1327" w:type="dxa"/>
            <w:tcBorders>
              <w:left w:val="single" w:sz="4" w:space="0" w:color="auto"/>
            </w:tcBorders>
            <w:shd w:val="clear" w:color="auto" w:fill="FFFFFF" w:themeFill="background1"/>
            <w:vAlign w:val="center"/>
          </w:tcPr>
          <w:p w14:paraId="73AB1A9D" w14:textId="77777777" w:rsidR="00FB4206" w:rsidRPr="004F30BD" w:rsidRDefault="00FB4206" w:rsidP="00AC1EDD">
            <w:pPr>
              <w:pStyle w:val="Tabletext"/>
              <w:keepNext/>
              <w:tabs>
                <w:tab w:val="right" w:pos="7454"/>
              </w:tabs>
              <w:spacing w:line="240" w:lineRule="atLeast"/>
              <w:jc w:val="center"/>
              <w:rPr>
                <w:rFonts w:ascii="Arial Nova" w:hAnsi="Arial Nova"/>
                <w:sz w:val="18"/>
                <w:szCs w:val="18"/>
                <w:highlight w:val="yellow"/>
                <w:lang w:val="en-AU"/>
              </w:rPr>
            </w:pPr>
            <w:r w:rsidRPr="004F30BD">
              <w:rPr>
                <w:rFonts w:ascii="Arial Nova" w:hAnsi="Arial Nova"/>
                <w:sz w:val="18"/>
                <w:szCs w:val="18"/>
                <w:lang w:val="en-AU"/>
              </w:rPr>
              <w:t>3</w:t>
            </w:r>
          </w:p>
        </w:tc>
        <w:tc>
          <w:tcPr>
            <w:tcW w:w="1328" w:type="dxa"/>
            <w:shd w:val="clear" w:color="auto" w:fill="FFFFFF" w:themeFill="background1"/>
            <w:vAlign w:val="center"/>
          </w:tcPr>
          <w:p w14:paraId="0628EB14" w14:textId="77777777" w:rsidR="00FB4206" w:rsidRPr="004F30BD" w:rsidRDefault="00FB4206" w:rsidP="00AC1EDD">
            <w:pPr>
              <w:pStyle w:val="Tabletext"/>
              <w:keepNext/>
              <w:tabs>
                <w:tab w:val="right" w:pos="7454"/>
              </w:tabs>
              <w:spacing w:line="240" w:lineRule="atLeast"/>
              <w:jc w:val="center"/>
              <w:rPr>
                <w:rFonts w:ascii="Arial Nova" w:hAnsi="Arial Nova"/>
                <w:sz w:val="18"/>
                <w:szCs w:val="18"/>
                <w:highlight w:val="yellow"/>
                <w:lang w:val="en-AU"/>
              </w:rPr>
            </w:pPr>
            <w:r w:rsidRPr="004F30BD">
              <w:rPr>
                <w:rFonts w:ascii="Arial Nova" w:hAnsi="Arial Nova"/>
                <w:sz w:val="18"/>
                <w:szCs w:val="18"/>
                <w:lang w:val="en-AU"/>
              </w:rPr>
              <w:t>2</w:t>
            </w:r>
          </w:p>
        </w:tc>
      </w:tr>
      <w:tr w:rsidR="00FB4206" w:rsidRPr="004F30BD" w14:paraId="7C8EF6FD" w14:textId="77777777" w:rsidTr="004F6214">
        <w:trPr>
          <w:trHeight w:val="283"/>
        </w:trPr>
        <w:tc>
          <w:tcPr>
            <w:tcW w:w="3240" w:type="dxa"/>
            <w:tcBorders>
              <w:bottom w:val="single" w:sz="4" w:space="0" w:color="auto"/>
            </w:tcBorders>
            <w:shd w:val="clear" w:color="auto" w:fill="auto"/>
            <w:noWrap/>
            <w:vAlign w:val="center"/>
          </w:tcPr>
          <w:p w14:paraId="278ED92D" w14:textId="77777777" w:rsidR="00FB4206" w:rsidRPr="004F30BD" w:rsidRDefault="00FB4206" w:rsidP="00200222">
            <w:pPr>
              <w:spacing w:before="40" w:after="40"/>
              <w:ind w:right="0"/>
              <w:rPr>
                <w:szCs w:val="18"/>
              </w:rPr>
            </w:pPr>
            <w:r w:rsidRPr="004F30BD">
              <w:rPr>
                <w:b/>
                <w:szCs w:val="18"/>
              </w:rPr>
              <w:t>Total</w:t>
            </w:r>
          </w:p>
        </w:tc>
        <w:tc>
          <w:tcPr>
            <w:tcW w:w="1327" w:type="dxa"/>
            <w:tcBorders>
              <w:bottom w:val="single" w:sz="4" w:space="0" w:color="auto"/>
            </w:tcBorders>
            <w:shd w:val="clear" w:color="auto" w:fill="auto"/>
            <w:vAlign w:val="center"/>
          </w:tcPr>
          <w:p w14:paraId="2E2E5F67" w14:textId="77777777" w:rsidR="00FB4206" w:rsidRPr="004F30BD" w:rsidRDefault="004B492B" w:rsidP="00AC1EDD">
            <w:pPr>
              <w:pStyle w:val="Tabletext"/>
              <w:keepNext/>
              <w:tabs>
                <w:tab w:val="right" w:pos="7454"/>
              </w:tabs>
              <w:spacing w:line="240" w:lineRule="atLeast"/>
              <w:jc w:val="center"/>
              <w:rPr>
                <w:rFonts w:ascii="Arial Nova" w:hAnsi="Arial Nova"/>
                <w:b/>
                <w:bCs/>
                <w:sz w:val="18"/>
                <w:szCs w:val="18"/>
                <w:lang w:val="en-AU"/>
              </w:rPr>
            </w:pPr>
            <w:r w:rsidRPr="004F30BD">
              <w:rPr>
                <w:rFonts w:ascii="Arial Nova" w:hAnsi="Arial Nova"/>
                <w:b/>
                <w:bCs/>
                <w:sz w:val="18"/>
                <w:szCs w:val="18"/>
                <w:lang w:val="en-AU"/>
              </w:rPr>
              <w:t>237</w:t>
            </w:r>
          </w:p>
        </w:tc>
        <w:tc>
          <w:tcPr>
            <w:tcW w:w="1328" w:type="dxa"/>
            <w:tcBorders>
              <w:bottom w:val="single" w:sz="4" w:space="0" w:color="auto"/>
              <w:right w:val="single" w:sz="4" w:space="0" w:color="auto"/>
            </w:tcBorders>
            <w:shd w:val="clear" w:color="auto" w:fill="auto"/>
            <w:vAlign w:val="center"/>
          </w:tcPr>
          <w:p w14:paraId="440EB3E8" w14:textId="77777777" w:rsidR="00FB4206" w:rsidRPr="004F30BD" w:rsidRDefault="00FB4206" w:rsidP="00AC1EDD">
            <w:pPr>
              <w:pStyle w:val="Tabletext"/>
              <w:keepNext/>
              <w:tabs>
                <w:tab w:val="right" w:pos="7454"/>
              </w:tabs>
              <w:spacing w:line="240" w:lineRule="atLeast"/>
              <w:jc w:val="center"/>
              <w:rPr>
                <w:rFonts w:ascii="Arial Nova" w:hAnsi="Arial Nova"/>
                <w:b/>
                <w:bCs/>
                <w:sz w:val="18"/>
                <w:szCs w:val="18"/>
                <w:lang w:val="en-AU"/>
              </w:rPr>
            </w:pPr>
            <w:r w:rsidRPr="004F30BD">
              <w:rPr>
                <w:rFonts w:ascii="Arial Nova" w:hAnsi="Arial Nova"/>
                <w:b/>
                <w:bCs/>
                <w:sz w:val="18"/>
                <w:szCs w:val="18"/>
                <w:lang w:val="en-AU"/>
              </w:rPr>
              <w:t>100.0</w:t>
            </w:r>
          </w:p>
        </w:tc>
        <w:tc>
          <w:tcPr>
            <w:tcW w:w="1327" w:type="dxa"/>
            <w:tcBorders>
              <w:left w:val="single" w:sz="4" w:space="0" w:color="auto"/>
              <w:bottom w:val="single" w:sz="4" w:space="0" w:color="auto"/>
            </w:tcBorders>
            <w:shd w:val="clear" w:color="auto" w:fill="auto"/>
            <w:vAlign w:val="center"/>
          </w:tcPr>
          <w:p w14:paraId="03189BAF" w14:textId="77777777" w:rsidR="00FB4206" w:rsidRPr="004F30BD" w:rsidRDefault="00FB4206" w:rsidP="00AC1EDD">
            <w:pPr>
              <w:pStyle w:val="Tabletext"/>
              <w:keepNext/>
              <w:tabs>
                <w:tab w:val="right" w:pos="7454"/>
              </w:tabs>
              <w:spacing w:line="240" w:lineRule="atLeast"/>
              <w:jc w:val="center"/>
              <w:rPr>
                <w:rFonts w:ascii="Arial Nova" w:hAnsi="Arial Nova"/>
                <w:b/>
                <w:bCs/>
                <w:sz w:val="18"/>
                <w:szCs w:val="18"/>
                <w:highlight w:val="yellow"/>
                <w:lang w:val="en-AU"/>
              </w:rPr>
            </w:pPr>
            <w:r w:rsidRPr="004F30BD">
              <w:rPr>
                <w:rFonts w:ascii="Arial Nova" w:hAnsi="Arial Nova"/>
                <w:b/>
                <w:bCs/>
                <w:sz w:val="18"/>
                <w:szCs w:val="18"/>
                <w:lang w:val="en-AU"/>
              </w:rPr>
              <w:t>142</w:t>
            </w:r>
          </w:p>
        </w:tc>
        <w:tc>
          <w:tcPr>
            <w:tcW w:w="1328" w:type="dxa"/>
            <w:tcBorders>
              <w:bottom w:val="single" w:sz="4" w:space="0" w:color="auto"/>
            </w:tcBorders>
            <w:shd w:val="clear" w:color="auto" w:fill="auto"/>
            <w:vAlign w:val="center"/>
          </w:tcPr>
          <w:p w14:paraId="6219383A" w14:textId="77777777" w:rsidR="00FB4206" w:rsidRPr="004F30BD" w:rsidRDefault="00FB4206" w:rsidP="00AC1EDD">
            <w:pPr>
              <w:pStyle w:val="Tabletext"/>
              <w:keepNext/>
              <w:tabs>
                <w:tab w:val="right" w:pos="7454"/>
              </w:tabs>
              <w:spacing w:line="240" w:lineRule="atLeast"/>
              <w:jc w:val="center"/>
              <w:rPr>
                <w:rFonts w:ascii="Arial Nova" w:hAnsi="Arial Nova"/>
                <w:b/>
                <w:bCs/>
                <w:sz w:val="18"/>
                <w:szCs w:val="18"/>
                <w:highlight w:val="yellow"/>
                <w:lang w:val="en-AU"/>
              </w:rPr>
            </w:pPr>
            <w:r w:rsidRPr="004F30BD">
              <w:rPr>
                <w:rFonts w:ascii="Arial Nova" w:hAnsi="Arial Nova"/>
                <w:b/>
                <w:bCs/>
                <w:sz w:val="18"/>
                <w:szCs w:val="18"/>
                <w:lang w:val="en-AU"/>
              </w:rPr>
              <w:t>100</w:t>
            </w:r>
          </w:p>
        </w:tc>
      </w:tr>
    </w:tbl>
    <w:p w14:paraId="13A64AAA" w14:textId="77777777" w:rsidR="00F86F40" w:rsidRPr="004F30BD" w:rsidRDefault="00206113" w:rsidP="00CC2261">
      <w:pPr>
        <w:pStyle w:val="Heading2"/>
      </w:pPr>
      <w:bookmarkStart w:id="11" w:name="_Toc22298018"/>
      <w:r w:rsidRPr="004F30BD">
        <w:t>Data file</w:t>
      </w:r>
      <w:bookmarkEnd w:id="11"/>
    </w:p>
    <w:p w14:paraId="0EC78791" w14:textId="77777777" w:rsidR="00516A99" w:rsidRDefault="00CC2261" w:rsidP="00377C9F">
      <w:r w:rsidRPr="004F30BD">
        <w:t>AS</w:t>
      </w:r>
      <w:r w:rsidR="00EC4D39" w:rsidRPr="004F30BD">
        <w:t>R has supplied</w:t>
      </w:r>
      <w:r w:rsidR="00206113" w:rsidRPr="004F30BD">
        <w:t xml:space="preserve"> de-identified</w:t>
      </w:r>
      <w:r w:rsidR="00EC4D39" w:rsidRPr="004F30BD">
        <w:t xml:space="preserve"> and randomised</w:t>
      </w:r>
      <w:r w:rsidR="00206113" w:rsidRPr="004F30BD">
        <w:t xml:space="preserve"> raw data file</w:t>
      </w:r>
      <w:r w:rsidR="00EC4D39" w:rsidRPr="004F30BD">
        <w:t>s</w:t>
      </w:r>
      <w:r w:rsidR="00206113" w:rsidRPr="004F30BD">
        <w:t xml:space="preserve"> to TEQSA</w:t>
      </w:r>
      <w:r w:rsidR="00B50E9F" w:rsidRPr="004F30BD">
        <w:t>. The file</w:t>
      </w:r>
      <w:r w:rsidR="00530039" w:rsidRPr="004F30BD">
        <w:t>s</w:t>
      </w:r>
      <w:r w:rsidR="00C27963" w:rsidRPr="004F30BD">
        <w:t xml:space="preserve"> also</w:t>
      </w:r>
      <w:r w:rsidR="00206113" w:rsidRPr="004F30BD">
        <w:t xml:space="preserve"> contain</w:t>
      </w:r>
      <w:r w:rsidR="00530039" w:rsidRPr="004F30BD">
        <w:t>ed</w:t>
      </w:r>
      <w:r w:rsidR="00206113" w:rsidRPr="004F30BD">
        <w:t xml:space="preserve"> all de-identified verbatim comments for TEQSA’s further investigation. </w:t>
      </w:r>
    </w:p>
    <w:p w14:paraId="7EA55275" w14:textId="00852420" w:rsidR="00516A99" w:rsidRDefault="00516A99" w:rsidP="00377C9F">
      <w:pPr>
        <w:pStyle w:val="Heading4"/>
      </w:pPr>
      <w:r>
        <w:t>Important note about statistically significant differences</w:t>
      </w:r>
    </w:p>
    <w:p w14:paraId="275943CC" w14:textId="77777777" w:rsidR="00516A99" w:rsidRPr="00702927" w:rsidRDefault="00516A99" w:rsidP="00516A99">
      <w:pPr>
        <w:pStyle w:val="Note"/>
        <w:pBdr>
          <w:top w:val="single" w:sz="4" w:space="8" w:color="C0C0C0"/>
          <w:left w:val="single" w:sz="4" w:space="8" w:color="C0C0C0"/>
          <w:bottom w:val="single" w:sz="4" w:space="8" w:color="C0C0C0"/>
          <w:right w:val="single" w:sz="4" w:space="8" w:color="C0C0C0"/>
        </w:pBdr>
        <w:shd w:val="clear" w:color="auto" w:fill="E6E6E6"/>
        <w:spacing w:line="240" w:lineRule="auto"/>
        <w:ind w:left="360" w:right="1621"/>
        <w:rPr>
          <w:rFonts w:ascii="Arial Nova" w:hAnsi="Arial Nova" w:cs="Open Sans"/>
          <w:szCs w:val="18"/>
          <w:lang w:val="en-AU"/>
        </w:rPr>
      </w:pPr>
      <w:r w:rsidRPr="00702927">
        <w:rPr>
          <w:rFonts w:ascii="Arial Nova" w:hAnsi="Arial Nova" w:cs="Open Sans"/>
          <w:szCs w:val="18"/>
          <w:lang w:val="en-AU"/>
        </w:rPr>
        <w:t>A statistically significant difference indicates that a true difference exists between two numbers; that the difference is not due to measuring error. Significant difference testing does NOT report on the size of a difference. Two numbers can be very similar and still be significantly different, simply because the underlying variance in the data is different. And vice versa: two numbers can be very different in absolute terms, but not statistically significant, usually because of small sample sizes or very wide variances.</w:t>
      </w:r>
    </w:p>
    <w:p w14:paraId="0AA084CD" w14:textId="3AF35B94" w:rsidR="00317725" w:rsidRPr="004F30BD" w:rsidRDefault="00317725" w:rsidP="00516A99">
      <w:pPr>
        <w:rPr>
          <w:rFonts w:ascii="Trebuchet MS" w:hAnsi="Trebuchet MS"/>
          <w:color w:val="00376E"/>
          <w:kern w:val="32"/>
          <w:sz w:val="36"/>
        </w:rPr>
      </w:pPr>
      <w:r w:rsidRPr="004F30BD">
        <w:br w:type="page"/>
      </w:r>
    </w:p>
    <w:p w14:paraId="4B135CF3" w14:textId="77777777" w:rsidR="00A76703" w:rsidRPr="004F30BD" w:rsidRDefault="0090176D" w:rsidP="00A76703">
      <w:pPr>
        <w:pStyle w:val="Heading1"/>
      </w:pPr>
      <w:bookmarkStart w:id="12" w:name="_Toc22298019"/>
      <w:r w:rsidRPr="004F30BD">
        <w:lastRenderedPageBreak/>
        <w:t>P</w:t>
      </w:r>
      <w:r w:rsidR="00CC2261" w:rsidRPr="004F30BD">
        <w:t>rincipal contact</w:t>
      </w:r>
      <w:r w:rsidR="00085652" w:rsidRPr="004F30BD">
        <w:t xml:space="preserve"> </w:t>
      </w:r>
      <w:r w:rsidR="00BC7D55" w:rsidRPr="004F30BD">
        <w:t xml:space="preserve">survey </w:t>
      </w:r>
      <w:r w:rsidR="00670A94" w:rsidRPr="004F30BD">
        <w:t xml:space="preserve">- </w:t>
      </w:r>
      <w:r w:rsidR="00085652" w:rsidRPr="004F30BD">
        <w:t>k</w:t>
      </w:r>
      <w:r w:rsidR="00AC17D2" w:rsidRPr="004F30BD">
        <w:t>ey finding</w:t>
      </w:r>
      <w:r w:rsidR="00085652" w:rsidRPr="004F30BD">
        <w:t>s</w:t>
      </w:r>
      <w:bookmarkEnd w:id="12"/>
    </w:p>
    <w:p w14:paraId="40E1C41F" w14:textId="77777777" w:rsidR="00403951" w:rsidRPr="004F30BD" w:rsidRDefault="00E350DC" w:rsidP="009A7018">
      <w:r w:rsidRPr="004F30BD">
        <w:t xml:space="preserve">This section outlines the key findings from the </w:t>
      </w:r>
      <w:r w:rsidR="007B40B0" w:rsidRPr="004F30BD">
        <w:t>principal contact</w:t>
      </w:r>
      <w:r w:rsidRPr="004F30BD">
        <w:t xml:space="preserve"> </w:t>
      </w:r>
      <w:r w:rsidR="00403951" w:rsidRPr="004F30BD">
        <w:t xml:space="preserve">(PC) </w:t>
      </w:r>
      <w:r w:rsidRPr="004F30BD">
        <w:t xml:space="preserve">survey. </w:t>
      </w:r>
      <w:r w:rsidR="003253E6" w:rsidRPr="004F30BD">
        <w:t xml:space="preserve">Respondents were asked to rate TEQSA’s performance on </w:t>
      </w:r>
      <w:r w:rsidR="003B02FA" w:rsidRPr="004F30BD">
        <w:t>a number</w:t>
      </w:r>
      <w:r w:rsidR="003253E6" w:rsidRPr="004F30BD">
        <w:t xml:space="preserve"> of items. </w:t>
      </w:r>
      <w:r w:rsidRPr="004F30BD">
        <w:t xml:space="preserve">Results are presented by topic, in the same order as presented to respondents in the </w:t>
      </w:r>
      <w:r w:rsidR="00173E3F" w:rsidRPr="004F30BD">
        <w:t>online</w:t>
      </w:r>
      <w:r w:rsidRPr="004F30BD">
        <w:t xml:space="preserve"> questionnaire. </w:t>
      </w:r>
      <w:r w:rsidR="003253E6" w:rsidRPr="004F30BD">
        <w:t>For most items, top 2 scores</w:t>
      </w:r>
      <w:r w:rsidR="00173E3F" w:rsidRPr="004F30BD">
        <w:t xml:space="preserve"> (see </w:t>
      </w:r>
      <w:r w:rsidR="009A7018" w:rsidRPr="004F30BD">
        <w:t>coloured</w:t>
      </w:r>
      <w:r w:rsidR="00173E3F" w:rsidRPr="004F30BD">
        <w:t xml:space="preserve"> note below)</w:t>
      </w:r>
      <w:r w:rsidR="003253E6" w:rsidRPr="004F30BD">
        <w:t xml:space="preserve"> are presented along with a </w:t>
      </w:r>
      <w:r w:rsidR="003A0112" w:rsidRPr="004F30BD">
        <w:t xml:space="preserve">charted </w:t>
      </w:r>
      <w:r w:rsidR="003253E6" w:rsidRPr="004F30BD">
        <w:t xml:space="preserve">frequency distribution. </w:t>
      </w:r>
      <w:r w:rsidRPr="004F30BD">
        <w:t>The most common themes within free text comments are covered throughout each topic.</w:t>
      </w:r>
      <w:r w:rsidR="008808B6" w:rsidRPr="004F30BD">
        <w:t xml:space="preserve"> </w:t>
      </w:r>
    </w:p>
    <w:p w14:paraId="302DBE0B" w14:textId="77777777" w:rsidR="004D7C16" w:rsidRPr="004F30BD" w:rsidRDefault="004D7C16" w:rsidP="00670A94">
      <w:pPr>
        <w:pStyle w:val="Heading4"/>
      </w:pPr>
      <w:r w:rsidRPr="004F30BD">
        <w:t>How to read the results in the charts</w:t>
      </w:r>
    </w:p>
    <w:p w14:paraId="65E06B3C" w14:textId="77777777" w:rsidR="00860E6A" w:rsidRPr="004F30BD" w:rsidRDefault="00860E6A" w:rsidP="00860E6A">
      <w:pPr>
        <w:shd w:val="clear" w:color="auto" w:fill="FFC000"/>
        <w:spacing w:before="240" w:after="120"/>
        <w:ind w:left="432" w:right="1801"/>
        <w:rPr>
          <w:sz w:val="20"/>
          <w:szCs w:val="22"/>
        </w:rPr>
      </w:pPr>
      <w:r w:rsidRPr="004F30BD">
        <w:rPr>
          <w:b/>
          <w:bCs/>
        </w:rPr>
        <w:t>I</w:t>
      </w:r>
      <w:r w:rsidRPr="004F30BD">
        <w:rPr>
          <w:b/>
          <w:bCs/>
          <w:sz w:val="20"/>
          <w:szCs w:val="22"/>
        </w:rPr>
        <w:t>mportant notes about scores and charts</w:t>
      </w:r>
    </w:p>
    <w:p w14:paraId="6D7EC252" w14:textId="77777777" w:rsidR="007C5F26" w:rsidRPr="004F30BD" w:rsidRDefault="00860E6A" w:rsidP="00860E6A">
      <w:pPr>
        <w:shd w:val="clear" w:color="auto" w:fill="FFC000"/>
        <w:spacing w:before="240" w:after="120"/>
        <w:ind w:left="432" w:right="1801"/>
      </w:pPr>
      <w:r w:rsidRPr="004F30BD">
        <w:t>A top 2 score is the total proportion of respondents selecting the two most positive rating points in their answer to a question. When calculating the proportion of respondents in this answer category, any respondents who answered with don't know, not applicable or no answer have been excluded from the base of the calculation.</w:t>
      </w:r>
      <w:r w:rsidR="007C5F26" w:rsidRPr="004F30BD">
        <w:t xml:space="preserve"> </w:t>
      </w:r>
    </w:p>
    <w:p w14:paraId="32F1C8B7" w14:textId="77777777" w:rsidR="007C5F26" w:rsidRPr="004F30BD" w:rsidRDefault="007C5F26" w:rsidP="00860E6A">
      <w:pPr>
        <w:shd w:val="clear" w:color="auto" w:fill="FFC000"/>
        <w:spacing w:after="120"/>
        <w:ind w:left="432" w:right="1801"/>
      </w:pPr>
      <w:r w:rsidRPr="004F30BD">
        <w:t>As a result, the percentage of green (dark and light green) in the following charts may not always be equivalent to the top 2 score as presented in tables. The table figures will usually be slightly higher. This is because the chart percentages include don’t know, not applicable, and no answer proportions. These technically invalid answers have been included in charts to indicate the proportion of respondents who did not have a view. Sometimes this indicates a communication issue.</w:t>
      </w:r>
    </w:p>
    <w:p w14:paraId="00ADD0F4" w14:textId="77777777" w:rsidR="007C5F26" w:rsidRPr="004F30BD" w:rsidRDefault="007C5F26" w:rsidP="00860E6A">
      <w:pPr>
        <w:shd w:val="clear" w:color="auto" w:fill="FFC000"/>
        <w:spacing w:after="120"/>
        <w:ind w:left="432" w:right="1801"/>
      </w:pPr>
      <w:r w:rsidRPr="004F30BD">
        <w:t>The charts have been sorted by the proportion of positive responses and are presented in descending order. Cells with only 1% or fewer of respondents have not been labelled.</w:t>
      </w:r>
    </w:p>
    <w:p w14:paraId="2735C429" w14:textId="77777777" w:rsidR="007C5F26" w:rsidRPr="004F30BD" w:rsidRDefault="007C5F26" w:rsidP="00860E6A">
      <w:pPr>
        <w:shd w:val="clear" w:color="auto" w:fill="FFC000"/>
        <w:spacing w:after="120"/>
        <w:ind w:left="432" w:right="1801"/>
      </w:pPr>
      <w:r w:rsidRPr="004F30BD">
        <w:t>When reading the charts, it is useful to look at the proportion of green (positive) and the proportion of orange/red (negative) responses. More green than other colours mean that positive ratings outweigh negative ratings. A lot of orange and red indicates considerable room for improvement.</w:t>
      </w:r>
      <w:r w:rsidR="00860E6A" w:rsidRPr="004F30BD">
        <w:br/>
      </w:r>
    </w:p>
    <w:p w14:paraId="54B3101E" w14:textId="77777777" w:rsidR="003F1F02" w:rsidRPr="004F30BD" w:rsidRDefault="003F1F02" w:rsidP="003F1F02">
      <w:pPr>
        <w:spacing w:before="240" w:after="120"/>
      </w:pPr>
      <w:r w:rsidRPr="004F30BD">
        <w:t>In order to fit tables and charts within a page, item names have been abbreviated. Refer to appendix A for a table of abbreviations.</w:t>
      </w:r>
    </w:p>
    <w:p w14:paraId="747E2F37" w14:textId="77777777" w:rsidR="00173E3F" w:rsidRPr="004F30BD" w:rsidRDefault="00173E3F" w:rsidP="00670A94">
      <w:pPr>
        <w:pStyle w:val="Heading4"/>
      </w:pPr>
      <w:r w:rsidRPr="004F30BD">
        <w:t>Warning about averages and summary results</w:t>
      </w:r>
    </w:p>
    <w:p w14:paraId="27E6511C" w14:textId="77777777" w:rsidR="00173E3F" w:rsidRPr="004F30BD" w:rsidRDefault="00173E3F" w:rsidP="00173E3F">
      <w:pPr>
        <w:spacing w:before="0"/>
      </w:pPr>
      <w:r w:rsidRPr="004F30BD">
        <w:t xml:space="preserve">The survey results presented in this section are based on aggregate scores, that is, all respondents’ answers taken together. </w:t>
      </w:r>
      <w:r w:rsidR="00A73A38" w:rsidRPr="004F30BD">
        <w:t>Between</w:t>
      </w:r>
      <w:r w:rsidRPr="004F30BD">
        <w:t xml:space="preserve"> </w:t>
      </w:r>
      <w:r w:rsidR="00A675A4" w:rsidRPr="004F30BD">
        <w:t xml:space="preserve">survey respondents </w:t>
      </w:r>
      <w:r w:rsidRPr="004F30BD">
        <w:t xml:space="preserve">there is </w:t>
      </w:r>
      <w:r w:rsidR="00A73A38" w:rsidRPr="004F30BD">
        <w:t>some</w:t>
      </w:r>
      <w:r w:rsidRPr="004F30BD">
        <w:t xml:space="preserve"> variation in views. This means that an average or summary answer </w:t>
      </w:r>
      <w:r w:rsidR="002F67FE" w:rsidRPr="004F30BD">
        <w:t xml:space="preserve">does not </w:t>
      </w:r>
      <w:r w:rsidR="00534CC9" w:rsidRPr="004F30BD">
        <w:t>reflect</w:t>
      </w:r>
      <w:r w:rsidRPr="004F30BD">
        <w:t xml:space="preserve"> </w:t>
      </w:r>
      <w:r w:rsidR="002F67FE" w:rsidRPr="004F30BD">
        <w:t>any</w:t>
      </w:r>
      <w:r w:rsidRPr="004F30BD">
        <w:t xml:space="preserve"> single </w:t>
      </w:r>
      <w:r w:rsidR="002F67FE" w:rsidRPr="004F30BD">
        <w:t>sub-group. Averaging loses detai</w:t>
      </w:r>
      <w:r w:rsidRPr="004F30BD">
        <w:t>l</w:t>
      </w:r>
      <w:r w:rsidR="002F67FE" w:rsidRPr="004F30BD">
        <w:t>,</w:t>
      </w:r>
      <w:r w:rsidRPr="004F30BD">
        <w:t xml:space="preserve"> and for this survey,</w:t>
      </w:r>
      <w:r w:rsidR="002F67FE" w:rsidRPr="004F30BD">
        <w:t xml:space="preserve"> </w:t>
      </w:r>
      <w:r w:rsidRPr="004F30BD">
        <w:t xml:space="preserve">a detailed view makes a difference. When reading the summary results, it may be useful to keep this in mind. The section on attribute analysis makes </w:t>
      </w:r>
      <w:r w:rsidR="00A73A38" w:rsidRPr="004F30BD">
        <w:t>sub-group</w:t>
      </w:r>
      <w:r w:rsidRPr="004F30BD">
        <w:t xml:space="preserve"> differences</w:t>
      </w:r>
      <w:r w:rsidR="00A73A38" w:rsidRPr="004F30BD">
        <w:t>, where they exist,</w:t>
      </w:r>
      <w:r w:rsidRPr="004F30BD">
        <w:t xml:space="preserve"> clearer.</w:t>
      </w:r>
    </w:p>
    <w:p w14:paraId="49C26A06" w14:textId="77777777" w:rsidR="004D7C16" w:rsidRPr="004F30BD" w:rsidRDefault="004D7C16">
      <w:pPr>
        <w:spacing w:before="0" w:line="240" w:lineRule="auto"/>
        <w:ind w:right="0"/>
        <w:rPr>
          <w:rFonts w:ascii="Trebuchet MS" w:hAnsi="Trebuchet MS"/>
          <w:color w:val="00376E"/>
          <w:sz w:val="28"/>
        </w:rPr>
      </w:pPr>
      <w:r w:rsidRPr="004F30BD">
        <w:br w:type="page"/>
      </w:r>
    </w:p>
    <w:p w14:paraId="426A53A1" w14:textId="77777777" w:rsidR="0053148E" w:rsidRPr="004F30BD" w:rsidRDefault="0053148E" w:rsidP="0053148E">
      <w:pPr>
        <w:pStyle w:val="Heading2"/>
      </w:pPr>
      <w:bookmarkStart w:id="13" w:name="_Toc22298020"/>
      <w:r w:rsidRPr="004F30BD">
        <w:lastRenderedPageBreak/>
        <w:t>Key performance indicators</w:t>
      </w:r>
      <w:bookmarkEnd w:id="13"/>
    </w:p>
    <w:p w14:paraId="04170D1A" w14:textId="77777777" w:rsidR="006C6674" w:rsidRPr="004F30BD" w:rsidRDefault="00310617" w:rsidP="008910E6">
      <w:pPr>
        <w:spacing w:after="240"/>
      </w:pPr>
      <w:r w:rsidRPr="004F30BD">
        <w:t>KPI top 2 scores were</w:t>
      </w:r>
      <w:r w:rsidR="0039579A" w:rsidRPr="004F30BD">
        <w:t xml:space="preserve"> </w:t>
      </w:r>
      <w:r w:rsidR="00EA2846" w:rsidRPr="004F30BD">
        <w:t xml:space="preserve">between </w:t>
      </w:r>
      <w:r w:rsidR="0039579A" w:rsidRPr="004F30BD">
        <w:t>54</w:t>
      </w:r>
      <w:r w:rsidR="00EA2846" w:rsidRPr="004F30BD">
        <w:t xml:space="preserve">% and </w:t>
      </w:r>
      <w:r w:rsidR="0039579A" w:rsidRPr="004F30BD">
        <w:t>73</w:t>
      </w:r>
      <w:r w:rsidR="00EA2846" w:rsidRPr="004F30BD">
        <w:t>%</w:t>
      </w:r>
      <w:r w:rsidRPr="004F30BD">
        <w:t xml:space="preserve"> as shown in the table below. </w:t>
      </w:r>
      <w:r w:rsidR="00E44426" w:rsidRPr="004F30BD">
        <w:t>KPI 5 was h</w:t>
      </w:r>
      <w:r w:rsidRPr="004F30BD">
        <w:t xml:space="preserve">ighest scoring </w:t>
      </w:r>
      <w:r w:rsidR="00E44426" w:rsidRPr="004F30BD">
        <w:t>(</w:t>
      </w:r>
      <w:r w:rsidRPr="004F30BD">
        <w:t xml:space="preserve">TEQSA </w:t>
      </w:r>
      <w:r w:rsidR="00E44426" w:rsidRPr="004F30BD">
        <w:t xml:space="preserve">is </w:t>
      </w:r>
      <w:r w:rsidRPr="004F30BD">
        <w:t>open, transparent and consistent dealings with providers</w:t>
      </w:r>
      <w:r w:rsidR="00E44426" w:rsidRPr="004F30BD">
        <w:t xml:space="preserve">) </w:t>
      </w:r>
      <w:r w:rsidRPr="004F30BD">
        <w:t xml:space="preserve">and </w:t>
      </w:r>
      <w:r w:rsidR="00E44426" w:rsidRPr="004F30BD">
        <w:t xml:space="preserve">KPI 4 was </w:t>
      </w:r>
      <w:r w:rsidRPr="004F30BD">
        <w:t xml:space="preserve">lowest </w:t>
      </w:r>
      <w:r w:rsidR="00E44426" w:rsidRPr="004F30BD">
        <w:t>(</w:t>
      </w:r>
      <w:r w:rsidR="00247C5E" w:rsidRPr="004F30BD">
        <w:t>streamlined and co-ordinated compliance and monitoring approaches</w:t>
      </w:r>
      <w:r w:rsidR="00E44426" w:rsidRPr="004F30BD">
        <w:t>)</w:t>
      </w:r>
      <w:r w:rsidR="00247C5E" w:rsidRPr="004F30BD">
        <w:t>. There is considerable room for improvement in all KPIs.</w:t>
      </w:r>
    </w:p>
    <w:tbl>
      <w:tblPr>
        <w:tblW w:w="8550" w:type="dxa"/>
        <w:tblLayout w:type="fixed"/>
        <w:tblLook w:val="0000" w:firstRow="0" w:lastRow="0" w:firstColumn="0" w:lastColumn="0" w:noHBand="0" w:noVBand="0"/>
      </w:tblPr>
      <w:tblGrid>
        <w:gridCol w:w="5670"/>
        <w:gridCol w:w="1620"/>
        <w:gridCol w:w="1260"/>
      </w:tblGrid>
      <w:tr w:rsidR="00675343" w:rsidRPr="004F30BD" w14:paraId="7C7C2AA5" w14:textId="77777777" w:rsidTr="00920387">
        <w:trPr>
          <w:trHeight w:val="257"/>
          <w:tblHeader/>
        </w:trPr>
        <w:tc>
          <w:tcPr>
            <w:tcW w:w="5670" w:type="dxa"/>
            <w:shd w:val="clear" w:color="auto" w:fill="00386E"/>
            <w:noWrap/>
            <w:vAlign w:val="center"/>
          </w:tcPr>
          <w:p w14:paraId="035E481C" w14:textId="77777777" w:rsidR="00675343" w:rsidRPr="004F30BD" w:rsidRDefault="00937ADD" w:rsidP="00212F79">
            <w:pPr>
              <w:pStyle w:val="Tabletext"/>
              <w:spacing w:before="60" w:after="60" w:line="240" w:lineRule="atLeast"/>
              <w:rPr>
                <w:rFonts w:ascii="Arial Nova" w:hAnsi="Arial Nova"/>
                <w:color w:val="FFFFFF"/>
                <w:sz w:val="18"/>
                <w:szCs w:val="16"/>
                <w:lang w:val="en-AU"/>
              </w:rPr>
            </w:pPr>
            <w:r w:rsidRPr="004F30BD">
              <w:rPr>
                <w:rFonts w:ascii="Arial Nova" w:hAnsi="Arial Nova"/>
                <w:color w:val="FFFFFF"/>
                <w:sz w:val="18"/>
                <w:szCs w:val="16"/>
                <w:lang w:val="en-AU"/>
              </w:rPr>
              <w:t xml:space="preserve">KPI </w:t>
            </w:r>
            <w:r w:rsidR="00E44426" w:rsidRPr="004F30BD">
              <w:rPr>
                <w:rFonts w:ascii="Arial Nova" w:hAnsi="Arial Nova"/>
                <w:color w:val="FFFFFF"/>
                <w:sz w:val="18"/>
                <w:szCs w:val="16"/>
                <w:lang w:val="en-AU"/>
              </w:rPr>
              <w:t>ITEM</w:t>
            </w:r>
            <w:r w:rsidR="00675343" w:rsidRPr="004F30BD">
              <w:rPr>
                <w:rFonts w:ascii="Arial Nova" w:hAnsi="Arial Nova"/>
                <w:color w:val="FFFFFF"/>
                <w:sz w:val="18"/>
                <w:szCs w:val="16"/>
                <w:lang w:val="en-AU"/>
              </w:rPr>
              <w:t xml:space="preserve"> </w:t>
            </w:r>
          </w:p>
        </w:tc>
        <w:tc>
          <w:tcPr>
            <w:tcW w:w="1620" w:type="dxa"/>
            <w:shd w:val="clear" w:color="auto" w:fill="00386E"/>
            <w:vAlign w:val="center"/>
          </w:tcPr>
          <w:p w14:paraId="53010D59" w14:textId="77777777" w:rsidR="00675343" w:rsidRPr="004F30BD" w:rsidRDefault="00920387" w:rsidP="00675343">
            <w:pPr>
              <w:pStyle w:val="Tabletext"/>
              <w:spacing w:before="60" w:after="60" w:line="240" w:lineRule="atLeast"/>
              <w:jc w:val="center"/>
              <w:rPr>
                <w:rFonts w:ascii="Arial Nova" w:hAnsi="Arial Nova"/>
                <w:color w:val="FFFFFF"/>
                <w:sz w:val="18"/>
                <w:szCs w:val="16"/>
                <w:lang w:val="en-AU"/>
              </w:rPr>
            </w:pPr>
            <w:r w:rsidRPr="004F30BD">
              <w:rPr>
                <w:rFonts w:ascii="Arial Nova" w:hAnsi="Arial Nova"/>
                <w:color w:val="FFFFFF"/>
                <w:sz w:val="18"/>
                <w:szCs w:val="16"/>
                <w:lang w:val="en-AU"/>
              </w:rPr>
              <w:t>n</w:t>
            </w:r>
          </w:p>
        </w:tc>
        <w:tc>
          <w:tcPr>
            <w:tcW w:w="1260" w:type="dxa"/>
            <w:shd w:val="clear" w:color="auto" w:fill="00386E"/>
            <w:vAlign w:val="center"/>
          </w:tcPr>
          <w:p w14:paraId="6A69EB7E" w14:textId="77777777" w:rsidR="00675343" w:rsidRPr="004F30BD" w:rsidRDefault="00675343" w:rsidP="00675343">
            <w:pPr>
              <w:pStyle w:val="Tabletext"/>
              <w:spacing w:before="60" w:after="60" w:line="240" w:lineRule="atLeast"/>
              <w:jc w:val="center"/>
              <w:rPr>
                <w:rFonts w:ascii="Arial Nova" w:hAnsi="Arial Nova"/>
                <w:color w:val="FFFFFF"/>
                <w:sz w:val="18"/>
                <w:szCs w:val="16"/>
                <w:lang w:val="en-AU"/>
              </w:rPr>
            </w:pPr>
            <w:r w:rsidRPr="004F30BD">
              <w:rPr>
                <w:rFonts w:ascii="Arial Nova" w:hAnsi="Arial Nova"/>
                <w:color w:val="FFFFFF"/>
                <w:sz w:val="18"/>
                <w:szCs w:val="16"/>
                <w:lang w:val="en-AU"/>
              </w:rPr>
              <w:t>TOP 2 SCORE (%)</w:t>
            </w:r>
            <w:r w:rsidR="002C416A" w:rsidRPr="004F30BD">
              <w:rPr>
                <w:rFonts w:ascii="Arial Nova" w:hAnsi="Arial Nova"/>
                <w:color w:val="FFFFFF"/>
                <w:sz w:val="18"/>
                <w:szCs w:val="16"/>
                <w:lang w:val="en-AU"/>
              </w:rPr>
              <w:t>*</w:t>
            </w:r>
          </w:p>
        </w:tc>
      </w:tr>
      <w:tr w:rsidR="00675343" w:rsidRPr="004F30BD" w14:paraId="14EF3CD7" w14:textId="77777777" w:rsidTr="00920387">
        <w:trPr>
          <w:trHeight w:val="340"/>
        </w:trPr>
        <w:tc>
          <w:tcPr>
            <w:tcW w:w="5670" w:type="dxa"/>
            <w:shd w:val="clear" w:color="auto" w:fill="auto"/>
            <w:noWrap/>
            <w:vAlign w:val="bottom"/>
          </w:tcPr>
          <w:p w14:paraId="427CEF08" w14:textId="77777777" w:rsidR="00675343" w:rsidRPr="004F30BD" w:rsidRDefault="00675343" w:rsidP="00675343">
            <w:pPr>
              <w:spacing w:before="60" w:after="60" w:line="240" w:lineRule="auto"/>
              <w:ind w:right="0"/>
              <w:rPr>
                <w:rFonts w:eastAsia="Times New Roman"/>
                <w:color w:val="000000"/>
                <w:szCs w:val="22"/>
                <w:lang w:eastAsia="en-AU"/>
              </w:rPr>
            </w:pPr>
            <w:r w:rsidRPr="004F30BD">
              <w:rPr>
                <w:rFonts w:eastAsia="Times New Roman"/>
                <w:color w:val="000000"/>
                <w:szCs w:val="22"/>
                <w:lang w:eastAsia="en-AU"/>
              </w:rPr>
              <w:t>KPI 1 - Regulation by TEQSA does not unnecessarily impede the efficient operation of higher education providers</w:t>
            </w:r>
          </w:p>
        </w:tc>
        <w:tc>
          <w:tcPr>
            <w:tcW w:w="1620" w:type="dxa"/>
            <w:shd w:val="clear" w:color="auto" w:fill="auto"/>
            <w:vAlign w:val="center"/>
          </w:tcPr>
          <w:p w14:paraId="4DEADFBF" w14:textId="77777777" w:rsidR="00675343" w:rsidRPr="004F30BD" w:rsidRDefault="00675343" w:rsidP="00675343">
            <w:pPr>
              <w:spacing w:before="60" w:after="60" w:line="240" w:lineRule="auto"/>
              <w:ind w:right="0"/>
              <w:jc w:val="center"/>
              <w:rPr>
                <w:rFonts w:eastAsia="Times New Roman"/>
                <w:color w:val="000000"/>
                <w:szCs w:val="22"/>
                <w:lang w:eastAsia="en-AU"/>
              </w:rPr>
            </w:pPr>
            <w:r w:rsidRPr="004F30BD">
              <w:t>134</w:t>
            </w:r>
          </w:p>
        </w:tc>
        <w:tc>
          <w:tcPr>
            <w:tcW w:w="1260" w:type="dxa"/>
            <w:vAlign w:val="center"/>
          </w:tcPr>
          <w:p w14:paraId="4696740F" w14:textId="77777777" w:rsidR="00675343" w:rsidRPr="004F30BD" w:rsidRDefault="00675343" w:rsidP="00675343">
            <w:pPr>
              <w:spacing w:before="60" w:after="60" w:line="240" w:lineRule="auto"/>
              <w:ind w:right="0"/>
              <w:jc w:val="center"/>
              <w:rPr>
                <w:rFonts w:eastAsia="Times New Roman"/>
                <w:color w:val="000000"/>
                <w:szCs w:val="22"/>
                <w:lang w:eastAsia="en-AU"/>
              </w:rPr>
            </w:pPr>
            <w:r w:rsidRPr="004F30BD">
              <w:t>59</w:t>
            </w:r>
          </w:p>
        </w:tc>
      </w:tr>
      <w:tr w:rsidR="00675343" w:rsidRPr="004F30BD" w14:paraId="0FC9120D" w14:textId="77777777" w:rsidTr="00920387">
        <w:trPr>
          <w:trHeight w:val="340"/>
        </w:trPr>
        <w:tc>
          <w:tcPr>
            <w:tcW w:w="5670" w:type="dxa"/>
            <w:shd w:val="clear" w:color="auto" w:fill="E6E6E6"/>
            <w:noWrap/>
            <w:vAlign w:val="bottom"/>
          </w:tcPr>
          <w:p w14:paraId="38FDD255" w14:textId="77777777" w:rsidR="00675343" w:rsidRPr="004F30BD" w:rsidRDefault="00675343" w:rsidP="00675343">
            <w:pPr>
              <w:spacing w:before="60" w:after="60" w:line="240" w:lineRule="auto"/>
              <w:ind w:right="0"/>
              <w:rPr>
                <w:rFonts w:eastAsia="Times New Roman"/>
                <w:color w:val="000000"/>
                <w:szCs w:val="22"/>
                <w:lang w:eastAsia="en-AU"/>
              </w:rPr>
            </w:pPr>
            <w:r w:rsidRPr="004F30BD">
              <w:rPr>
                <w:rFonts w:eastAsia="Times New Roman"/>
                <w:color w:val="000000"/>
                <w:szCs w:val="22"/>
                <w:lang w:eastAsia="en-AU"/>
              </w:rPr>
              <w:t>KPI 2 - TEQSA’s communication with your organisation is clear, targeted and effective</w:t>
            </w:r>
          </w:p>
        </w:tc>
        <w:tc>
          <w:tcPr>
            <w:tcW w:w="1620" w:type="dxa"/>
            <w:shd w:val="clear" w:color="auto" w:fill="E6E6E6"/>
            <w:vAlign w:val="center"/>
          </w:tcPr>
          <w:p w14:paraId="7C7AD2A1" w14:textId="77777777" w:rsidR="00675343" w:rsidRPr="004F30BD" w:rsidRDefault="00675343" w:rsidP="00675343">
            <w:pPr>
              <w:spacing w:before="60" w:after="60" w:line="240" w:lineRule="auto"/>
              <w:ind w:right="0"/>
              <w:jc w:val="center"/>
              <w:rPr>
                <w:rFonts w:eastAsia="Times New Roman"/>
                <w:color w:val="000000"/>
                <w:szCs w:val="22"/>
                <w:lang w:eastAsia="en-AU"/>
              </w:rPr>
            </w:pPr>
            <w:r w:rsidRPr="004F30BD">
              <w:t>139</w:t>
            </w:r>
          </w:p>
        </w:tc>
        <w:tc>
          <w:tcPr>
            <w:tcW w:w="1260" w:type="dxa"/>
            <w:shd w:val="clear" w:color="auto" w:fill="E6E6E6"/>
            <w:vAlign w:val="center"/>
          </w:tcPr>
          <w:p w14:paraId="0EEF5CD5" w14:textId="77777777" w:rsidR="00675343" w:rsidRPr="004F30BD" w:rsidRDefault="00675343" w:rsidP="00675343">
            <w:pPr>
              <w:spacing w:before="60" w:after="60" w:line="240" w:lineRule="auto"/>
              <w:ind w:right="0"/>
              <w:jc w:val="center"/>
              <w:rPr>
                <w:rFonts w:eastAsia="Times New Roman"/>
                <w:color w:val="000000"/>
                <w:szCs w:val="22"/>
                <w:lang w:eastAsia="en-AU"/>
              </w:rPr>
            </w:pPr>
            <w:r w:rsidRPr="004F30BD">
              <w:t>65</w:t>
            </w:r>
          </w:p>
        </w:tc>
      </w:tr>
      <w:tr w:rsidR="00675343" w:rsidRPr="004F30BD" w14:paraId="34050BEA" w14:textId="77777777" w:rsidTr="00920387">
        <w:trPr>
          <w:trHeight w:val="340"/>
        </w:trPr>
        <w:tc>
          <w:tcPr>
            <w:tcW w:w="5670" w:type="dxa"/>
            <w:shd w:val="clear" w:color="auto" w:fill="auto"/>
            <w:noWrap/>
            <w:vAlign w:val="bottom"/>
          </w:tcPr>
          <w:p w14:paraId="2FC638D1" w14:textId="77777777" w:rsidR="00675343" w:rsidRPr="004F30BD" w:rsidRDefault="00675343" w:rsidP="00675343">
            <w:pPr>
              <w:spacing w:before="60" w:after="60" w:line="240" w:lineRule="auto"/>
              <w:ind w:right="0"/>
              <w:rPr>
                <w:rFonts w:eastAsia="Times New Roman"/>
                <w:color w:val="000000"/>
                <w:szCs w:val="22"/>
                <w:lang w:eastAsia="en-AU"/>
              </w:rPr>
            </w:pPr>
            <w:r w:rsidRPr="004F30BD">
              <w:rPr>
                <w:rFonts w:eastAsia="Times New Roman"/>
                <w:color w:val="000000"/>
                <w:szCs w:val="22"/>
                <w:lang w:eastAsia="en-AU"/>
              </w:rPr>
              <w:t>KPI 3 - Regulatory actions undertaken by TEQSA are proportionate to the risks being managed</w:t>
            </w:r>
          </w:p>
        </w:tc>
        <w:tc>
          <w:tcPr>
            <w:tcW w:w="1620" w:type="dxa"/>
            <w:shd w:val="clear" w:color="auto" w:fill="auto"/>
            <w:vAlign w:val="center"/>
          </w:tcPr>
          <w:p w14:paraId="627E7753" w14:textId="77777777" w:rsidR="00675343" w:rsidRPr="004F30BD" w:rsidRDefault="00675343" w:rsidP="00675343">
            <w:pPr>
              <w:spacing w:before="60" w:after="60" w:line="240" w:lineRule="auto"/>
              <w:ind w:right="0"/>
              <w:jc w:val="center"/>
              <w:rPr>
                <w:rFonts w:eastAsia="Times New Roman"/>
                <w:color w:val="000000"/>
                <w:szCs w:val="22"/>
                <w:lang w:eastAsia="en-AU"/>
              </w:rPr>
            </w:pPr>
            <w:r w:rsidRPr="004F30BD">
              <w:t>132</w:t>
            </w:r>
          </w:p>
        </w:tc>
        <w:tc>
          <w:tcPr>
            <w:tcW w:w="1260" w:type="dxa"/>
            <w:shd w:val="clear" w:color="auto" w:fill="auto"/>
            <w:vAlign w:val="center"/>
          </w:tcPr>
          <w:p w14:paraId="28B49D58" w14:textId="77777777" w:rsidR="00675343" w:rsidRPr="004F30BD" w:rsidRDefault="00675343" w:rsidP="00675343">
            <w:pPr>
              <w:spacing w:before="60" w:after="60" w:line="240" w:lineRule="auto"/>
              <w:ind w:right="0"/>
              <w:jc w:val="center"/>
              <w:rPr>
                <w:rFonts w:eastAsia="Times New Roman"/>
                <w:color w:val="000000"/>
                <w:szCs w:val="22"/>
                <w:lang w:eastAsia="en-AU"/>
              </w:rPr>
            </w:pPr>
            <w:r w:rsidRPr="004F30BD">
              <w:t>63</w:t>
            </w:r>
          </w:p>
        </w:tc>
      </w:tr>
      <w:tr w:rsidR="00675343" w:rsidRPr="004F30BD" w14:paraId="6A9C8CBE" w14:textId="77777777" w:rsidTr="00920387">
        <w:trPr>
          <w:trHeight w:val="340"/>
        </w:trPr>
        <w:tc>
          <w:tcPr>
            <w:tcW w:w="5670" w:type="dxa"/>
            <w:shd w:val="clear" w:color="auto" w:fill="E6E6E6"/>
            <w:noWrap/>
            <w:vAlign w:val="bottom"/>
          </w:tcPr>
          <w:p w14:paraId="40A6ECC5" w14:textId="77777777" w:rsidR="00675343" w:rsidRPr="004F30BD" w:rsidRDefault="00675343" w:rsidP="00675343">
            <w:pPr>
              <w:spacing w:before="60" w:after="60" w:line="240" w:lineRule="auto"/>
              <w:ind w:right="0"/>
              <w:rPr>
                <w:rFonts w:eastAsia="Times New Roman"/>
                <w:color w:val="000000"/>
                <w:szCs w:val="22"/>
                <w:lang w:eastAsia="en-AU"/>
              </w:rPr>
            </w:pPr>
            <w:r w:rsidRPr="004F30BD">
              <w:rPr>
                <w:rFonts w:eastAsia="Times New Roman"/>
                <w:color w:val="000000"/>
                <w:szCs w:val="22"/>
                <w:lang w:eastAsia="en-AU"/>
              </w:rPr>
              <w:t>KPI 4 - TEQSA’s compliance and monitoring approaches for higher education providers are streamlined and co-ordinated</w:t>
            </w:r>
          </w:p>
        </w:tc>
        <w:tc>
          <w:tcPr>
            <w:tcW w:w="1620" w:type="dxa"/>
            <w:shd w:val="clear" w:color="auto" w:fill="E6E6E6"/>
            <w:vAlign w:val="center"/>
          </w:tcPr>
          <w:p w14:paraId="5ED61675" w14:textId="77777777" w:rsidR="00675343" w:rsidRPr="004F30BD" w:rsidRDefault="00675343" w:rsidP="00675343">
            <w:pPr>
              <w:spacing w:before="60" w:after="60" w:line="240" w:lineRule="auto"/>
              <w:ind w:right="0"/>
              <w:jc w:val="center"/>
              <w:rPr>
                <w:rFonts w:eastAsia="Times New Roman"/>
                <w:color w:val="000000"/>
                <w:szCs w:val="22"/>
                <w:lang w:eastAsia="en-AU"/>
              </w:rPr>
            </w:pPr>
            <w:r w:rsidRPr="004F30BD">
              <w:t>132</w:t>
            </w:r>
          </w:p>
        </w:tc>
        <w:tc>
          <w:tcPr>
            <w:tcW w:w="1260" w:type="dxa"/>
            <w:shd w:val="clear" w:color="auto" w:fill="E6E6E6"/>
            <w:vAlign w:val="center"/>
          </w:tcPr>
          <w:p w14:paraId="56287EFD" w14:textId="77777777" w:rsidR="00675343" w:rsidRPr="004F30BD" w:rsidRDefault="00675343" w:rsidP="00675343">
            <w:pPr>
              <w:spacing w:before="60" w:after="60" w:line="240" w:lineRule="auto"/>
              <w:ind w:right="0"/>
              <w:jc w:val="center"/>
              <w:rPr>
                <w:rFonts w:eastAsia="Times New Roman"/>
                <w:color w:val="000000"/>
                <w:szCs w:val="22"/>
                <w:lang w:eastAsia="en-AU"/>
              </w:rPr>
            </w:pPr>
            <w:r w:rsidRPr="004F30BD">
              <w:t>54</w:t>
            </w:r>
          </w:p>
        </w:tc>
      </w:tr>
      <w:tr w:rsidR="00675343" w:rsidRPr="004F30BD" w14:paraId="46AEAB35" w14:textId="77777777" w:rsidTr="00920387">
        <w:trPr>
          <w:trHeight w:val="340"/>
        </w:trPr>
        <w:tc>
          <w:tcPr>
            <w:tcW w:w="5670" w:type="dxa"/>
            <w:shd w:val="clear" w:color="auto" w:fill="auto"/>
            <w:noWrap/>
            <w:vAlign w:val="bottom"/>
          </w:tcPr>
          <w:p w14:paraId="12D05740" w14:textId="77777777" w:rsidR="00675343" w:rsidRPr="004F30BD" w:rsidRDefault="00675343" w:rsidP="00675343">
            <w:pPr>
              <w:spacing w:before="60" w:after="60" w:line="240" w:lineRule="auto"/>
              <w:ind w:right="0"/>
              <w:rPr>
                <w:rFonts w:eastAsia="Times New Roman"/>
                <w:color w:val="000000"/>
                <w:szCs w:val="22"/>
                <w:lang w:eastAsia="en-AU"/>
              </w:rPr>
            </w:pPr>
            <w:r w:rsidRPr="004F30BD">
              <w:rPr>
                <w:rFonts w:eastAsia="Times New Roman"/>
                <w:color w:val="000000"/>
                <w:szCs w:val="22"/>
                <w:lang w:eastAsia="en-AU"/>
              </w:rPr>
              <w:t xml:space="preserve">KPI 5 - </w:t>
            </w:r>
            <w:r w:rsidRPr="004F30BD">
              <w:t>TEQSA is open, transparent and consistent in its dealings with your organisation</w:t>
            </w:r>
          </w:p>
        </w:tc>
        <w:tc>
          <w:tcPr>
            <w:tcW w:w="1620" w:type="dxa"/>
            <w:shd w:val="clear" w:color="auto" w:fill="auto"/>
            <w:vAlign w:val="center"/>
          </w:tcPr>
          <w:p w14:paraId="5DB00040" w14:textId="77777777" w:rsidR="00675343" w:rsidRPr="004F30BD" w:rsidRDefault="00675343" w:rsidP="00675343">
            <w:pPr>
              <w:spacing w:before="60" w:after="60" w:line="240" w:lineRule="auto"/>
              <w:ind w:right="0"/>
              <w:jc w:val="center"/>
              <w:rPr>
                <w:rFonts w:eastAsia="Times New Roman"/>
                <w:color w:val="000000"/>
                <w:szCs w:val="22"/>
                <w:lang w:eastAsia="en-AU"/>
              </w:rPr>
            </w:pPr>
            <w:r w:rsidRPr="004F30BD">
              <w:t>139</w:t>
            </w:r>
          </w:p>
        </w:tc>
        <w:tc>
          <w:tcPr>
            <w:tcW w:w="1260" w:type="dxa"/>
            <w:shd w:val="clear" w:color="auto" w:fill="auto"/>
            <w:vAlign w:val="center"/>
          </w:tcPr>
          <w:p w14:paraId="44067476" w14:textId="77777777" w:rsidR="00675343" w:rsidRPr="004F30BD" w:rsidRDefault="00675343" w:rsidP="00675343">
            <w:pPr>
              <w:spacing w:before="60" w:after="60" w:line="240" w:lineRule="auto"/>
              <w:ind w:right="0"/>
              <w:jc w:val="center"/>
              <w:rPr>
                <w:rFonts w:eastAsia="Times New Roman"/>
                <w:color w:val="000000"/>
                <w:szCs w:val="22"/>
                <w:lang w:eastAsia="en-AU"/>
              </w:rPr>
            </w:pPr>
            <w:r w:rsidRPr="004F30BD">
              <w:t>73</w:t>
            </w:r>
          </w:p>
        </w:tc>
      </w:tr>
      <w:tr w:rsidR="00675343" w:rsidRPr="004F30BD" w14:paraId="00FB4E17" w14:textId="77777777" w:rsidTr="00920387">
        <w:trPr>
          <w:trHeight w:val="340"/>
        </w:trPr>
        <w:tc>
          <w:tcPr>
            <w:tcW w:w="5670" w:type="dxa"/>
            <w:tcBorders>
              <w:bottom w:val="single" w:sz="4" w:space="0" w:color="auto"/>
            </w:tcBorders>
            <w:shd w:val="clear" w:color="auto" w:fill="D9D9D9"/>
            <w:noWrap/>
          </w:tcPr>
          <w:p w14:paraId="35EAF003" w14:textId="77777777" w:rsidR="00675343" w:rsidRPr="004F30BD" w:rsidRDefault="00675343" w:rsidP="00675343">
            <w:pPr>
              <w:spacing w:before="60" w:after="60" w:line="240" w:lineRule="auto"/>
              <w:ind w:right="0"/>
              <w:rPr>
                <w:rFonts w:eastAsia="Times New Roman"/>
                <w:color w:val="000000"/>
                <w:szCs w:val="22"/>
                <w:lang w:eastAsia="en-AU"/>
              </w:rPr>
            </w:pPr>
            <w:r w:rsidRPr="004F30BD">
              <w:t>KPI 6 - TEQSA continues to improve its regulatory framework</w:t>
            </w:r>
          </w:p>
        </w:tc>
        <w:tc>
          <w:tcPr>
            <w:tcW w:w="1620" w:type="dxa"/>
            <w:tcBorders>
              <w:bottom w:val="single" w:sz="4" w:space="0" w:color="auto"/>
            </w:tcBorders>
            <w:shd w:val="clear" w:color="auto" w:fill="D9D9D9"/>
            <w:vAlign w:val="center"/>
          </w:tcPr>
          <w:p w14:paraId="1106822D" w14:textId="77777777" w:rsidR="00675343" w:rsidRPr="004F30BD" w:rsidRDefault="00675343" w:rsidP="00675343">
            <w:pPr>
              <w:spacing w:before="60" w:after="60" w:line="240" w:lineRule="auto"/>
              <w:ind w:right="0"/>
              <w:jc w:val="center"/>
              <w:rPr>
                <w:rFonts w:eastAsia="Times New Roman"/>
                <w:color w:val="000000"/>
                <w:szCs w:val="22"/>
                <w:lang w:eastAsia="en-AU"/>
              </w:rPr>
            </w:pPr>
            <w:r w:rsidRPr="004F30BD">
              <w:t>123</w:t>
            </w:r>
          </w:p>
        </w:tc>
        <w:tc>
          <w:tcPr>
            <w:tcW w:w="1260" w:type="dxa"/>
            <w:tcBorders>
              <w:bottom w:val="single" w:sz="4" w:space="0" w:color="auto"/>
            </w:tcBorders>
            <w:shd w:val="clear" w:color="auto" w:fill="D9D9D9"/>
            <w:vAlign w:val="center"/>
          </w:tcPr>
          <w:p w14:paraId="41BCBF15" w14:textId="77777777" w:rsidR="00675343" w:rsidRPr="004F30BD" w:rsidRDefault="00675343" w:rsidP="00675343">
            <w:pPr>
              <w:spacing w:before="60" w:after="60" w:line="240" w:lineRule="auto"/>
              <w:ind w:right="0"/>
              <w:jc w:val="center"/>
              <w:rPr>
                <w:rFonts w:eastAsia="Times New Roman"/>
                <w:color w:val="000000"/>
                <w:szCs w:val="22"/>
                <w:lang w:eastAsia="en-AU"/>
              </w:rPr>
            </w:pPr>
            <w:r w:rsidRPr="004F30BD">
              <w:t>67</w:t>
            </w:r>
          </w:p>
        </w:tc>
      </w:tr>
    </w:tbl>
    <w:p w14:paraId="43EF8A71" w14:textId="77777777" w:rsidR="002C416A" w:rsidRPr="004F30BD" w:rsidRDefault="002C416A" w:rsidP="002C416A">
      <w:pPr>
        <w:spacing w:before="60" w:after="240"/>
        <w:rPr>
          <w:i/>
        </w:rPr>
      </w:pPr>
      <w:r w:rsidRPr="004F30BD">
        <w:rPr>
          <w:i/>
        </w:rPr>
        <w:t>*Top 2 scores and n counts exclude don’t know / not applicable / no answer responses.</w:t>
      </w:r>
    </w:p>
    <w:p w14:paraId="579EF2D5" w14:textId="77777777" w:rsidR="00FE4498" w:rsidRPr="004F30BD" w:rsidRDefault="008910E6" w:rsidP="00E44426">
      <w:pPr>
        <w:spacing w:before="240" w:after="240"/>
      </w:pPr>
      <w:r w:rsidRPr="004F30BD">
        <w:t>The following chart summarises the</w:t>
      </w:r>
      <w:r w:rsidR="00E44426" w:rsidRPr="004F30BD">
        <w:t xml:space="preserve"> response</w:t>
      </w:r>
      <w:r w:rsidRPr="004F30BD">
        <w:t xml:space="preserve"> distribution across the </w:t>
      </w:r>
      <w:r w:rsidRPr="004F30BD">
        <w:rPr>
          <w:i/>
          <w:iCs/>
        </w:rPr>
        <w:t xml:space="preserve">excellent </w:t>
      </w:r>
      <w:r w:rsidRPr="004F30BD">
        <w:t xml:space="preserve">to </w:t>
      </w:r>
      <w:r w:rsidRPr="004F30BD">
        <w:rPr>
          <w:i/>
          <w:iCs/>
        </w:rPr>
        <w:t>very poor</w:t>
      </w:r>
      <w:r w:rsidRPr="004F30BD">
        <w:t xml:space="preserve"> rating scale for all six KPIs. </w:t>
      </w:r>
      <w:r w:rsidR="00E44426" w:rsidRPr="004F30BD">
        <w:t xml:space="preserve">Note the relatively high </w:t>
      </w:r>
      <w:r w:rsidR="00E44426" w:rsidRPr="004F30BD">
        <w:rPr>
          <w:i/>
          <w:iCs/>
        </w:rPr>
        <w:t>don’t know/no answer</w:t>
      </w:r>
      <w:r w:rsidR="00E44426" w:rsidRPr="004F30BD">
        <w:t xml:space="preserve"> response to KPI 6 indicating that a notable portion of providers do not have a view, maybe because they don’t have enough information to form one.</w:t>
      </w:r>
    </w:p>
    <w:p w14:paraId="07D6BC42" w14:textId="77777777" w:rsidR="008910E6" w:rsidRPr="004F30BD" w:rsidRDefault="008910E6" w:rsidP="008910E6">
      <w:r w:rsidRPr="004F30BD">
        <w:rPr>
          <w:noProof/>
          <w:lang w:eastAsia="en-AU"/>
        </w:rPr>
        <w:drawing>
          <wp:inline distT="0" distB="0" distL="0" distR="0" wp14:anchorId="52BB075B" wp14:editId="6C161336">
            <wp:extent cx="5676900" cy="2876550"/>
            <wp:effectExtent l="0" t="0" r="0" b="0"/>
            <wp:docPr id="7" name="Chart 7">
              <a:extLst xmlns:a="http://schemas.openxmlformats.org/drawingml/2006/main">
                <a:ext uri="{FF2B5EF4-FFF2-40B4-BE49-F238E27FC236}">
                  <a16:creationId xmlns:a16="http://schemas.microsoft.com/office/drawing/2014/main" id="{FA6F647D-74E4-4F9F-9467-E3166471E7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400F283" w14:textId="77777777" w:rsidR="00FE4498" w:rsidRPr="004F30BD" w:rsidRDefault="00FE4498" w:rsidP="00FE4498">
      <w:pPr>
        <w:pStyle w:val="Heading3"/>
      </w:pPr>
      <w:r w:rsidRPr="004F30BD">
        <w:t>Provider comments</w:t>
      </w:r>
      <w:r w:rsidR="00E44426" w:rsidRPr="004F30BD">
        <w:t xml:space="preserve"> about KPIs</w:t>
      </w:r>
    </w:p>
    <w:p w14:paraId="436470D1" w14:textId="77777777" w:rsidR="00FE4498" w:rsidRPr="004F30BD" w:rsidRDefault="00FE4498" w:rsidP="00FE4498">
      <w:r w:rsidRPr="004F30BD">
        <w:t>Providers were given the opportunity to provide comments in relation to each KPI and these are summarised below.</w:t>
      </w:r>
    </w:p>
    <w:p w14:paraId="7F48EAF9" w14:textId="77777777" w:rsidR="003F5DE2" w:rsidRPr="004F30BD" w:rsidRDefault="007E066F" w:rsidP="008910E6">
      <w:pPr>
        <w:pStyle w:val="Heading4"/>
      </w:pPr>
      <w:r w:rsidRPr="004F30BD">
        <w:t xml:space="preserve">KPI 1: </w:t>
      </w:r>
      <w:r w:rsidR="003F5DE2" w:rsidRPr="004F30BD">
        <w:t>Regulation by TEQSA does not unnecessarily</w:t>
      </w:r>
      <w:r w:rsidRPr="004F30BD">
        <w:t xml:space="preserve"> impede the efficient operation </w:t>
      </w:r>
      <w:r w:rsidR="003F5DE2" w:rsidRPr="004F30BD">
        <w:t xml:space="preserve">of </w:t>
      </w:r>
      <w:r w:rsidR="00BC051E" w:rsidRPr="004F30BD">
        <w:t>higher education providers</w:t>
      </w:r>
    </w:p>
    <w:p w14:paraId="2B6B45A0" w14:textId="77777777" w:rsidR="00103C08" w:rsidRPr="004F30BD" w:rsidRDefault="00E44426" w:rsidP="00103C08">
      <w:r w:rsidRPr="004F30BD">
        <w:t xml:space="preserve">Providers offered </w:t>
      </w:r>
      <w:r w:rsidR="00103C08" w:rsidRPr="004F30BD">
        <w:t xml:space="preserve">50 valid comments (excluding comments like </w:t>
      </w:r>
      <w:r w:rsidR="00103C08" w:rsidRPr="004F30BD">
        <w:rPr>
          <w:i/>
        </w:rPr>
        <w:t>don’t know</w:t>
      </w:r>
      <w:r w:rsidR="00103C08" w:rsidRPr="004F30BD">
        <w:t xml:space="preserve"> or </w:t>
      </w:r>
      <w:r w:rsidR="00103C08" w:rsidRPr="004F30BD">
        <w:rPr>
          <w:i/>
        </w:rPr>
        <w:t>not had enough experience to answer)</w:t>
      </w:r>
      <w:r w:rsidR="00103C08" w:rsidRPr="004F30BD">
        <w:t xml:space="preserve"> </w:t>
      </w:r>
      <w:r w:rsidRPr="004F30BD">
        <w:t>and the most common themes were:</w:t>
      </w:r>
      <w:r w:rsidR="00103C08" w:rsidRPr="004F30BD">
        <w:t xml:space="preserve"> </w:t>
      </w:r>
    </w:p>
    <w:p w14:paraId="4D5AC5A5" w14:textId="77777777" w:rsidR="00103C08" w:rsidRPr="004F30BD" w:rsidRDefault="00E44426" w:rsidP="00A06284">
      <w:pPr>
        <w:pStyle w:val="ListParagraph"/>
        <w:numPr>
          <w:ilvl w:val="0"/>
          <w:numId w:val="14"/>
        </w:numPr>
        <w:spacing w:before="60"/>
        <w:ind w:left="714" w:hanging="357"/>
        <w:contextualSpacing w:val="0"/>
        <w:rPr>
          <w:lang w:eastAsia="en-AU"/>
        </w:rPr>
      </w:pPr>
      <w:r w:rsidRPr="004F30BD">
        <w:rPr>
          <w:lang w:eastAsia="en-AU"/>
        </w:rPr>
        <w:lastRenderedPageBreak/>
        <w:t xml:space="preserve">Positive comments including promoting genuine partnerships and good practice, improved turnaround times, intention to reduce red </w:t>
      </w:r>
      <w:r w:rsidR="004F30BD" w:rsidRPr="004F30BD">
        <w:rPr>
          <w:lang w:eastAsia="en-AU"/>
        </w:rPr>
        <w:t>tape</w:t>
      </w:r>
      <w:r w:rsidRPr="004F30BD">
        <w:rPr>
          <w:lang w:eastAsia="en-AU"/>
        </w:rPr>
        <w:t xml:space="preserve"> and alignment of university and registration dates.</w:t>
      </w:r>
    </w:p>
    <w:p w14:paraId="2E5D1F76" w14:textId="77777777" w:rsidR="00103C08" w:rsidRPr="004F30BD" w:rsidRDefault="00103C08" w:rsidP="00A06284">
      <w:pPr>
        <w:pStyle w:val="ListParagraph"/>
        <w:numPr>
          <w:ilvl w:val="0"/>
          <w:numId w:val="14"/>
        </w:numPr>
        <w:spacing w:before="60"/>
        <w:contextualSpacing w:val="0"/>
        <w:rPr>
          <w:lang w:eastAsia="en-AU"/>
        </w:rPr>
      </w:pPr>
      <w:r w:rsidRPr="004F30BD">
        <w:rPr>
          <w:lang w:eastAsia="en-AU"/>
        </w:rPr>
        <w:t>Regulatory burden has increased</w:t>
      </w:r>
    </w:p>
    <w:p w14:paraId="458CC783" w14:textId="77777777" w:rsidR="00E44426" w:rsidRPr="004F30BD" w:rsidRDefault="00E44426" w:rsidP="00A06284">
      <w:pPr>
        <w:pStyle w:val="ListParagraph"/>
        <w:numPr>
          <w:ilvl w:val="0"/>
          <w:numId w:val="14"/>
        </w:numPr>
        <w:spacing w:before="60"/>
        <w:contextualSpacing w:val="0"/>
        <w:rPr>
          <w:lang w:eastAsia="en-AU"/>
        </w:rPr>
      </w:pPr>
      <w:r w:rsidRPr="004F30BD">
        <w:rPr>
          <w:lang w:eastAsia="en-AU"/>
        </w:rPr>
        <w:t>Slow / lengthy response times</w:t>
      </w:r>
    </w:p>
    <w:p w14:paraId="44CEB7AB" w14:textId="77777777" w:rsidR="00103C08" w:rsidRPr="004F30BD" w:rsidRDefault="00F4502B" w:rsidP="00A06284">
      <w:pPr>
        <w:pStyle w:val="ListParagraph"/>
        <w:numPr>
          <w:ilvl w:val="0"/>
          <w:numId w:val="14"/>
        </w:numPr>
        <w:spacing w:before="60"/>
        <w:contextualSpacing w:val="0"/>
        <w:rPr>
          <w:lang w:eastAsia="en-AU"/>
        </w:rPr>
      </w:pPr>
      <w:r w:rsidRPr="004F30BD">
        <w:rPr>
          <w:lang w:eastAsia="en-AU"/>
        </w:rPr>
        <w:t>No clear timeframes set or agreed timeframes not a</w:t>
      </w:r>
      <w:r w:rsidR="00103C08" w:rsidRPr="004F30BD">
        <w:rPr>
          <w:lang w:eastAsia="en-AU"/>
        </w:rPr>
        <w:t>dhere</w:t>
      </w:r>
      <w:r w:rsidRPr="004F30BD">
        <w:rPr>
          <w:lang w:eastAsia="en-AU"/>
        </w:rPr>
        <w:t>d</w:t>
      </w:r>
      <w:r w:rsidR="00103C08" w:rsidRPr="004F30BD">
        <w:rPr>
          <w:lang w:eastAsia="en-AU"/>
        </w:rPr>
        <w:t xml:space="preserve"> </w:t>
      </w:r>
      <w:r w:rsidRPr="004F30BD">
        <w:rPr>
          <w:lang w:eastAsia="en-AU"/>
        </w:rPr>
        <w:t>to</w:t>
      </w:r>
    </w:p>
    <w:p w14:paraId="4968F51C" w14:textId="77777777" w:rsidR="00103C08" w:rsidRPr="004F30BD" w:rsidRDefault="00103C08" w:rsidP="00A06284">
      <w:pPr>
        <w:pStyle w:val="ListParagraph"/>
        <w:numPr>
          <w:ilvl w:val="0"/>
          <w:numId w:val="14"/>
        </w:numPr>
        <w:spacing w:before="60"/>
        <w:contextualSpacing w:val="0"/>
        <w:rPr>
          <w:lang w:eastAsia="en-AU"/>
        </w:rPr>
      </w:pPr>
      <w:r w:rsidRPr="004F30BD">
        <w:rPr>
          <w:lang w:eastAsia="en-AU"/>
        </w:rPr>
        <w:t>Deadlines to respond unnecessarily tight</w:t>
      </w:r>
    </w:p>
    <w:p w14:paraId="5A9012C7" w14:textId="77777777" w:rsidR="00103C08" w:rsidRPr="004F30BD" w:rsidRDefault="00F4502B" w:rsidP="00A06284">
      <w:pPr>
        <w:pStyle w:val="ListParagraph"/>
        <w:numPr>
          <w:ilvl w:val="0"/>
          <w:numId w:val="14"/>
        </w:numPr>
        <w:spacing w:before="60"/>
        <w:contextualSpacing w:val="0"/>
        <w:rPr>
          <w:lang w:eastAsia="en-AU"/>
        </w:rPr>
      </w:pPr>
      <w:r w:rsidRPr="004F30BD">
        <w:rPr>
          <w:lang w:eastAsia="en-AU"/>
        </w:rPr>
        <w:t>N</w:t>
      </w:r>
      <w:r w:rsidR="00103C08" w:rsidRPr="004F30BD">
        <w:rPr>
          <w:lang w:eastAsia="en-AU"/>
        </w:rPr>
        <w:t>o updates on progress of applications</w:t>
      </w:r>
    </w:p>
    <w:p w14:paraId="642D53CD" w14:textId="77777777" w:rsidR="00103C08" w:rsidRPr="004F30BD" w:rsidRDefault="00103C08" w:rsidP="00A06284">
      <w:pPr>
        <w:pStyle w:val="ListParagraph"/>
        <w:numPr>
          <w:ilvl w:val="0"/>
          <w:numId w:val="14"/>
        </w:numPr>
        <w:spacing w:before="60"/>
        <w:contextualSpacing w:val="0"/>
        <w:rPr>
          <w:lang w:eastAsia="en-AU"/>
        </w:rPr>
      </w:pPr>
      <w:r w:rsidRPr="004F30BD">
        <w:rPr>
          <w:lang w:eastAsia="en-AU"/>
        </w:rPr>
        <w:t>Responses from TEQSA unclear / poorly reasoned findings</w:t>
      </w:r>
    </w:p>
    <w:p w14:paraId="39F4D4D0" w14:textId="77777777" w:rsidR="00103C08" w:rsidRPr="004F30BD" w:rsidRDefault="00103C08" w:rsidP="00A06284">
      <w:pPr>
        <w:pStyle w:val="ListParagraph"/>
        <w:numPr>
          <w:ilvl w:val="0"/>
          <w:numId w:val="14"/>
        </w:numPr>
        <w:spacing w:before="60"/>
        <w:contextualSpacing w:val="0"/>
        <w:rPr>
          <w:lang w:eastAsia="en-AU"/>
        </w:rPr>
      </w:pPr>
      <w:r w:rsidRPr="004F30BD">
        <w:rPr>
          <w:lang w:eastAsia="en-AU"/>
        </w:rPr>
        <w:t>Lack of clarity as to TEQSA’s scope of interest in operational matters</w:t>
      </w:r>
    </w:p>
    <w:p w14:paraId="0094F447" w14:textId="77777777" w:rsidR="00103C08" w:rsidRPr="004F30BD" w:rsidRDefault="00103C08" w:rsidP="00A06284">
      <w:pPr>
        <w:pStyle w:val="ListParagraph"/>
        <w:numPr>
          <w:ilvl w:val="0"/>
          <w:numId w:val="14"/>
        </w:numPr>
        <w:spacing w:before="60"/>
        <w:contextualSpacing w:val="0"/>
        <w:rPr>
          <w:lang w:eastAsia="en-AU"/>
        </w:rPr>
      </w:pPr>
      <w:r w:rsidRPr="004F30BD">
        <w:rPr>
          <w:lang w:eastAsia="en-AU"/>
        </w:rPr>
        <w:t>Data entry issues-mistakes and inconsistent information</w:t>
      </w:r>
    </w:p>
    <w:p w14:paraId="6D6BEA8F" w14:textId="77777777" w:rsidR="00103C08" w:rsidRPr="004F30BD" w:rsidRDefault="00F4502B" w:rsidP="00A06284">
      <w:pPr>
        <w:pStyle w:val="ListParagraph"/>
        <w:numPr>
          <w:ilvl w:val="0"/>
          <w:numId w:val="14"/>
        </w:numPr>
        <w:spacing w:before="60"/>
        <w:contextualSpacing w:val="0"/>
        <w:rPr>
          <w:lang w:eastAsia="en-AU"/>
        </w:rPr>
      </w:pPr>
      <w:r w:rsidRPr="004F30BD">
        <w:rPr>
          <w:lang w:eastAsia="en-AU"/>
        </w:rPr>
        <w:t>Case management related: n</w:t>
      </w:r>
      <w:r w:rsidR="00103C08" w:rsidRPr="004F30BD">
        <w:rPr>
          <w:lang w:eastAsia="en-AU"/>
        </w:rPr>
        <w:t xml:space="preserve">ot informed </w:t>
      </w:r>
      <w:r w:rsidRPr="004F30BD">
        <w:rPr>
          <w:lang w:eastAsia="en-AU"/>
        </w:rPr>
        <w:t>of</w:t>
      </w:r>
      <w:r w:rsidR="00103C08" w:rsidRPr="004F30BD">
        <w:rPr>
          <w:lang w:eastAsia="en-AU"/>
        </w:rPr>
        <w:t xml:space="preserve"> case manager </w:t>
      </w:r>
      <w:r w:rsidRPr="004F30BD">
        <w:rPr>
          <w:lang w:eastAsia="en-AU"/>
        </w:rPr>
        <w:t xml:space="preserve">and </w:t>
      </w:r>
      <w:r w:rsidR="00103C08" w:rsidRPr="004F30BD">
        <w:rPr>
          <w:lang w:eastAsia="en-AU"/>
        </w:rPr>
        <w:t>people with limited experience or knowledge of higher education</w:t>
      </w:r>
      <w:r w:rsidRPr="004F30BD">
        <w:rPr>
          <w:lang w:eastAsia="en-AU"/>
        </w:rPr>
        <w:t xml:space="preserve"> do assessments.</w:t>
      </w:r>
    </w:p>
    <w:p w14:paraId="60125494" w14:textId="77777777" w:rsidR="00CD45D6" w:rsidRPr="004F30BD" w:rsidRDefault="007E066F" w:rsidP="0053148E">
      <w:pPr>
        <w:pStyle w:val="Heading4"/>
      </w:pPr>
      <w:r w:rsidRPr="004F30BD">
        <w:t xml:space="preserve">KPI 2: </w:t>
      </w:r>
      <w:r w:rsidR="00CD45D6" w:rsidRPr="004F30BD">
        <w:t>TEQSA’s communication w</w:t>
      </w:r>
      <w:r w:rsidRPr="004F30BD">
        <w:t>ith your organisation is clear,</w:t>
      </w:r>
      <w:r w:rsidR="0053148E" w:rsidRPr="004F30BD">
        <w:t xml:space="preserve"> </w:t>
      </w:r>
      <w:r w:rsidR="00CD45D6" w:rsidRPr="004F30BD">
        <w:t>targeted and</w:t>
      </w:r>
      <w:r w:rsidR="00F4502B" w:rsidRPr="004F30BD">
        <w:t xml:space="preserve"> </w:t>
      </w:r>
      <w:r w:rsidR="00CD45D6" w:rsidRPr="004F30BD">
        <w:t>effective</w:t>
      </w:r>
    </w:p>
    <w:p w14:paraId="3A43950C" w14:textId="77777777" w:rsidR="008910E6" w:rsidRPr="004F30BD" w:rsidRDefault="008910E6" w:rsidP="002E4119">
      <w:pPr>
        <w:spacing w:after="120"/>
      </w:pPr>
      <w:r w:rsidRPr="004F30BD">
        <w:t>A total of 58 valid comments were offered</w:t>
      </w:r>
      <w:r w:rsidR="00F4502B" w:rsidRPr="004F30BD">
        <w:t xml:space="preserve"> with the following themes:</w:t>
      </w:r>
      <w:r w:rsidRPr="004F30BD">
        <w:t xml:space="preserve"> </w:t>
      </w:r>
    </w:p>
    <w:p w14:paraId="4DB9BAAF" w14:textId="77777777" w:rsidR="00F4502B" w:rsidRPr="004F30BD" w:rsidRDefault="00F4502B" w:rsidP="00A06284">
      <w:pPr>
        <w:pStyle w:val="ListParagraph"/>
        <w:numPr>
          <w:ilvl w:val="0"/>
          <w:numId w:val="14"/>
        </w:numPr>
        <w:spacing w:before="60"/>
        <w:contextualSpacing w:val="0"/>
        <w:rPr>
          <w:lang w:eastAsia="en-AU"/>
        </w:rPr>
      </w:pPr>
      <w:r w:rsidRPr="004F30BD">
        <w:rPr>
          <w:lang w:eastAsia="en-AU"/>
        </w:rPr>
        <w:t>Positive comments around communications (clear, targeted, helpful, appropriate) including newsletters, discussion groups, guidance notes and website</w:t>
      </w:r>
    </w:p>
    <w:p w14:paraId="693BB6CB" w14:textId="77777777" w:rsidR="008910E6" w:rsidRPr="004F30BD" w:rsidRDefault="00F4502B" w:rsidP="00A06284">
      <w:pPr>
        <w:pStyle w:val="ListParagraph"/>
        <w:numPr>
          <w:ilvl w:val="0"/>
          <w:numId w:val="14"/>
        </w:numPr>
        <w:spacing w:before="60"/>
        <w:contextualSpacing w:val="0"/>
        <w:rPr>
          <w:lang w:eastAsia="en-AU"/>
        </w:rPr>
      </w:pPr>
      <w:r w:rsidRPr="004F30BD">
        <w:rPr>
          <w:lang w:eastAsia="en-AU"/>
        </w:rPr>
        <w:t>Positive about case managers (supportive, responsive, knowledgeable) and a</w:t>
      </w:r>
      <w:r w:rsidR="008910E6" w:rsidRPr="004F30BD">
        <w:rPr>
          <w:lang w:eastAsia="en-AU"/>
        </w:rPr>
        <w:t xml:space="preserve">bility to seek further clarification </w:t>
      </w:r>
      <w:r w:rsidRPr="004F30BD">
        <w:rPr>
          <w:lang w:eastAsia="en-AU"/>
        </w:rPr>
        <w:t xml:space="preserve">through </w:t>
      </w:r>
      <w:r w:rsidR="008910E6" w:rsidRPr="004F30BD">
        <w:rPr>
          <w:lang w:eastAsia="en-AU"/>
        </w:rPr>
        <w:t xml:space="preserve">teleconference </w:t>
      </w:r>
      <w:r w:rsidRPr="004F30BD">
        <w:rPr>
          <w:lang w:eastAsia="en-AU"/>
        </w:rPr>
        <w:t xml:space="preserve">/ </w:t>
      </w:r>
      <w:r w:rsidR="008910E6" w:rsidRPr="004F30BD">
        <w:rPr>
          <w:lang w:eastAsia="en-AU"/>
        </w:rPr>
        <w:t>videoconference.</w:t>
      </w:r>
    </w:p>
    <w:p w14:paraId="32E0872D" w14:textId="77777777" w:rsidR="008910E6" w:rsidRPr="004F30BD" w:rsidRDefault="00F4502B" w:rsidP="00A06284">
      <w:pPr>
        <w:pStyle w:val="ListParagraph"/>
        <w:numPr>
          <w:ilvl w:val="0"/>
          <w:numId w:val="14"/>
        </w:numPr>
        <w:spacing w:before="60"/>
        <w:contextualSpacing w:val="0"/>
        <w:rPr>
          <w:lang w:eastAsia="en-AU"/>
        </w:rPr>
      </w:pPr>
      <w:r w:rsidRPr="004F30BD">
        <w:rPr>
          <w:lang w:eastAsia="en-AU"/>
        </w:rPr>
        <w:t>Negative about case managers (not fully trained / aware of regulations; slow / no response)</w:t>
      </w:r>
    </w:p>
    <w:p w14:paraId="6AAEA5BB" w14:textId="77777777" w:rsidR="00F4502B" w:rsidRPr="004F30BD" w:rsidRDefault="00F4502B" w:rsidP="00A06284">
      <w:pPr>
        <w:pStyle w:val="ListParagraph"/>
        <w:numPr>
          <w:ilvl w:val="0"/>
          <w:numId w:val="14"/>
        </w:numPr>
        <w:spacing w:before="60"/>
        <w:contextualSpacing w:val="0"/>
        <w:rPr>
          <w:lang w:eastAsia="en-AU"/>
        </w:rPr>
      </w:pPr>
      <w:r w:rsidRPr="004F30BD">
        <w:rPr>
          <w:lang w:eastAsia="en-AU"/>
        </w:rPr>
        <w:t>Slow / no response from TEQSA</w:t>
      </w:r>
    </w:p>
    <w:p w14:paraId="4918F5B6" w14:textId="77777777" w:rsidR="00F4502B" w:rsidRPr="004F30BD" w:rsidRDefault="00F4502B" w:rsidP="00A06284">
      <w:pPr>
        <w:pStyle w:val="ListParagraph"/>
        <w:numPr>
          <w:ilvl w:val="0"/>
          <w:numId w:val="14"/>
        </w:numPr>
        <w:spacing w:before="60"/>
        <w:contextualSpacing w:val="0"/>
        <w:rPr>
          <w:lang w:eastAsia="en-AU"/>
        </w:rPr>
      </w:pPr>
      <w:r w:rsidRPr="004F30BD">
        <w:rPr>
          <w:lang w:eastAsia="en-AU"/>
        </w:rPr>
        <w:t>TEQSA does not maintaining contact lists, so correspondence goes to wrong people</w:t>
      </w:r>
    </w:p>
    <w:p w14:paraId="5D972DD8" w14:textId="77777777" w:rsidR="00F4502B" w:rsidRPr="004F30BD" w:rsidRDefault="00F4502B" w:rsidP="00A06284">
      <w:pPr>
        <w:pStyle w:val="ListParagraph"/>
        <w:numPr>
          <w:ilvl w:val="0"/>
          <w:numId w:val="14"/>
        </w:numPr>
        <w:spacing w:before="60"/>
        <w:contextualSpacing w:val="0"/>
        <w:rPr>
          <w:lang w:eastAsia="en-AU"/>
        </w:rPr>
      </w:pPr>
      <w:r w:rsidRPr="004F30BD">
        <w:rPr>
          <w:lang w:eastAsia="en-AU"/>
        </w:rPr>
        <w:t>Vague / unclear</w:t>
      </w:r>
      <w:r w:rsidR="005B05C8" w:rsidRPr="004F30BD">
        <w:rPr>
          <w:lang w:eastAsia="en-AU"/>
        </w:rPr>
        <w:t xml:space="preserve"> / not definitive </w:t>
      </w:r>
      <w:r w:rsidRPr="004F30BD">
        <w:rPr>
          <w:lang w:eastAsia="en-AU"/>
        </w:rPr>
        <w:t>responses from TEQSA</w:t>
      </w:r>
    </w:p>
    <w:p w14:paraId="0BC6926F" w14:textId="77777777" w:rsidR="005B05C8" w:rsidRPr="004F30BD" w:rsidRDefault="005B05C8" w:rsidP="00A06284">
      <w:pPr>
        <w:pStyle w:val="ListParagraph"/>
        <w:numPr>
          <w:ilvl w:val="0"/>
          <w:numId w:val="14"/>
        </w:numPr>
        <w:spacing w:before="60"/>
        <w:contextualSpacing w:val="0"/>
        <w:rPr>
          <w:lang w:eastAsia="en-AU"/>
        </w:rPr>
      </w:pPr>
      <w:r w:rsidRPr="004F30BD">
        <w:rPr>
          <w:lang w:eastAsia="en-AU"/>
        </w:rPr>
        <w:t>Uncertainty about status of issues and processes; lack of communication.</w:t>
      </w:r>
    </w:p>
    <w:p w14:paraId="5BEC736E" w14:textId="77777777" w:rsidR="005B05C8" w:rsidRPr="004F30BD" w:rsidRDefault="005B05C8" w:rsidP="00A06284">
      <w:pPr>
        <w:pStyle w:val="ListParagraph"/>
        <w:numPr>
          <w:ilvl w:val="0"/>
          <w:numId w:val="14"/>
        </w:numPr>
        <w:spacing w:before="60"/>
        <w:contextualSpacing w:val="0"/>
        <w:rPr>
          <w:lang w:eastAsia="en-AU"/>
        </w:rPr>
      </w:pPr>
      <w:r w:rsidRPr="004F30BD">
        <w:rPr>
          <w:lang w:eastAsia="en-AU"/>
        </w:rPr>
        <w:t>Hard to find information on website</w:t>
      </w:r>
    </w:p>
    <w:p w14:paraId="19152B44" w14:textId="77777777" w:rsidR="005B05C8" w:rsidRPr="004F30BD" w:rsidRDefault="005B05C8" w:rsidP="00A06284">
      <w:pPr>
        <w:pStyle w:val="ListParagraph"/>
        <w:numPr>
          <w:ilvl w:val="0"/>
          <w:numId w:val="14"/>
        </w:numPr>
        <w:spacing w:before="60"/>
        <w:contextualSpacing w:val="0"/>
        <w:rPr>
          <w:lang w:eastAsia="en-AU"/>
        </w:rPr>
      </w:pPr>
      <w:r w:rsidRPr="004F30BD">
        <w:rPr>
          <w:lang w:eastAsia="en-AU"/>
        </w:rPr>
        <w:t>Complaints handling needs to be more transparent</w:t>
      </w:r>
      <w:r w:rsidR="002E4119" w:rsidRPr="004F30BD">
        <w:rPr>
          <w:lang w:eastAsia="en-AU"/>
        </w:rPr>
        <w:t>.</w:t>
      </w:r>
    </w:p>
    <w:p w14:paraId="5C297D2F" w14:textId="77777777" w:rsidR="00822AB9" w:rsidRPr="004F30BD" w:rsidRDefault="00822AB9" w:rsidP="0053148E">
      <w:pPr>
        <w:pStyle w:val="Heading4"/>
      </w:pPr>
      <w:r w:rsidRPr="004F30BD">
        <w:t>KPI 3</w:t>
      </w:r>
      <w:r w:rsidR="005B05C8" w:rsidRPr="004F30BD">
        <w:t xml:space="preserve">: </w:t>
      </w:r>
      <w:r w:rsidR="00F10289" w:rsidRPr="004F30BD">
        <w:t>Regulatory actions undertaken by TEQSA are proportionate to the risks being managed</w:t>
      </w:r>
    </w:p>
    <w:p w14:paraId="3EB457BB" w14:textId="77777777" w:rsidR="008910E6" w:rsidRPr="004F30BD" w:rsidRDefault="008910E6" w:rsidP="002E4119">
      <w:pPr>
        <w:spacing w:after="120"/>
      </w:pPr>
      <w:r w:rsidRPr="004F30BD">
        <w:t>A total of 32 valid comments were offered</w:t>
      </w:r>
      <w:r w:rsidR="005B05C8" w:rsidRPr="004F30BD">
        <w:t xml:space="preserve"> with the following themes:</w:t>
      </w:r>
    </w:p>
    <w:p w14:paraId="27966ABD" w14:textId="77777777" w:rsidR="008910E6" w:rsidRPr="004F30BD" w:rsidRDefault="005B05C8" w:rsidP="00A06284">
      <w:pPr>
        <w:pStyle w:val="ListParagraph"/>
        <w:numPr>
          <w:ilvl w:val="0"/>
          <w:numId w:val="14"/>
        </w:numPr>
        <w:spacing w:before="60"/>
        <w:contextualSpacing w:val="0"/>
        <w:rPr>
          <w:lang w:eastAsia="en-AU"/>
        </w:rPr>
      </w:pPr>
      <w:r w:rsidRPr="004F30BD">
        <w:rPr>
          <w:lang w:eastAsia="en-AU"/>
        </w:rPr>
        <w:t>Positive around r</w:t>
      </w:r>
      <w:r w:rsidR="008910E6" w:rsidRPr="004F30BD">
        <w:rPr>
          <w:lang w:eastAsia="en-AU"/>
        </w:rPr>
        <w:t>egulation applied appropriately / proportionate</w:t>
      </w:r>
      <w:r w:rsidRPr="004F30BD">
        <w:rPr>
          <w:lang w:eastAsia="en-AU"/>
        </w:rPr>
        <w:t>ly and treatment of low risk providers</w:t>
      </w:r>
    </w:p>
    <w:p w14:paraId="5089AB47" w14:textId="77777777" w:rsidR="008910E6" w:rsidRPr="004F30BD" w:rsidRDefault="008910E6" w:rsidP="00A06284">
      <w:pPr>
        <w:pStyle w:val="ListParagraph"/>
        <w:numPr>
          <w:ilvl w:val="0"/>
          <w:numId w:val="14"/>
        </w:numPr>
        <w:spacing w:before="60"/>
        <w:contextualSpacing w:val="0"/>
        <w:rPr>
          <w:lang w:eastAsia="en-AU"/>
        </w:rPr>
      </w:pPr>
      <w:r w:rsidRPr="004F30BD">
        <w:rPr>
          <w:lang w:eastAsia="en-AU"/>
        </w:rPr>
        <w:t xml:space="preserve">Need for greater specificity on risk thresholds </w:t>
      </w:r>
    </w:p>
    <w:p w14:paraId="4C7C9BBB" w14:textId="77777777" w:rsidR="008910E6" w:rsidRPr="004F30BD" w:rsidRDefault="005B05C8" w:rsidP="00A06284">
      <w:pPr>
        <w:pStyle w:val="ListParagraph"/>
        <w:numPr>
          <w:ilvl w:val="0"/>
          <w:numId w:val="14"/>
        </w:numPr>
        <w:spacing w:before="60"/>
        <w:contextualSpacing w:val="0"/>
        <w:rPr>
          <w:lang w:eastAsia="en-AU"/>
        </w:rPr>
      </w:pPr>
      <w:r w:rsidRPr="004F30BD">
        <w:rPr>
          <w:lang w:eastAsia="en-AU"/>
        </w:rPr>
        <w:t>R</w:t>
      </w:r>
      <w:r w:rsidR="008910E6" w:rsidRPr="004F30BD">
        <w:rPr>
          <w:lang w:eastAsia="en-AU"/>
        </w:rPr>
        <w:t>isk</w:t>
      </w:r>
      <w:r w:rsidRPr="004F30BD">
        <w:rPr>
          <w:lang w:eastAsia="en-AU"/>
        </w:rPr>
        <w:t xml:space="preserve"> assessments need to be</w:t>
      </w:r>
      <w:r w:rsidR="008910E6" w:rsidRPr="004F30BD">
        <w:rPr>
          <w:lang w:eastAsia="en-AU"/>
        </w:rPr>
        <w:t xml:space="preserve"> based on current information </w:t>
      </w:r>
      <w:r w:rsidRPr="004F30BD">
        <w:rPr>
          <w:lang w:eastAsia="en-AU"/>
        </w:rPr>
        <w:t>and using</w:t>
      </w:r>
      <w:r w:rsidR="008910E6" w:rsidRPr="004F30BD">
        <w:rPr>
          <w:lang w:eastAsia="en-AU"/>
        </w:rPr>
        <w:t xml:space="preserve"> valid and robust data</w:t>
      </w:r>
      <w:r w:rsidRPr="004F30BD">
        <w:rPr>
          <w:lang w:eastAsia="en-AU"/>
        </w:rPr>
        <w:t xml:space="preserve"> (not small samples and minor changes)</w:t>
      </w:r>
    </w:p>
    <w:p w14:paraId="636F4613" w14:textId="77777777" w:rsidR="008910E6" w:rsidRPr="004F30BD" w:rsidRDefault="008910E6" w:rsidP="00A06284">
      <w:pPr>
        <w:pStyle w:val="ListParagraph"/>
        <w:numPr>
          <w:ilvl w:val="0"/>
          <w:numId w:val="14"/>
        </w:numPr>
        <w:spacing w:before="60"/>
        <w:contextualSpacing w:val="0"/>
        <w:rPr>
          <w:lang w:eastAsia="en-AU"/>
        </w:rPr>
      </w:pPr>
      <w:r w:rsidRPr="004F30BD">
        <w:rPr>
          <w:lang w:eastAsia="en-AU"/>
        </w:rPr>
        <w:t>Consider more frequent but lighter touch assessments</w:t>
      </w:r>
      <w:r w:rsidR="005B05C8" w:rsidRPr="004F30BD">
        <w:rPr>
          <w:lang w:eastAsia="en-AU"/>
        </w:rPr>
        <w:t xml:space="preserve"> / too heavy handed</w:t>
      </w:r>
    </w:p>
    <w:p w14:paraId="3EE02B62" w14:textId="77777777" w:rsidR="008910E6" w:rsidRPr="004F30BD" w:rsidRDefault="005B05C8" w:rsidP="00A06284">
      <w:pPr>
        <w:pStyle w:val="ListParagraph"/>
        <w:numPr>
          <w:ilvl w:val="0"/>
          <w:numId w:val="14"/>
        </w:numPr>
        <w:spacing w:before="60"/>
        <w:contextualSpacing w:val="0"/>
        <w:rPr>
          <w:lang w:eastAsia="en-AU"/>
        </w:rPr>
      </w:pPr>
      <w:r w:rsidRPr="004F30BD">
        <w:rPr>
          <w:lang w:eastAsia="en-AU"/>
        </w:rPr>
        <w:t>Poor</w:t>
      </w:r>
      <w:r w:rsidR="008910E6" w:rsidRPr="004F30BD">
        <w:rPr>
          <w:lang w:eastAsia="en-AU"/>
        </w:rPr>
        <w:t xml:space="preserve"> understanding of risk </w:t>
      </w:r>
    </w:p>
    <w:p w14:paraId="38ED1855" w14:textId="77777777" w:rsidR="008910E6" w:rsidRPr="004F30BD" w:rsidRDefault="008910E6" w:rsidP="00A06284">
      <w:pPr>
        <w:pStyle w:val="ListParagraph"/>
        <w:numPr>
          <w:ilvl w:val="0"/>
          <w:numId w:val="14"/>
        </w:numPr>
        <w:spacing w:before="60"/>
        <w:contextualSpacing w:val="0"/>
        <w:rPr>
          <w:lang w:eastAsia="en-AU"/>
        </w:rPr>
      </w:pPr>
      <w:r w:rsidRPr="004F30BD">
        <w:rPr>
          <w:lang w:eastAsia="en-AU"/>
        </w:rPr>
        <w:t>Don’t take adequate account of the differences in the level of resourcing between large and small providers</w:t>
      </w:r>
    </w:p>
    <w:p w14:paraId="7ACB4486" w14:textId="77777777" w:rsidR="008910E6" w:rsidRPr="004F30BD" w:rsidRDefault="008910E6" w:rsidP="00A06284">
      <w:pPr>
        <w:pStyle w:val="ListParagraph"/>
        <w:numPr>
          <w:ilvl w:val="0"/>
          <w:numId w:val="14"/>
        </w:numPr>
        <w:spacing w:before="60"/>
        <w:contextualSpacing w:val="0"/>
        <w:rPr>
          <w:lang w:eastAsia="en-AU"/>
        </w:rPr>
      </w:pPr>
      <w:r w:rsidRPr="004F30BD">
        <w:rPr>
          <w:lang w:eastAsia="en-AU"/>
        </w:rPr>
        <w:t>Don’t place enough importance on past track record / role of a specific institution</w:t>
      </w:r>
    </w:p>
    <w:p w14:paraId="6310CC1A" w14:textId="77777777" w:rsidR="008910E6" w:rsidRPr="004F30BD" w:rsidRDefault="008910E6" w:rsidP="00A06284">
      <w:pPr>
        <w:pStyle w:val="ListParagraph"/>
        <w:numPr>
          <w:ilvl w:val="0"/>
          <w:numId w:val="14"/>
        </w:numPr>
        <w:spacing w:before="60"/>
        <w:contextualSpacing w:val="0"/>
        <w:rPr>
          <w:lang w:eastAsia="en-AU"/>
        </w:rPr>
      </w:pPr>
      <w:r w:rsidRPr="004F30BD">
        <w:rPr>
          <w:lang w:eastAsia="en-AU"/>
        </w:rPr>
        <w:t>Turnaround times on regulatory decisions could improve</w:t>
      </w:r>
    </w:p>
    <w:p w14:paraId="1672F25D" w14:textId="77777777" w:rsidR="008910E6" w:rsidRPr="004F30BD" w:rsidRDefault="008910E6" w:rsidP="00A06284">
      <w:pPr>
        <w:pStyle w:val="ListParagraph"/>
        <w:numPr>
          <w:ilvl w:val="0"/>
          <w:numId w:val="14"/>
        </w:numPr>
        <w:spacing w:before="60"/>
        <w:contextualSpacing w:val="0"/>
        <w:rPr>
          <w:lang w:eastAsia="en-AU"/>
        </w:rPr>
      </w:pPr>
      <w:r w:rsidRPr="004F30BD">
        <w:rPr>
          <w:lang w:eastAsia="en-AU"/>
        </w:rPr>
        <w:t>Some risk actions not proportionate or equitable between providers</w:t>
      </w:r>
    </w:p>
    <w:p w14:paraId="52C8A95C" w14:textId="77777777" w:rsidR="008910E6" w:rsidRPr="004F30BD" w:rsidRDefault="008910E6" w:rsidP="00A06284">
      <w:pPr>
        <w:pStyle w:val="ListParagraph"/>
        <w:numPr>
          <w:ilvl w:val="0"/>
          <w:numId w:val="14"/>
        </w:numPr>
        <w:spacing w:before="60"/>
        <w:contextualSpacing w:val="0"/>
        <w:rPr>
          <w:lang w:eastAsia="en-AU"/>
        </w:rPr>
      </w:pPr>
      <w:r w:rsidRPr="004F30BD">
        <w:rPr>
          <w:lang w:eastAsia="en-AU"/>
        </w:rPr>
        <w:t>Bias against private providers.</w:t>
      </w:r>
    </w:p>
    <w:p w14:paraId="77160483" w14:textId="77777777" w:rsidR="0093462C" w:rsidRPr="004F30BD" w:rsidRDefault="0093462C" w:rsidP="00A771BA">
      <w:pPr>
        <w:pStyle w:val="Heading4"/>
      </w:pPr>
      <w:r w:rsidRPr="004F30BD">
        <w:t>KPI 4</w:t>
      </w:r>
      <w:r w:rsidR="00EC5538" w:rsidRPr="004F30BD">
        <w:t xml:space="preserve">: </w:t>
      </w:r>
      <w:r w:rsidR="00277D39" w:rsidRPr="004F30BD">
        <w:t>TEQSA’s compliance and monitoring approaches for higher education providers are streamlined and co-ordinated</w:t>
      </w:r>
    </w:p>
    <w:p w14:paraId="22B80A7B" w14:textId="77777777" w:rsidR="008910E6" w:rsidRPr="004F30BD" w:rsidRDefault="008910E6" w:rsidP="002E4119">
      <w:pPr>
        <w:spacing w:after="120"/>
      </w:pPr>
      <w:r w:rsidRPr="004F30BD">
        <w:t>A total of 51 valid comments were offered</w:t>
      </w:r>
      <w:r w:rsidR="005B05C8" w:rsidRPr="004F30BD">
        <w:t xml:space="preserve"> with the following themes:</w:t>
      </w:r>
    </w:p>
    <w:p w14:paraId="0976D1F3" w14:textId="77777777" w:rsidR="005B05C8" w:rsidRPr="004F30BD" w:rsidRDefault="005B05C8" w:rsidP="00A06284">
      <w:pPr>
        <w:pStyle w:val="ListParagraph"/>
        <w:numPr>
          <w:ilvl w:val="0"/>
          <w:numId w:val="14"/>
        </w:numPr>
        <w:spacing w:before="60"/>
        <w:contextualSpacing w:val="0"/>
        <w:rPr>
          <w:lang w:eastAsia="en-AU"/>
        </w:rPr>
      </w:pPr>
      <w:r w:rsidRPr="004F30BD">
        <w:rPr>
          <w:lang w:eastAsia="en-AU"/>
        </w:rPr>
        <w:t>Improved automated data collection and re-use of existing information.</w:t>
      </w:r>
    </w:p>
    <w:p w14:paraId="2E6112C6" w14:textId="77777777" w:rsidR="008910E6" w:rsidRPr="004F30BD" w:rsidRDefault="008910E6" w:rsidP="00A06284">
      <w:pPr>
        <w:pStyle w:val="ListParagraph"/>
        <w:numPr>
          <w:ilvl w:val="0"/>
          <w:numId w:val="14"/>
        </w:numPr>
        <w:spacing w:before="60"/>
        <w:contextualSpacing w:val="0"/>
        <w:rPr>
          <w:lang w:eastAsia="en-AU"/>
        </w:rPr>
      </w:pPr>
      <w:r w:rsidRPr="004F30BD">
        <w:rPr>
          <w:lang w:eastAsia="en-AU"/>
        </w:rPr>
        <w:t>Provider visits well-coordinated</w:t>
      </w:r>
    </w:p>
    <w:p w14:paraId="5D19F1F2" w14:textId="17A8720A" w:rsidR="00B71AF7" w:rsidRPr="004F30BD" w:rsidRDefault="00B71AF7" w:rsidP="00A06284">
      <w:pPr>
        <w:pStyle w:val="ListParagraph"/>
        <w:numPr>
          <w:ilvl w:val="0"/>
          <w:numId w:val="14"/>
        </w:numPr>
        <w:spacing w:before="60"/>
        <w:contextualSpacing w:val="0"/>
        <w:rPr>
          <w:lang w:eastAsia="en-AU"/>
        </w:rPr>
      </w:pPr>
      <w:r w:rsidRPr="004F30BD">
        <w:rPr>
          <w:lang w:eastAsia="en-AU"/>
        </w:rPr>
        <w:lastRenderedPageBreak/>
        <w:t>More streamlining required especially with ASQA, around CRICOS and professional bodies</w:t>
      </w:r>
    </w:p>
    <w:p w14:paraId="4763BDB6" w14:textId="77777777" w:rsidR="00B71AF7" w:rsidRPr="004F30BD" w:rsidRDefault="00B71AF7" w:rsidP="00A06284">
      <w:pPr>
        <w:pStyle w:val="ListParagraph"/>
        <w:numPr>
          <w:ilvl w:val="0"/>
          <w:numId w:val="14"/>
        </w:numPr>
        <w:spacing w:before="60"/>
        <w:contextualSpacing w:val="0"/>
        <w:rPr>
          <w:lang w:eastAsia="en-AU"/>
        </w:rPr>
      </w:pPr>
      <w:r w:rsidRPr="004F30BD">
        <w:rPr>
          <w:lang w:eastAsia="en-AU"/>
        </w:rPr>
        <w:t>TEQSA staff issues (case manager churn; disorganised; lack skills; inconsistent)</w:t>
      </w:r>
    </w:p>
    <w:p w14:paraId="5871BF11" w14:textId="77777777" w:rsidR="008910E6" w:rsidRPr="004F30BD" w:rsidRDefault="008910E6" w:rsidP="00A06284">
      <w:pPr>
        <w:pStyle w:val="ListParagraph"/>
        <w:numPr>
          <w:ilvl w:val="0"/>
          <w:numId w:val="14"/>
        </w:numPr>
        <w:spacing w:before="60"/>
        <w:contextualSpacing w:val="0"/>
        <w:rPr>
          <w:lang w:eastAsia="en-AU"/>
        </w:rPr>
      </w:pPr>
      <w:r w:rsidRPr="004F30BD">
        <w:rPr>
          <w:lang w:eastAsia="en-AU"/>
        </w:rPr>
        <w:t>Lack of clarity as to what is wanted in response to requests / questions</w:t>
      </w:r>
    </w:p>
    <w:p w14:paraId="1EBBC1C0" w14:textId="77777777" w:rsidR="008910E6" w:rsidRPr="004F30BD" w:rsidRDefault="008910E6" w:rsidP="00A06284">
      <w:pPr>
        <w:pStyle w:val="ListParagraph"/>
        <w:numPr>
          <w:ilvl w:val="0"/>
          <w:numId w:val="14"/>
        </w:numPr>
        <w:spacing w:before="60"/>
        <w:contextualSpacing w:val="0"/>
        <w:rPr>
          <w:lang w:eastAsia="en-AU"/>
        </w:rPr>
      </w:pPr>
      <w:r w:rsidRPr="004F30BD">
        <w:rPr>
          <w:lang w:eastAsia="en-AU"/>
        </w:rPr>
        <w:t>Need to communicate with nominated institutional contact,</w:t>
      </w:r>
    </w:p>
    <w:p w14:paraId="24049CAC" w14:textId="77777777" w:rsidR="008910E6" w:rsidRPr="004F30BD" w:rsidRDefault="008910E6" w:rsidP="00A06284">
      <w:pPr>
        <w:pStyle w:val="ListParagraph"/>
        <w:numPr>
          <w:ilvl w:val="0"/>
          <w:numId w:val="14"/>
        </w:numPr>
        <w:spacing w:before="60"/>
        <w:contextualSpacing w:val="0"/>
        <w:rPr>
          <w:lang w:eastAsia="en-AU"/>
        </w:rPr>
      </w:pPr>
      <w:r w:rsidRPr="004F30BD">
        <w:rPr>
          <w:lang w:eastAsia="en-AU"/>
        </w:rPr>
        <w:t>Slow to respond to submissions / approve minor changes</w:t>
      </w:r>
    </w:p>
    <w:p w14:paraId="5FFB359E" w14:textId="77777777" w:rsidR="008910E6" w:rsidRPr="004F30BD" w:rsidRDefault="008910E6" w:rsidP="00A06284">
      <w:pPr>
        <w:pStyle w:val="ListParagraph"/>
        <w:numPr>
          <w:ilvl w:val="0"/>
          <w:numId w:val="14"/>
        </w:numPr>
        <w:spacing w:before="60"/>
        <w:contextualSpacing w:val="0"/>
        <w:rPr>
          <w:lang w:eastAsia="en-AU"/>
        </w:rPr>
      </w:pPr>
      <w:r w:rsidRPr="004F30BD">
        <w:rPr>
          <w:lang w:eastAsia="en-AU"/>
        </w:rPr>
        <w:t>Outdated risk assessments</w:t>
      </w:r>
    </w:p>
    <w:p w14:paraId="4344E503" w14:textId="77777777" w:rsidR="008910E6" w:rsidRPr="004F30BD" w:rsidRDefault="008910E6" w:rsidP="00A06284">
      <w:pPr>
        <w:pStyle w:val="ListParagraph"/>
        <w:numPr>
          <w:ilvl w:val="0"/>
          <w:numId w:val="14"/>
        </w:numPr>
        <w:spacing w:before="60"/>
        <w:contextualSpacing w:val="0"/>
        <w:rPr>
          <w:lang w:eastAsia="en-AU"/>
        </w:rPr>
      </w:pPr>
      <w:r w:rsidRPr="004F30BD">
        <w:rPr>
          <w:lang w:eastAsia="en-AU"/>
        </w:rPr>
        <w:t>Insufficient ongoing monitoring once approvals given</w:t>
      </w:r>
      <w:r w:rsidR="002E4119" w:rsidRPr="004F30BD">
        <w:rPr>
          <w:lang w:eastAsia="en-AU"/>
        </w:rPr>
        <w:t>.</w:t>
      </w:r>
    </w:p>
    <w:p w14:paraId="45126C2C" w14:textId="77777777" w:rsidR="00D52BC8" w:rsidRPr="004F30BD" w:rsidRDefault="00EC5538" w:rsidP="001805F6">
      <w:pPr>
        <w:pStyle w:val="Heading4"/>
        <w:spacing w:before="360"/>
      </w:pPr>
      <w:r w:rsidRPr="004F30BD">
        <w:t xml:space="preserve">KPI 5: </w:t>
      </w:r>
      <w:r w:rsidR="00BE682A" w:rsidRPr="004F30BD">
        <w:t>TEQSA is open, transparent and consistent in its dealings with your organisation</w:t>
      </w:r>
    </w:p>
    <w:p w14:paraId="6ECCA3C8" w14:textId="77777777" w:rsidR="008910E6" w:rsidRPr="004F30BD" w:rsidRDefault="008910E6" w:rsidP="002E4119">
      <w:pPr>
        <w:spacing w:after="120"/>
      </w:pPr>
      <w:r w:rsidRPr="004F30BD">
        <w:t>A total of 40 valid comments were offered</w:t>
      </w:r>
      <w:r w:rsidR="001F3C09" w:rsidRPr="004F30BD">
        <w:t xml:space="preserve"> with the following themes:</w:t>
      </w:r>
    </w:p>
    <w:p w14:paraId="3BB41AA8" w14:textId="77777777" w:rsidR="008910E6" w:rsidRPr="004F30BD" w:rsidRDefault="001F3C09" w:rsidP="00A06284">
      <w:pPr>
        <w:pStyle w:val="ListParagraph"/>
        <w:numPr>
          <w:ilvl w:val="0"/>
          <w:numId w:val="14"/>
        </w:numPr>
        <w:spacing w:before="60"/>
        <w:contextualSpacing w:val="0"/>
        <w:rPr>
          <w:lang w:eastAsia="en-AU"/>
        </w:rPr>
      </w:pPr>
      <w:r w:rsidRPr="004F30BD">
        <w:rPr>
          <w:lang w:eastAsia="en-AU"/>
        </w:rPr>
        <w:t xml:space="preserve">Interactions with </w:t>
      </w:r>
      <w:r w:rsidR="008910E6" w:rsidRPr="004F30BD">
        <w:rPr>
          <w:lang w:eastAsia="en-AU"/>
        </w:rPr>
        <w:t>TEQSA senior staff / case manager improved</w:t>
      </w:r>
    </w:p>
    <w:p w14:paraId="076F6132" w14:textId="77777777" w:rsidR="008910E6" w:rsidRPr="004F30BD" w:rsidRDefault="008910E6" w:rsidP="00A06284">
      <w:pPr>
        <w:pStyle w:val="ListParagraph"/>
        <w:numPr>
          <w:ilvl w:val="0"/>
          <w:numId w:val="14"/>
        </w:numPr>
        <w:spacing w:before="60"/>
        <w:contextualSpacing w:val="0"/>
        <w:rPr>
          <w:lang w:eastAsia="en-AU"/>
        </w:rPr>
      </w:pPr>
      <w:r w:rsidRPr="004F30BD">
        <w:rPr>
          <w:lang w:eastAsia="en-AU"/>
        </w:rPr>
        <w:t>Email responses are clear</w:t>
      </w:r>
    </w:p>
    <w:p w14:paraId="56F07D8D" w14:textId="77777777" w:rsidR="008910E6" w:rsidRPr="004F30BD" w:rsidRDefault="001F3C09" w:rsidP="00A06284">
      <w:pPr>
        <w:pStyle w:val="ListParagraph"/>
        <w:numPr>
          <w:ilvl w:val="0"/>
          <w:numId w:val="14"/>
        </w:numPr>
        <w:spacing w:before="60"/>
        <w:contextualSpacing w:val="0"/>
        <w:rPr>
          <w:lang w:eastAsia="en-AU"/>
        </w:rPr>
      </w:pPr>
      <w:r w:rsidRPr="004F30BD">
        <w:rPr>
          <w:lang w:eastAsia="en-AU"/>
        </w:rPr>
        <w:t>Clearer direction from TEQSA</w:t>
      </w:r>
      <w:r w:rsidR="008910E6" w:rsidRPr="004F30BD">
        <w:rPr>
          <w:lang w:eastAsia="en-AU"/>
        </w:rPr>
        <w:t xml:space="preserve"> when issuing formal requests for information </w:t>
      </w:r>
    </w:p>
    <w:p w14:paraId="630D6183" w14:textId="77777777" w:rsidR="008910E6" w:rsidRPr="004F30BD" w:rsidRDefault="008910E6" w:rsidP="00A06284">
      <w:pPr>
        <w:pStyle w:val="ListParagraph"/>
        <w:numPr>
          <w:ilvl w:val="0"/>
          <w:numId w:val="14"/>
        </w:numPr>
        <w:spacing w:before="60"/>
        <w:contextualSpacing w:val="0"/>
        <w:rPr>
          <w:lang w:eastAsia="en-AU"/>
        </w:rPr>
      </w:pPr>
      <w:r w:rsidRPr="004F30BD">
        <w:rPr>
          <w:lang w:eastAsia="en-AU"/>
        </w:rPr>
        <w:t>TEQSA / case managers not transparent</w:t>
      </w:r>
      <w:r w:rsidR="001F3C09" w:rsidRPr="004F30BD">
        <w:rPr>
          <w:lang w:eastAsia="en-AU"/>
        </w:rPr>
        <w:t xml:space="preserve"> including</w:t>
      </w:r>
      <w:r w:rsidRPr="004F30BD">
        <w:rPr>
          <w:lang w:eastAsia="en-AU"/>
        </w:rPr>
        <w:t xml:space="preserve"> about standards </w:t>
      </w:r>
      <w:r w:rsidR="001F3C09" w:rsidRPr="004F30BD">
        <w:rPr>
          <w:lang w:eastAsia="en-AU"/>
        </w:rPr>
        <w:t xml:space="preserve">and </w:t>
      </w:r>
      <w:r w:rsidRPr="004F30BD">
        <w:rPr>
          <w:lang w:eastAsia="en-AU"/>
        </w:rPr>
        <w:t>specific nature of a complaint</w:t>
      </w:r>
      <w:r w:rsidR="001F3C09" w:rsidRPr="004F30BD">
        <w:rPr>
          <w:lang w:eastAsia="en-AU"/>
        </w:rPr>
        <w:t>; the result is rework</w:t>
      </w:r>
    </w:p>
    <w:p w14:paraId="1362CFE2" w14:textId="77777777" w:rsidR="008910E6" w:rsidRPr="004F30BD" w:rsidRDefault="008910E6" w:rsidP="00A06284">
      <w:pPr>
        <w:pStyle w:val="ListParagraph"/>
        <w:numPr>
          <w:ilvl w:val="0"/>
          <w:numId w:val="14"/>
        </w:numPr>
        <w:spacing w:before="60"/>
        <w:contextualSpacing w:val="0"/>
        <w:rPr>
          <w:lang w:eastAsia="en-AU"/>
        </w:rPr>
      </w:pPr>
      <w:r w:rsidRPr="004F30BD">
        <w:rPr>
          <w:lang w:eastAsia="en-AU"/>
        </w:rPr>
        <w:t xml:space="preserve">Lack of updates / follow-up on progress of requests </w:t>
      </w:r>
      <w:r w:rsidR="001F3C09" w:rsidRPr="004F30BD">
        <w:rPr>
          <w:lang w:eastAsia="en-AU"/>
        </w:rPr>
        <w:t>and</w:t>
      </w:r>
      <w:r w:rsidRPr="004F30BD">
        <w:rPr>
          <w:lang w:eastAsia="en-AU"/>
        </w:rPr>
        <w:t xml:space="preserve"> submissions</w:t>
      </w:r>
    </w:p>
    <w:p w14:paraId="50CDDD27" w14:textId="77777777" w:rsidR="008910E6" w:rsidRPr="004F30BD" w:rsidRDefault="001F3C09" w:rsidP="00A06284">
      <w:pPr>
        <w:pStyle w:val="ListParagraph"/>
        <w:numPr>
          <w:ilvl w:val="0"/>
          <w:numId w:val="14"/>
        </w:numPr>
        <w:spacing w:before="60"/>
        <w:contextualSpacing w:val="0"/>
        <w:rPr>
          <w:lang w:eastAsia="en-AU"/>
        </w:rPr>
      </w:pPr>
      <w:r w:rsidRPr="004F30BD">
        <w:rPr>
          <w:lang w:eastAsia="en-AU"/>
        </w:rPr>
        <w:t>Ca</w:t>
      </w:r>
      <w:r w:rsidR="008910E6" w:rsidRPr="004F30BD">
        <w:rPr>
          <w:lang w:eastAsia="en-AU"/>
        </w:rPr>
        <w:t xml:space="preserve">se managers confusing </w:t>
      </w:r>
      <w:r w:rsidRPr="004F30BD">
        <w:rPr>
          <w:lang w:eastAsia="en-AU"/>
        </w:rPr>
        <w:t xml:space="preserve">and not </w:t>
      </w:r>
      <w:r w:rsidR="008910E6" w:rsidRPr="004F30BD">
        <w:rPr>
          <w:lang w:eastAsia="en-AU"/>
        </w:rPr>
        <w:t>consisten</w:t>
      </w:r>
      <w:r w:rsidRPr="004F30BD">
        <w:rPr>
          <w:lang w:eastAsia="en-AU"/>
        </w:rPr>
        <w:t>t</w:t>
      </w:r>
    </w:p>
    <w:p w14:paraId="04AA0906" w14:textId="77777777" w:rsidR="008910E6" w:rsidRPr="004F30BD" w:rsidRDefault="008910E6" w:rsidP="00A06284">
      <w:pPr>
        <w:pStyle w:val="ListParagraph"/>
        <w:numPr>
          <w:ilvl w:val="0"/>
          <w:numId w:val="14"/>
        </w:numPr>
        <w:spacing w:before="60"/>
        <w:contextualSpacing w:val="0"/>
        <w:rPr>
          <w:lang w:eastAsia="en-AU"/>
        </w:rPr>
      </w:pPr>
      <w:r w:rsidRPr="004F30BD">
        <w:rPr>
          <w:lang w:eastAsia="en-AU"/>
        </w:rPr>
        <w:t xml:space="preserve">Dealings / operating model lacks integrity </w:t>
      </w:r>
    </w:p>
    <w:p w14:paraId="0A28D538" w14:textId="77777777" w:rsidR="008910E6" w:rsidRPr="004F30BD" w:rsidRDefault="001F3C09" w:rsidP="00A06284">
      <w:pPr>
        <w:pStyle w:val="ListParagraph"/>
        <w:numPr>
          <w:ilvl w:val="0"/>
          <w:numId w:val="14"/>
        </w:numPr>
        <w:spacing w:before="60"/>
        <w:contextualSpacing w:val="0"/>
        <w:rPr>
          <w:lang w:eastAsia="en-AU"/>
        </w:rPr>
      </w:pPr>
      <w:r w:rsidRPr="004F30BD">
        <w:rPr>
          <w:lang w:eastAsia="en-AU"/>
        </w:rPr>
        <w:t>TEQSA d</w:t>
      </w:r>
      <w:r w:rsidR="008910E6" w:rsidRPr="004F30BD">
        <w:rPr>
          <w:lang w:eastAsia="en-AU"/>
        </w:rPr>
        <w:t>efensive when significant errors made.</w:t>
      </w:r>
    </w:p>
    <w:p w14:paraId="5B8874FF" w14:textId="77777777" w:rsidR="000143E3" w:rsidRPr="004F30BD" w:rsidRDefault="000143E3" w:rsidP="00C3524C">
      <w:pPr>
        <w:pStyle w:val="Heading4"/>
      </w:pPr>
      <w:r w:rsidRPr="004F30BD">
        <w:t xml:space="preserve">KPI 6 - </w:t>
      </w:r>
      <w:r w:rsidR="00BE682A" w:rsidRPr="004F30BD">
        <w:t>TEQSA continues to improve its regulatory framework in consultation with your organisation</w:t>
      </w:r>
    </w:p>
    <w:p w14:paraId="1CFD488F" w14:textId="77777777" w:rsidR="008910E6" w:rsidRPr="004F30BD" w:rsidRDefault="008910E6" w:rsidP="002E4119">
      <w:pPr>
        <w:spacing w:after="120"/>
      </w:pPr>
      <w:r w:rsidRPr="004F30BD">
        <w:t>A total of 39 valid comments were offered</w:t>
      </w:r>
      <w:r w:rsidR="001F3C09" w:rsidRPr="004F30BD">
        <w:t xml:space="preserve"> with the following themes</w:t>
      </w:r>
      <w:r w:rsidRPr="004F30BD">
        <w:t xml:space="preserve">. </w:t>
      </w:r>
    </w:p>
    <w:p w14:paraId="3BD55B55" w14:textId="77777777" w:rsidR="008910E6" w:rsidRPr="004F30BD" w:rsidRDefault="008910E6" w:rsidP="00A06284">
      <w:pPr>
        <w:pStyle w:val="ListParagraph"/>
        <w:numPr>
          <w:ilvl w:val="0"/>
          <w:numId w:val="14"/>
        </w:numPr>
        <w:spacing w:before="60"/>
        <w:contextualSpacing w:val="0"/>
        <w:rPr>
          <w:lang w:eastAsia="en-AU"/>
        </w:rPr>
      </w:pPr>
      <w:r w:rsidRPr="004F30BD">
        <w:rPr>
          <w:lang w:eastAsia="en-AU"/>
        </w:rPr>
        <w:t>Consultation is strong / effective / improving over last year</w:t>
      </w:r>
    </w:p>
    <w:p w14:paraId="031DAD5D" w14:textId="77777777" w:rsidR="008910E6" w:rsidRPr="004F30BD" w:rsidRDefault="008910E6" w:rsidP="00A06284">
      <w:pPr>
        <w:pStyle w:val="ListParagraph"/>
        <w:numPr>
          <w:ilvl w:val="0"/>
          <w:numId w:val="14"/>
        </w:numPr>
        <w:spacing w:before="60"/>
        <w:contextualSpacing w:val="0"/>
        <w:rPr>
          <w:lang w:eastAsia="en-AU"/>
        </w:rPr>
      </w:pPr>
      <w:r w:rsidRPr="004F30BD">
        <w:rPr>
          <w:lang w:eastAsia="en-AU"/>
        </w:rPr>
        <w:t xml:space="preserve">Workshops are valuable </w:t>
      </w:r>
      <w:r w:rsidR="001F3C09" w:rsidRPr="004F30BD">
        <w:rPr>
          <w:lang w:eastAsia="en-AU"/>
        </w:rPr>
        <w:t>and more desired</w:t>
      </w:r>
    </w:p>
    <w:p w14:paraId="24908854" w14:textId="77777777" w:rsidR="008910E6" w:rsidRPr="004F30BD" w:rsidRDefault="008910E6" w:rsidP="00A06284">
      <w:pPr>
        <w:pStyle w:val="ListParagraph"/>
        <w:numPr>
          <w:ilvl w:val="0"/>
          <w:numId w:val="14"/>
        </w:numPr>
        <w:spacing w:before="60"/>
        <w:contextualSpacing w:val="0"/>
        <w:rPr>
          <w:lang w:eastAsia="en-AU"/>
        </w:rPr>
      </w:pPr>
      <w:r w:rsidRPr="004F30BD">
        <w:rPr>
          <w:lang w:eastAsia="en-AU"/>
        </w:rPr>
        <w:t>Extended registration to providers with a good track record appreciated</w:t>
      </w:r>
    </w:p>
    <w:p w14:paraId="57CAB331" w14:textId="77777777" w:rsidR="008910E6" w:rsidRPr="004F30BD" w:rsidRDefault="008910E6" w:rsidP="00A06284">
      <w:pPr>
        <w:pStyle w:val="ListParagraph"/>
        <w:numPr>
          <w:ilvl w:val="0"/>
          <w:numId w:val="14"/>
        </w:numPr>
        <w:spacing w:before="60"/>
        <w:contextualSpacing w:val="0"/>
        <w:rPr>
          <w:lang w:eastAsia="en-AU"/>
        </w:rPr>
      </w:pPr>
      <w:r w:rsidRPr="004F30BD">
        <w:rPr>
          <w:lang w:eastAsia="en-AU"/>
        </w:rPr>
        <w:t>Increasing inclusion of non-university HEPs in regulatory framework considerations.</w:t>
      </w:r>
    </w:p>
    <w:p w14:paraId="164943E2" w14:textId="77777777" w:rsidR="008910E6" w:rsidRPr="004F30BD" w:rsidRDefault="008910E6" w:rsidP="00A06284">
      <w:pPr>
        <w:pStyle w:val="ListParagraph"/>
        <w:numPr>
          <w:ilvl w:val="0"/>
          <w:numId w:val="14"/>
        </w:numPr>
        <w:spacing w:before="60"/>
        <w:contextualSpacing w:val="0"/>
        <w:rPr>
          <w:lang w:eastAsia="en-AU"/>
        </w:rPr>
      </w:pPr>
      <w:r w:rsidRPr="004F30BD">
        <w:rPr>
          <w:lang w:eastAsia="en-AU"/>
        </w:rPr>
        <w:t>Delays in responding to questions for clarification</w:t>
      </w:r>
    </w:p>
    <w:p w14:paraId="13BDE9DB" w14:textId="77777777" w:rsidR="008910E6" w:rsidRPr="004F30BD" w:rsidRDefault="008910E6" w:rsidP="00A06284">
      <w:pPr>
        <w:pStyle w:val="ListParagraph"/>
        <w:numPr>
          <w:ilvl w:val="0"/>
          <w:numId w:val="14"/>
        </w:numPr>
        <w:spacing w:before="60"/>
        <w:contextualSpacing w:val="0"/>
        <w:rPr>
          <w:lang w:eastAsia="en-AU"/>
        </w:rPr>
      </w:pPr>
      <w:r w:rsidRPr="004F30BD">
        <w:rPr>
          <w:lang w:eastAsia="en-AU"/>
        </w:rPr>
        <w:t>No / minimal evidence of being consulted about improving the regulatory framework or feedback informing improvements</w:t>
      </w:r>
    </w:p>
    <w:p w14:paraId="77C1253C" w14:textId="77777777" w:rsidR="008910E6" w:rsidRPr="004F30BD" w:rsidRDefault="001F3C09" w:rsidP="00A06284">
      <w:pPr>
        <w:pStyle w:val="ListParagraph"/>
        <w:numPr>
          <w:ilvl w:val="0"/>
          <w:numId w:val="14"/>
        </w:numPr>
        <w:spacing w:before="60"/>
        <w:contextualSpacing w:val="0"/>
        <w:rPr>
          <w:lang w:eastAsia="en-AU"/>
        </w:rPr>
      </w:pPr>
      <w:r w:rsidRPr="004F30BD">
        <w:rPr>
          <w:lang w:eastAsia="en-AU"/>
        </w:rPr>
        <w:t>TEQSA has n</w:t>
      </w:r>
      <w:r w:rsidR="008910E6" w:rsidRPr="004F30BD">
        <w:rPr>
          <w:lang w:eastAsia="en-AU"/>
        </w:rPr>
        <w:t>o intention of improving the regulatory framework</w:t>
      </w:r>
    </w:p>
    <w:p w14:paraId="47BE7538" w14:textId="0029CC52" w:rsidR="008910E6" w:rsidRPr="004F30BD" w:rsidRDefault="008910E6" w:rsidP="00A06284">
      <w:pPr>
        <w:pStyle w:val="ListParagraph"/>
        <w:numPr>
          <w:ilvl w:val="0"/>
          <w:numId w:val="14"/>
        </w:numPr>
        <w:spacing w:before="60"/>
        <w:contextualSpacing w:val="0"/>
        <w:rPr>
          <w:lang w:eastAsia="en-AU"/>
        </w:rPr>
      </w:pPr>
      <w:r w:rsidRPr="004F30BD">
        <w:rPr>
          <w:lang w:eastAsia="en-AU"/>
        </w:rPr>
        <w:t xml:space="preserve">Need to take more account of the role and place of independent providers by listening to peak bodies such as IHEA and </w:t>
      </w:r>
      <w:r w:rsidR="00D21EE9">
        <w:rPr>
          <w:lang w:eastAsia="en-AU"/>
        </w:rPr>
        <w:t>ITECA</w:t>
      </w:r>
    </w:p>
    <w:p w14:paraId="70A3BA16" w14:textId="77777777" w:rsidR="008910E6" w:rsidRPr="004F30BD" w:rsidRDefault="008910E6" w:rsidP="00A06284">
      <w:pPr>
        <w:pStyle w:val="ListParagraph"/>
        <w:numPr>
          <w:ilvl w:val="0"/>
          <w:numId w:val="14"/>
        </w:numPr>
        <w:spacing w:before="60"/>
        <w:contextualSpacing w:val="0"/>
        <w:rPr>
          <w:lang w:eastAsia="en-AU"/>
        </w:rPr>
      </w:pPr>
      <w:r w:rsidRPr="004F30BD">
        <w:rPr>
          <w:lang w:eastAsia="en-AU"/>
        </w:rPr>
        <w:t>Overhaul and simpli</w:t>
      </w:r>
      <w:r w:rsidR="001F3C09" w:rsidRPr="004F30BD">
        <w:rPr>
          <w:lang w:eastAsia="en-AU"/>
        </w:rPr>
        <w:t>fy t</w:t>
      </w:r>
      <w:r w:rsidRPr="004F30BD">
        <w:rPr>
          <w:lang w:eastAsia="en-AU"/>
        </w:rPr>
        <w:t xml:space="preserve">hreshold </w:t>
      </w:r>
      <w:r w:rsidR="001F3C09" w:rsidRPr="004F30BD">
        <w:rPr>
          <w:lang w:eastAsia="en-AU"/>
        </w:rPr>
        <w:t>s</w:t>
      </w:r>
      <w:r w:rsidRPr="004F30BD">
        <w:rPr>
          <w:lang w:eastAsia="en-AU"/>
        </w:rPr>
        <w:t xml:space="preserve">tandards </w:t>
      </w:r>
    </w:p>
    <w:p w14:paraId="5426C88A" w14:textId="77777777" w:rsidR="008910E6" w:rsidRPr="004F30BD" w:rsidRDefault="001F3C09" w:rsidP="00A06284">
      <w:pPr>
        <w:pStyle w:val="ListParagraph"/>
        <w:numPr>
          <w:ilvl w:val="0"/>
          <w:numId w:val="14"/>
        </w:numPr>
        <w:spacing w:before="60"/>
        <w:contextualSpacing w:val="0"/>
        <w:rPr>
          <w:lang w:eastAsia="en-AU"/>
        </w:rPr>
      </w:pPr>
      <w:r w:rsidRPr="004F30BD">
        <w:rPr>
          <w:lang w:eastAsia="en-AU"/>
        </w:rPr>
        <w:t xml:space="preserve">Need </w:t>
      </w:r>
      <w:r w:rsidR="008910E6" w:rsidRPr="004F30BD">
        <w:rPr>
          <w:lang w:eastAsia="en-AU"/>
        </w:rPr>
        <w:t>more non-</w:t>
      </w:r>
      <w:r w:rsidRPr="004F30BD">
        <w:rPr>
          <w:lang w:eastAsia="en-AU"/>
        </w:rPr>
        <w:t>u</w:t>
      </w:r>
      <w:r w:rsidR="008910E6" w:rsidRPr="004F30BD">
        <w:rPr>
          <w:lang w:eastAsia="en-AU"/>
        </w:rPr>
        <w:t>niversity examples of how providers have created effective leadership structures.</w:t>
      </w:r>
    </w:p>
    <w:p w14:paraId="6EE83B5C" w14:textId="77777777" w:rsidR="002E4119" w:rsidRPr="004F30BD" w:rsidRDefault="002E4119">
      <w:pPr>
        <w:spacing w:before="0" w:line="240" w:lineRule="auto"/>
        <w:ind w:right="0"/>
        <w:rPr>
          <w:color w:val="00376E"/>
          <w:sz w:val="32"/>
        </w:rPr>
      </w:pPr>
      <w:r w:rsidRPr="004F30BD">
        <w:br w:type="page"/>
      </w:r>
    </w:p>
    <w:p w14:paraId="5E3A2178" w14:textId="77777777" w:rsidR="00602809" w:rsidRPr="004F30BD" w:rsidRDefault="003A2575" w:rsidP="00602809">
      <w:pPr>
        <w:pStyle w:val="Heading2"/>
      </w:pPr>
      <w:bookmarkStart w:id="14" w:name="_Toc22298021"/>
      <w:r w:rsidRPr="004F30BD">
        <w:lastRenderedPageBreak/>
        <w:t>I</w:t>
      </w:r>
      <w:r w:rsidR="00602809" w:rsidRPr="004F30BD">
        <w:t>nteractions with TEQSA</w:t>
      </w:r>
      <w:bookmarkEnd w:id="14"/>
    </w:p>
    <w:p w14:paraId="7722EBE8" w14:textId="5E90139B" w:rsidR="00355A53" w:rsidRPr="004F30BD" w:rsidRDefault="009A4E3B" w:rsidP="009A4E3B">
      <w:pPr>
        <w:spacing w:after="240"/>
      </w:pPr>
      <w:r w:rsidRPr="00516A99">
        <w:t xml:space="preserve">By far the </w:t>
      </w:r>
      <w:r w:rsidR="00690547" w:rsidRPr="00516A99">
        <w:t xml:space="preserve">most common </w:t>
      </w:r>
      <w:r w:rsidR="00E071C3" w:rsidRPr="00516A99">
        <w:t>interaction</w:t>
      </w:r>
      <w:r w:rsidRPr="00516A99">
        <w:t>s</w:t>
      </w:r>
      <w:r w:rsidR="00690547" w:rsidRPr="00516A99">
        <w:t xml:space="preserve"> </w:t>
      </w:r>
      <w:r w:rsidRPr="00516A99">
        <w:t xml:space="preserve">that providers had with TEQSA in the last 12 months </w:t>
      </w:r>
      <w:r w:rsidR="00690547" w:rsidRPr="00516A99">
        <w:t xml:space="preserve">were </w:t>
      </w:r>
      <w:r w:rsidRPr="00516A99">
        <w:t xml:space="preserve">with </w:t>
      </w:r>
      <w:r w:rsidR="00D21EE9" w:rsidRPr="00516A99">
        <w:t xml:space="preserve">TEQSA </w:t>
      </w:r>
      <w:r w:rsidRPr="00516A99">
        <w:t>staff including case managers</w:t>
      </w:r>
      <w:r w:rsidR="00F97A8F" w:rsidRPr="00516A99">
        <w:t xml:space="preserve"> (9</w:t>
      </w:r>
      <w:r w:rsidR="00355A53" w:rsidRPr="00516A99">
        <w:t>0</w:t>
      </w:r>
      <w:r w:rsidR="00153895" w:rsidRPr="00516A99">
        <w:t xml:space="preserve">%) </w:t>
      </w:r>
      <w:r w:rsidRPr="00516A99">
        <w:t>while a considerable portion of providers had been involved</w:t>
      </w:r>
      <w:r w:rsidRPr="004F30BD">
        <w:t xml:space="preserve"> through applications or renewals of some type. </w:t>
      </w:r>
      <w:r w:rsidR="00670A94" w:rsidRPr="004F30BD">
        <w:t>Answers to this question were used to present questions to particular respondents around applications.</w:t>
      </w:r>
    </w:p>
    <w:p w14:paraId="11C11207" w14:textId="77777777" w:rsidR="007050EB" w:rsidRPr="004F30BD" w:rsidRDefault="00355A53" w:rsidP="005E0409">
      <w:pPr>
        <w:spacing w:after="240"/>
        <w:jc w:val="center"/>
      </w:pPr>
      <w:r w:rsidRPr="004F30BD">
        <w:rPr>
          <w:noProof/>
          <w:lang w:eastAsia="en-AU"/>
        </w:rPr>
        <w:drawing>
          <wp:inline distT="0" distB="0" distL="0" distR="0" wp14:anchorId="25EBE0B3" wp14:editId="65180406">
            <wp:extent cx="5724525" cy="3333750"/>
            <wp:effectExtent l="0" t="0" r="0" b="0"/>
            <wp:docPr id="2" name="Chart 2">
              <a:extLst xmlns:a="http://schemas.openxmlformats.org/drawingml/2006/main">
                <a:ext uri="{FF2B5EF4-FFF2-40B4-BE49-F238E27FC236}">
                  <a16:creationId xmlns:a16="http://schemas.microsoft.com/office/drawing/2014/main" id="{5B3C63F2-EE6C-495D-8B92-FBB5B3D37E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6DD5C01" w14:textId="77777777" w:rsidR="005E0409" w:rsidRPr="004F30BD" w:rsidRDefault="005E0409" w:rsidP="00670A94">
      <w:pPr>
        <w:pStyle w:val="Heading2"/>
      </w:pPr>
      <w:bookmarkStart w:id="15" w:name="_Toc22298022"/>
      <w:r w:rsidRPr="004F30BD">
        <w:t>Communication and consultation</w:t>
      </w:r>
      <w:bookmarkEnd w:id="15"/>
    </w:p>
    <w:p w14:paraId="651F5473" w14:textId="77777777" w:rsidR="005E0409" w:rsidRPr="004F30BD" w:rsidRDefault="005E0409" w:rsidP="005E0409">
      <w:r w:rsidRPr="004F30BD">
        <w:t xml:space="preserve">The following series of tables and charts display the top 2 scores and frequency distributions of answers about aspects of </w:t>
      </w:r>
      <w:r w:rsidR="00990CE2" w:rsidRPr="004F30BD">
        <w:t>providers’ ratings of TEQSA’s communication and consultation.</w:t>
      </w:r>
    </w:p>
    <w:p w14:paraId="7DF7A18E" w14:textId="77777777" w:rsidR="00990CE2" w:rsidRPr="004F30BD" w:rsidRDefault="005E0409" w:rsidP="00990CE2">
      <w:pPr>
        <w:spacing w:after="240"/>
      </w:pPr>
      <w:r w:rsidRPr="004F30BD">
        <w:t xml:space="preserve">All </w:t>
      </w:r>
      <w:r w:rsidR="006726DA" w:rsidRPr="004F30BD">
        <w:t xml:space="preserve">communication </w:t>
      </w:r>
      <w:r w:rsidRPr="004F30BD">
        <w:t>items rated between 6</w:t>
      </w:r>
      <w:r w:rsidR="00D02DEE" w:rsidRPr="004F30BD">
        <w:t>5</w:t>
      </w:r>
      <w:r w:rsidRPr="004F30BD">
        <w:t xml:space="preserve">% and </w:t>
      </w:r>
      <w:r w:rsidR="00D02DEE" w:rsidRPr="004F30BD">
        <w:t>89</w:t>
      </w:r>
      <w:r w:rsidRPr="004F30BD">
        <w:t>%</w:t>
      </w:r>
      <w:r w:rsidR="002C416A" w:rsidRPr="004F30BD">
        <w:t xml:space="preserve"> and this was the highest scoring topic within the 2019 survey</w:t>
      </w:r>
      <w:r w:rsidRPr="004F30BD">
        <w:t xml:space="preserve">. </w:t>
      </w:r>
      <w:r w:rsidR="006726DA" w:rsidRPr="004F30BD">
        <w:rPr>
          <w:i/>
          <w:iCs/>
        </w:rPr>
        <w:t>U</w:t>
      </w:r>
      <w:r w:rsidR="00D02DEE" w:rsidRPr="004F30BD">
        <w:rPr>
          <w:i/>
        </w:rPr>
        <w:t xml:space="preserve">sefulness of regulatory information </w:t>
      </w:r>
      <w:r w:rsidR="00D02DEE" w:rsidRPr="004F30BD">
        <w:rPr>
          <w:iCs/>
        </w:rPr>
        <w:t xml:space="preserve">and </w:t>
      </w:r>
      <w:r w:rsidR="00D02DEE" w:rsidRPr="004F30BD">
        <w:rPr>
          <w:i/>
        </w:rPr>
        <w:t xml:space="preserve">usefulness of the information on the HES Framework </w:t>
      </w:r>
      <w:r w:rsidR="006726DA" w:rsidRPr="004F30BD">
        <w:rPr>
          <w:iCs/>
        </w:rPr>
        <w:t>were also the highest scoring items in the survey</w:t>
      </w:r>
      <w:r w:rsidR="006726DA" w:rsidRPr="004F30BD">
        <w:t xml:space="preserve">. There appears to be considerable room for improvement around the TEQSA conference with a top 2 score of 65% and a considerable proportion of respondents rating this item as only </w:t>
      </w:r>
      <w:r w:rsidR="006726DA" w:rsidRPr="004F30BD">
        <w:rPr>
          <w:i/>
          <w:iCs/>
        </w:rPr>
        <w:t>fair</w:t>
      </w:r>
      <w:r w:rsidR="006726DA" w:rsidRPr="004F30BD">
        <w:t>. Refer to the table and chart immediately below.</w:t>
      </w:r>
    </w:p>
    <w:tbl>
      <w:tblPr>
        <w:tblW w:w="8747" w:type="dxa"/>
        <w:tblLook w:val="0000" w:firstRow="0" w:lastRow="0" w:firstColumn="0" w:lastColumn="0" w:noHBand="0" w:noVBand="0"/>
      </w:tblPr>
      <w:tblGrid>
        <w:gridCol w:w="6660"/>
        <w:gridCol w:w="630"/>
        <w:gridCol w:w="1457"/>
      </w:tblGrid>
      <w:tr w:rsidR="00990CE2" w:rsidRPr="004F30BD" w14:paraId="27A077CE" w14:textId="77777777" w:rsidTr="005E0B00">
        <w:trPr>
          <w:trHeight w:val="257"/>
          <w:tblHeader/>
        </w:trPr>
        <w:tc>
          <w:tcPr>
            <w:tcW w:w="6660" w:type="dxa"/>
            <w:shd w:val="clear" w:color="auto" w:fill="00386E"/>
            <w:noWrap/>
            <w:vAlign w:val="center"/>
          </w:tcPr>
          <w:p w14:paraId="1FFDC65D" w14:textId="77777777" w:rsidR="005E0B00" w:rsidRPr="004F30BD" w:rsidRDefault="006D126C" w:rsidP="006D126C">
            <w:pPr>
              <w:pStyle w:val="Tabletext"/>
              <w:spacing w:after="60" w:line="240" w:lineRule="atLeast"/>
              <w:rPr>
                <w:rFonts w:ascii="Arial Nova" w:hAnsi="Arial Nova"/>
                <w:color w:val="FFFFFF"/>
                <w:sz w:val="18"/>
                <w:szCs w:val="16"/>
                <w:lang w:val="en-AU"/>
              </w:rPr>
            </w:pPr>
            <w:r w:rsidRPr="004F30BD">
              <w:rPr>
                <w:rFonts w:ascii="Arial Nova" w:hAnsi="Arial Nova"/>
                <w:color w:val="FFFFFF"/>
                <w:sz w:val="18"/>
                <w:szCs w:val="16"/>
                <w:lang w:val="en-AU"/>
              </w:rPr>
              <w:t>COMMUNICATION ITEMS</w:t>
            </w:r>
          </w:p>
        </w:tc>
        <w:tc>
          <w:tcPr>
            <w:tcW w:w="630" w:type="dxa"/>
            <w:shd w:val="clear" w:color="auto" w:fill="00386E"/>
            <w:vAlign w:val="center"/>
          </w:tcPr>
          <w:p w14:paraId="65AFA856" w14:textId="77777777" w:rsidR="00990CE2" w:rsidRPr="004F30BD" w:rsidRDefault="006726DA" w:rsidP="005E0B00">
            <w:pPr>
              <w:pStyle w:val="Tabletext"/>
              <w:spacing w:after="60" w:line="240" w:lineRule="atLeast"/>
              <w:jc w:val="center"/>
              <w:rPr>
                <w:rFonts w:ascii="Arial Nova" w:hAnsi="Arial Nova"/>
                <w:color w:val="FFFFFF"/>
                <w:sz w:val="18"/>
                <w:szCs w:val="16"/>
                <w:lang w:val="en-AU"/>
              </w:rPr>
            </w:pPr>
            <w:r w:rsidRPr="004F30BD">
              <w:rPr>
                <w:rFonts w:ascii="Arial Nova" w:hAnsi="Arial Nova"/>
                <w:color w:val="FFFFFF"/>
                <w:sz w:val="18"/>
                <w:szCs w:val="16"/>
                <w:lang w:val="en-AU"/>
              </w:rPr>
              <w:t>n</w:t>
            </w:r>
          </w:p>
        </w:tc>
        <w:tc>
          <w:tcPr>
            <w:tcW w:w="1457" w:type="dxa"/>
            <w:shd w:val="clear" w:color="auto" w:fill="00386E"/>
            <w:vAlign w:val="center"/>
          </w:tcPr>
          <w:p w14:paraId="1ED9E12F" w14:textId="77777777" w:rsidR="00990CE2" w:rsidRPr="004F30BD" w:rsidRDefault="00990CE2" w:rsidP="005E0B00">
            <w:pPr>
              <w:pStyle w:val="Tabletext"/>
              <w:spacing w:after="60" w:line="240" w:lineRule="atLeast"/>
              <w:jc w:val="center"/>
              <w:rPr>
                <w:rFonts w:ascii="Arial Nova" w:hAnsi="Arial Nova"/>
                <w:color w:val="FFFFFF"/>
                <w:sz w:val="18"/>
                <w:szCs w:val="16"/>
                <w:lang w:val="en-AU"/>
              </w:rPr>
            </w:pPr>
            <w:r w:rsidRPr="004F30BD">
              <w:rPr>
                <w:rFonts w:ascii="Arial Nova" w:hAnsi="Arial Nova"/>
                <w:color w:val="FFFFFF"/>
                <w:sz w:val="18"/>
                <w:szCs w:val="16"/>
                <w:lang w:val="en-AU"/>
              </w:rPr>
              <w:t>TOP 2 SCORE (%)</w:t>
            </w:r>
            <w:r w:rsidR="002C416A" w:rsidRPr="004F30BD">
              <w:rPr>
                <w:rFonts w:ascii="Arial Nova" w:hAnsi="Arial Nova"/>
                <w:color w:val="FFFFFF"/>
                <w:sz w:val="18"/>
                <w:szCs w:val="16"/>
                <w:lang w:val="en-AU"/>
              </w:rPr>
              <w:t>*</w:t>
            </w:r>
          </w:p>
        </w:tc>
      </w:tr>
      <w:tr w:rsidR="00990CE2" w:rsidRPr="004F30BD" w14:paraId="30C4D75D" w14:textId="77777777" w:rsidTr="006726DA">
        <w:trPr>
          <w:trHeight w:val="340"/>
        </w:trPr>
        <w:tc>
          <w:tcPr>
            <w:tcW w:w="6660" w:type="dxa"/>
          </w:tcPr>
          <w:p w14:paraId="5220E85C" w14:textId="77777777" w:rsidR="00990CE2" w:rsidRPr="004F30BD" w:rsidRDefault="00990CE2" w:rsidP="005E0B00">
            <w:pPr>
              <w:spacing w:before="40"/>
              <w:ind w:right="0"/>
              <w:rPr>
                <w:rFonts w:cs="Calibri"/>
                <w:color w:val="000000"/>
                <w:szCs w:val="16"/>
              </w:rPr>
            </w:pPr>
            <w:bookmarkStart w:id="16" w:name="_Hlk17966063"/>
            <w:r w:rsidRPr="004F30BD">
              <w:t>Usefulness of regulatory information</w:t>
            </w:r>
            <w:bookmarkEnd w:id="16"/>
          </w:p>
        </w:tc>
        <w:tc>
          <w:tcPr>
            <w:tcW w:w="630" w:type="dxa"/>
            <w:shd w:val="clear" w:color="auto" w:fill="auto"/>
            <w:noWrap/>
            <w:vAlign w:val="center"/>
          </w:tcPr>
          <w:p w14:paraId="537EF90C" w14:textId="77777777" w:rsidR="00990CE2" w:rsidRPr="004F30BD" w:rsidRDefault="00990CE2" w:rsidP="005E0B00">
            <w:pPr>
              <w:spacing w:before="40"/>
              <w:ind w:right="0"/>
              <w:jc w:val="center"/>
              <w:rPr>
                <w:szCs w:val="16"/>
              </w:rPr>
            </w:pPr>
            <w:r w:rsidRPr="004F30BD">
              <w:t>140</w:t>
            </w:r>
          </w:p>
        </w:tc>
        <w:tc>
          <w:tcPr>
            <w:tcW w:w="1457" w:type="dxa"/>
            <w:shd w:val="clear" w:color="auto" w:fill="auto"/>
            <w:vAlign w:val="center"/>
          </w:tcPr>
          <w:p w14:paraId="49252337" w14:textId="77777777" w:rsidR="00990CE2" w:rsidRPr="004F30BD" w:rsidRDefault="00990CE2" w:rsidP="005E0B00">
            <w:pPr>
              <w:spacing w:before="40"/>
              <w:ind w:right="0"/>
              <w:jc w:val="center"/>
              <w:rPr>
                <w:szCs w:val="16"/>
              </w:rPr>
            </w:pPr>
            <w:r w:rsidRPr="004F30BD">
              <w:t>89</w:t>
            </w:r>
          </w:p>
        </w:tc>
      </w:tr>
      <w:tr w:rsidR="00990CE2" w:rsidRPr="004F30BD" w14:paraId="07178E5D" w14:textId="77777777" w:rsidTr="006726DA">
        <w:trPr>
          <w:trHeight w:val="340"/>
        </w:trPr>
        <w:tc>
          <w:tcPr>
            <w:tcW w:w="6660" w:type="dxa"/>
            <w:shd w:val="clear" w:color="auto" w:fill="E6E6E6"/>
          </w:tcPr>
          <w:p w14:paraId="0A86D139" w14:textId="77777777" w:rsidR="00990CE2" w:rsidRPr="004F30BD" w:rsidRDefault="00990CE2" w:rsidP="005E0B00">
            <w:pPr>
              <w:spacing w:before="40"/>
              <w:ind w:right="0"/>
              <w:rPr>
                <w:rFonts w:cs="Calibri"/>
                <w:color w:val="000000"/>
                <w:szCs w:val="16"/>
              </w:rPr>
            </w:pPr>
            <w:bookmarkStart w:id="17" w:name="_Hlk17966089"/>
            <w:r w:rsidRPr="004F30BD">
              <w:t>Usefulness of the information on the HES Framework (Threshold Standards) 2015</w:t>
            </w:r>
            <w:bookmarkEnd w:id="17"/>
          </w:p>
        </w:tc>
        <w:tc>
          <w:tcPr>
            <w:tcW w:w="630" w:type="dxa"/>
            <w:shd w:val="clear" w:color="auto" w:fill="E6E6E6"/>
            <w:noWrap/>
            <w:vAlign w:val="center"/>
          </w:tcPr>
          <w:p w14:paraId="7115214A" w14:textId="77777777" w:rsidR="00990CE2" w:rsidRPr="004F30BD" w:rsidRDefault="00990CE2" w:rsidP="005E0B00">
            <w:pPr>
              <w:spacing w:before="40"/>
              <w:ind w:right="0"/>
              <w:jc w:val="center"/>
              <w:rPr>
                <w:szCs w:val="16"/>
              </w:rPr>
            </w:pPr>
            <w:r w:rsidRPr="004F30BD">
              <w:t>138</w:t>
            </w:r>
          </w:p>
        </w:tc>
        <w:tc>
          <w:tcPr>
            <w:tcW w:w="1457" w:type="dxa"/>
            <w:shd w:val="clear" w:color="auto" w:fill="E6E6E6"/>
            <w:vAlign w:val="center"/>
          </w:tcPr>
          <w:p w14:paraId="52AB0CD1" w14:textId="77777777" w:rsidR="00990CE2" w:rsidRPr="004F30BD" w:rsidRDefault="00990CE2" w:rsidP="005E0B00">
            <w:pPr>
              <w:spacing w:before="40"/>
              <w:ind w:right="0"/>
              <w:jc w:val="center"/>
              <w:rPr>
                <w:szCs w:val="16"/>
              </w:rPr>
            </w:pPr>
            <w:r w:rsidRPr="004F30BD">
              <w:t>88</w:t>
            </w:r>
          </w:p>
        </w:tc>
      </w:tr>
      <w:tr w:rsidR="00990CE2" w:rsidRPr="004F30BD" w14:paraId="63F40A2F" w14:textId="77777777" w:rsidTr="006726DA">
        <w:trPr>
          <w:trHeight w:val="340"/>
        </w:trPr>
        <w:tc>
          <w:tcPr>
            <w:tcW w:w="6660" w:type="dxa"/>
          </w:tcPr>
          <w:p w14:paraId="2DBD307F" w14:textId="77777777" w:rsidR="00990CE2" w:rsidRPr="004F30BD" w:rsidRDefault="00990CE2" w:rsidP="005E0B00">
            <w:pPr>
              <w:spacing w:before="40"/>
              <w:ind w:right="0"/>
              <w:rPr>
                <w:rFonts w:cs="Calibri"/>
                <w:color w:val="000000"/>
                <w:szCs w:val="16"/>
              </w:rPr>
            </w:pPr>
            <w:r w:rsidRPr="004F30BD">
              <w:t>Usefulness of TEQSA-facilitated workshops and webinars to discuss regulatory requirements</w:t>
            </w:r>
          </w:p>
        </w:tc>
        <w:tc>
          <w:tcPr>
            <w:tcW w:w="630" w:type="dxa"/>
            <w:shd w:val="clear" w:color="auto" w:fill="auto"/>
            <w:noWrap/>
            <w:vAlign w:val="center"/>
          </w:tcPr>
          <w:p w14:paraId="4DFA4024" w14:textId="77777777" w:rsidR="00990CE2" w:rsidRPr="004F30BD" w:rsidRDefault="00990CE2" w:rsidP="005E0B00">
            <w:pPr>
              <w:spacing w:before="40"/>
              <w:ind w:right="0"/>
              <w:jc w:val="center"/>
              <w:rPr>
                <w:szCs w:val="16"/>
              </w:rPr>
            </w:pPr>
            <w:r w:rsidRPr="004F30BD">
              <w:t>125</w:t>
            </w:r>
          </w:p>
        </w:tc>
        <w:tc>
          <w:tcPr>
            <w:tcW w:w="1457" w:type="dxa"/>
            <w:shd w:val="clear" w:color="auto" w:fill="auto"/>
            <w:vAlign w:val="center"/>
          </w:tcPr>
          <w:p w14:paraId="147B9446" w14:textId="77777777" w:rsidR="00990CE2" w:rsidRPr="004F30BD" w:rsidRDefault="00990CE2" w:rsidP="005E0B00">
            <w:pPr>
              <w:spacing w:before="40"/>
              <w:ind w:right="0"/>
              <w:jc w:val="center"/>
              <w:rPr>
                <w:szCs w:val="16"/>
              </w:rPr>
            </w:pPr>
            <w:r w:rsidRPr="004F30BD">
              <w:t>79</w:t>
            </w:r>
          </w:p>
        </w:tc>
      </w:tr>
      <w:tr w:rsidR="00990CE2" w:rsidRPr="004F30BD" w14:paraId="0D7784E7" w14:textId="77777777" w:rsidTr="006726DA">
        <w:trPr>
          <w:trHeight w:val="340"/>
        </w:trPr>
        <w:tc>
          <w:tcPr>
            <w:tcW w:w="6660" w:type="dxa"/>
            <w:shd w:val="clear" w:color="auto" w:fill="D9D9D9" w:themeFill="background1" w:themeFillShade="D9"/>
          </w:tcPr>
          <w:p w14:paraId="2437953A" w14:textId="77777777" w:rsidR="00990CE2" w:rsidRPr="004F30BD" w:rsidRDefault="00990CE2" w:rsidP="005E0B00">
            <w:pPr>
              <w:spacing w:before="40"/>
              <w:ind w:right="0"/>
              <w:rPr>
                <w:rFonts w:cs="Calibri"/>
                <w:color w:val="000000"/>
                <w:szCs w:val="16"/>
              </w:rPr>
            </w:pPr>
            <w:r w:rsidRPr="004F30BD">
              <w:t>Usefulness of information provided on National Register</w:t>
            </w:r>
          </w:p>
        </w:tc>
        <w:tc>
          <w:tcPr>
            <w:tcW w:w="630" w:type="dxa"/>
            <w:shd w:val="clear" w:color="auto" w:fill="D9D9D9" w:themeFill="background1" w:themeFillShade="D9"/>
            <w:noWrap/>
            <w:vAlign w:val="center"/>
          </w:tcPr>
          <w:p w14:paraId="036497FC" w14:textId="77777777" w:rsidR="00990CE2" w:rsidRPr="004F30BD" w:rsidRDefault="00990CE2" w:rsidP="005E0B00">
            <w:pPr>
              <w:spacing w:before="40"/>
              <w:ind w:right="0"/>
              <w:jc w:val="center"/>
              <w:rPr>
                <w:szCs w:val="16"/>
              </w:rPr>
            </w:pPr>
            <w:r w:rsidRPr="004F30BD">
              <w:t>134</w:t>
            </w:r>
          </w:p>
        </w:tc>
        <w:tc>
          <w:tcPr>
            <w:tcW w:w="1457" w:type="dxa"/>
            <w:shd w:val="clear" w:color="auto" w:fill="D9D9D9" w:themeFill="background1" w:themeFillShade="D9"/>
            <w:vAlign w:val="center"/>
          </w:tcPr>
          <w:p w14:paraId="45273DB8" w14:textId="77777777" w:rsidR="00990CE2" w:rsidRPr="004F30BD" w:rsidRDefault="00990CE2" w:rsidP="005E0B00">
            <w:pPr>
              <w:spacing w:before="40"/>
              <w:ind w:right="0"/>
              <w:jc w:val="center"/>
              <w:rPr>
                <w:szCs w:val="16"/>
              </w:rPr>
            </w:pPr>
            <w:r w:rsidRPr="004F30BD">
              <w:t>71</w:t>
            </w:r>
          </w:p>
        </w:tc>
      </w:tr>
      <w:tr w:rsidR="00990CE2" w:rsidRPr="004F30BD" w14:paraId="64D278E9" w14:textId="77777777" w:rsidTr="006726DA">
        <w:trPr>
          <w:trHeight w:val="340"/>
        </w:trPr>
        <w:tc>
          <w:tcPr>
            <w:tcW w:w="6660" w:type="dxa"/>
          </w:tcPr>
          <w:p w14:paraId="3D324937" w14:textId="77777777" w:rsidR="00990CE2" w:rsidRPr="004F30BD" w:rsidRDefault="00990CE2" w:rsidP="005E0B00">
            <w:pPr>
              <w:spacing w:before="40"/>
              <w:ind w:right="0"/>
              <w:rPr>
                <w:rFonts w:cs="Calibri"/>
                <w:color w:val="000000"/>
                <w:szCs w:val="16"/>
              </w:rPr>
            </w:pPr>
            <w:r w:rsidRPr="004F30BD">
              <w:t>Using a variety of media and channels to communicate sector-wide updates</w:t>
            </w:r>
          </w:p>
        </w:tc>
        <w:tc>
          <w:tcPr>
            <w:tcW w:w="630" w:type="dxa"/>
            <w:shd w:val="clear" w:color="auto" w:fill="auto"/>
            <w:noWrap/>
            <w:vAlign w:val="center"/>
          </w:tcPr>
          <w:p w14:paraId="4D2F9EC4" w14:textId="77777777" w:rsidR="00990CE2" w:rsidRPr="004F30BD" w:rsidRDefault="00990CE2" w:rsidP="005E0B00">
            <w:pPr>
              <w:spacing w:before="40"/>
              <w:ind w:right="0"/>
              <w:jc w:val="center"/>
              <w:rPr>
                <w:szCs w:val="16"/>
              </w:rPr>
            </w:pPr>
            <w:r w:rsidRPr="004F30BD">
              <w:t>136</w:t>
            </w:r>
          </w:p>
        </w:tc>
        <w:tc>
          <w:tcPr>
            <w:tcW w:w="1457" w:type="dxa"/>
            <w:shd w:val="clear" w:color="auto" w:fill="auto"/>
            <w:vAlign w:val="center"/>
          </w:tcPr>
          <w:p w14:paraId="36EAB299" w14:textId="77777777" w:rsidR="00990CE2" w:rsidRPr="004F30BD" w:rsidRDefault="00990CE2" w:rsidP="005E0B00">
            <w:pPr>
              <w:spacing w:before="40"/>
              <w:ind w:right="0"/>
              <w:jc w:val="center"/>
              <w:rPr>
                <w:szCs w:val="16"/>
              </w:rPr>
            </w:pPr>
            <w:r w:rsidRPr="004F30BD">
              <w:t>71</w:t>
            </w:r>
          </w:p>
        </w:tc>
      </w:tr>
      <w:tr w:rsidR="00990CE2" w:rsidRPr="004F30BD" w14:paraId="361C5CA4" w14:textId="77777777" w:rsidTr="006726DA">
        <w:trPr>
          <w:trHeight w:val="340"/>
        </w:trPr>
        <w:tc>
          <w:tcPr>
            <w:tcW w:w="6660" w:type="dxa"/>
            <w:tcBorders>
              <w:bottom w:val="single" w:sz="4" w:space="0" w:color="auto"/>
            </w:tcBorders>
            <w:shd w:val="clear" w:color="auto" w:fill="D9D9D9" w:themeFill="background1" w:themeFillShade="D9"/>
          </w:tcPr>
          <w:p w14:paraId="797580F8" w14:textId="77777777" w:rsidR="00990CE2" w:rsidRPr="004F30BD" w:rsidRDefault="00990CE2" w:rsidP="005E0B00">
            <w:pPr>
              <w:spacing w:before="40"/>
              <w:ind w:right="0"/>
              <w:rPr>
                <w:rFonts w:cs="Calibri"/>
                <w:color w:val="000000"/>
                <w:szCs w:val="16"/>
              </w:rPr>
            </w:pPr>
            <w:r w:rsidRPr="004F30BD">
              <w:t>Usefulness of the TEQSA conference</w:t>
            </w:r>
          </w:p>
        </w:tc>
        <w:tc>
          <w:tcPr>
            <w:tcW w:w="630" w:type="dxa"/>
            <w:tcBorders>
              <w:bottom w:val="single" w:sz="4" w:space="0" w:color="auto"/>
            </w:tcBorders>
            <w:shd w:val="clear" w:color="auto" w:fill="D9D9D9" w:themeFill="background1" w:themeFillShade="D9"/>
            <w:noWrap/>
            <w:vAlign w:val="center"/>
          </w:tcPr>
          <w:p w14:paraId="2BE1B3BD" w14:textId="77777777" w:rsidR="00990CE2" w:rsidRPr="004F30BD" w:rsidRDefault="00990CE2" w:rsidP="005E0B00">
            <w:pPr>
              <w:spacing w:before="40"/>
              <w:ind w:right="0"/>
              <w:jc w:val="center"/>
              <w:rPr>
                <w:szCs w:val="16"/>
              </w:rPr>
            </w:pPr>
            <w:r w:rsidRPr="004F30BD">
              <w:t>120</w:t>
            </w:r>
          </w:p>
        </w:tc>
        <w:tc>
          <w:tcPr>
            <w:tcW w:w="1457" w:type="dxa"/>
            <w:tcBorders>
              <w:bottom w:val="single" w:sz="4" w:space="0" w:color="auto"/>
            </w:tcBorders>
            <w:shd w:val="clear" w:color="auto" w:fill="D9D9D9" w:themeFill="background1" w:themeFillShade="D9"/>
            <w:vAlign w:val="center"/>
          </w:tcPr>
          <w:p w14:paraId="0CB92711" w14:textId="77777777" w:rsidR="00990CE2" w:rsidRPr="004F30BD" w:rsidRDefault="00990CE2" w:rsidP="005E0B00">
            <w:pPr>
              <w:spacing w:before="40"/>
              <w:ind w:right="0"/>
              <w:jc w:val="center"/>
              <w:rPr>
                <w:szCs w:val="16"/>
              </w:rPr>
            </w:pPr>
            <w:r w:rsidRPr="004F30BD">
              <w:t>65</w:t>
            </w:r>
          </w:p>
        </w:tc>
      </w:tr>
    </w:tbl>
    <w:p w14:paraId="791AD285" w14:textId="77777777" w:rsidR="00990CE2" w:rsidRPr="004F30BD" w:rsidRDefault="002C416A" w:rsidP="006726DA">
      <w:pPr>
        <w:spacing w:before="60" w:after="240"/>
        <w:rPr>
          <w:i/>
        </w:rPr>
      </w:pPr>
      <w:r w:rsidRPr="004F30BD">
        <w:rPr>
          <w:i/>
        </w:rPr>
        <w:t>*</w:t>
      </w:r>
      <w:r w:rsidR="00990CE2" w:rsidRPr="004F30BD">
        <w:rPr>
          <w:i/>
        </w:rPr>
        <w:t>Top 2 scores and n counts exclude don’t know / not applicable / no answer responses.</w:t>
      </w:r>
    </w:p>
    <w:p w14:paraId="150B3B72" w14:textId="77777777" w:rsidR="00990CE2" w:rsidRPr="004F30BD" w:rsidRDefault="000B5C04" w:rsidP="00297DD1">
      <w:pPr>
        <w:spacing w:before="0" w:after="240"/>
      </w:pPr>
      <w:r w:rsidRPr="004F30BD">
        <w:rPr>
          <w:noProof/>
          <w:lang w:eastAsia="en-AU"/>
        </w:rPr>
        <w:lastRenderedPageBreak/>
        <w:drawing>
          <wp:inline distT="0" distB="0" distL="0" distR="0" wp14:anchorId="655F4194" wp14:editId="1263BE15">
            <wp:extent cx="5638800" cy="4139565"/>
            <wp:effectExtent l="0" t="0" r="0" b="0"/>
            <wp:docPr id="3" name="Chart 3">
              <a:extLst xmlns:a="http://schemas.openxmlformats.org/drawingml/2006/main">
                <a:ext uri="{FF2B5EF4-FFF2-40B4-BE49-F238E27FC236}">
                  <a16:creationId xmlns:a16="http://schemas.microsoft.com/office/drawing/2014/main" id="{0D6658F1-045D-4A20-AD03-C423EB5F54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AF43318" w14:textId="77777777" w:rsidR="00D02DEE" w:rsidRPr="004F30BD" w:rsidRDefault="00D02DEE" w:rsidP="00D02DEE">
      <w:pPr>
        <w:spacing w:after="240"/>
      </w:pPr>
      <w:r w:rsidRPr="004F30BD">
        <w:t xml:space="preserve">Consultation </w:t>
      </w:r>
      <w:r w:rsidR="005E0B00" w:rsidRPr="004F30BD">
        <w:t xml:space="preserve">items </w:t>
      </w:r>
      <w:r w:rsidRPr="004F30BD">
        <w:t>rated between 48% and 65%</w:t>
      </w:r>
      <w:r w:rsidR="005E0B00" w:rsidRPr="004F30BD">
        <w:t xml:space="preserve">, so </w:t>
      </w:r>
      <w:r w:rsidR="002C416A" w:rsidRPr="004F30BD">
        <w:t xml:space="preserve">there is </w:t>
      </w:r>
      <w:r w:rsidR="005E0B00" w:rsidRPr="004F30BD">
        <w:t xml:space="preserve">considerable room for improvement </w:t>
      </w:r>
      <w:r w:rsidR="002C416A" w:rsidRPr="004F30BD">
        <w:t>for</w:t>
      </w:r>
      <w:r w:rsidR="005E0B00" w:rsidRPr="004F30BD">
        <w:t xml:space="preserve"> all these items, particularly </w:t>
      </w:r>
      <w:r w:rsidR="005E0B00" w:rsidRPr="004F30BD">
        <w:rPr>
          <w:i/>
          <w:iCs/>
        </w:rPr>
        <w:t>listening to providers</w:t>
      </w:r>
      <w:r w:rsidR="002C416A" w:rsidRPr="004F30BD">
        <w:rPr>
          <w:i/>
          <w:iCs/>
        </w:rPr>
        <w:t>’</w:t>
      </w:r>
      <w:r w:rsidR="005E0B00" w:rsidRPr="004F30BD">
        <w:rPr>
          <w:i/>
          <w:iCs/>
        </w:rPr>
        <w:t xml:space="preserve"> views on reducing regulatory burden</w:t>
      </w:r>
      <w:r w:rsidRPr="004F30BD">
        <w:t>.</w:t>
      </w:r>
      <w:r w:rsidR="005E0B00" w:rsidRPr="004F30BD">
        <w:t xml:space="preserve"> Note that there were a lot of </w:t>
      </w:r>
      <w:r w:rsidR="005E0B00" w:rsidRPr="004F30BD">
        <w:rPr>
          <w:i/>
          <w:iCs/>
        </w:rPr>
        <w:t>not applicable</w:t>
      </w:r>
      <w:r w:rsidR="005E0B00" w:rsidRPr="004F30BD">
        <w:t xml:space="preserve"> responses to these items, </w:t>
      </w:r>
      <w:r w:rsidR="002C416A" w:rsidRPr="004F30BD">
        <w:t xml:space="preserve">probably </w:t>
      </w:r>
      <w:r w:rsidR="005E0B00" w:rsidRPr="004F30BD">
        <w:t>indicating</w:t>
      </w:r>
      <w:r w:rsidR="002C416A" w:rsidRPr="004F30BD">
        <w:t>,</w:t>
      </w:r>
      <w:r w:rsidR="005E0B00" w:rsidRPr="004F30BD">
        <w:t xml:space="preserve"> in this instance</w:t>
      </w:r>
      <w:r w:rsidR="002C416A" w:rsidRPr="004F30BD">
        <w:t>,</w:t>
      </w:r>
      <w:r w:rsidR="005E0B00" w:rsidRPr="004F30BD">
        <w:t xml:space="preserve"> that th</w:t>
      </w:r>
      <w:r w:rsidR="002E4119" w:rsidRPr="004F30BD">
        <w:t xml:space="preserve">ese </w:t>
      </w:r>
      <w:r w:rsidR="002C416A" w:rsidRPr="004F30BD">
        <w:t>consultative activities</w:t>
      </w:r>
      <w:r w:rsidR="002E4119" w:rsidRPr="004F30BD">
        <w:t xml:space="preserve"> did not occur with a large proportion of providers</w:t>
      </w:r>
      <w:r w:rsidR="002C416A" w:rsidRPr="004F30BD">
        <w:t>. Consequently, providers</w:t>
      </w:r>
      <w:r w:rsidR="002E4119" w:rsidRPr="004F30BD">
        <w:t xml:space="preserve"> could not assess TEQSA</w:t>
      </w:r>
      <w:r w:rsidR="002C416A" w:rsidRPr="004F30BD">
        <w:t>’s</w:t>
      </w:r>
      <w:r w:rsidR="002E4119" w:rsidRPr="004F30BD">
        <w:t xml:space="preserve"> response or consultative behaviour.</w:t>
      </w:r>
    </w:p>
    <w:tbl>
      <w:tblPr>
        <w:tblW w:w="8657" w:type="dxa"/>
        <w:tblLook w:val="0000" w:firstRow="0" w:lastRow="0" w:firstColumn="0" w:lastColumn="0" w:noHBand="0" w:noVBand="0"/>
      </w:tblPr>
      <w:tblGrid>
        <w:gridCol w:w="6295"/>
        <w:gridCol w:w="995"/>
        <w:gridCol w:w="1367"/>
      </w:tblGrid>
      <w:tr w:rsidR="00D02DEE" w:rsidRPr="004F30BD" w14:paraId="3709A801" w14:textId="77777777" w:rsidTr="002C416A">
        <w:trPr>
          <w:trHeight w:val="257"/>
          <w:tblHeader/>
        </w:trPr>
        <w:tc>
          <w:tcPr>
            <w:tcW w:w="6295" w:type="dxa"/>
            <w:shd w:val="clear" w:color="auto" w:fill="00386E"/>
            <w:noWrap/>
            <w:vAlign w:val="center"/>
          </w:tcPr>
          <w:p w14:paraId="3558FFC7" w14:textId="77777777" w:rsidR="00D02DEE" w:rsidRPr="004F30BD" w:rsidRDefault="00D02DEE" w:rsidP="00144482">
            <w:pPr>
              <w:pStyle w:val="Tabletext"/>
              <w:spacing w:before="60" w:after="60" w:line="240" w:lineRule="atLeast"/>
              <w:rPr>
                <w:rFonts w:ascii="Arial Nova" w:hAnsi="Arial Nova"/>
                <w:color w:val="FFFFFF"/>
                <w:sz w:val="18"/>
                <w:szCs w:val="16"/>
                <w:lang w:val="en-AU"/>
              </w:rPr>
            </w:pPr>
            <w:r w:rsidRPr="004F30BD">
              <w:rPr>
                <w:rFonts w:ascii="Arial Nova" w:hAnsi="Arial Nova"/>
                <w:color w:val="FFFFFF"/>
                <w:sz w:val="18"/>
                <w:szCs w:val="16"/>
                <w:lang w:val="en-AU"/>
              </w:rPr>
              <w:t>C</w:t>
            </w:r>
            <w:r w:rsidR="005E0B00" w:rsidRPr="004F30BD">
              <w:rPr>
                <w:rFonts w:ascii="Arial Nova" w:hAnsi="Arial Nova"/>
                <w:color w:val="FFFFFF"/>
                <w:sz w:val="18"/>
                <w:szCs w:val="16"/>
                <w:lang w:val="en-AU"/>
              </w:rPr>
              <w:t>ONSULTATION</w:t>
            </w:r>
            <w:r w:rsidR="00670A94" w:rsidRPr="004F30BD">
              <w:rPr>
                <w:rFonts w:ascii="Arial Nova" w:hAnsi="Arial Nova"/>
                <w:color w:val="FFFFFF"/>
                <w:sz w:val="18"/>
                <w:szCs w:val="16"/>
                <w:lang w:val="en-AU"/>
              </w:rPr>
              <w:t xml:space="preserve"> ITEMS</w:t>
            </w:r>
          </w:p>
        </w:tc>
        <w:tc>
          <w:tcPr>
            <w:tcW w:w="995" w:type="dxa"/>
            <w:shd w:val="clear" w:color="auto" w:fill="00386E"/>
            <w:vAlign w:val="center"/>
          </w:tcPr>
          <w:p w14:paraId="32594A0A" w14:textId="77777777" w:rsidR="00D02DEE" w:rsidRPr="004F30BD" w:rsidRDefault="005E0B00" w:rsidP="00BF6031">
            <w:pPr>
              <w:pStyle w:val="Tabletext"/>
              <w:spacing w:before="60" w:after="60" w:line="240" w:lineRule="atLeast"/>
              <w:jc w:val="center"/>
              <w:rPr>
                <w:rFonts w:ascii="Arial Nova" w:hAnsi="Arial Nova"/>
                <w:color w:val="FFFFFF"/>
                <w:sz w:val="18"/>
                <w:szCs w:val="16"/>
                <w:lang w:val="en-AU"/>
              </w:rPr>
            </w:pPr>
            <w:r w:rsidRPr="004F30BD">
              <w:rPr>
                <w:rFonts w:ascii="Arial Nova" w:hAnsi="Arial Nova"/>
                <w:color w:val="FFFFFF"/>
                <w:sz w:val="18"/>
                <w:szCs w:val="16"/>
                <w:lang w:val="en-AU"/>
              </w:rPr>
              <w:t>n</w:t>
            </w:r>
          </w:p>
        </w:tc>
        <w:tc>
          <w:tcPr>
            <w:tcW w:w="1367" w:type="dxa"/>
            <w:shd w:val="clear" w:color="auto" w:fill="00386E"/>
            <w:vAlign w:val="center"/>
          </w:tcPr>
          <w:p w14:paraId="267A25D2" w14:textId="77777777" w:rsidR="00D02DEE" w:rsidRPr="004F30BD" w:rsidRDefault="00D02DEE" w:rsidP="00BF6031">
            <w:pPr>
              <w:pStyle w:val="Tabletext"/>
              <w:spacing w:before="60" w:after="60" w:line="240" w:lineRule="atLeast"/>
              <w:jc w:val="center"/>
              <w:rPr>
                <w:rFonts w:ascii="Arial Nova" w:hAnsi="Arial Nova"/>
                <w:color w:val="FFFFFF"/>
                <w:sz w:val="18"/>
                <w:szCs w:val="16"/>
                <w:lang w:val="en-AU"/>
              </w:rPr>
            </w:pPr>
            <w:r w:rsidRPr="004F30BD">
              <w:rPr>
                <w:rFonts w:ascii="Arial Nova" w:hAnsi="Arial Nova"/>
                <w:color w:val="FFFFFF"/>
                <w:sz w:val="18"/>
                <w:szCs w:val="16"/>
                <w:lang w:val="en-AU"/>
              </w:rPr>
              <w:t>TOP 2 SCORE (%)*</w:t>
            </w:r>
          </w:p>
        </w:tc>
      </w:tr>
      <w:tr w:rsidR="00D02DEE" w:rsidRPr="004F30BD" w14:paraId="29FE5811" w14:textId="77777777" w:rsidTr="005E0B00">
        <w:trPr>
          <w:trHeight w:val="340"/>
        </w:trPr>
        <w:tc>
          <w:tcPr>
            <w:tcW w:w="6295" w:type="dxa"/>
          </w:tcPr>
          <w:p w14:paraId="087F097B" w14:textId="77777777" w:rsidR="00D02DEE" w:rsidRPr="004F30BD" w:rsidRDefault="00D02DEE" w:rsidP="005E0B00">
            <w:pPr>
              <w:spacing w:before="40" w:after="40"/>
              <w:ind w:right="0"/>
              <w:rPr>
                <w:rFonts w:cs="Calibri"/>
                <w:color w:val="000000"/>
                <w:szCs w:val="16"/>
              </w:rPr>
            </w:pPr>
            <w:r w:rsidRPr="004F30BD">
              <w:t>Providing organisation with opportunity to give feedback on annual risk assessment process</w:t>
            </w:r>
          </w:p>
        </w:tc>
        <w:tc>
          <w:tcPr>
            <w:tcW w:w="995" w:type="dxa"/>
            <w:shd w:val="clear" w:color="auto" w:fill="auto"/>
            <w:noWrap/>
            <w:vAlign w:val="center"/>
          </w:tcPr>
          <w:p w14:paraId="0C9B625E" w14:textId="77777777" w:rsidR="00D02DEE" w:rsidRPr="004F30BD" w:rsidRDefault="00D02DEE" w:rsidP="005E0B00">
            <w:pPr>
              <w:spacing w:before="40" w:after="40"/>
              <w:ind w:right="0"/>
              <w:jc w:val="center"/>
              <w:rPr>
                <w:szCs w:val="16"/>
              </w:rPr>
            </w:pPr>
            <w:r w:rsidRPr="004F30BD">
              <w:t>126</w:t>
            </w:r>
          </w:p>
        </w:tc>
        <w:tc>
          <w:tcPr>
            <w:tcW w:w="1367" w:type="dxa"/>
            <w:shd w:val="clear" w:color="auto" w:fill="auto"/>
            <w:vAlign w:val="center"/>
          </w:tcPr>
          <w:p w14:paraId="401969D8" w14:textId="77777777" w:rsidR="00D02DEE" w:rsidRPr="004F30BD" w:rsidRDefault="00D02DEE" w:rsidP="005E0B00">
            <w:pPr>
              <w:spacing w:before="40" w:after="40"/>
              <w:ind w:right="0"/>
              <w:jc w:val="center"/>
              <w:rPr>
                <w:szCs w:val="16"/>
              </w:rPr>
            </w:pPr>
            <w:r w:rsidRPr="004F30BD">
              <w:t>65</w:t>
            </w:r>
          </w:p>
        </w:tc>
      </w:tr>
      <w:tr w:rsidR="00D02DEE" w:rsidRPr="004F30BD" w14:paraId="29EE615E" w14:textId="77777777" w:rsidTr="005E0B00">
        <w:trPr>
          <w:trHeight w:val="340"/>
        </w:trPr>
        <w:tc>
          <w:tcPr>
            <w:tcW w:w="6295" w:type="dxa"/>
            <w:shd w:val="clear" w:color="auto" w:fill="E6E6E6"/>
          </w:tcPr>
          <w:p w14:paraId="1D853A6D" w14:textId="77777777" w:rsidR="00D02DEE" w:rsidRPr="004F30BD" w:rsidRDefault="00D02DEE" w:rsidP="005E0B00">
            <w:pPr>
              <w:spacing w:before="40" w:after="40"/>
              <w:ind w:right="0"/>
              <w:rPr>
                <w:rFonts w:cs="Calibri"/>
                <w:color w:val="000000"/>
                <w:szCs w:val="16"/>
              </w:rPr>
            </w:pPr>
            <w:r w:rsidRPr="004F30BD">
              <w:t>Listening to organisation’s views on better ways to protect student interests</w:t>
            </w:r>
          </w:p>
        </w:tc>
        <w:tc>
          <w:tcPr>
            <w:tcW w:w="995" w:type="dxa"/>
            <w:shd w:val="clear" w:color="auto" w:fill="E6E6E6"/>
            <w:noWrap/>
            <w:vAlign w:val="center"/>
          </w:tcPr>
          <w:p w14:paraId="1B1F2E8F" w14:textId="77777777" w:rsidR="00D02DEE" w:rsidRPr="004F30BD" w:rsidRDefault="00D02DEE" w:rsidP="005E0B00">
            <w:pPr>
              <w:spacing w:before="40" w:after="40"/>
              <w:ind w:right="0"/>
              <w:jc w:val="center"/>
              <w:rPr>
                <w:szCs w:val="16"/>
              </w:rPr>
            </w:pPr>
            <w:r w:rsidRPr="004F30BD">
              <w:t>92</w:t>
            </w:r>
          </w:p>
        </w:tc>
        <w:tc>
          <w:tcPr>
            <w:tcW w:w="1367" w:type="dxa"/>
            <w:shd w:val="clear" w:color="auto" w:fill="E6E6E6"/>
            <w:vAlign w:val="center"/>
          </w:tcPr>
          <w:p w14:paraId="1649D7F4" w14:textId="77777777" w:rsidR="00D02DEE" w:rsidRPr="004F30BD" w:rsidRDefault="00D02DEE" w:rsidP="005E0B00">
            <w:pPr>
              <w:spacing w:before="40" w:after="40"/>
              <w:ind w:right="0"/>
              <w:jc w:val="center"/>
              <w:rPr>
                <w:szCs w:val="16"/>
              </w:rPr>
            </w:pPr>
            <w:r w:rsidRPr="004F30BD">
              <w:t>63</w:t>
            </w:r>
          </w:p>
        </w:tc>
      </w:tr>
      <w:tr w:rsidR="00D02DEE" w:rsidRPr="004F30BD" w14:paraId="4DCE4542" w14:textId="77777777" w:rsidTr="005E0B00">
        <w:trPr>
          <w:trHeight w:val="340"/>
        </w:trPr>
        <w:tc>
          <w:tcPr>
            <w:tcW w:w="6295" w:type="dxa"/>
          </w:tcPr>
          <w:p w14:paraId="391A0FB1" w14:textId="77777777" w:rsidR="00D02DEE" w:rsidRPr="004F30BD" w:rsidRDefault="00D02DEE" w:rsidP="005E0B00">
            <w:pPr>
              <w:spacing w:before="40" w:after="40"/>
              <w:ind w:right="0"/>
              <w:rPr>
                <w:rFonts w:cs="Calibri"/>
                <w:color w:val="000000"/>
                <w:szCs w:val="16"/>
              </w:rPr>
            </w:pPr>
            <w:r w:rsidRPr="004F30BD">
              <w:t>Providing organisation with opportunity to give feedback on application processes</w:t>
            </w:r>
          </w:p>
        </w:tc>
        <w:tc>
          <w:tcPr>
            <w:tcW w:w="995" w:type="dxa"/>
            <w:shd w:val="clear" w:color="auto" w:fill="auto"/>
            <w:noWrap/>
            <w:vAlign w:val="center"/>
          </w:tcPr>
          <w:p w14:paraId="37D8CA26" w14:textId="77777777" w:rsidR="00D02DEE" w:rsidRPr="004F30BD" w:rsidRDefault="00D02DEE" w:rsidP="005E0B00">
            <w:pPr>
              <w:spacing w:before="40" w:after="40"/>
              <w:ind w:right="0"/>
              <w:jc w:val="center"/>
              <w:rPr>
                <w:szCs w:val="16"/>
              </w:rPr>
            </w:pPr>
            <w:r w:rsidRPr="004F30BD">
              <w:t>111</w:t>
            </w:r>
          </w:p>
        </w:tc>
        <w:tc>
          <w:tcPr>
            <w:tcW w:w="1367" w:type="dxa"/>
            <w:shd w:val="clear" w:color="auto" w:fill="auto"/>
            <w:vAlign w:val="center"/>
          </w:tcPr>
          <w:p w14:paraId="12CFED46" w14:textId="77777777" w:rsidR="00D02DEE" w:rsidRPr="004F30BD" w:rsidRDefault="00D02DEE" w:rsidP="005E0B00">
            <w:pPr>
              <w:spacing w:before="40" w:after="40"/>
              <w:ind w:right="0"/>
              <w:jc w:val="center"/>
              <w:rPr>
                <w:szCs w:val="16"/>
              </w:rPr>
            </w:pPr>
            <w:r w:rsidRPr="004F30BD">
              <w:t>61</w:t>
            </w:r>
          </w:p>
        </w:tc>
      </w:tr>
      <w:tr w:rsidR="00D02DEE" w:rsidRPr="004F30BD" w14:paraId="7B89B418" w14:textId="77777777" w:rsidTr="005E0B00">
        <w:trPr>
          <w:trHeight w:val="340"/>
        </w:trPr>
        <w:tc>
          <w:tcPr>
            <w:tcW w:w="6295" w:type="dxa"/>
            <w:shd w:val="clear" w:color="auto" w:fill="D9D9D9" w:themeFill="background1" w:themeFillShade="D9"/>
          </w:tcPr>
          <w:p w14:paraId="7D43E2F8" w14:textId="77777777" w:rsidR="00D02DEE" w:rsidRPr="004F30BD" w:rsidRDefault="00D02DEE" w:rsidP="005E0B00">
            <w:pPr>
              <w:spacing w:before="40" w:after="40"/>
              <w:ind w:right="0"/>
              <w:rPr>
                <w:rFonts w:cs="Calibri"/>
                <w:color w:val="000000"/>
                <w:szCs w:val="16"/>
              </w:rPr>
            </w:pPr>
            <w:r w:rsidRPr="004F30BD">
              <w:t>Listening to organisation’s views on improving quality assurance</w:t>
            </w:r>
          </w:p>
        </w:tc>
        <w:tc>
          <w:tcPr>
            <w:tcW w:w="995" w:type="dxa"/>
            <w:shd w:val="clear" w:color="auto" w:fill="D9D9D9" w:themeFill="background1" w:themeFillShade="D9"/>
            <w:noWrap/>
            <w:vAlign w:val="center"/>
          </w:tcPr>
          <w:p w14:paraId="306736CF" w14:textId="77777777" w:rsidR="00D02DEE" w:rsidRPr="004F30BD" w:rsidRDefault="00D02DEE" w:rsidP="005E0B00">
            <w:pPr>
              <w:spacing w:before="40" w:after="40"/>
              <w:ind w:right="0"/>
              <w:jc w:val="center"/>
              <w:rPr>
                <w:szCs w:val="16"/>
              </w:rPr>
            </w:pPr>
            <w:r w:rsidRPr="004F30BD">
              <w:t>103</w:t>
            </w:r>
          </w:p>
        </w:tc>
        <w:tc>
          <w:tcPr>
            <w:tcW w:w="1367" w:type="dxa"/>
            <w:shd w:val="clear" w:color="auto" w:fill="D9D9D9" w:themeFill="background1" w:themeFillShade="D9"/>
            <w:vAlign w:val="center"/>
          </w:tcPr>
          <w:p w14:paraId="02AE80A4" w14:textId="77777777" w:rsidR="00D02DEE" w:rsidRPr="004F30BD" w:rsidRDefault="00D02DEE" w:rsidP="005E0B00">
            <w:pPr>
              <w:spacing w:before="40" w:after="40"/>
              <w:ind w:right="0"/>
              <w:jc w:val="center"/>
              <w:rPr>
                <w:szCs w:val="16"/>
              </w:rPr>
            </w:pPr>
            <w:r w:rsidRPr="004F30BD">
              <w:t>56</w:t>
            </w:r>
          </w:p>
        </w:tc>
      </w:tr>
      <w:tr w:rsidR="00D02DEE" w:rsidRPr="004F30BD" w14:paraId="55257713" w14:textId="77777777" w:rsidTr="005E0B00">
        <w:trPr>
          <w:trHeight w:val="340"/>
        </w:trPr>
        <w:tc>
          <w:tcPr>
            <w:tcW w:w="6295" w:type="dxa"/>
            <w:tcBorders>
              <w:bottom w:val="single" w:sz="4" w:space="0" w:color="auto"/>
            </w:tcBorders>
            <w:shd w:val="clear" w:color="auto" w:fill="FFFFFF" w:themeFill="background1"/>
          </w:tcPr>
          <w:p w14:paraId="6CCEF67A" w14:textId="77777777" w:rsidR="00D02DEE" w:rsidRPr="004F30BD" w:rsidRDefault="00D02DEE" w:rsidP="005E0B00">
            <w:pPr>
              <w:spacing w:before="40" w:after="40"/>
              <w:ind w:right="0"/>
              <w:rPr>
                <w:rFonts w:cs="Calibri"/>
                <w:color w:val="000000"/>
                <w:szCs w:val="16"/>
              </w:rPr>
            </w:pPr>
            <w:r w:rsidRPr="004F30BD">
              <w:t>Listening to organisation’s views on ways to reduce regulatory burden</w:t>
            </w:r>
          </w:p>
        </w:tc>
        <w:tc>
          <w:tcPr>
            <w:tcW w:w="995" w:type="dxa"/>
            <w:tcBorders>
              <w:bottom w:val="single" w:sz="4" w:space="0" w:color="auto"/>
            </w:tcBorders>
            <w:shd w:val="clear" w:color="auto" w:fill="FFFFFF" w:themeFill="background1"/>
            <w:noWrap/>
            <w:vAlign w:val="center"/>
          </w:tcPr>
          <w:p w14:paraId="5AD29D88" w14:textId="77777777" w:rsidR="00D02DEE" w:rsidRPr="004F30BD" w:rsidRDefault="00D02DEE" w:rsidP="005E0B00">
            <w:pPr>
              <w:spacing w:before="40" w:after="40"/>
              <w:ind w:right="0"/>
              <w:jc w:val="center"/>
              <w:rPr>
                <w:szCs w:val="16"/>
              </w:rPr>
            </w:pPr>
            <w:r w:rsidRPr="004F30BD">
              <w:t>103</w:t>
            </w:r>
          </w:p>
        </w:tc>
        <w:tc>
          <w:tcPr>
            <w:tcW w:w="1367" w:type="dxa"/>
            <w:tcBorders>
              <w:bottom w:val="single" w:sz="4" w:space="0" w:color="auto"/>
            </w:tcBorders>
            <w:shd w:val="clear" w:color="auto" w:fill="FFFFFF" w:themeFill="background1"/>
            <w:vAlign w:val="center"/>
          </w:tcPr>
          <w:p w14:paraId="5CF243F2" w14:textId="77777777" w:rsidR="00D02DEE" w:rsidRPr="004F30BD" w:rsidRDefault="00D02DEE" w:rsidP="005E0B00">
            <w:pPr>
              <w:spacing w:before="40" w:after="40"/>
              <w:ind w:right="0"/>
              <w:jc w:val="center"/>
              <w:rPr>
                <w:szCs w:val="16"/>
              </w:rPr>
            </w:pPr>
            <w:r w:rsidRPr="004F30BD">
              <w:t>48</w:t>
            </w:r>
          </w:p>
        </w:tc>
      </w:tr>
    </w:tbl>
    <w:p w14:paraId="1955FDC7" w14:textId="77777777" w:rsidR="00D02DEE" w:rsidRPr="004F30BD" w:rsidRDefault="002C416A" w:rsidP="005E0B00">
      <w:pPr>
        <w:spacing w:before="60" w:after="240"/>
        <w:rPr>
          <w:i/>
        </w:rPr>
      </w:pPr>
      <w:r w:rsidRPr="004F30BD">
        <w:rPr>
          <w:i/>
        </w:rPr>
        <w:t>*</w:t>
      </w:r>
      <w:r w:rsidR="00D02DEE" w:rsidRPr="004F30BD">
        <w:rPr>
          <w:i/>
        </w:rPr>
        <w:t>Top 2 scores and n counts exclude don’t know / not applicable / no answer responses.</w:t>
      </w:r>
    </w:p>
    <w:p w14:paraId="12F58806" w14:textId="77777777" w:rsidR="00313636" w:rsidRPr="004F30BD" w:rsidRDefault="00313636" w:rsidP="005E0B00">
      <w:pPr>
        <w:spacing w:before="60" w:after="240"/>
        <w:rPr>
          <w:i/>
        </w:rPr>
      </w:pPr>
    </w:p>
    <w:p w14:paraId="707001A7" w14:textId="77777777" w:rsidR="00796F66" w:rsidRPr="004F30BD" w:rsidRDefault="000B5C04" w:rsidP="00313636">
      <w:r w:rsidRPr="004F30BD">
        <w:rPr>
          <w:noProof/>
          <w:lang w:eastAsia="en-AU"/>
        </w:rPr>
        <w:lastRenderedPageBreak/>
        <w:drawing>
          <wp:inline distT="0" distB="0" distL="0" distR="0" wp14:anchorId="177FF403" wp14:editId="22C0DC67">
            <wp:extent cx="5610225" cy="3067050"/>
            <wp:effectExtent l="0" t="0" r="0" b="0"/>
            <wp:docPr id="9" name="Chart 9">
              <a:extLst xmlns:a="http://schemas.openxmlformats.org/drawingml/2006/main">
                <a:ext uri="{FF2B5EF4-FFF2-40B4-BE49-F238E27FC236}">
                  <a16:creationId xmlns:a16="http://schemas.microsoft.com/office/drawing/2014/main" id="{0A937FD7-EA48-4979-9F03-5E34C61029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3FC5BB5" w14:textId="77777777" w:rsidR="00D02DEE" w:rsidRPr="004F30BD" w:rsidRDefault="003501AA" w:rsidP="002C416A">
      <w:pPr>
        <w:pStyle w:val="Heading4"/>
        <w:spacing w:before="360"/>
      </w:pPr>
      <w:r w:rsidRPr="004F30BD">
        <w:t xml:space="preserve">Comments about </w:t>
      </w:r>
      <w:r w:rsidR="00D02DEE" w:rsidRPr="004F30BD">
        <w:t>TEQSA’s communication and consultati</w:t>
      </w:r>
      <w:r w:rsidR="00796F66" w:rsidRPr="004F30BD">
        <w:t>on</w:t>
      </w:r>
      <w:r w:rsidR="00D02DEE" w:rsidRPr="004F30BD">
        <w:t xml:space="preserve"> </w:t>
      </w:r>
    </w:p>
    <w:p w14:paraId="5356E1EE" w14:textId="77777777" w:rsidR="00D02DEE" w:rsidRPr="004F30BD" w:rsidRDefault="00D02DEE" w:rsidP="00D02DEE">
      <w:r w:rsidRPr="004F30BD">
        <w:t xml:space="preserve">Principal contacts offered </w:t>
      </w:r>
      <w:r w:rsidR="00BE5575" w:rsidRPr="004F30BD">
        <w:t>24</w:t>
      </w:r>
      <w:r w:rsidRPr="004F30BD">
        <w:t xml:space="preserve"> valid comments about TEQSA’s </w:t>
      </w:r>
      <w:r w:rsidR="00950DAE" w:rsidRPr="004F30BD">
        <w:t>communications and consultation</w:t>
      </w:r>
      <w:r w:rsidRPr="004F30BD">
        <w:t>. The more common themes focused on:</w:t>
      </w:r>
    </w:p>
    <w:p w14:paraId="4726439F" w14:textId="77777777" w:rsidR="005649AE" w:rsidRPr="004F30BD" w:rsidRDefault="005649AE" w:rsidP="00A06284">
      <w:pPr>
        <w:pStyle w:val="ListParagraph"/>
        <w:numPr>
          <w:ilvl w:val="0"/>
          <w:numId w:val="14"/>
        </w:numPr>
        <w:spacing w:before="60"/>
        <w:contextualSpacing w:val="0"/>
        <w:rPr>
          <w:lang w:eastAsia="en-AU"/>
        </w:rPr>
      </w:pPr>
      <w:r w:rsidRPr="004F30BD">
        <w:rPr>
          <w:lang w:eastAsia="en-AU"/>
        </w:rPr>
        <w:t xml:space="preserve">TEQSA listen to responses / always willing to listen to feedback when seek out providers' views </w:t>
      </w:r>
    </w:p>
    <w:p w14:paraId="21FD14A3" w14:textId="77777777" w:rsidR="005649AE" w:rsidRPr="004F30BD" w:rsidRDefault="005649AE" w:rsidP="00A06284">
      <w:pPr>
        <w:pStyle w:val="ListParagraph"/>
        <w:numPr>
          <w:ilvl w:val="0"/>
          <w:numId w:val="14"/>
        </w:numPr>
        <w:spacing w:before="60"/>
        <w:contextualSpacing w:val="0"/>
        <w:rPr>
          <w:lang w:eastAsia="en-AU"/>
        </w:rPr>
      </w:pPr>
      <w:r w:rsidRPr="004F30BD">
        <w:rPr>
          <w:lang w:eastAsia="en-AU"/>
        </w:rPr>
        <w:t xml:space="preserve">TEQSA’s public statements </w:t>
      </w:r>
      <w:r w:rsidR="002E4119" w:rsidRPr="004F30BD">
        <w:rPr>
          <w:lang w:eastAsia="en-AU"/>
        </w:rPr>
        <w:t>about c</w:t>
      </w:r>
      <w:r w:rsidRPr="004F30BD">
        <w:rPr>
          <w:lang w:eastAsia="en-AU"/>
        </w:rPr>
        <w:t>ontract cheating services appreciated</w:t>
      </w:r>
    </w:p>
    <w:p w14:paraId="050D7DF2" w14:textId="77777777" w:rsidR="005649AE" w:rsidRPr="004F30BD" w:rsidRDefault="002E4119" w:rsidP="00A06284">
      <w:pPr>
        <w:pStyle w:val="ListParagraph"/>
        <w:numPr>
          <w:ilvl w:val="0"/>
          <w:numId w:val="14"/>
        </w:numPr>
        <w:spacing w:before="60"/>
        <w:contextualSpacing w:val="0"/>
        <w:rPr>
          <w:lang w:eastAsia="en-AU"/>
        </w:rPr>
      </w:pPr>
      <w:r w:rsidRPr="004F30BD">
        <w:rPr>
          <w:lang w:eastAsia="en-AU"/>
        </w:rPr>
        <w:t xml:space="preserve">Improved </w:t>
      </w:r>
      <w:r w:rsidR="00BE5575" w:rsidRPr="004F30BD">
        <w:rPr>
          <w:lang w:eastAsia="en-AU"/>
        </w:rPr>
        <w:t xml:space="preserve">format </w:t>
      </w:r>
      <w:r w:rsidRPr="004F30BD">
        <w:rPr>
          <w:lang w:eastAsia="en-AU"/>
        </w:rPr>
        <w:t>needed for</w:t>
      </w:r>
      <w:r w:rsidR="00BE5575" w:rsidRPr="004F30BD">
        <w:rPr>
          <w:lang w:eastAsia="en-AU"/>
        </w:rPr>
        <w:t xml:space="preserve"> </w:t>
      </w:r>
      <w:r w:rsidRPr="004F30BD">
        <w:rPr>
          <w:lang w:eastAsia="en-AU"/>
        </w:rPr>
        <w:t xml:space="preserve">the </w:t>
      </w:r>
      <w:r w:rsidR="005649AE" w:rsidRPr="004F30BD">
        <w:rPr>
          <w:lang w:eastAsia="en-AU"/>
        </w:rPr>
        <w:t xml:space="preserve">TEQSA </w:t>
      </w:r>
      <w:r w:rsidR="00BE5575" w:rsidRPr="004F30BD">
        <w:rPr>
          <w:lang w:eastAsia="en-AU"/>
        </w:rPr>
        <w:t>conference</w:t>
      </w:r>
    </w:p>
    <w:p w14:paraId="71A56063" w14:textId="77777777" w:rsidR="00BE5575" w:rsidRPr="004F30BD" w:rsidRDefault="002E4119" w:rsidP="00A06284">
      <w:pPr>
        <w:pStyle w:val="ListParagraph"/>
        <w:numPr>
          <w:ilvl w:val="0"/>
          <w:numId w:val="14"/>
        </w:numPr>
        <w:spacing w:before="60"/>
        <w:contextualSpacing w:val="0"/>
        <w:rPr>
          <w:lang w:eastAsia="en-AU"/>
        </w:rPr>
      </w:pPr>
      <w:r w:rsidRPr="004F30BD">
        <w:rPr>
          <w:lang w:eastAsia="en-AU"/>
        </w:rPr>
        <w:t xml:space="preserve">No or limited formal </w:t>
      </w:r>
      <w:r w:rsidR="00CD4D69" w:rsidRPr="004F30BD">
        <w:rPr>
          <w:lang w:eastAsia="en-AU"/>
        </w:rPr>
        <w:t xml:space="preserve">opportunities to </w:t>
      </w:r>
      <w:r w:rsidRPr="004F30BD">
        <w:rPr>
          <w:lang w:eastAsia="en-AU"/>
        </w:rPr>
        <w:t>be listened to / consulted with</w:t>
      </w:r>
    </w:p>
    <w:p w14:paraId="706FADFF" w14:textId="77777777" w:rsidR="00BE5575" w:rsidRPr="004F30BD" w:rsidRDefault="002E4119" w:rsidP="00A06284">
      <w:pPr>
        <w:pStyle w:val="ListParagraph"/>
        <w:numPr>
          <w:ilvl w:val="0"/>
          <w:numId w:val="14"/>
        </w:numPr>
        <w:spacing w:before="60"/>
        <w:contextualSpacing w:val="0"/>
        <w:rPr>
          <w:lang w:eastAsia="en-AU"/>
        </w:rPr>
      </w:pPr>
      <w:r w:rsidRPr="004F30BD">
        <w:rPr>
          <w:lang w:eastAsia="en-AU"/>
        </w:rPr>
        <w:t>Provide</w:t>
      </w:r>
      <w:r w:rsidR="00BE5575" w:rsidRPr="004F30BD">
        <w:rPr>
          <w:lang w:eastAsia="en-AU"/>
        </w:rPr>
        <w:t xml:space="preserve"> advance notice of when the annual risk assessment </w:t>
      </w:r>
      <w:r w:rsidRPr="004F30BD">
        <w:rPr>
          <w:lang w:eastAsia="en-AU"/>
        </w:rPr>
        <w:t xml:space="preserve">is </w:t>
      </w:r>
      <w:r w:rsidR="005649AE" w:rsidRPr="004F30BD">
        <w:rPr>
          <w:lang w:eastAsia="en-AU"/>
        </w:rPr>
        <w:t>due</w:t>
      </w:r>
      <w:r w:rsidR="00CD4D69" w:rsidRPr="004F30BD">
        <w:rPr>
          <w:lang w:eastAsia="en-AU"/>
        </w:rPr>
        <w:t xml:space="preserve"> </w:t>
      </w:r>
    </w:p>
    <w:p w14:paraId="07730F8B" w14:textId="77777777" w:rsidR="00BE5575" w:rsidRPr="004F30BD" w:rsidRDefault="002E4119" w:rsidP="00A06284">
      <w:pPr>
        <w:pStyle w:val="ListParagraph"/>
        <w:numPr>
          <w:ilvl w:val="0"/>
          <w:numId w:val="14"/>
        </w:numPr>
        <w:spacing w:before="60"/>
        <w:contextualSpacing w:val="0"/>
        <w:rPr>
          <w:lang w:eastAsia="en-AU"/>
        </w:rPr>
      </w:pPr>
      <w:r w:rsidRPr="004F30BD">
        <w:rPr>
          <w:lang w:eastAsia="en-AU"/>
        </w:rPr>
        <w:t>Deadlines too tight or not clear</w:t>
      </w:r>
    </w:p>
    <w:p w14:paraId="6427FD5E" w14:textId="77777777" w:rsidR="00BE5575" w:rsidRPr="004F30BD" w:rsidRDefault="002E4119" w:rsidP="00A06284">
      <w:pPr>
        <w:pStyle w:val="ListParagraph"/>
        <w:numPr>
          <w:ilvl w:val="0"/>
          <w:numId w:val="14"/>
        </w:numPr>
        <w:spacing w:before="60"/>
        <w:contextualSpacing w:val="0"/>
        <w:rPr>
          <w:lang w:eastAsia="en-AU"/>
        </w:rPr>
      </w:pPr>
      <w:r w:rsidRPr="004F30BD">
        <w:rPr>
          <w:lang w:eastAsia="en-AU"/>
        </w:rPr>
        <w:t>TEQSA is too slow in responding / making a decision / not responding at all</w:t>
      </w:r>
    </w:p>
    <w:p w14:paraId="6D2FEFFD" w14:textId="77777777" w:rsidR="00CD4D69" w:rsidRPr="004F30BD" w:rsidRDefault="00CD4D69" w:rsidP="00A06284">
      <w:pPr>
        <w:pStyle w:val="ListParagraph"/>
        <w:numPr>
          <w:ilvl w:val="0"/>
          <w:numId w:val="14"/>
        </w:numPr>
        <w:spacing w:before="60"/>
        <w:contextualSpacing w:val="0"/>
        <w:rPr>
          <w:lang w:eastAsia="en-AU"/>
        </w:rPr>
      </w:pPr>
      <w:r w:rsidRPr="004F30BD">
        <w:rPr>
          <w:lang w:eastAsia="en-AU"/>
        </w:rPr>
        <w:t>E</w:t>
      </w:r>
      <w:r w:rsidR="00BE5575" w:rsidRPr="004F30BD">
        <w:rPr>
          <w:lang w:eastAsia="en-AU"/>
        </w:rPr>
        <w:t>mail</w:t>
      </w:r>
      <w:r w:rsidRPr="004F30BD">
        <w:rPr>
          <w:lang w:eastAsia="en-AU"/>
        </w:rPr>
        <w:t>s sent to</w:t>
      </w:r>
      <w:r w:rsidR="00BE5575" w:rsidRPr="004F30BD">
        <w:rPr>
          <w:lang w:eastAsia="en-AU"/>
        </w:rPr>
        <w:t xml:space="preserve"> </w:t>
      </w:r>
      <w:r w:rsidRPr="004F30BD">
        <w:rPr>
          <w:lang w:eastAsia="en-AU"/>
        </w:rPr>
        <w:t>wrong</w:t>
      </w:r>
      <w:r w:rsidR="00BE5575" w:rsidRPr="004F30BD">
        <w:rPr>
          <w:lang w:eastAsia="en-AU"/>
        </w:rPr>
        <w:t xml:space="preserve"> person in the organisation NOT the principal contact</w:t>
      </w:r>
    </w:p>
    <w:p w14:paraId="6316ABE1" w14:textId="77777777" w:rsidR="002E4119" w:rsidRPr="004F30BD" w:rsidRDefault="002E4119" w:rsidP="00A06284">
      <w:pPr>
        <w:pStyle w:val="ListParagraph"/>
        <w:numPr>
          <w:ilvl w:val="0"/>
          <w:numId w:val="14"/>
        </w:numPr>
        <w:spacing w:before="60"/>
        <w:contextualSpacing w:val="0"/>
        <w:rPr>
          <w:lang w:eastAsia="en-AU"/>
        </w:rPr>
      </w:pPr>
      <w:r w:rsidRPr="004F30BD">
        <w:rPr>
          <w:lang w:eastAsia="en-AU"/>
        </w:rPr>
        <w:t>I</w:t>
      </w:r>
      <w:r w:rsidR="005649AE" w:rsidRPr="004F30BD">
        <w:rPr>
          <w:lang w:eastAsia="en-AU"/>
        </w:rPr>
        <w:t>nformation on the 2015 HESF is out of date</w:t>
      </w:r>
    </w:p>
    <w:p w14:paraId="77CCB106" w14:textId="77777777" w:rsidR="00990CE2" w:rsidRPr="004F30BD" w:rsidRDefault="002E4119" w:rsidP="00A06284">
      <w:pPr>
        <w:pStyle w:val="ListParagraph"/>
        <w:numPr>
          <w:ilvl w:val="0"/>
          <w:numId w:val="14"/>
        </w:numPr>
        <w:spacing w:before="60"/>
        <w:contextualSpacing w:val="0"/>
        <w:rPr>
          <w:lang w:eastAsia="en-AU"/>
        </w:rPr>
      </w:pPr>
      <w:r w:rsidRPr="004F30BD">
        <w:rPr>
          <w:lang w:eastAsia="en-AU"/>
        </w:rPr>
        <w:t>Slow</w:t>
      </w:r>
      <w:r w:rsidR="005649AE" w:rsidRPr="004F30BD">
        <w:rPr>
          <w:lang w:eastAsia="en-AU"/>
        </w:rPr>
        <w:t xml:space="preserve"> </w:t>
      </w:r>
      <w:r w:rsidRPr="004F30BD">
        <w:rPr>
          <w:lang w:eastAsia="en-AU"/>
        </w:rPr>
        <w:t>to</w:t>
      </w:r>
      <w:r w:rsidR="005649AE" w:rsidRPr="004F30BD">
        <w:rPr>
          <w:lang w:eastAsia="en-AU"/>
        </w:rPr>
        <w:t xml:space="preserve"> updat</w:t>
      </w:r>
      <w:r w:rsidRPr="004F30BD">
        <w:rPr>
          <w:lang w:eastAsia="en-AU"/>
        </w:rPr>
        <w:t xml:space="preserve">e </w:t>
      </w:r>
      <w:r w:rsidR="00BE5575" w:rsidRPr="004F30BD">
        <w:rPr>
          <w:lang w:eastAsia="en-AU"/>
        </w:rPr>
        <w:t>National Register</w:t>
      </w:r>
    </w:p>
    <w:p w14:paraId="02B02EAA" w14:textId="77777777" w:rsidR="005649AE" w:rsidRPr="004F30BD" w:rsidRDefault="00C4477E" w:rsidP="00A06284">
      <w:pPr>
        <w:pStyle w:val="ListParagraph"/>
        <w:numPr>
          <w:ilvl w:val="0"/>
          <w:numId w:val="14"/>
        </w:numPr>
        <w:spacing w:before="60"/>
        <w:contextualSpacing w:val="0"/>
        <w:rPr>
          <w:lang w:eastAsia="en-AU"/>
        </w:rPr>
      </w:pPr>
      <w:r w:rsidRPr="004F30BD">
        <w:rPr>
          <w:lang w:eastAsia="en-AU"/>
        </w:rPr>
        <w:t xml:space="preserve">Some </w:t>
      </w:r>
      <w:r w:rsidR="005649AE" w:rsidRPr="004F30BD">
        <w:rPr>
          <w:lang w:eastAsia="en-AU"/>
        </w:rPr>
        <w:t xml:space="preserve">TEQSA's staff and experts can be arrogant / misinformed. </w:t>
      </w:r>
    </w:p>
    <w:p w14:paraId="3BFAF06C" w14:textId="77777777" w:rsidR="00DA6A83" w:rsidRPr="004F30BD" w:rsidRDefault="00DA6A83" w:rsidP="00670A94">
      <w:pPr>
        <w:pStyle w:val="Heading2"/>
      </w:pPr>
      <w:bookmarkStart w:id="18" w:name="_Toc22298023"/>
      <w:r w:rsidRPr="004F30BD">
        <w:t xml:space="preserve">Regulatory approach and </w:t>
      </w:r>
      <w:r w:rsidR="002E7176" w:rsidRPr="004F30BD">
        <w:t>activities</w:t>
      </w:r>
      <w:bookmarkEnd w:id="18"/>
    </w:p>
    <w:p w14:paraId="24E62FB6" w14:textId="77777777" w:rsidR="00DA6A83" w:rsidRPr="004F30BD" w:rsidRDefault="00DA6A83" w:rsidP="00DA6A83">
      <w:pPr>
        <w:spacing w:after="240"/>
      </w:pPr>
      <w:r w:rsidRPr="004F30BD">
        <w:t xml:space="preserve">All items for TEQSA’s </w:t>
      </w:r>
      <w:r w:rsidR="006D126C" w:rsidRPr="004F30BD">
        <w:t>r</w:t>
      </w:r>
      <w:r w:rsidR="00BD691B" w:rsidRPr="004F30BD">
        <w:t xml:space="preserve">egulatory approach </w:t>
      </w:r>
      <w:r w:rsidRPr="004F30BD">
        <w:t xml:space="preserve">rated between 65% and </w:t>
      </w:r>
      <w:r w:rsidR="0007100A" w:rsidRPr="004F30BD">
        <w:t>77</w:t>
      </w:r>
      <w:r w:rsidRPr="004F30BD">
        <w:t>%.</w:t>
      </w:r>
      <w:r w:rsidR="002C416A" w:rsidRPr="004F30BD">
        <w:t xml:space="preserve"> Many providers believe that TEQSA is helping the sector as a whole to protect students, but more work needs to be done in terms of providers’ capacity to protect students and to manage their risks. Refer to the table and chart below.</w:t>
      </w:r>
    </w:p>
    <w:tbl>
      <w:tblPr>
        <w:tblW w:w="8730" w:type="dxa"/>
        <w:tblLook w:val="0000" w:firstRow="0" w:lastRow="0" w:firstColumn="0" w:lastColumn="0" w:noHBand="0" w:noVBand="0"/>
      </w:tblPr>
      <w:tblGrid>
        <w:gridCol w:w="6120"/>
        <w:gridCol w:w="1170"/>
        <w:gridCol w:w="1440"/>
      </w:tblGrid>
      <w:tr w:rsidR="00DA6A83" w:rsidRPr="004F30BD" w14:paraId="0D1A9156" w14:textId="77777777" w:rsidTr="002C416A">
        <w:trPr>
          <w:trHeight w:val="257"/>
          <w:tblHeader/>
        </w:trPr>
        <w:tc>
          <w:tcPr>
            <w:tcW w:w="6120" w:type="dxa"/>
            <w:shd w:val="clear" w:color="auto" w:fill="00386E"/>
            <w:noWrap/>
            <w:vAlign w:val="center"/>
          </w:tcPr>
          <w:p w14:paraId="2DC126BF" w14:textId="77777777" w:rsidR="00DA6A83" w:rsidRPr="004F30BD" w:rsidRDefault="00670A94" w:rsidP="002C416A">
            <w:pPr>
              <w:pStyle w:val="Tabletext"/>
              <w:spacing w:line="240" w:lineRule="atLeast"/>
              <w:rPr>
                <w:color w:val="FFFFFF"/>
                <w:sz w:val="18"/>
                <w:szCs w:val="16"/>
                <w:lang w:val="en-AU"/>
              </w:rPr>
            </w:pPr>
            <w:r w:rsidRPr="004F30BD">
              <w:rPr>
                <w:color w:val="FFFFFF"/>
                <w:sz w:val="18"/>
                <w:szCs w:val="16"/>
                <w:lang w:val="en-AU"/>
              </w:rPr>
              <w:t>REGULATOR APPROACH ITEMS</w:t>
            </w:r>
            <w:r w:rsidR="00DA6A83" w:rsidRPr="004F30BD">
              <w:rPr>
                <w:color w:val="FFFFFF"/>
                <w:sz w:val="18"/>
                <w:szCs w:val="16"/>
                <w:lang w:val="en-AU"/>
              </w:rPr>
              <w:t xml:space="preserve">  </w:t>
            </w:r>
          </w:p>
        </w:tc>
        <w:tc>
          <w:tcPr>
            <w:tcW w:w="1170" w:type="dxa"/>
            <w:shd w:val="clear" w:color="auto" w:fill="00386E"/>
            <w:vAlign w:val="center"/>
          </w:tcPr>
          <w:p w14:paraId="65F827C1" w14:textId="77777777" w:rsidR="00DA6A83" w:rsidRPr="004F30BD" w:rsidRDefault="006D126C" w:rsidP="002C416A">
            <w:pPr>
              <w:pStyle w:val="Tabletext"/>
              <w:spacing w:line="240" w:lineRule="atLeast"/>
              <w:jc w:val="center"/>
              <w:rPr>
                <w:color w:val="FFFFFF"/>
                <w:sz w:val="18"/>
                <w:szCs w:val="16"/>
                <w:lang w:val="en-AU"/>
              </w:rPr>
            </w:pPr>
            <w:r w:rsidRPr="004F30BD">
              <w:rPr>
                <w:color w:val="FFFFFF"/>
                <w:sz w:val="18"/>
                <w:szCs w:val="16"/>
                <w:lang w:val="en-AU"/>
              </w:rPr>
              <w:t>n</w:t>
            </w:r>
          </w:p>
        </w:tc>
        <w:tc>
          <w:tcPr>
            <w:tcW w:w="1440" w:type="dxa"/>
            <w:shd w:val="clear" w:color="auto" w:fill="00386E"/>
            <w:vAlign w:val="center"/>
          </w:tcPr>
          <w:p w14:paraId="7C1A040E" w14:textId="77777777" w:rsidR="00DA6A83" w:rsidRPr="004F30BD" w:rsidRDefault="00DA6A83" w:rsidP="002C416A">
            <w:pPr>
              <w:pStyle w:val="Tabletext"/>
              <w:spacing w:line="240" w:lineRule="atLeast"/>
              <w:jc w:val="center"/>
              <w:rPr>
                <w:color w:val="FFFFFF"/>
                <w:sz w:val="18"/>
                <w:szCs w:val="16"/>
                <w:lang w:val="en-AU"/>
              </w:rPr>
            </w:pPr>
            <w:r w:rsidRPr="004F30BD">
              <w:rPr>
                <w:color w:val="FFFFFF"/>
                <w:sz w:val="18"/>
                <w:szCs w:val="16"/>
                <w:lang w:val="en-AU"/>
              </w:rPr>
              <w:t>TOP 2 SCORE (%)*</w:t>
            </w:r>
          </w:p>
        </w:tc>
      </w:tr>
      <w:tr w:rsidR="0007100A" w:rsidRPr="004F30BD" w14:paraId="29542C3E" w14:textId="77777777" w:rsidTr="006D126C">
        <w:trPr>
          <w:trHeight w:val="340"/>
        </w:trPr>
        <w:tc>
          <w:tcPr>
            <w:tcW w:w="6120" w:type="dxa"/>
          </w:tcPr>
          <w:p w14:paraId="4F465AA5" w14:textId="77777777" w:rsidR="0007100A" w:rsidRPr="004F30BD" w:rsidRDefault="0007100A" w:rsidP="002C416A">
            <w:pPr>
              <w:spacing w:before="40" w:after="40"/>
              <w:ind w:right="0"/>
              <w:rPr>
                <w:rFonts w:cs="Calibri"/>
                <w:color w:val="000000"/>
                <w:szCs w:val="16"/>
              </w:rPr>
            </w:pPr>
            <w:r w:rsidRPr="004F30BD">
              <w:t>Helping the sector as a whole to protect students</w:t>
            </w:r>
          </w:p>
        </w:tc>
        <w:tc>
          <w:tcPr>
            <w:tcW w:w="1170" w:type="dxa"/>
            <w:shd w:val="clear" w:color="auto" w:fill="auto"/>
            <w:noWrap/>
            <w:vAlign w:val="center"/>
          </w:tcPr>
          <w:p w14:paraId="591053F1" w14:textId="77777777" w:rsidR="0007100A" w:rsidRPr="004F30BD" w:rsidRDefault="0007100A" w:rsidP="002C416A">
            <w:pPr>
              <w:spacing w:before="40" w:after="40"/>
              <w:ind w:right="0"/>
              <w:jc w:val="center"/>
              <w:rPr>
                <w:szCs w:val="16"/>
              </w:rPr>
            </w:pPr>
            <w:r w:rsidRPr="004F30BD">
              <w:t>134</w:t>
            </w:r>
          </w:p>
        </w:tc>
        <w:tc>
          <w:tcPr>
            <w:tcW w:w="1440" w:type="dxa"/>
            <w:shd w:val="clear" w:color="auto" w:fill="auto"/>
            <w:vAlign w:val="center"/>
          </w:tcPr>
          <w:p w14:paraId="627122E2" w14:textId="77777777" w:rsidR="0007100A" w:rsidRPr="004F30BD" w:rsidRDefault="0007100A" w:rsidP="002C416A">
            <w:pPr>
              <w:spacing w:before="40" w:after="40"/>
              <w:ind w:right="0"/>
              <w:jc w:val="center"/>
              <w:rPr>
                <w:szCs w:val="16"/>
              </w:rPr>
            </w:pPr>
            <w:r w:rsidRPr="004F30BD">
              <w:t>77</w:t>
            </w:r>
          </w:p>
        </w:tc>
      </w:tr>
      <w:tr w:rsidR="0007100A" w:rsidRPr="004F30BD" w14:paraId="165635F9" w14:textId="77777777" w:rsidTr="006D126C">
        <w:trPr>
          <w:trHeight w:val="340"/>
        </w:trPr>
        <w:tc>
          <w:tcPr>
            <w:tcW w:w="6120" w:type="dxa"/>
            <w:shd w:val="clear" w:color="auto" w:fill="E6E6E6"/>
          </w:tcPr>
          <w:p w14:paraId="1D320ED5" w14:textId="77777777" w:rsidR="0007100A" w:rsidRPr="004F30BD" w:rsidRDefault="0007100A" w:rsidP="002C416A">
            <w:pPr>
              <w:spacing w:before="40" w:after="40"/>
              <w:ind w:right="0"/>
              <w:rPr>
                <w:rFonts w:cs="Calibri"/>
                <w:color w:val="000000"/>
                <w:szCs w:val="16"/>
              </w:rPr>
            </w:pPr>
            <w:r w:rsidRPr="004F30BD">
              <w:t>Helping the sector as a whole to manage risks</w:t>
            </w:r>
          </w:p>
        </w:tc>
        <w:tc>
          <w:tcPr>
            <w:tcW w:w="1170" w:type="dxa"/>
            <w:shd w:val="clear" w:color="auto" w:fill="E6E6E6"/>
            <w:noWrap/>
            <w:vAlign w:val="center"/>
          </w:tcPr>
          <w:p w14:paraId="246FBFB9" w14:textId="77777777" w:rsidR="0007100A" w:rsidRPr="004F30BD" w:rsidRDefault="0007100A" w:rsidP="002C416A">
            <w:pPr>
              <w:spacing w:before="40" w:after="40"/>
              <w:ind w:right="0"/>
              <w:jc w:val="center"/>
              <w:rPr>
                <w:szCs w:val="16"/>
              </w:rPr>
            </w:pPr>
            <w:r w:rsidRPr="004F30BD">
              <w:t>130</w:t>
            </w:r>
          </w:p>
        </w:tc>
        <w:tc>
          <w:tcPr>
            <w:tcW w:w="1440" w:type="dxa"/>
            <w:shd w:val="clear" w:color="auto" w:fill="E6E6E6"/>
            <w:vAlign w:val="center"/>
          </w:tcPr>
          <w:p w14:paraId="6E1AD47A" w14:textId="77777777" w:rsidR="0007100A" w:rsidRPr="004F30BD" w:rsidRDefault="0007100A" w:rsidP="002C416A">
            <w:pPr>
              <w:spacing w:before="40" w:after="40"/>
              <w:ind w:right="0"/>
              <w:jc w:val="center"/>
              <w:rPr>
                <w:szCs w:val="16"/>
              </w:rPr>
            </w:pPr>
            <w:r w:rsidRPr="004F30BD">
              <w:t>73</w:t>
            </w:r>
          </w:p>
        </w:tc>
      </w:tr>
      <w:tr w:rsidR="0007100A" w:rsidRPr="004F30BD" w14:paraId="34CE186F" w14:textId="77777777" w:rsidTr="006D126C">
        <w:trPr>
          <w:trHeight w:val="340"/>
        </w:trPr>
        <w:tc>
          <w:tcPr>
            <w:tcW w:w="6120" w:type="dxa"/>
          </w:tcPr>
          <w:p w14:paraId="0461496F" w14:textId="77777777" w:rsidR="0007100A" w:rsidRPr="004F30BD" w:rsidRDefault="0007100A" w:rsidP="002C416A">
            <w:pPr>
              <w:spacing w:before="40" w:after="40"/>
              <w:ind w:right="0"/>
              <w:rPr>
                <w:rFonts w:cs="Calibri"/>
                <w:color w:val="000000"/>
                <w:szCs w:val="16"/>
              </w:rPr>
            </w:pPr>
            <w:r w:rsidRPr="004F30BD">
              <w:t>Helping the sector as a whole to deliver quality higher education</w:t>
            </w:r>
          </w:p>
        </w:tc>
        <w:tc>
          <w:tcPr>
            <w:tcW w:w="1170" w:type="dxa"/>
            <w:shd w:val="clear" w:color="auto" w:fill="auto"/>
            <w:noWrap/>
            <w:vAlign w:val="center"/>
          </w:tcPr>
          <w:p w14:paraId="234ACEBD" w14:textId="77777777" w:rsidR="0007100A" w:rsidRPr="004F30BD" w:rsidRDefault="0007100A" w:rsidP="002C416A">
            <w:pPr>
              <w:spacing w:before="40" w:after="40"/>
              <w:ind w:right="0"/>
              <w:jc w:val="center"/>
              <w:rPr>
                <w:szCs w:val="16"/>
              </w:rPr>
            </w:pPr>
            <w:r w:rsidRPr="004F30BD">
              <w:t>136</w:t>
            </w:r>
          </w:p>
        </w:tc>
        <w:tc>
          <w:tcPr>
            <w:tcW w:w="1440" w:type="dxa"/>
            <w:shd w:val="clear" w:color="auto" w:fill="auto"/>
            <w:vAlign w:val="center"/>
          </w:tcPr>
          <w:p w14:paraId="07E9F0F8" w14:textId="77777777" w:rsidR="0007100A" w:rsidRPr="004F30BD" w:rsidRDefault="0007100A" w:rsidP="002C416A">
            <w:pPr>
              <w:spacing w:before="40" w:after="40"/>
              <w:ind w:right="0"/>
              <w:jc w:val="center"/>
              <w:rPr>
                <w:szCs w:val="16"/>
              </w:rPr>
            </w:pPr>
            <w:r w:rsidRPr="004F30BD">
              <w:t>71</w:t>
            </w:r>
          </w:p>
        </w:tc>
      </w:tr>
      <w:tr w:rsidR="0007100A" w:rsidRPr="004F30BD" w14:paraId="105D1D67" w14:textId="77777777" w:rsidTr="006D126C">
        <w:trPr>
          <w:trHeight w:val="340"/>
        </w:trPr>
        <w:tc>
          <w:tcPr>
            <w:tcW w:w="6120" w:type="dxa"/>
            <w:shd w:val="clear" w:color="auto" w:fill="D9D9D9" w:themeFill="background1" w:themeFillShade="D9"/>
          </w:tcPr>
          <w:p w14:paraId="618C38F5" w14:textId="77777777" w:rsidR="0007100A" w:rsidRPr="004F30BD" w:rsidRDefault="0007100A" w:rsidP="002C416A">
            <w:pPr>
              <w:spacing w:before="40" w:after="40"/>
              <w:ind w:right="0"/>
              <w:rPr>
                <w:rFonts w:cs="Calibri"/>
                <w:color w:val="000000"/>
                <w:szCs w:val="16"/>
              </w:rPr>
            </w:pPr>
            <w:r w:rsidRPr="004F30BD">
              <w:t>Helping organisation deliver quality higher education</w:t>
            </w:r>
          </w:p>
        </w:tc>
        <w:tc>
          <w:tcPr>
            <w:tcW w:w="1170" w:type="dxa"/>
            <w:shd w:val="clear" w:color="auto" w:fill="D9D9D9" w:themeFill="background1" w:themeFillShade="D9"/>
            <w:noWrap/>
            <w:vAlign w:val="center"/>
          </w:tcPr>
          <w:p w14:paraId="5B71F8A7" w14:textId="77777777" w:rsidR="0007100A" w:rsidRPr="004F30BD" w:rsidRDefault="0007100A" w:rsidP="002C416A">
            <w:pPr>
              <w:spacing w:before="40" w:after="40"/>
              <w:ind w:right="0"/>
              <w:jc w:val="center"/>
              <w:rPr>
                <w:szCs w:val="16"/>
              </w:rPr>
            </w:pPr>
            <w:r w:rsidRPr="004F30BD">
              <w:t>131</w:t>
            </w:r>
          </w:p>
        </w:tc>
        <w:tc>
          <w:tcPr>
            <w:tcW w:w="1440" w:type="dxa"/>
            <w:shd w:val="clear" w:color="auto" w:fill="D9D9D9" w:themeFill="background1" w:themeFillShade="D9"/>
            <w:vAlign w:val="center"/>
          </w:tcPr>
          <w:p w14:paraId="3E5CFCDA" w14:textId="77777777" w:rsidR="0007100A" w:rsidRPr="004F30BD" w:rsidRDefault="0007100A" w:rsidP="002C416A">
            <w:pPr>
              <w:spacing w:before="40" w:after="40"/>
              <w:ind w:right="0"/>
              <w:jc w:val="center"/>
              <w:rPr>
                <w:szCs w:val="16"/>
              </w:rPr>
            </w:pPr>
            <w:r w:rsidRPr="004F30BD">
              <w:t>71</w:t>
            </w:r>
          </w:p>
        </w:tc>
      </w:tr>
      <w:tr w:rsidR="0007100A" w:rsidRPr="004F30BD" w14:paraId="3174A5EE" w14:textId="77777777" w:rsidTr="006D126C">
        <w:trPr>
          <w:trHeight w:val="340"/>
        </w:trPr>
        <w:tc>
          <w:tcPr>
            <w:tcW w:w="6120" w:type="dxa"/>
          </w:tcPr>
          <w:p w14:paraId="5F3DA29A" w14:textId="77777777" w:rsidR="0007100A" w:rsidRPr="004F30BD" w:rsidRDefault="0007100A" w:rsidP="002C416A">
            <w:pPr>
              <w:spacing w:before="40" w:after="40"/>
              <w:ind w:right="0"/>
              <w:rPr>
                <w:rFonts w:cs="Calibri"/>
                <w:color w:val="000000"/>
                <w:szCs w:val="16"/>
              </w:rPr>
            </w:pPr>
            <w:r w:rsidRPr="004F30BD">
              <w:t>Strengthening organisation’s capacity to protect students</w:t>
            </w:r>
          </w:p>
        </w:tc>
        <w:tc>
          <w:tcPr>
            <w:tcW w:w="1170" w:type="dxa"/>
            <w:shd w:val="clear" w:color="auto" w:fill="auto"/>
            <w:noWrap/>
            <w:vAlign w:val="center"/>
          </w:tcPr>
          <w:p w14:paraId="5A93D1E6" w14:textId="77777777" w:rsidR="0007100A" w:rsidRPr="004F30BD" w:rsidRDefault="0007100A" w:rsidP="002C416A">
            <w:pPr>
              <w:spacing w:before="40" w:after="40"/>
              <w:ind w:right="0"/>
              <w:jc w:val="center"/>
              <w:rPr>
                <w:szCs w:val="16"/>
              </w:rPr>
            </w:pPr>
            <w:r w:rsidRPr="004F30BD">
              <w:t>134</w:t>
            </w:r>
          </w:p>
        </w:tc>
        <w:tc>
          <w:tcPr>
            <w:tcW w:w="1440" w:type="dxa"/>
            <w:shd w:val="clear" w:color="auto" w:fill="auto"/>
            <w:vAlign w:val="center"/>
          </w:tcPr>
          <w:p w14:paraId="73E84A3B" w14:textId="77777777" w:rsidR="0007100A" w:rsidRPr="004F30BD" w:rsidRDefault="0007100A" w:rsidP="002C416A">
            <w:pPr>
              <w:spacing w:before="40" w:after="40"/>
              <w:ind w:right="0"/>
              <w:jc w:val="center"/>
              <w:rPr>
                <w:szCs w:val="16"/>
              </w:rPr>
            </w:pPr>
            <w:r w:rsidRPr="004F30BD">
              <w:t>67</w:t>
            </w:r>
          </w:p>
        </w:tc>
      </w:tr>
      <w:tr w:rsidR="0007100A" w:rsidRPr="004F30BD" w14:paraId="75F32FB9" w14:textId="77777777" w:rsidTr="006D126C">
        <w:trPr>
          <w:trHeight w:val="340"/>
        </w:trPr>
        <w:tc>
          <w:tcPr>
            <w:tcW w:w="6120" w:type="dxa"/>
            <w:tcBorders>
              <w:bottom w:val="single" w:sz="4" w:space="0" w:color="auto"/>
            </w:tcBorders>
            <w:shd w:val="clear" w:color="auto" w:fill="D9D9D9" w:themeFill="background1" w:themeFillShade="D9"/>
          </w:tcPr>
          <w:p w14:paraId="630E75E6" w14:textId="77777777" w:rsidR="0007100A" w:rsidRPr="004F30BD" w:rsidRDefault="0007100A" w:rsidP="002C416A">
            <w:pPr>
              <w:spacing w:before="40" w:after="40"/>
              <w:ind w:right="0"/>
              <w:rPr>
                <w:rFonts w:cs="Calibri"/>
                <w:color w:val="000000"/>
                <w:szCs w:val="16"/>
              </w:rPr>
            </w:pPr>
            <w:r w:rsidRPr="004F30BD">
              <w:t>Strengthening organisation’s capacity to manage risks</w:t>
            </w:r>
          </w:p>
        </w:tc>
        <w:tc>
          <w:tcPr>
            <w:tcW w:w="1170" w:type="dxa"/>
            <w:tcBorders>
              <w:bottom w:val="single" w:sz="4" w:space="0" w:color="auto"/>
            </w:tcBorders>
            <w:shd w:val="clear" w:color="auto" w:fill="D9D9D9" w:themeFill="background1" w:themeFillShade="D9"/>
            <w:noWrap/>
            <w:vAlign w:val="center"/>
          </w:tcPr>
          <w:p w14:paraId="3CCDDB9C" w14:textId="77777777" w:rsidR="0007100A" w:rsidRPr="004F30BD" w:rsidRDefault="0007100A" w:rsidP="002C416A">
            <w:pPr>
              <w:spacing w:before="40" w:after="40"/>
              <w:ind w:right="0"/>
              <w:jc w:val="center"/>
              <w:rPr>
                <w:szCs w:val="16"/>
              </w:rPr>
            </w:pPr>
            <w:r w:rsidRPr="004F30BD">
              <w:t>127</w:t>
            </w:r>
          </w:p>
        </w:tc>
        <w:tc>
          <w:tcPr>
            <w:tcW w:w="1440" w:type="dxa"/>
            <w:tcBorders>
              <w:bottom w:val="single" w:sz="4" w:space="0" w:color="auto"/>
            </w:tcBorders>
            <w:shd w:val="clear" w:color="auto" w:fill="D9D9D9" w:themeFill="background1" w:themeFillShade="D9"/>
            <w:vAlign w:val="center"/>
          </w:tcPr>
          <w:p w14:paraId="406ECE75" w14:textId="77777777" w:rsidR="0007100A" w:rsidRPr="004F30BD" w:rsidRDefault="0007100A" w:rsidP="002C416A">
            <w:pPr>
              <w:spacing w:before="40" w:after="40"/>
              <w:ind w:right="0"/>
              <w:jc w:val="center"/>
              <w:rPr>
                <w:szCs w:val="16"/>
              </w:rPr>
            </w:pPr>
            <w:r w:rsidRPr="004F30BD">
              <w:t>65</w:t>
            </w:r>
          </w:p>
        </w:tc>
      </w:tr>
    </w:tbl>
    <w:p w14:paraId="0D7AC884" w14:textId="77777777" w:rsidR="00DA6A83" w:rsidRPr="004F30BD" w:rsidRDefault="002C416A" w:rsidP="006D126C">
      <w:pPr>
        <w:spacing w:before="60" w:after="240"/>
        <w:rPr>
          <w:i/>
        </w:rPr>
      </w:pPr>
      <w:r w:rsidRPr="004F30BD">
        <w:rPr>
          <w:i/>
        </w:rPr>
        <w:t>*</w:t>
      </w:r>
      <w:r w:rsidR="00DA6A83" w:rsidRPr="004F30BD">
        <w:rPr>
          <w:i/>
        </w:rPr>
        <w:t>Top 2 scores and n counts exclude don’t know / not applicable / no answer responses.</w:t>
      </w:r>
    </w:p>
    <w:p w14:paraId="3A6B309E" w14:textId="77777777" w:rsidR="002E7176" w:rsidRPr="004F30BD" w:rsidRDefault="002E7176" w:rsidP="00DA6A83">
      <w:pPr>
        <w:spacing w:before="0" w:after="240"/>
        <w:rPr>
          <w:i/>
        </w:rPr>
      </w:pPr>
      <w:r w:rsidRPr="004F30BD">
        <w:rPr>
          <w:noProof/>
          <w:lang w:eastAsia="en-AU"/>
        </w:rPr>
        <w:lastRenderedPageBreak/>
        <w:drawing>
          <wp:inline distT="0" distB="0" distL="0" distR="0" wp14:anchorId="5BD40F91" wp14:editId="716617B2">
            <wp:extent cx="5619750" cy="3238500"/>
            <wp:effectExtent l="0" t="0" r="0" b="0"/>
            <wp:docPr id="14" name="Chart 14">
              <a:extLst xmlns:a="http://schemas.openxmlformats.org/drawingml/2006/main">
                <a:ext uri="{FF2B5EF4-FFF2-40B4-BE49-F238E27FC236}">
                  <a16:creationId xmlns:a16="http://schemas.microsoft.com/office/drawing/2014/main" id="{D8A6E0AE-C669-4CFB-BA70-9CAE92FEBE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D34EDDF" w14:textId="77777777" w:rsidR="002165C1" w:rsidRPr="004F30BD" w:rsidRDefault="002165C1" w:rsidP="002165C1">
      <w:pPr>
        <w:spacing w:after="240"/>
      </w:pPr>
      <w:r w:rsidRPr="004F30BD">
        <w:t xml:space="preserve">All items for TEQSA’s </w:t>
      </w:r>
      <w:r w:rsidR="002C416A" w:rsidRPr="004F30BD">
        <w:t>r</w:t>
      </w:r>
      <w:r w:rsidR="006C689B" w:rsidRPr="004F30BD">
        <w:t xml:space="preserve">egulatory </w:t>
      </w:r>
      <w:r w:rsidR="00B00CE3" w:rsidRPr="004F30BD">
        <w:t>activities</w:t>
      </w:r>
      <w:r w:rsidRPr="004F30BD">
        <w:t xml:space="preserve"> rated between </w:t>
      </w:r>
      <w:r w:rsidR="002C416A" w:rsidRPr="004F30BD">
        <w:t>57</w:t>
      </w:r>
      <w:r w:rsidRPr="004F30BD">
        <w:t>% and 8</w:t>
      </w:r>
      <w:r w:rsidR="002E7176" w:rsidRPr="004F30BD">
        <w:t>6</w:t>
      </w:r>
      <w:r w:rsidRPr="004F30BD">
        <w:t xml:space="preserve">%. The item </w:t>
      </w:r>
      <w:r w:rsidR="002E7176" w:rsidRPr="004F30BD">
        <w:rPr>
          <w:i/>
        </w:rPr>
        <w:t xml:space="preserve">treating with politeness and respect </w:t>
      </w:r>
      <w:r w:rsidR="002E7176" w:rsidRPr="004F30BD">
        <w:rPr>
          <w:iCs/>
        </w:rPr>
        <w:t xml:space="preserve">was </w:t>
      </w:r>
      <w:r w:rsidR="00E93B42" w:rsidRPr="004F30BD">
        <w:t>one of the highest rating in the survey. However</w:t>
      </w:r>
      <w:r w:rsidR="00977E4F" w:rsidRPr="004F30BD">
        <w:t>,</w:t>
      </w:r>
      <w:r w:rsidR="00E93B42" w:rsidRPr="004F30BD">
        <w:t xml:space="preserve"> there is considerable room for improvement around accountable regulatory processes which had a top 2 score of only 57%</w:t>
      </w:r>
      <w:r w:rsidR="002E7176" w:rsidRPr="004F30BD">
        <w:t>.</w:t>
      </w:r>
      <w:r w:rsidR="00E93B42" w:rsidRPr="004F30BD">
        <w:t xml:space="preserve"> Refer to the table and chart below.</w:t>
      </w:r>
    </w:p>
    <w:tbl>
      <w:tblPr>
        <w:tblW w:w="8550" w:type="dxa"/>
        <w:tblLook w:val="0000" w:firstRow="0" w:lastRow="0" w:firstColumn="0" w:lastColumn="0" w:noHBand="0" w:noVBand="0"/>
      </w:tblPr>
      <w:tblGrid>
        <w:gridCol w:w="6300"/>
        <w:gridCol w:w="990"/>
        <w:gridCol w:w="1260"/>
      </w:tblGrid>
      <w:tr w:rsidR="002165C1" w:rsidRPr="004F30BD" w14:paraId="69A2895F" w14:textId="77777777" w:rsidTr="00E93B42">
        <w:trPr>
          <w:trHeight w:val="257"/>
          <w:tblHeader/>
        </w:trPr>
        <w:tc>
          <w:tcPr>
            <w:tcW w:w="6300" w:type="dxa"/>
            <w:shd w:val="clear" w:color="auto" w:fill="00386E"/>
            <w:noWrap/>
            <w:vAlign w:val="center"/>
          </w:tcPr>
          <w:p w14:paraId="32966100" w14:textId="77777777" w:rsidR="002165C1" w:rsidRPr="004F30BD" w:rsidRDefault="002165C1" w:rsidP="00144482">
            <w:pPr>
              <w:pStyle w:val="Tabletext"/>
              <w:spacing w:before="60" w:after="60" w:line="240" w:lineRule="atLeast"/>
              <w:rPr>
                <w:rFonts w:ascii="Arial Nova" w:hAnsi="Arial Nova"/>
                <w:caps/>
                <w:color w:val="FFFFFF"/>
                <w:sz w:val="18"/>
                <w:szCs w:val="16"/>
                <w:lang w:val="en-AU"/>
              </w:rPr>
            </w:pPr>
            <w:r w:rsidRPr="004F30BD">
              <w:rPr>
                <w:rFonts w:ascii="Arial Nova" w:hAnsi="Arial Nova"/>
                <w:caps/>
                <w:color w:val="FFFFFF"/>
                <w:sz w:val="18"/>
                <w:szCs w:val="16"/>
                <w:lang w:val="en-AU"/>
              </w:rPr>
              <w:t>Regulatory activit</w:t>
            </w:r>
            <w:r w:rsidR="00670A94" w:rsidRPr="004F30BD">
              <w:rPr>
                <w:rFonts w:ascii="Arial Nova" w:hAnsi="Arial Nova"/>
                <w:caps/>
                <w:color w:val="FFFFFF"/>
                <w:sz w:val="18"/>
                <w:szCs w:val="16"/>
                <w:lang w:val="en-AU"/>
              </w:rPr>
              <w:t>Y ITEMS</w:t>
            </w:r>
          </w:p>
        </w:tc>
        <w:tc>
          <w:tcPr>
            <w:tcW w:w="990" w:type="dxa"/>
            <w:shd w:val="clear" w:color="auto" w:fill="00386E"/>
            <w:vAlign w:val="center"/>
          </w:tcPr>
          <w:p w14:paraId="4E14006F" w14:textId="77777777" w:rsidR="002165C1" w:rsidRPr="004F30BD" w:rsidRDefault="002C416A" w:rsidP="00BF6031">
            <w:pPr>
              <w:pStyle w:val="Tabletext"/>
              <w:spacing w:before="60" w:after="60" w:line="240" w:lineRule="atLeast"/>
              <w:jc w:val="center"/>
              <w:rPr>
                <w:rFonts w:ascii="Arial Nova" w:hAnsi="Arial Nova"/>
                <w:color w:val="FFFFFF"/>
                <w:sz w:val="18"/>
                <w:szCs w:val="16"/>
                <w:lang w:val="en-AU"/>
              </w:rPr>
            </w:pPr>
            <w:r w:rsidRPr="004F30BD">
              <w:rPr>
                <w:rFonts w:ascii="Arial Nova" w:hAnsi="Arial Nova"/>
                <w:color w:val="FFFFFF"/>
                <w:sz w:val="18"/>
                <w:szCs w:val="16"/>
                <w:lang w:val="en-AU"/>
              </w:rPr>
              <w:t>n</w:t>
            </w:r>
          </w:p>
        </w:tc>
        <w:tc>
          <w:tcPr>
            <w:tcW w:w="1260" w:type="dxa"/>
            <w:shd w:val="clear" w:color="auto" w:fill="00386E"/>
            <w:vAlign w:val="center"/>
          </w:tcPr>
          <w:p w14:paraId="70618E71" w14:textId="77777777" w:rsidR="002165C1" w:rsidRPr="004F30BD" w:rsidRDefault="002165C1" w:rsidP="00BF6031">
            <w:pPr>
              <w:pStyle w:val="Tabletext"/>
              <w:spacing w:before="60" w:after="60" w:line="240" w:lineRule="atLeast"/>
              <w:jc w:val="center"/>
              <w:rPr>
                <w:rFonts w:ascii="Arial Nova" w:hAnsi="Arial Nova"/>
                <w:color w:val="FFFFFF"/>
                <w:sz w:val="18"/>
                <w:szCs w:val="16"/>
                <w:lang w:val="en-AU"/>
              </w:rPr>
            </w:pPr>
            <w:r w:rsidRPr="004F30BD">
              <w:rPr>
                <w:rFonts w:ascii="Arial Nova" w:hAnsi="Arial Nova"/>
                <w:color w:val="FFFFFF"/>
                <w:sz w:val="18"/>
                <w:szCs w:val="16"/>
                <w:lang w:val="en-AU"/>
              </w:rPr>
              <w:t>TOP 2 SCORE (%)*</w:t>
            </w:r>
          </w:p>
        </w:tc>
      </w:tr>
      <w:tr w:rsidR="002E7176" w:rsidRPr="004F30BD" w14:paraId="15672578" w14:textId="77777777" w:rsidTr="00E93B42">
        <w:trPr>
          <w:trHeight w:val="340"/>
        </w:trPr>
        <w:tc>
          <w:tcPr>
            <w:tcW w:w="6300" w:type="dxa"/>
          </w:tcPr>
          <w:p w14:paraId="1B7CF953" w14:textId="77777777" w:rsidR="002E7176" w:rsidRPr="004F30BD" w:rsidRDefault="002E7176" w:rsidP="002E7176">
            <w:pPr>
              <w:spacing w:before="0"/>
              <w:ind w:right="0"/>
              <w:rPr>
                <w:rFonts w:cs="Calibri"/>
                <w:color w:val="000000"/>
                <w:szCs w:val="16"/>
              </w:rPr>
            </w:pPr>
            <w:r w:rsidRPr="004F30BD">
              <w:t>Treating with politeness and respect</w:t>
            </w:r>
          </w:p>
        </w:tc>
        <w:tc>
          <w:tcPr>
            <w:tcW w:w="990" w:type="dxa"/>
            <w:shd w:val="clear" w:color="auto" w:fill="auto"/>
            <w:noWrap/>
            <w:vAlign w:val="center"/>
          </w:tcPr>
          <w:p w14:paraId="2475A9A4" w14:textId="77777777" w:rsidR="002E7176" w:rsidRPr="004F30BD" w:rsidRDefault="002E7176" w:rsidP="00BF6031">
            <w:pPr>
              <w:spacing w:before="0"/>
              <w:ind w:right="0"/>
              <w:jc w:val="center"/>
              <w:rPr>
                <w:szCs w:val="16"/>
              </w:rPr>
            </w:pPr>
            <w:r w:rsidRPr="004F30BD">
              <w:t>139</w:t>
            </w:r>
          </w:p>
        </w:tc>
        <w:tc>
          <w:tcPr>
            <w:tcW w:w="1260" w:type="dxa"/>
            <w:shd w:val="clear" w:color="auto" w:fill="auto"/>
            <w:vAlign w:val="center"/>
          </w:tcPr>
          <w:p w14:paraId="50F9ACCD" w14:textId="77777777" w:rsidR="002E7176" w:rsidRPr="004F30BD" w:rsidRDefault="002E7176" w:rsidP="00BF6031">
            <w:pPr>
              <w:spacing w:before="0"/>
              <w:ind w:right="0"/>
              <w:jc w:val="center"/>
              <w:rPr>
                <w:szCs w:val="16"/>
              </w:rPr>
            </w:pPr>
            <w:r w:rsidRPr="004F30BD">
              <w:t>86</w:t>
            </w:r>
          </w:p>
        </w:tc>
      </w:tr>
      <w:tr w:rsidR="002E7176" w:rsidRPr="004F30BD" w14:paraId="025D2309" w14:textId="77777777" w:rsidTr="00E93B42">
        <w:trPr>
          <w:trHeight w:val="340"/>
        </w:trPr>
        <w:tc>
          <w:tcPr>
            <w:tcW w:w="6300" w:type="dxa"/>
            <w:shd w:val="clear" w:color="auto" w:fill="E6E6E6"/>
          </w:tcPr>
          <w:p w14:paraId="31151CC6" w14:textId="77777777" w:rsidR="002E7176" w:rsidRPr="004F30BD" w:rsidRDefault="002E7176" w:rsidP="002E7176">
            <w:pPr>
              <w:spacing w:before="0"/>
              <w:ind w:right="0"/>
              <w:rPr>
                <w:rFonts w:cs="Calibri"/>
                <w:color w:val="000000"/>
                <w:szCs w:val="16"/>
              </w:rPr>
            </w:pPr>
            <w:r w:rsidRPr="004F30BD">
              <w:t>Being fair and reasonable</w:t>
            </w:r>
          </w:p>
        </w:tc>
        <w:tc>
          <w:tcPr>
            <w:tcW w:w="990" w:type="dxa"/>
            <w:shd w:val="clear" w:color="auto" w:fill="E6E6E6"/>
            <w:noWrap/>
            <w:vAlign w:val="center"/>
          </w:tcPr>
          <w:p w14:paraId="11FDA9E8" w14:textId="77777777" w:rsidR="002E7176" w:rsidRPr="004F30BD" w:rsidRDefault="002E7176" w:rsidP="00BF6031">
            <w:pPr>
              <w:spacing w:before="0"/>
              <w:ind w:right="0"/>
              <w:jc w:val="center"/>
              <w:rPr>
                <w:szCs w:val="16"/>
              </w:rPr>
            </w:pPr>
            <w:r w:rsidRPr="004F30BD">
              <w:t>137</w:t>
            </w:r>
          </w:p>
        </w:tc>
        <w:tc>
          <w:tcPr>
            <w:tcW w:w="1260" w:type="dxa"/>
            <w:shd w:val="clear" w:color="auto" w:fill="E6E6E6"/>
            <w:vAlign w:val="center"/>
          </w:tcPr>
          <w:p w14:paraId="4B6BD1D1" w14:textId="77777777" w:rsidR="002E7176" w:rsidRPr="004F30BD" w:rsidRDefault="002E7176" w:rsidP="00BF6031">
            <w:pPr>
              <w:spacing w:before="0"/>
              <w:ind w:right="0"/>
              <w:jc w:val="center"/>
              <w:rPr>
                <w:szCs w:val="16"/>
              </w:rPr>
            </w:pPr>
            <w:r w:rsidRPr="004F30BD">
              <w:t>74</w:t>
            </w:r>
          </w:p>
        </w:tc>
      </w:tr>
      <w:tr w:rsidR="002E7176" w:rsidRPr="004F30BD" w14:paraId="6D521C8F" w14:textId="77777777" w:rsidTr="00E93B42">
        <w:trPr>
          <w:trHeight w:val="340"/>
        </w:trPr>
        <w:tc>
          <w:tcPr>
            <w:tcW w:w="6300" w:type="dxa"/>
          </w:tcPr>
          <w:p w14:paraId="4A15B728" w14:textId="77777777" w:rsidR="002E7176" w:rsidRPr="004F30BD" w:rsidRDefault="002E7176" w:rsidP="002E7176">
            <w:pPr>
              <w:spacing w:before="0"/>
              <w:ind w:right="0"/>
              <w:rPr>
                <w:rFonts w:cs="Calibri"/>
                <w:color w:val="000000"/>
                <w:szCs w:val="16"/>
              </w:rPr>
            </w:pPr>
            <w:r w:rsidRPr="004F30BD">
              <w:t>Being encouraging without setting up unrealistic expectations</w:t>
            </w:r>
          </w:p>
        </w:tc>
        <w:tc>
          <w:tcPr>
            <w:tcW w:w="990" w:type="dxa"/>
            <w:shd w:val="clear" w:color="auto" w:fill="auto"/>
            <w:noWrap/>
            <w:vAlign w:val="center"/>
          </w:tcPr>
          <w:p w14:paraId="3E205DCA" w14:textId="77777777" w:rsidR="002E7176" w:rsidRPr="004F30BD" w:rsidRDefault="002E7176" w:rsidP="00BF6031">
            <w:pPr>
              <w:spacing w:before="0"/>
              <w:ind w:right="0"/>
              <w:jc w:val="center"/>
              <w:rPr>
                <w:szCs w:val="16"/>
              </w:rPr>
            </w:pPr>
            <w:r w:rsidRPr="004F30BD">
              <w:t>131</w:t>
            </w:r>
          </w:p>
        </w:tc>
        <w:tc>
          <w:tcPr>
            <w:tcW w:w="1260" w:type="dxa"/>
            <w:shd w:val="clear" w:color="auto" w:fill="auto"/>
            <w:vAlign w:val="center"/>
          </w:tcPr>
          <w:p w14:paraId="7ABADA35" w14:textId="77777777" w:rsidR="002E7176" w:rsidRPr="004F30BD" w:rsidRDefault="002E7176" w:rsidP="00BF6031">
            <w:pPr>
              <w:spacing w:before="0"/>
              <w:ind w:right="0"/>
              <w:jc w:val="center"/>
              <w:rPr>
                <w:szCs w:val="16"/>
              </w:rPr>
            </w:pPr>
            <w:r w:rsidRPr="004F30BD">
              <w:t>62</w:t>
            </w:r>
          </w:p>
        </w:tc>
      </w:tr>
      <w:tr w:rsidR="002E7176" w:rsidRPr="004F30BD" w14:paraId="1D8CBF72" w14:textId="77777777" w:rsidTr="00E93B42">
        <w:trPr>
          <w:trHeight w:val="340"/>
        </w:trPr>
        <w:tc>
          <w:tcPr>
            <w:tcW w:w="6300" w:type="dxa"/>
            <w:tcBorders>
              <w:bottom w:val="single" w:sz="4" w:space="0" w:color="auto"/>
            </w:tcBorders>
            <w:shd w:val="clear" w:color="auto" w:fill="D9D9D9" w:themeFill="background1" w:themeFillShade="D9"/>
          </w:tcPr>
          <w:p w14:paraId="021E9D27" w14:textId="77777777" w:rsidR="002E7176" w:rsidRPr="004F30BD" w:rsidRDefault="002E7176" w:rsidP="002E7176">
            <w:pPr>
              <w:spacing w:before="0"/>
              <w:ind w:right="0"/>
              <w:rPr>
                <w:rFonts w:cs="Calibri"/>
                <w:color w:val="000000"/>
                <w:szCs w:val="16"/>
              </w:rPr>
            </w:pPr>
            <w:r w:rsidRPr="004F30BD">
              <w:t>Having accountable regulatory process where decisions are justified openly</w:t>
            </w:r>
          </w:p>
        </w:tc>
        <w:tc>
          <w:tcPr>
            <w:tcW w:w="990" w:type="dxa"/>
            <w:tcBorders>
              <w:bottom w:val="single" w:sz="4" w:space="0" w:color="auto"/>
            </w:tcBorders>
            <w:shd w:val="clear" w:color="auto" w:fill="D9D9D9" w:themeFill="background1" w:themeFillShade="D9"/>
            <w:noWrap/>
            <w:vAlign w:val="center"/>
          </w:tcPr>
          <w:p w14:paraId="6B7F96BD" w14:textId="77777777" w:rsidR="002E7176" w:rsidRPr="004F30BD" w:rsidRDefault="002E7176" w:rsidP="00BF6031">
            <w:pPr>
              <w:spacing w:before="0"/>
              <w:ind w:right="0"/>
              <w:jc w:val="center"/>
              <w:rPr>
                <w:szCs w:val="16"/>
              </w:rPr>
            </w:pPr>
            <w:r w:rsidRPr="004F30BD">
              <w:t>127</w:t>
            </w:r>
          </w:p>
        </w:tc>
        <w:tc>
          <w:tcPr>
            <w:tcW w:w="1260" w:type="dxa"/>
            <w:tcBorders>
              <w:bottom w:val="single" w:sz="4" w:space="0" w:color="auto"/>
            </w:tcBorders>
            <w:shd w:val="clear" w:color="auto" w:fill="D9D9D9" w:themeFill="background1" w:themeFillShade="D9"/>
            <w:vAlign w:val="center"/>
          </w:tcPr>
          <w:p w14:paraId="18C6CBFF" w14:textId="77777777" w:rsidR="002E7176" w:rsidRPr="004F30BD" w:rsidRDefault="002E7176" w:rsidP="00BF6031">
            <w:pPr>
              <w:spacing w:before="0"/>
              <w:ind w:right="0"/>
              <w:jc w:val="center"/>
              <w:rPr>
                <w:szCs w:val="16"/>
              </w:rPr>
            </w:pPr>
            <w:r w:rsidRPr="004F30BD">
              <w:t>57</w:t>
            </w:r>
          </w:p>
        </w:tc>
      </w:tr>
    </w:tbl>
    <w:p w14:paraId="3B9928AB" w14:textId="77777777" w:rsidR="002165C1" w:rsidRPr="004F30BD" w:rsidRDefault="002C416A" w:rsidP="002C416A">
      <w:pPr>
        <w:spacing w:before="60" w:after="240"/>
        <w:rPr>
          <w:i/>
        </w:rPr>
      </w:pPr>
      <w:r w:rsidRPr="004F30BD">
        <w:rPr>
          <w:i/>
        </w:rPr>
        <w:t>*</w:t>
      </w:r>
      <w:r w:rsidR="002165C1" w:rsidRPr="004F30BD">
        <w:rPr>
          <w:i/>
        </w:rPr>
        <w:t>Top 2 scores and n counts exclude don’t know / not applicable / no answer responses.</w:t>
      </w:r>
    </w:p>
    <w:p w14:paraId="7DBA010F" w14:textId="77777777" w:rsidR="002E7176" w:rsidRPr="004F30BD" w:rsidRDefault="002E7176" w:rsidP="002E7176">
      <w:pPr>
        <w:spacing w:before="0" w:line="240" w:lineRule="auto"/>
        <w:ind w:right="0"/>
      </w:pPr>
      <w:r w:rsidRPr="004F30BD">
        <w:rPr>
          <w:noProof/>
          <w:lang w:eastAsia="en-AU"/>
        </w:rPr>
        <w:drawing>
          <wp:inline distT="0" distB="0" distL="0" distR="0" wp14:anchorId="74A808B0" wp14:editId="6D62400C">
            <wp:extent cx="5943600" cy="2609850"/>
            <wp:effectExtent l="0" t="0" r="0" b="0"/>
            <wp:docPr id="16" name="Chart 16">
              <a:extLst xmlns:a="http://schemas.openxmlformats.org/drawingml/2006/main">
                <a:ext uri="{FF2B5EF4-FFF2-40B4-BE49-F238E27FC236}">
                  <a16:creationId xmlns:a16="http://schemas.microsoft.com/office/drawing/2014/main" id="{F5FA2E17-F166-4FF3-BC0A-7607603651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3C78D97" w14:textId="77777777" w:rsidR="002E7176" w:rsidRPr="004F30BD" w:rsidRDefault="002E7176" w:rsidP="002E7176">
      <w:pPr>
        <w:spacing w:before="0" w:line="240" w:lineRule="auto"/>
        <w:ind w:right="0"/>
      </w:pPr>
    </w:p>
    <w:p w14:paraId="798FBE7B" w14:textId="77777777" w:rsidR="002E7176" w:rsidRPr="004F30BD" w:rsidRDefault="003501AA" w:rsidP="00670A94">
      <w:pPr>
        <w:pStyle w:val="Heading3"/>
      </w:pPr>
      <w:r w:rsidRPr="004F30BD">
        <w:lastRenderedPageBreak/>
        <w:t>Comments about</w:t>
      </w:r>
      <w:r w:rsidR="002E7176" w:rsidRPr="004F30BD">
        <w:t xml:space="preserve"> TEQSA’s regulatory approach and activities </w:t>
      </w:r>
    </w:p>
    <w:p w14:paraId="1A8B72B7" w14:textId="77777777" w:rsidR="002E7176" w:rsidRPr="004F30BD" w:rsidRDefault="002E7176" w:rsidP="002E7176">
      <w:r w:rsidRPr="004F30BD">
        <w:t xml:space="preserve">Principal contacts offered </w:t>
      </w:r>
      <w:r w:rsidR="00093BB5" w:rsidRPr="004F30BD">
        <w:t>29</w:t>
      </w:r>
      <w:r w:rsidRPr="004F30BD">
        <w:t xml:space="preserve"> valid comments about TEQSA’s </w:t>
      </w:r>
      <w:r w:rsidR="00950DAE" w:rsidRPr="004F30BD">
        <w:t>regulatory approach and activities</w:t>
      </w:r>
      <w:r w:rsidRPr="004F30BD">
        <w:t>. The more common themes focused on:</w:t>
      </w:r>
    </w:p>
    <w:p w14:paraId="72BC9E09" w14:textId="267B77D9" w:rsidR="003501AA" w:rsidRPr="004F30BD" w:rsidRDefault="00670A94" w:rsidP="00A06284">
      <w:pPr>
        <w:pStyle w:val="ListParagraph"/>
        <w:numPr>
          <w:ilvl w:val="0"/>
          <w:numId w:val="8"/>
        </w:numPr>
        <w:spacing w:before="60"/>
        <w:ind w:right="1080"/>
        <w:contextualSpacing w:val="0"/>
      </w:pPr>
      <w:r w:rsidRPr="004F30BD">
        <w:t>O</w:t>
      </w:r>
      <w:r w:rsidR="003501AA" w:rsidRPr="004F30BD">
        <w:t xml:space="preserve">penness of regulatory decisions </w:t>
      </w:r>
    </w:p>
    <w:p w14:paraId="4907AB04" w14:textId="77777777" w:rsidR="00093BB5" w:rsidRPr="004F30BD" w:rsidRDefault="00144482" w:rsidP="00A06284">
      <w:pPr>
        <w:pStyle w:val="ListParagraph"/>
        <w:numPr>
          <w:ilvl w:val="0"/>
          <w:numId w:val="8"/>
        </w:numPr>
        <w:spacing w:before="60"/>
        <w:ind w:right="1080"/>
        <w:contextualSpacing w:val="0"/>
      </w:pPr>
      <w:r w:rsidRPr="004F30BD">
        <w:t>Case</w:t>
      </w:r>
      <w:r w:rsidR="00093BB5" w:rsidRPr="004F30BD">
        <w:t xml:space="preserve"> manage</w:t>
      </w:r>
      <w:r w:rsidR="00E93B42" w:rsidRPr="004F30BD">
        <w:t>r related: r</w:t>
      </w:r>
      <w:r w:rsidRPr="004F30BD">
        <w:t>esponsive</w:t>
      </w:r>
      <w:r w:rsidR="00E93B42" w:rsidRPr="004F30BD">
        <w:t xml:space="preserve">, </w:t>
      </w:r>
      <w:r w:rsidRPr="004F30BD">
        <w:t>good service</w:t>
      </w:r>
      <w:r w:rsidR="00E93B42" w:rsidRPr="004F30BD">
        <w:t>, polite, respectful</w:t>
      </w:r>
    </w:p>
    <w:p w14:paraId="46389A16" w14:textId="59AA6C20" w:rsidR="00093BB5" w:rsidRPr="004F30BD" w:rsidRDefault="00451558" w:rsidP="00A06284">
      <w:pPr>
        <w:pStyle w:val="ListParagraph"/>
        <w:numPr>
          <w:ilvl w:val="0"/>
          <w:numId w:val="8"/>
        </w:numPr>
        <w:spacing w:before="60"/>
        <w:ind w:right="1080"/>
        <w:contextualSpacing w:val="0"/>
      </w:pPr>
      <w:r>
        <w:t>Unpleasant experience dealing with TEQSA staff</w:t>
      </w:r>
    </w:p>
    <w:p w14:paraId="047C0B79" w14:textId="77777777" w:rsidR="00020348" w:rsidRPr="004F30BD" w:rsidRDefault="00020348" w:rsidP="00A06284">
      <w:pPr>
        <w:pStyle w:val="ListParagraph"/>
        <w:numPr>
          <w:ilvl w:val="0"/>
          <w:numId w:val="8"/>
        </w:numPr>
        <w:spacing w:before="60"/>
        <w:ind w:right="1080"/>
        <w:contextualSpacing w:val="0"/>
      </w:pPr>
      <w:r w:rsidRPr="004F30BD">
        <w:t>Annual provider risk assessment report useful</w:t>
      </w:r>
      <w:r w:rsidR="00144482" w:rsidRPr="004F30BD">
        <w:t xml:space="preserve">, but </w:t>
      </w:r>
      <w:r w:rsidR="00670A94" w:rsidRPr="004F30BD">
        <w:t xml:space="preserve">needs to use </w:t>
      </w:r>
      <w:r w:rsidR="00144482" w:rsidRPr="004F30BD">
        <w:t>more up</w:t>
      </w:r>
      <w:r w:rsidR="003501AA" w:rsidRPr="004F30BD">
        <w:t>-</w:t>
      </w:r>
      <w:r w:rsidR="00144482" w:rsidRPr="004F30BD">
        <w:t>to</w:t>
      </w:r>
      <w:r w:rsidR="003501AA" w:rsidRPr="004F30BD">
        <w:t>-</w:t>
      </w:r>
      <w:r w:rsidR="00144482" w:rsidRPr="004F30BD">
        <w:t>date data</w:t>
      </w:r>
      <w:r w:rsidRPr="004F30BD">
        <w:t xml:space="preserve"> </w:t>
      </w:r>
    </w:p>
    <w:p w14:paraId="25D0CD64" w14:textId="77777777" w:rsidR="003501AA" w:rsidRPr="004F30BD" w:rsidRDefault="003501AA" w:rsidP="00A06284">
      <w:pPr>
        <w:pStyle w:val="ListParagraph"/>
        <w:numPr>
          <w:ilvl w:val="0"/>
          <w:numId w:val="8"/>
        </w:numPr>
        <w:spacing w:before="60"/>
        <w:ind w:right="1080"/>
        <w:contextualSpacing w:val="0"/>
      </w:pPr>
      <w:r w:rsidRPr="004F30BD">
        <w:t>Risk assessment</w:t>
      </w:r>
      <w:r w:rsidR="00670A94" w:rsidRPr="004F30BD">
        <w:t xml:space="preserve"> and general approach</w:t>
      </w:r>
      <w:r w:rsidR="00E93B42" w:rsidRPr="004F30BD">
        <w:t>: one size does not fit all, too simplistic, discourage</w:t>
      </w:r>
      <w:r w:rsidR="00670A94" w:rsidRPr="004F30BD">
        <w:t>s</w:t>
      </w:r>
      <w:r w:rsidR="00E93B42" w:rsidRPr="004F30BD">
        <w:t xml:space="preserve"> quality scholarship / learning</w:t>
      </w:r>
      <w:r w:rsidRPr="004F30BD">
        <w:t xml:space="preserve"> </w:t>
      </w:r>
    </w:p>
    <w:p w14:paraId="56644427" w14:textId="77777777" w:rsidR="00093BB5" w:rsidRPr="004F30BD" w:rsidRDefault="00093BB5" w:rsidP="00A06284">
      <w:pPr>
        <w:pStyle w:val="ListParagraph"/>
        <w:numPr>
          <w:ilvl w:val="0"/>
          <w:numId w:val="8"/>
        </w:numPr>
        <w:spacing w:before="60"/>
        <w:ind w:right="1080"/>
        <w:contextualSpacing w:val="0"/>
      </w:pPr>
      <w:r w:rsidRPr="004F30BD">
        <w:t xml:space="preserve">Provide further guidance to </w:t>
      </w:r>
      <w:r w:rsidR="00E93B42" w:rsidRPr="004F30BD">
        <w:t>all types of providers including best practice or real world examples, risk mitigation, MOUs and multilateral / bilateral arrangements</w:t>
      </w:r>
    </w:p>
    <w:p w14:paraId="5F97694D" w14:textId="77777777" w:rsidR="00E93B42" w:rsidRPr="004F30BD" w:rsidRDefault="00E93B42" w:rsidP="00A06284">
      <w:pPr>
        <w:pStyle w:val="ListParagraph"/>
        <w:numPr>
          <w:ilvl w:val="0"/>
          <w:numId w:val="8"/>
        </w:numPr>
        <w:spacing w:before="60"/>
        <w:ind w:right="1080"/>
        <w:contextualSpacing w:val="0"/>
      </w:pPr>
      <w:r w:rsidRPr="004F30BD">
        <w:t>Slow r</w:t>
      </w:r>
      <w:r w:rsidR="00093BB5" w:rsidRPr="004F30BD">
        <w:t>esponse</w:t>
      </w:r>
      <w:r w:rsidRPr="004F30BD">
        <w:t>s</w:t>
      </w:r>
    </w:p>
    <w:p w14:paraId="4EAFA6B5" w14:textId="77777777" w:rsidR="00144482" w:rsidRPr="004F30BD" w:rsidRDefault="00093BB5" w:rsidP="00A06284">
      <w:pPr>
        <w:pStyle w:val="ListParagraph"/>
        <w:numPr>
          <w:ilvl w:val="0"/>
          <w:numId w:val="8"/>
        </w:numPr>
        <w:spacing w:before="60"/>
        <w:ind w:right="1080"/>
        <w:contextualSpacing w:val="0"/>
      </w:pPr>
      <w:r w:rsidRPr="004F30BD">
        <w:t>TEQSA interpret</w:t>
      </w:r>
      <w:r w:rsidR="00E93B42" w:rsidRPr="004F30BD">
        <w:t>s</w:t>
      </w:r>
      <w:r w:rsidRPr="004F30BD">
        <w:t xml:space="preserve"> </w:t>
      </w:r>
      <w:r w:rsidR="00E93B42" w:rsidRPr="004F30BD">
        <w:t>s</w:t>
      </w:r>
      <w:r w:rsidRPr="004F30BD">
        <w:t xml:space="preserve">tandards </w:t>
      </w:r>
      <w:r w:rsidR="00E93B42" w:rsidRPr="004F30BD">
        <w:t>too</w:t>
      </w:r>
      <w:r w:rsidRPr="004F30BD">
        <w:t xml:space="preserve"> literal</w:t>
      </w:r>
      <w:r w:rsidR="00E93B42" w:rsidRPr="004F30BD">
        <w:t xml:space="preserve">ly and pedantically </w:t>
      </w:r>
    </w:p>
    <w:p w14:paraId="439B51A2" w14:textId="77777777" w:rsidR="00950DAE" w:rsidRPr="004F30BD" w:rsidRDefault="00670A94" w:rsidP="00A06284">
      <w:pPr>
        <w:pStyle w:val="ListParagraph"/>
        <w:numPr>
          <w:ilvl w:val="0"/>
          <w:numId w:val="8"/>
        </w:numPr>
        <w:spacing w:before="60"/>
        <w:ind w:right="1080"/>
        <w:contextualSpacing w:val="0"/>
      </w:pPr>
      <w:r w:rsidRPr="004F30BD">
        <w:t>C</w:t>
      </w:r>
      <w:r w:rsidR="003501AA" w:rsidRPr="004F30BD">
        <w:t>ompliance burden</w:t>
      </w:r>
      <w:r w:rsidRPr="004F30BD">
        <w:t xml:space="preserve"> is too heavy.</w:t>
      </w:r>
    </w:p>
    <w:p w14:paraId="38979290" w14:textId="77777777" w:rsidR="008416BB" w:rsidRPr="004F30BD" w:rsidRDefault="008416BB" w:rsidP="00670A94">
      <w:pPr>
        <w:pStyle w:val="Heading2"/>
      </w:pPr>
      <w:bookmarkStart w:id="19" w:name="_Toc22298024"/>
      <w:r w:rsidRPr="004F30BD">
        <w:t>Regulatory decisions</w:t>
      </w:r>
      <w:bookmarkEnd w:id="19"/>
    </w:p>
    <w:p w14:paraId="29DE6891" w14:textId="77777777" w:rsidR="008416BB" w:rsidRPr="004F30BD" w:rsidRDefault="00313636" w:rsidP="008416BB">
      <w:pPr>
        <w:spacing w:after="240"/>
      </w:pPr>
      <w:r w:rsidRPr="004F30BD">
        <w:t>Only</w:t>
      </w:r>
      <w:r w:rsidR="00977E4F" w:rsidRPr="004F30BD">
        <w:t xml:space="preserve"> 39% of p</w:t>
      </w:r>
      <w:r w:rsidRPr="004F30BD">
        <w:t>roviders</w:t>
      </w:r>
      <w:r w:rsidR="00977E4F" w:rsidRPr="004F30BD">
        <w:t xml:space="preserve"> that participated in the survey were</w:t>
      </w:r>
      <w:r w:rsidRPr="004F30BD">
        <w:t xml:space="preserve"> involved with a regulatory decision in the previous 12 months</w:t>
      </w:r>
      <w:r w:rsidR="00977E4F" w:rsidRPr="004F30BD">
        <w:t>. Only this sub-group</w:t>
      </w:r>
      <w:r w:rsidRPr="004F30BD">
        <w:t xml:space="preserve"> were asked to answer about aspects of the decision, hence the smaller n count for these items. </w:t>
      </w:r>
      <w:r w:rsidR="00937ADD" w:rsidRPr="004F30BD">
        <w:t>The three</w:t>
      </w:r>
      <w:r w:rsidR="008416BB" w:rsidRPr="004F30BD">
        <w:t xml:space="preserve"> items </w:t>
      </w:r>
      <w:r w:rsidR="00937ADD" w:rsidRPr="004F30BD">
        <w:t>about</w:t>
      </w:r>
      <w:r w:rsidR="008416BB" w:rsidRPr="004F30BD">
        <w:t xml:space="preserve"> TEQSA</w:t>
      </w:r>
      <w:r w:rsidR="00937ADD" w:rsidRPr="004F30BD">
        <w:t>’s</w:t>
      </w:r>
      <w:r w:rsidR="008416BB" w:rsidRPr="004F30BD">
        <w:t xml:space="preserve"> regulatory decisions rated between </w:t>
      </w:r>
      <w:r w:rsidR="00E2576D" w:rsidRPr="004F30BD">
        <w:t>58</w:t>
      </w:r>
      <w:r w:rsidR="008416BB" w:rsidRPr="004F30BD">
        <w:t xml:space="preserve">% and </w:t>
      </w:r>
      <w:r w:rsidR="00E2576D" w:rsidRPr="004F30BD">
        <w:t>74</w:t>
      </w:r>
      <w:r w:rsidR="008416BB" w:rsidRPr="004F30BD">
        <w:t>%.</w:t>
      </w:r>
      <w:r w:rsidR="00937ADD" w:rsidRPr="004F30BD">
        <w:t xml:space="preserve"> The item around </w:t>
      </w:r>
      <w:r w:rsidR="00937ADD" w:rsidRPr="004F30BD">
        <w:rPr>
          <w:i/>
          <w:iCs/>
        </w:rPr>
        <w:t>consistent and clear goal posts</w:t>
      </w:r>
      <w:r w:rsidR="00937ADD" w:rsidRPr="004F30BD">
        <w:t xml:space="preserve"> was the lowest scoring in the topic and has been mentioned in a number of open-ended comments.</w:t>
      </w:r>
    </w:p>
    <w:tbl>
      <w:tblPr>
        <w:tblW w:w="8640" w:type="dxa"/>
        <w:tblLook w:val="0000" w:firstRow="0" w:lastRow="0" w:firstColumn="0" w:lastColumn="0" w:noHBand="0" w:noVBand="0"/>
      </w:tblPr>
      <w:tblGrid>
        <w:gridCol w:w="6660"/>
        <w:gridCol w:w="540"/>
        <w:gridCol w:w="90"/>
        <w:gridCol w:w="1350"/>
      </w:tblGrid>
      <w:tr w:rsidR="008416BB" w:rsidRPr="004F30BD" w14:paraId="2EFD1ACA" w14:textId="77777777" w:rsidTr="00313636">
        <w:trPr>
          <w:trHeight w:val="257"/>
          <w:tblHeader/>
        </w:trPr>
        <w:tc>
          <w:tcPr>
            <w:tcW w:w="6660" w:type="dxa"/>
            <w:shd w:val="clear" w:color="auto" w:fill="00386E"/>
            <w:noWrap/>
            <w:vAlign w:val="center"/>
          </w:tcPr>
          <w:p w14:paraId="545E5CBD" w14:textId="77777777" w:rsidR="008416BB" w:rsidRPr="004F30BD" w:rsidRDefault="00670A94" w:rsidP="00937ADD">
            <w:pPr>
              <w:spacing w:before="40" w:after="40"/>
              <w:ind w:right="0"/>
              <w:rPr>
                <w:color w:val="FFFFFF"/>
                <w:szCs w:val="16"/>
              </w:rPr>
            </w:pPr>
            <w:r w:rsidRPr="004F30BD">
              <w:rPr>
                <w:color w:val="FFFFFF"/>
                <w:szCs w:val="16"/>
              </w:rPr>
              <w:t>REGULATORY DECISION ITEMS</w:t>
            </w:r>
          </w:p>
        </w:tc>
        <w:tc>
          <w:tcPr>
            <w:tcW w:w="540" w:type="dxa"/>
            <w:shd w:val="clear" w:color="auto" w:fill="00386E"/>
            <w:vAlign w:val="center"/>
          </w:tcPr>
          <w:p w14:paraId="4318A53D" w14:textId="77777777" w:rsidR="008416BB" w:rsidRPr="004F30BD" w:rsidRDefault="00670A94" w:rsidP="00313636">
            <w:pPr>
              <w:spacing w:before="40" w:after="40"/>
              <w:ind w:right="0"/>
              <w:jc w:val="center"/>
              <w:rPr>
                <w:color w:val="FFFFFF"/>
                <w:szCs w:val="16"/>
              </w:rPr>
            </w:pPr>
            <w:r w:rsidRPr="004F30BD">
              <w:rPr>
                <w:color w:val="FFFFFF"/>
                <w:szCs w:val="16"/>
              </w:rPr>
              <w:t>n</w:t>
            </w:r>
          </w:p>
        </w:tc>
        <w:tc>
          <w:tcPr>
            <w:tcW w:w="1440" w:type="dxa"/>
            <w:gridSpan w:val="2"/>
            <w:shd w:val="clear" w:color="auto" w:fill="00386E"/>
            <w:vAlign w:val="center"/>
          </w:tcPr>
          <w:p w14:paraId="2387E230" w14:textId="77777777" w:rsidR="008416BB" w:rsidRPr="004F30BD" w:rsidRDefault="008416BB" w:rsidP="00937ADD">
            <w:pPr>
              <w:spacing w:before="40" w:after="40"/>
              <w:ind w:right="0"/>
              <w:jc w:val="center"/>
              <w:rPr>
                <w:color w:val="FFFFFF"/>
                <w:szCs w:val="16"/>
              </w:rPr>
            </w:pPr>
            <w:r w:rsidRPr="004F30BD">
              <w:rPr>
                <w:color w:val="FFFFFF"/>
                <w:szCs w:val="16"/>
              </w:rPr>
              <w:t>TOP 2 SCORE (%)*</w:t>
            </w:r>
          </w:p>
        </w:tc>
      </w:tr>
      <w:tr w:rsidR="009A5546" w:rsidRPr="004F30BD" w14:paraId="2B698701" w14:textId="77777777" w:rsidTr="00670A94">
        <w:trPr>
          <w:trHeight w:val="340"/>
        </w:trPr>
        <w:tc>
          <w:tcPr>
            <w:tcW w:w="6660" w:type="dxa"/>
          </w:tcPr>
          <w:p w14:paraId="3EF97892" w14:textId="77777777" w:rsidR="009A5546" w:rsidRPr="004F30BD" w:rsidRDefault="009A5546" w:rsidP="00937ADD">
            <w:pPr>
              <w:spacing w:before="40" w:after="40"/>
              <w:ind w:right="0"/>
              <w:rPr>
                <w:rFonts w:cs="Calibri"/>
                <w:color w:val="000000"/>
                <w:szCs w:val="16"/>
              </w:rPr>
            </w:pPr>
            <w:r w:rsidRPr="004F30BD">
              <w:t>Providing opportunities to address matters relevant to regulatory decision, prior to final decision</w:t>
            </w:r>
          </w:p>
        </w:tc>
        <w:tc>
          <w:tcPr>
            <w:tcW w:w="630" w:type="dxa"/>
            <w:gridSpan w:val="2"/>
            <w:shd w:val="clear" w:color="auto" w:fill="auto"/>
            <w:noWrap/>
          </w:tcPr>
          <w:p w14:paraId="039353EE" w14:textId="77777777" w:rsidR="009A5546" w:rsidRPr="004F30BD" w:rsidRDefault="009A5546" w:rsidP="00937ADD">
            <w:pPr>
              <w:spacing w:before="40" w:after="40"/>
              <w:ind w:right="0"/>
              <w:rPr>
                <w:szCs w:val="16"/>
              </w:rPr>
            </w:pPr>
            <w:r w:rsidRPr="004F30BD">
              <w:t>50</w:t>
            </w:r>
          </w:p>
        </w:tc>
        <w:tc>
          <w:tcPr>
            <w:tcW w:w="1350" w:type="dxa"/>
            <w:shd w:val="clear" w:color="auto" w:fill="auto"/>
          </w:tcPr>
          <w:p w14:paraId="46079199" w14:textId="77777777" w:rsidR="009A5546" w:rsidRPr="004F30BD" w:rsidRDefault="009A5546" w:rsidP="00937ADD">
            <w:pPr>
              <w:spacing w:before="40" w:after="40"/>
              <w:ind w:right="0"/>
              <w:jc w:val="center"/>
              <w:rPr>
                <w:szCs w:val="16"/>
              </w:rPr>
            </w:pPr>
            <w:r w:rsidRPr="004F30BD">
              <w:t>74</w:t>
            </w:r>
          </w:p>
        </w:tc>
      </w:tr>
      <w:tr w:rsidR="009A5546" w:rsidRPr="004F30BD" w14:paraId="4E947261" w14:textId="77777777" w:rsidTr="00670A94">
        <w:trPr>
          <w:trHeight w:val="340"/>
        </w:trPr>
        <w:tc>
          <w:tcPr>
            <w:tcW w:w="6660" w:type="dxa"/>
            <w:shd w:val="clear" w:color="auto" w:fill="E6E6E6"/>
          </w:tcPr>
          <w:p w14:paraId="0A6D04D6" w14:textId="77777777" w:rsidR="009A5546" w:rsidRPr="004F30BD" w:rsidRDefault="009A5546" w:rsidP="00937ADD">
            <w:pPr>
              <w:spacing w:before="40" w:after="40"/>
              <w:ind w:right="0"/>
              <w:rPr>
                <w:rFonts w:cs="Calibri"/>
                <w:color w:val="000000"/>
                <w:szCs w:val="16"/>
              </w:rPr>
            </w:pPr>
            <w:r w:rsidRPr="004F30BD">
              <w:t>Explaining clearly and constructively why a decision was made</w:t>
            </w:r>
          </w:p>
        </w:tc>
        <w:tc>
          <w:tcPr>
            <w:tcW w:w="630" w:type="dxa"/>
            <w:gridSpan w:val="2"/>
            <w:shd w:val="clear" w:color="auto" w:fill="E6E6E6"/>
            <w:noWrap/>
          </w:tcPr>
          <w:p w14:paraId="135F468F" w14:textId="77777777" w:rsidR="009A5546" w:rsidRPr="004F30BD" w:rsidRDefault="009A5546" w:rsidP="00937ADD">
            <w:pPr>
              <w:spacing w:before="40" w:after="40"/>
              <w:ind w:right="0"/>
              <w:rPr>
                <w:szCs w:val="16"/>
              </w:rPr>
            </w:pPr>
            <w:r w:rsidRPr="004F30BD">
              <w:t>49</w:t>
            </w:r>
          </w:p>
        </w:tc>
        <w:tc>
          <w:tcPr>
            <w:tcW w:w="1350" w:type="dxa"/>
            <w:shd w:val="clear" w:color="auto" w:fill="E6E6E6"/>
          </w:tcPr>
          <w:p w14:paraId="492293FF" w14:textId="77777777" w:rsidR="009A5546" w:rsidRPr="004F30BD" w:rsidRDefault="009A5546" w:rsidP="00937ADD">
            <w:pPr>
              <w:spacing w:before="40" w:after="40"/>
              <w:ind w:right="0"/>
              <w:jc w:val="center"/>
              <w:rPr>
                <w:szCs w:val="16"/>
              </w:rPr>
            </w:pPr>
            <w:r w:rsidRPr="004F30BD">
              <w:t>65</w:t>
            </w:r>
          </w:p>
        </w:tc>
      </w:tr>
      <w:tr w:rsidR="009A5546" w:rsidRPr="004F30BD" w14:paraId="5D22BA35" w14:textId="77777777" w:rsidTr="00670A94">
        <w:trPr>
          <w:trHeight w:val="340"/>
        </w:trPr>
        <w:tc>
          <w:tcPr>
            <w:tcW w:w="6660" w:type="dxa"/>
            <w:tcBorders>
              <w:bottom w:val="single" w:sz="4" w:space="0" w:color="auto"/>
            </w:tcBorders>
            <w:shd w:val="clear" w:color="auto" w:fill="FFFFFF" w:themeFill="background1"/>
          </w:tcPr>
          <w:p w14:paraId="2FF4DDCA" w14:textId="77777777" w:rsidR="009A5546" w:rsidRPr="004F30BD" w:rsidRDefault="009A5546" w:rsidP="00937ADD">
            <w:pPr>
              <w:spacing w:before="40" w:after="40"/>
              <w:ind w:right="0"/>
              <w:rPr>
                <w:rFonts w:cs="Calibri"/>
                <w:color w:val="000000"/>
                <w:szCs w:val="16"/>
              </w:rPr>
            </w:pPr>
            <w:r w:rsidRPr="004F30BD">
              <w:t>Consistent and clear about goal posts for successful decision outcomes</w:t>
            </w:r>
          </w:p>
        </w:tc>
        <w:tc>
          <w:tcPr>
            <w:tcW w:w="630" w:type="dxa"/>
            <w:gridSpan w:val="2"/>
            <w:tcBorders>
              <w:bottom w:val="single" w:sz="4" w:space="0" w:color="auto"/>
            </w:tcBorders>
            <w:shd w:val="clear" w:color="auto" w:fill="FFFFFF" w:themeFill="background1"/>
            <w:noWrap/>
          </w:tcPr>
          <w:p w14:paraId="5FED4D19" w14:textId="77777777" w:rsidR="009A5546" w:rsidRPr="004F30BD" w:rsidRDefault="009A5546" w:rsidP="00937ADD">
            <w:pPr>
              <w:spacing w:before="40" w:after="40"/>
              <w:ind w:right="0"/>
              <w:rPr>
                <w:szCs w:val="16"/>
              </w:rPr>
            </w:pPr>
            <w:r w:rsidRPr="004F30BD">
              <w:t>52</w:t>
            </w:r>
          </w:p>
        </w:tc>
        <w:tc>
          <w:tcPr>
            <w:tcW w:w="1350" w:type="dxa"/>
            <w:tcBorders>
              <w:bottom w:val="single" w:sz="4" w:space="0" w:color="auto"/>
            </w:tcBorders>
            <w:shd w:val="clear" w:color="auto" w:fill="FFFFFF" w:themeFill="background1"/>
          </w:tcPr>
          <w:p w14:paraId="2DB39332" w14:textId="77777777" w:rsidR="009A5546" w:rsidRPr="004F30BD" w:rsidRDefault="009A5546" w:rsidP="00937ADD">
            <w:pPr>
              <w:spacing w:before="40" w:after="40"/>
              <w:ind w:right="0"/>
              <w:jc w:val="center"/>
              <w:rPr>
                <w:szCs w:val="16"/>
              </w:rPr>
            </w:pPr>
            <w:r w:rsidRPr="004F30BD">
              <w:t>58</w:t>
            </w:r>
          </w:p>
        </w:tc>
      </w:tr>
    </w:tbl>
    <w:p w14:paraId="184E6351" w14:textId="77777777" w:rsidR="008416BB" w:rsidRPr="004F30BD" w:rsidRDefault="008416BB" w:rsidP="00937ADD">
      <w:pPr>
        <w:spacing w:before="60" w:after="240"/>
        <w:rPr>
          <w:i/>
        </w:rPr>
      </w:pPr>
      <w:r w:rsidRPr="004F30BD">
        <w:rPr>
          <w:i/>
        </w:rPr>
        <w:t>*Top 2 scores and n counts exclude don’t know / not applicable / no answer responses.</w:t>
      </w:r>
    </w:p>
    <w:p w14:paraId="1244C8A9" w14:textId="77777777" w:rsidR="008416BB" w:rsidRPr="004F30BD" w:rsidRDefault="008416BB" w:rsidP="008416BB">
      <w:pPr>
        <w:spacing w:before="0" w:after="240"/>
        <w:jc w:val="center"/>
        <w:rPr>
          <w:i/>
        </w:rPr>
      </w:pPr>
      <w:r w:rsidRPr="004F30BD">
        <w:rPr>
          <w:noProof/>
          <w:lang w:eastAsia="en-AU"/>
        </w:rPr>
        <w:drawing>
          <wp:inline distT="0" distB="0" distL="0" distR="0" wp14:anchorId="6D3FECCA" wp14:editId="486BF8E5">
            <wp:extent cx="5648325" cy="2562225"/>
            <wp:effectExtent l="0" t="0" r="0" b="0"/>
            <wp:docPr id="30" name="Chart 30">
              <a:extLst xmlns:a="http://schemas.openxmlformats.org/drawingml/2006/main">
                <a:ext uri="{FF2B5EF4-FFF2-40B4-BE49-F238E27FC236}">
                  <a16:creationId xmlns:a16="http://schemas.microsoft.com/office/drawing/2014/main" id="{81A055F6-C11D-4767-8130-0355DB9B60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3D2B1A4" w14:textId="77777777" w:rsidR="00937ADD" w:rsidRPr="004F30BD" w:rsidRDefault="00937ADD">
      <w:pPr>
        <w:spacing w:before="0" w:line="240" w:lineRule="auto"/>
        <w:ind w:right="0"/>
        <w:rPr>
          <w:rFonts w:cs="Arial"/>
          <w:b/>
          <w:i/>
          <w:iCs/>
          <w:color w:val="00376E"/>
          <w:sz w:val="28"/>
          <w:szCs w:val="26"/>
        </w:rPr>
      </w:pPr>
      <w:r w:rsidRPr="004F30BD">
        <w:br w:type="page"/>
      </w:r>
    </w:p>
    <w:p w14:paraId="74F5CDE5" w14:textId="77777777" w:rsidR="00124CBC" w:rsidRPr="004F30BD" w:rsidRDefault="00621016" w:rsidP="00F55F15">
      <w:pPr>
        <w:pStyle w:val="Heading2"/>
      </w:pPr>
      <w:bookmarkStart w:id="20" w:name="_Toc22298025"/>
      <w:r w:rsidRPr="004F30BD">
        <w:lastRenderedPageBreak/>
        <w:t>Experience of</w:t>
      </w:r>
      <w:r w:rsidR="00124CBC" w:rsidRPr="004F30BD">
        <w:t xml:space="preserve"> </w:t>
      </w:r>
      <w:r w:rsidR="002137F0" w:rsidRPr="004F30BD">
        <w:t xml:space="preserve">an </w:t>
      </w:r>
      <w:r w:rsidR="00124CBC" w:rsidRPr="004F30BD">
        <w:t>unfavourable regulatory decision</w:t>
      </w:r>
      <w:bookmarkEnd w:id="20"/>
    </w:p>
    <w:p w14:paraId="14E8CAFF" w14:textId="77777777" w:rsidR="00621016" w:rsidRPr="004F30BD" w:rsidRDefault="00AB4893" w:rsidP="00F55F15">
      <w:pPr>
        <w:rPr>
          <w:i/>
        </w:rPr>
      </w:pPr>
      <w:r w:rsidRPr="004F30BD">
        <w:t xml:space="preserve">Providers were asked </w:t>
      </w:r>
      <w:r w:rsidR="00937ADD" w:rsidRPr="004F30BD">
        <w:t>to indicate if</w:t>
      </w:r>
      <w:r w:rsidRPr="004F30BD">
        <w:t xml:space="preserve"> their organisation had been subject to an unfavourable regulatory decision in the past 12 months</w:t>
      </w:r>
      <w:r w:rsidR="00F55F15" w:rsidRPr="004F30BD">
        <w:t xml:space="preserve"> and 13% of survey respondents</w:t>
      </w:r>
      <w:r w:rsidRPr="004F30BD">
        <w:t xml:space="preserve"> indicated </w:t>
      </w:r>
      <w:r w:rsidR="00937ADD" w:rsidRPr="004F30BD">
        <w:t xml:space="preserve">that they </w:t>
      </w:r>
      <w:r w:rsidRPr="004F30BD">
        <w:t>had</w:t>
      </w:r>
      <w:r w:rsidR="00937ADD" w:rsidRPr="004F30BD">
        <w:t xml:space="preserve">. This group was then </w:t>
      </w:r>
      <w:r w:rsidR="00621016" w:rsidRPr="004F30BD">
        <w:t xml:space="preserve">asked if they agreed </w:t>
      </w:r>
      <w:r w:rsidR="00937ADD" w:rsidRPr="004F30BD">
        <w:t xml:space="preserve">or not </w:t>
      </w:r>
      <w:r w:rsidR="00621016" w:rsidRPr="004F30BD">
        <w:t xml:space="preserve">with the decision. Forty two percent indicated that they agreed </w:t>
      </w:r>
      <w:r w:rsidR="00937ADD" w:rsidRPr="004F30BD">
        <w:t>while</w:t>
      </w:r>
      <w:r w:rsidR="00621016" w:rsidRPr="004F30BD">
        <w:t xml:space="preserve"> 58% did not</w:t>
      </w:r>
      <w:r w:rsidR="00212098" w:rsidRPr="004F30BD">
        <w:t xml:space="preserve">. </w:t>
      </w:r>
      <w:r w:rsidR="00937ADD" w:rsidRPr="004F30BD">
        <w:t xml:space="preserve">These </w:t>
      </w:r>
      <w:r w:rsidR="00212098" w:rsidRPr="004F30BD">
        <w:t xml:space="preserve">results </w:t>
      </w:r>
      <w:r w:rsidR="00937ADD" w:rsidRPr="004F30BD">
        <w:t>should be treated as</w:t>
      </w:r>
      <w:r w:rsidR="00212098" w:rsidRPr="004F30BD">
        <w:t xml:space="preserve"> indicative </w:t>
      </w:r>
      <w:r w:rsidR="00937ADD" w:rsidRPr="004F30BD">
        <w:t xml:space="preserve">only </w:t>
      </w:r>
      <w:r w:rsidR="00212098" w:rsidRPr="004F30BD">
        <w:t xml:space="preserve">due to the </w:t>
      </w:r>
      <w:r w:rsidR="00937ADD" w:rsidRPr="004F30BD">
        <w:t>very small sample</w:t>
      </w:r>
      <w:r w:rsidR="00212098" w:rsidRPr="004F30BD">
        <w:t xml:space="preserve"> size (n=19)</w:t>
      </w:r>
      <w:r w:rsidR="00621016" w:rsidRPr="004F30BD">
        <w:t>.</w:t>
      </w:r>
    </w:p>
    <w:p w14:paraId="41C05567" w14:textId="77777777" w:rsidR="00F01107" w:rsidRPr="004F30BD" w:rsidRDefault="00866BA8" w:rsidP="00F01107">
      <w:r w:rsidRPr="004F30BD">
        <w:t xml:space="preserve">Principal contacts offered </w:t>
      </w:r>
      <w:r w:rsidR="00F55F15" w:rsidRPr="004F30BD">
        <w:t xml:space="preserve">eight </w:t>
      </w:r>
      <w:r w:rsidRPr="004F30BD">
        <w:t>valid comments relating to the steps taken to resolve an unfavourable regulatory decision</w:t>
      </w:r>
      <w:r w:rsidR="00F55F15" w:rsidRPr="004F30BD">
        <w:t>. Their summarised comments were:</w:t>
      </w:r>
    </w:p>
    <w:p w14:paraId="0A99362D" w14:textId="77777777" w:rsidR="00F01107" w:rsidRPr="004F30BD" w:rsidRDefault="00F01107" w:rsidP="00A06284">
      <w:pPr>
        <w:pStyle w:val="ListParagraph"/>
        <w:numPr>
          <w:ilvl w:val="0"/>
          <w:numId w:val="8"/>
        </w:numPr>
        <w:spacing w:before="60"/>
        <w:ind w:right="1080"/>
        <w:contextualSpacing w:val="0"/>
      </w:pPr>
      <w:r w:rsidRPr="004F30BD">
        <w:t>Unable to disagree / no avenue to appeal</w:t>
      </w:r>
    </w:p>
    <w:p w14:paraId="32C00316" w14:textId="77777777" w:rsidR="003318A8" w:rsidRPr="004F30BD" w:rsidRDefault="00F55F15" w:rsidP="00A06284">
      <w:pPr>
        <w:pStyle w:val="ListParagraph"/>
        <w:numPr>
          <w:ilvl w:val="0"/>
          <w:numId w:val="8"/>
        </w:numPr>
        <w:spacing w:before="60"/>
        <w:ind w:right="1080"/>
        <w:contextualSpacing w:val="0"/>
      </w:pPr>
      <w:r w:rsidRPr="004F30BD">
        <w:t>Went to AAT</w:t>
      </w:r>
    </w:p>
    <w:p w14:paraId="0B433950" w14:textId="77777777" w:rsidR="003318A8" w:rsidRPr="004F30BD" w:rsidRDefault="00F55F15" w:rsidP="00A06284">
      <w:pPr>
        <w:pStyle w:val="ListParagraph"/>
        <w:numPr>
          <w:ilvl w:val="0"/>
          <w:numId w:val="8"/>
        </w:numPr>
        <w:spacing w:before="60"/>
        <w:ind w:right="1080"/>
        <w:contextualSpacing w:val="0"/>
      </w:pPr>
      <w:r w:rsidRPr="004F30BD">
        <w:t>L</w:t>
      </w:r>
      <w:r w:rsidR="003318A8" w:rsidRPr="004F30BD">
        <w:t>odged a complaint with TEQSA</w:t>
      </w:r>
    </w:p>
    <w:p w14:paraId="2CFA6F21" w14:textId="77777777" w:rsidR="00F01107" w:rsidRPr="004F30BD" w:rsidRDefault="00F01107" w:rsidP="00A06284">
      <w:pPr>
        <w:pStyle w:val="ListParagraph"/>
        <w:numPr>
          <w:ilvl w:val="0"/>
          <w:numId w:val="8"/>
        </w:numPr>
        <w:spacing w:before="60"/>
        <w:ind w:right="1080"/>
        <w:contextualSpacing w:val="0"/>
      </w:pPr>
      <w:r w:rsidRPr="004F30BD">
        <w:t>TEQSA should be open to negotiation after its decision</w:t>
      </w:r>
    </w:p>
    <w:p w14:paraId="1E862041" w14:textId="77777777" w:rsidR="003318A8" w:rsidRPr="004F30BD" w:rsidRDefault="003318A8" w:rsidP="00A06284">
      <w:pPr>
        <w:pStyle w:val="ListParagraph"/>
        <w:numPr>
          <w:ilvl w:val="0"/>
          <w:numId w:val="8"/>
        </w:numPr>
        <w:spacing w:before="60"/>
        <w:ind w:right="1080"/>
        <w:contextualSpacing w:val="0"/>
      </w:pPr>
      <w:r w:rsidRPr="004F30BD">
        <w:t xml:space="preserve">Ended up withdrawing application to appeal </w:t>
      </w:r>
    </w:p>
    <w:p w14:paraId="1A901A3C" w14:textId="77777777" w:rsidR="00F01107" w:rsidRPr="004F30BD" w:rsidRDefault="003318A8" w:rsidP="00A06284">
      <w:pPr>
        <w:pStyle w:val="ListParagraph"/>
        <w:numPr>
          <w:ilvl w:val="0"/>
          <w:numId w:val="8"/>
        </w:numPr>
        <w:spacing w:before="60"/>
        <w:ind w:right="1080"/>
        <w:contextualSpacing w:val="0"/>
      </w:pPr>
      <w:r w:rsidRPr="004F30BD">
        <w:t>Appeal regarded as an unnecessary and costly process</w:t>
      </w:r>
    </w:p>
    <w:p w14:paraId="254B2140" w14:textId="0EEBA9DB" w:rsidR="003318A8" w:rsidRPr="004F30BD" w:rsidRDefault="003318A8" w:rsidP="00A06284">
      <w:pPr>
        <w:pStyle w:val="ListParagraph"/>
        <w:numPr>
          <w:ilvl w:val="0"/>
          <w:numId w:val="8"/>
        </w:numPr>
        <w:spacing w:before="60"/>
        <w:ind w:right="1080"/>
        <w:contextualSpacing w:val="0"/>
      </w:pPr>
      <w:r w:rsidRPr="004F30BD">
        <w:t>T</w:t>
      </w:r>
      <w:r w:rsidR="00F01107" w:rsidRPr="004F30BD">
        <w:t xml:space="preserve">ried to resubmit the application but </w:t>
      </w:r>
      <w:r w:rsidRPr="004F30BD">
        <w:t>were</w:t>
      </w:r>
      <w:r w:rsidR="00F01107" w:rsidRPr="004F30BD">
        <w:t xml:space="preserve"> discouraged by TEQSA </w:t>
      </w:r>
      <w:r w:rsidRPr="004F30BD">
        <w:t>/ uncertain how to proceed.</w:t>
      </w:r>
    </w:p>
    <w:p w14:paraId="4E476998" w14:textId="77777777" w:rsidR="00F55F15" w:rsidRPr="004F30BD" w:rsidRDefault="00F55F15" w:rsidP="00F55F15">
      <w:r w:rsidRPr="004F30BD">
        <w:t>Eleven of the p</w:t>
      </w:r>
      <w:r w:rsidR="005B09A2" w:rsidRPr="004F30BD">
        <w:t xml:space="preserve">roviders </w:t>
      </w:r>
      <w:r w:rsidRPr="004F30BD">
        <w:t xml:space="preserve">that received </w:t>
      </w:r>
      <w:r w:rsidR="005B09A2" w:rsidRPr="004F30BD">
        <w:t>an unfavourable regulatory decision were then asked if they were satisfied with the steps taken to resolve the unfavourable regulatory decision.</w:t>
      </w:r>
      <w:r w:rsidRPr="004F30BD">
        <w:t xml:space="preserve"> Only one provider was satisfied; five were partially satisfied; one was not satisfied and four were still waiting resolution.</w:t>
      </w:r>
    </w:p>
    <w:p w14:paraId="24AAC1CA" w14:textId="77777777" w:rsidR="00950DAE" w:rsidRPr="004F30BD" w:rsidRDefault="00950DAE" w:rsidP="00F55F15">
      <w:pPr>
        <w:pStyle w:val="Heading2"/>
      </w:pPr>
      <w:bookmarkStart w:id="21" w:name="_Toc22298026"/>
      <w:r w:rsidRPr="004F30BD">
        <w:t>Monitoring quality</w:t>
      </w:r>
      <w:bookmarkEnd w:id="21"/>
    </w:p>
    <w:p w14:paraId="45D9267E" w14:textId="77777777" w:rsidR="00950DAE" w:rsidRPr="004F30BD" w:rsidRDefault="00950DAE" w:rsidP="00950DAE">
      <w:pPr>
        <w:spacing w:after="240"/>
      </w:pPr>
      <w:r w:rsidRPr="004F30BD">
        <w:t>All items for TEQSA</w:t>
      </w:r>
      <w:r w:rsidR="002C44BF" w:rsidRPr="004F30BD">
        <w:t xml:space="preserve"> monitoring quality</w:t>
      </w:r>
      <w:r w:rsidR="002137F0" w:rsidRPr="004F30BD">
        <w:t xml:space="preserve"> topic</w:t>
      </w:r>
      <w:r w:rsidR="002C44BF" w:rsidRPr="004F30BD">
        <w:t xml:space="preserve"> </w:t>
      </w:r>
      <w:r w:rsidRPr="004F30BD">
        <w:t xml:space="preserve">rated between </w:t>
      </w:r>
      <w:r w:rsidR="002C44BF" w:rsidRPr="004F30BD">
        <w:t>41</w:t>
      </w:r>
      <w:r w:rsidRPr="004F30BD">
        <w:t xml:space="preserve">% and </w:t>
      </w:r>
      <w:r w:rsidR="002C44BF" w:rsidRPr="004F30BD">
        <w:t>60</w:t>
      </w:r>
      <w:r w:rsidRPr="004F30BD">
        <w:t>%</w:t>
      </w:r>
      <w:r w:rsidR="002137F0" w:rsidRPr="004F30BD">
        <w:t>. This was the lowest scoring topic in the survey</w:t>
      </w:r>
      <w:r w:rsidRPr="004F30BD">
        <w:t xml:space="preserve"> </w:t>
      </w:r>
      <w:r w:rsidR="002137F0" w:rsidRPr="004F30BD">
        <w:t xml:space="preserve">and </w:t>
      </w:r>
      <w:r w:rsidR="004F30BD">
        <w:t>it</w:t>
      </w:r>
      <w:r w:rsidR="002137F0" w:rsidRPr="004F30BD">
        <w:t xml:space="preserve"> is one area where TEQSA needs to focus any improvement initiatives. The (lack of) timeliness issue is repeated throughout many open-ended comments. Refer to the table and chart below.</w:t>
      </w:r>
    </w:p>
    <w:tbl>
      <w:tblPr>
        <w:tblW w:w="8545" w:type="dxa"/>
        <w:tblLook w:val="0000" w:firstRow="0" w:lastRow="0" w:firstColumn="0" w:lastColumn="0" w:noHBand="0" w:noVBand="0"/>
      </w:tblPr>
      <w:tblGrid>
        <w:gridCol w:w="6210"/>
        <w:gridCol w:w="630"/>
        <w:gridCol w:w="1705"/>
      </w:tblGrid>
      <w:tr w:rsidR="002137F0" w:rsidRPr="004F30BD" w14:paraId="07556F3A" w14:textId="77777777" w:rsidTr="00313636">
        <w:trPr>
          <w:trHeight w:val="257"/>
          <w:tblHeader/>
        </w:trPr>
        <w:tc>
          <w:tcPr>
            <w:tcW w:w="6210" w:type="dxa"/>
            <w:shd w:val="clear" w:color="auto" w:fill="00386E"/>
            <w:noWrap/>
            <w:vAlign w:val="center"/>
          </w:tcPr>
          <w:p w14:paraId="36A68DE2" w14:textId="77777777" w:rsidR="002137F0" w:rsidRPr="004F30BD" w:rsidRDefault="002137F0" w:rsidP="002137F0">
            <w:pPr>
              <w:spacing w:before="40" w:after="40"/>
              <w:ind w:right="0"/>
              <w:rPr>
                <w:color w:val="FFFFFF"/>
                <w:szCs w:val="16"/>
              </w:rPr>
            </w:pPr>
            <w:r w:rsidRPr="004F30BD">
              <w:rPr>
                <w:color w:val="FFFFFF"/>
                <w:szCs w:val="16"/>
              </w:rPr>
              <w:t>MONITORING QUALITY ITEMS</w:t>
            </w:r>
          </w:p>
        </w:tc>
        <w:tc>
          <w:tcPr>
            <w:tcW w:w="630" w:type="dxa"/>
            <w:shd w:val="clear" w:color="auto" w:fill="00386E"/>
            <w:vAlign w:val="center"/>
          </w:tcPr>
          <w:p w14:paraId="2E9DF656" w14:textId="77777777" w:rsidR="002137F0" w:rsidRPr="004F30BD" w:rsidRDefault="002137F0" w:rsidP="002137F0">
            <w:pPr>
              <w:spacing w:before="40" w:after="40"/>
              <w:ind w:right="0"/>
              <w:jc w:val="center"/>
              <w:rPr>
                <w:color w:val="FFFFFF"/>
                <w:szCs w:val="16"/>
              </w:rPr>
            </w:pPr>
            <w:r w:rsidRPr="004F30BD">
              <w:rPr>
                <w:color w:val="FFFFFF"/>
                <w:szCs w:val="16"/>
              </w:rPr>
              <w:t>n</w:t>
            </w:r>
          </w:p>
        </w:tc>
        <w:tc>
          <w:tcPr>
            <w:tcW w:w="1705" w:type="dxa"/>
            <w:shd w:val="clear" w:color="auto" w:fill="00386E"/>
            <w:vAlign w:val="center"/>
          </w:tcPr>
          <w:p w14:paraId="7D0015E8" w14:textId="77777777" w:rsidR="002137F0" w:rsidRPr="004F30BD" w:rsidRDefault="002137F0" w:rsidP="002137F0">
            <w:pPr>
              <w:spacing w:before="40" w:after="40"/>
              <w:ind w:right="0"/>
              <w:jc w:val="center"/>
              <w:rPr>
                <w:color w:val="FFFFFF"/>
                <w:szCs w:val="16"/>
              </w:rPr>
            </w:pPr>
            <w:r w:rsidRPr="004F30BD">
              <w:rPr>
                <w:color w:val="FFFFFF"/>
                <w:szCs w:val="16"/>
              </w:rPr>
              <w:t>TOP 2 SCORE (%)*</w:t>
            </w:r>
          </w:p>
        </w:tc>
      </w:tr>
      <w:tr w:rsidR="002137F0" w:rsidRPr="004F30BD" w14:paraId="675ABB1A" w14:textId="77777777" w:rsidTr="00313636">
        <w:trPr>
          <w:trHeight w:val="340"/>
        </w:trPr>
        <w:tc>
          <w:tcPr>
            <w:tcW w:w="6210" w:type="dxa"/>
          </w:tcPr>
          <w:p w14:paraId="7398C6FA" w14:textId="77777777" w:rsidR="002137F0" w:rsidRPr="004F30BD" w:rsidRDefault="002137F0" w:rsidP="002137F0">
            <w:pPr>
              <w:spacing w:before="40" w:after="40"/>
              <w:ind w:right="0"/>
              <w:rPr>
                <w:rFonts w:cs="Calibri"/>
                <w:color w:val="000000"/>
                <w:szCs w:val="16"/>
              </w:rPr>
            </w:pPr>
            <w:r w:rsidRPr="004F30BD">
              <w:t>Providing quality feedback on whether organisation is meeting expected standards</w:t>
            </w:r>
          </w:p>
        </w:tc>
        <w:tc>
          <w:tcPr>
            <w:tcW w:w="630" w:type="dxa"/>
            <w:shd w:val="clear" w:color="auto" w:fill="auto"/>
            <w:noWrap/>
          </w:tcPr>
          <w:p w14:paraId="47166CE4" w14:textId="77777777" w:rsidR="002137F0" w:rsidRPr="004F30BD" w:rsidRDefault="002137F0" w:rsidP="002137F0">
            <w:pPr>
              <w:spacing w:before="40" w:after="40"/>
              <w:ind w:right="0"/>
              <w:rPr>
                <w:szCs w:val="16"/>
              </w:rPr>
            </w:pPr>
            <w:r w:rsidRPr="004F30BD">
              <w:t>126</w:t>
            </w:r>
          </w:p>
        </w:tc>
        <w:tc>
          <w:tcPr>
            <w:tcW w:w="1705" w:type="dxa"/>
            <w:shd w:val="clear" w:color="auto" w:fill="auto"/>
          </w:tcPr>
          <w:p w14:paraId="425C3B46" w14:textId="77777777" w:rsidR="002137F0" w:rsidRPr="004F30BD" w:rsidRDefault="002137F0" w:rsidP="002137F0">
            <w:pPr>
              <w:spacing w:before="40" w:after="40"/>
              <w:ind w:right="0"/>
              <w:jc w:val="center"/>
              <w:rPr>
                <w:szCs w:val="16"/>
              </w:rPr>
            </w:pPr>
            <w:r w:rsidRPr="004F30BD">
              <w:t>60</w:t>
            </w:r>
          </w:p>
        </w:tc>
      </w:tr>
      <w:tr w:rsidR="002137F0" w:rsidRPr="004F30BD" w14:paraId="0EB8960E" w14:textId="77777777" w:rsidTr="00313636">
        <w:trPr>
          <w:trHeight w:val="340"/>
        </w:trPr>
        <w:tc>
          <w:tcPr>
            <w:tcW w:w="6210" w:type="dxa"/>
            <w:shd w:val="clear" w:color="auto" w:fill="E6E6E6"/>
          </w:tcPr>
          <w:p w14:paraId="1EC8CA03" w14:textId="77777777" w:rsidR="002137F0" w:rsidRPr="004F30BD" w:rsidRDefault="002137F0" w:rsidP="002137F0">
            <w:pPr>
              <w:spacing w:before="40" w:after="40"/>
              <w:ind w:right="0"/>
              <w:rPr>
                <w:rFonts w:cs="Calibri"/>
                <w:color w:val="000000"/>
                <w:szCs w:val="16"/>
              </w:rPr>
            </w:pPr>
            <w:r w:rsidRPr="004F30BD">
              <w:t>Taking regulatory action that is necessary to manage risks effectively</w:t>
            </w:r>
          </w:p>
        </w:tc>
        <w:tc>
          <w:tcPr>
            <w:tcW w:w="630" w:type="dxa"/>
            <w:shd w:val="clear" w:color="auto" w:fill="E6E6E6"/>
            <w:noWrap/>
          </w:tcPr>
          <w:p w14:paraId="17FA8858" w14:textId="77777777" w:rsidR="002137F0" w:rsidRPr="004F30BD" w:rsidRDefault="002137F0" w:rsidP="002137F0">
            <w:pPr>
              <w:spacing w:before="40" w:after="40"/>
              <w:ind w:right="0"/>
              <w:rPr>
                <w:szCs w:val="16"/>
              </w:rPr>
            </w:pPr>
            <w:r w:rsidRPr="004F30BD">
              <w:t>111</w:t>
            </w:r>
          </w:p>
        </w:tc>
        <w:tc>
          <w:tcPr>
            <w:tcW w:w="1705" w:type="dxa"/>
            <w:shd w:val="clear" w:color="auto" w:fill="E6E6E6"/>
          </w:tcPr>
          <w:p w14:paraId="014D54BD" w14:textId="77777777" w:rsidR="002137F0" w:rsidRPr="004F30BD" w:rsidRDefault="002137F0" w:rsidP="002137F0">
            <w:pPr>
              <w:spacing w:before="40" w:after="40"/>
              <w:ind w:right="0"/>
              <w:jc w:val="center"/>
              <w:rPr>
                <w:szCs w:val="16"/>
              </w:rPr>
            </w:pPr>
            <w:r w:rsidRPr="004F30BD">
              <w:t>59</w:t>
            </w:r>
          </w:p>
        </w:tc>
      </w:tr>
      <w:tr w:rsidR="002137F0" w:rsidRPr="004F30BD" w14:paraId="3F8DFC39" w14:textId="77777777" w:rsidTr="00313636">
        <w:trPr>
          <w:trHeight w:val="340"/>
        </w:trPr>
        <w:tc>
          <w:tcPr>
            <w:tcW w:w="6210" w:type="dxa"/>
          </w:tcPr>
          <w:p w14:paraId="5A613DD3" w14:textId="77777777" w:rsidR="002137F0" w:rsidRPr="004F30BD" w:rsidRDefault="002137F0" w:rsidP="002137F0">
            <w:pPr>
              <w:spacing w:before="40" w:after="40"/>
              <w:ind w:right="0"/>
              <w:rPr>
                <w:rFonts w:cs="Calibri"/>
                <w:color w:val="000000"/>
                <w:szCs w:val="16"/>
              </w:rPr>
            </w:pPr>
            <w:r w:rsidRPr="004F30BD">
              <w:t>Giving feedback that continuously improves the quality of higher education in organisation</w:t>
            </w:r>
          </w:p>
        </w:tc>
        <w:tc>
          <w:tcPr>
            <w:tcW w:w="630" w:type="dxa"/>
            <w:shd w:val="clear" w:color="auto" w:fill="auto"/>
            <w:noWrap/>
          </w:tcPr>
          <w:p w14:paraId="5F8DA978" w14:textId="77777777" w:rsidR="002137F0" w:rsidRPr="004F30BD" w:rsidRDefault="002137F0" w:rsidP="002137F0">
            <w:pPr>
              <w:spacing w:before="40" w:after="40"/>
              <w:ind w:right="0"/>
              <w:rPr>
                <w:szCs w:val="16"/>
              </w:rPr>
            </w:pPr>
            <w:r w:rsidRPr="004F30BD">
              <w:t>125</w:t>
            </w:r>
          </w:p>
        </w:tc>
        <w:tc>
          <w:tcPr>
            <w:tcW w:w="1705" w:type="dxa"/>
            <w:shd w:val="clear" w:color="auto" w:fill="auto"/>
          </w:tcPr>
          <w:p w14:paraId="58AB52A2" w14:textId="77777777" w:rsidR="002137F0" w:rsidRPr="004F30BD" w:rsidRDefault="002137F0" w:rsidP="002137F0">
            <w:pPr>
              <w:spacing w:before="40" w:after="40"/>
              <w:ind w:right="0"/>
              <w:jc w:val="center"/>
              <w:rPr>
                <w:szCs w:val="16"/>
              </w:rPr>
            </w:pPr>
            <w:r w:rsidRPr="004F30BD">
              <w:t>58</w:t>
            </w:r>
          </w:p>
        </w:tc>
      </w:tr>
      <w:tr w:rsidR="002137F0" w:rsidRPr="004F30BD" w14:paraId="7242FC8B" w14:textId="77777777" w:rsidTr="00313636">
        <w:trPr>
          <w:trHeight w:val="340"/>
        </w:trPr>
        <w:tc>
          <w:tcPr>
            <w:tcW w:w="6210" w:type="dxa"/>
            <w:shd w:val="clear" w:color="auto" w:fill="D9D9D9" w:themeFill="background1" w:themeFillShade="D9"/>
          </w:tcPr>
          <w:p w14:paraId="4511FBB6" w14:textId="77777777" w:rsidR="002137F0" w:rsidRPr="004F30BD" w:rsidRDefault="002137F0" w:rsidP="002137F0">
            <w:pPr>
              <w:spacing w:before="40" w:after="40"/>
              <w:ind w:right="0"/>
              <w:rPr>
                <w:rFonts w:cs="Calibri"/>
                <w:color w:val="000000"/>
                <w:szCs w:val="16"/>
              </w:rPr>
            </w:pPr>
            <w:r w:rsidRPr="004F30BD">
              <w:t>Providing timely feedback on whether organisation is meeting expected standards</w:t>
            </w:r>
          </w:p>
        </w:tc>
        <w:tc>
          <w:tcPr>
            <w:tcW w:w="630" w:type="dxa"/>
            <w:shd w:val="clear" w:color="auto" w:fill="D9D9D9" w:themeFill="background1" w:themeFillShade="D9"/>
            <w:noWrap/>
          </w:tcPr>
          <w:p w14:paraId="5DF24943" w14:textId="77777777" w:rsidR="002137F0" w:rsidRPr="004F30BD" w:rsidRDefault="002137F0" w:rsidP="002137F0">
            <w:pPr>
              <w:spacing w:before="40" w:after="40"/>
              <w:ind w:right="0"/>
              <w:rPr>
                <w:szCs w:val="16"/>
              </w:rPr>
            </w:pPr>
            <w:r w:rsidRPr="004F30BD">
              <w:t>126</w:t>
            </w:r>
          </w:p>
        </w:tc>
        <w:tc>
          <w:tcPr>
            <w:tcW w:w="1705" w:type="dxa"/>
            <w:shd w:val="clear" w:color="auto" w:fill="D9D9D9" w:themeFill="background1" w:themeFillShade="D9"/>
          </w:tcPr>
          <w:p w14:paraId="32F16881" w14:textId="77777777" w:rsidR="002137F0" w:rsidRPr="004F30BD" w:rsidRDefault="002137F0" w:rsidP="002137F0">
            <w:pPr>
              <w:spacing w:before="40" w:after="40"/>
              <w:ind w:right="0"/>
              <w:jc w:val="center"/>
              <w:rPr>
                <w:szCs w:val="16"/>
              </w:rPr>
            </w:pPr>
            <w:r w:rsidRPr="004F30BD">
              <w:t>42</w:t>
            </w:r>
          </w:p>
        </w:tc>
      </w:tr>
      <w:tr w:rsidR="002137F0" w:rsidRPr="004F30BD" w14:paraId="6FC3C26E" w14:textId="77777777" w:rsidTr="00313636">
        <w:trPr>
          <w:trHeight w:val="340"/>
        </w:trPr>
        <w:tc>
          <w:tcPr>
            <w:tcW w:w="6210" w:type="dxa"/>
            <w:tcBorders>
              <w:bottom w:val="single" w:sz="4" w:space="0" w:color="auto"/>
            </w:tcBorders>
            <w:shd w:val="clear" w:color="auto" w:fill="FFFFFF" w:themeFill="background1"/>
          </w:tcPr>
          <w:p w14:paraId="0EDF5EFA" w14:textId="77777777" w:rsidR="002137F0" w:rsidRPr="004F30BD" w:rsidRDefault="002137F0" w:rsidP="002137F0">
            <w:pPr>
              <w:spacing w:before="40" w:after="40"/>
              <w:ind w:right="0"/>
              <w:rPr>
                <w:rFonts w:cs="Calibri"/>
                <w:color w:val="000000"/>
                <w:szCs w:val="16"/>
              </w:rPr>
            </w:pPr>
            <w:r w:rsidRPr="004F30BD">
              <w:t>Suggesting networks and resources that organisation might use to improve performance</w:t>
            </w:r>
          </w:p>
        </w:tc>
        <w:tc>
          <w:tcPr>
            <w:tcW w:w="630" w:type="dxa"/>
            <w:tcBorders>
              <w:bottom w:val="single" w:sz="4" w:space="0" w:color="auto"/>
            </w:tcBorders>
            <w:shd w:val="clear" w:color="auto" w:fill="FFFFFF" w:themeFill="background1"/>
            <w:noWrap/>
          </w:tcPr>
          <w:p w14:paraId="2A4B67AD" w14:textId="77777777" w:rsidR="002137F0" w:rsidRPr="004F30BD" w:rsidRDefault="002137F0" w:rsidP="002137F0">
            <w:pPr>
              <w:spacing w:before="40" w:after="40"/>
              <w:ind w:right="0"/>
              <w:rPr>
                <w:szCs w:val="16"/>
              </w:rPr>
            </w:pPr>
            <w:r w:rsidRPr="004F30BD">
              <w:t>111</w:t>
            </w:r>
          </w:p>
        </w:tc>
        <w:tc>
          <w:tcPr>
            <w:tcW w:w="1705" w:type="dxa"/>
            <w:tcBorders>
              <w:bottom w:val="single" w:sz="4" w:space="0" w:color="auto"/>
            </w:tcBorders>
            <w:shd w:val="clear" w:color="auto" w:fill="FFFFFF" w:themeFill="background1"/>
          </w:tcPr>
          <w:p w14:paraId="29D51CEF" w14:textId="77777777" w:rsidR="002137F0" w:rsidRPr="004F30BD" w:rsidRDefault="002137F0" w:rsidP="002137F0">
            <w:pPr>
              <w:spacing w:before="40" w:after="40"/>
              <w:ind w:right="0"/>
              <w:jc w:val="center"/>
              <w:rPr>
                <w:szCs w:val="16"/>
              </w:rPr>
            </w:pPr>
            <w:r w:rsidRPr="004F30BD">
              <w:t>41</w:t>
            </w:r>
          </w:p>
        </w:tc>
      </w:tr>
    </w:tbl>
    <w:p w14:paraId="4406EC59" w14:textId="77777777" w:rsidR="00950DAE" w:rsidRPr="004F30BD" w:rsidRDefault="002137F0" w:rsidP="002137F0">
      <w:pPr>
        <w:spacing w:before="60" w:after="240"/>
        <w:rPr>
          <w:i/>
        </w:rPr>
      </w:pPr>
      <w:r w:rsidRPr="004F30BD">
        <w:rPr>
          <w:i/>
        </w:rPr>
        <w:t>*</w:t>
      </w:r>
      <w:r w:rsidR="00950DAE" w:rsidRPr="004F30BD">
        <w:rPr>
          <w:i/>
        </w:rPr>
        <w:t>Top 2 scores and n counts exclude don’t know / not applicable / no answer responses.</w:t>
      </w:r>
    </w:p>
    <w:p w14:paraId="58A5EBDF" w14:textId="77777777" w:rsidR="002C44BF" w:rsidRPr="004F30BD" w:rsidRDefault="002C44BF" w:rsidP="002C44BF">
      <w:pPr>
        <w:spacing w:before="0" w:after="240"/>
        <w:jc w:val="center"/>
        <w:rPr>
          <w:i/>
        </w:rPr>
      </w:pPr>
      <w:r w:rsidRPr="004F30BD">
        <w:rPr>
          <w:noProof/>
          <w:lang w:eastAsia="en-AU"/>
        </w:rPr>
        <w:lastRenderedPageBreak/>
        <w:drawing>
          <wp:inline distT="0" distB="0" distL="0" distR="0" wp14:anchorId="7138383D" wp14:editId="14D26E34">
            <wp:extent cx="5572125" cy="3114675"/>
            <wp:effectExtent l="0" t="0" r="0" b="0"/>
            <wp:docPr id="21" name="Chart 21">
              <a:extLst xmlns:a="http://schemas.openxmlformats.org/drawingml/2006/main">
                <a:ext uri="{FF2B5EF4-FFF2-40B4-BE49-F238E27FC236}">
                  <a16:creationId xmlns:a16="http://schemas.microsoft.com/office/drawing/2014/main" id="{7B8CBC80-1F2D-4365-832C-DF2AD29BE8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056A62C" w14:textId="77777777" w:rsidR="0060044E" w:rsidRPr="004F30BD" w:rsidRDefault="00D36F96" w:rsidP="006162E7">
      <w:pPr>
        <w:pStyle w:val="Heading2"/>
        <w:spacing w:before="240"/>
      </w:pPr>
      <w:bookmarkStart w:id="22" w:name="_Toc22298027"/>
      <w:r w:rsidRPr="004F30BD">
        <w:t>Applications</w:t>
      </w:r>
      <w:r w:rsidR="00FC16D6" w:rsidRPr="004F30BD">
        <w:t xml:space="preserve"> to TEQSA</w:t>
      </w:r>
      <w:bookmarkEnd w:id="22"/>
    </w:p>
    <w:p w14:paraId="4731CFDC" w14:textId="77777777" w:rsidR="006162E7" w:rsidRPr="004F30BD" w:rsidRDefault="000A2121" w:rsidP="000A2121">
      <w:r w:rsidRPr="004F30BD">
        <w:t xml:space="preserve">This section outlines </w:t>
      </w:r>
      <w:r w:rsidR="00E071C3" w:rsidRPr="004F30BD">
        <w:t>providers’</w:t>
      </w:r>
      <w:r w:rsidRPr="004F30BD">
        <w:t xml:space="preserve"> views of the interactions they had with TEQSA</w:t>
      </w:r>
      <w:r w:rsidR="00E071C3" w:rsidRPr="004F30BD">
        <w:t xml:space="preserve"> while making </w:t>
      </w:r>
      <w:r w:rsidR="006162E7" w:rsidRPr="004F30BD">
        <w:t xml:space="preserve">registration and accreditation </w:t>
      </w:r>
      <w:r w:rsidR="00E071C3" w:rsidRPr="004F30BD">
        <w:t>applications</w:t>
      </w:r>
      <w:r w:rsidR="006162E7" w:rsidRPr="004F30BD">
        <w:t xml:space="preserve">, </w:t>
      </w:r>
      <w:r w:rsidR="00FC16D6" w:rsidRPr="004F30BD">
        <w:t xml:space="preserve">excluding </w:t>
      </w:r>
      <w:r w:rsidR="006162E7" w:rsidRPr="004F30BD">
        <w:t>CRICOS</w:t>
      </w:r>
      <w:r w:rsidR="006E26FC" w:rsidRPr="004F30BD">
        <w:t xml:space="preserve">. </w:t>
      </w:r>
      <w:r w:rsidR="00153895" w:rsidRPr="004F30BD">
        <w:t>The t</w:t>
      </w:r>
      <w:r w:rsidR="006162E7" w:rsidRPr="004F30BD">
        <w:t>able and chart results within this section are based on</w:t>
      </w:r>
      <w:r w:rsidR="00E071C3" w:rsidRPr="004F30BD">
        <w:t xml:space="preserve"> a sub-set of the PC survey sample</w:t>
      </w:r>
      <w:r w:rsidR="00153895" w:rsidRPr="004F30BD">
        <w:t xml:space="preserve">, that is, only those who indicated that they had </w:t>
      </w:r>
      <w:r w:rsidR="006E26FC" w:rsidRPr="004F30BD">
        <w:t>made an application</w:t>
      </w:r>
      <w:r w:rsidR="00FC16D6" w:rsidRPr="004F30BD">
        <w:t xml:space="preserve"> (non-CRICOS)</w:t>
      </w:r>
      <w:r w:rsidR="00C64363" w:rsidRPr="004F30BD">
        <w:t xml:space="preserve"> in the previous 12 months</w:t>
      </w:r>
      <w:r w:rsidR="00E071C3" w:rsidRPr="004F30BD">
        <w:t xml:space="preserve">. </w:t>
      </w:r>
    </w:p>
    <w:p w14:paraId="5CFFF7B9" w14:textId="59F812E0" w:rsidR="00F86BB3" w:rsidRPr="004F30BD" w:rsidRDefault="00FC16D6" w:rsidP="00F86BB3">
      <w:pPr>
        <w:spacing w:after="240"/>
      </w:pPr>
      <w:r w:rsidRPr="004F30BD">
        <w:t>Item scores for this topic varied widely: between</w:t>
      </w:r>
      <w:r w:rsidR="006E26FC" w:rsidRPr="004F30BD">
        <w:t xml:space="preserve"> </w:t>
      </w:r>
      <w:r w:rsidR="00F86BB3" w:rsidRPr="004F30BD">
        <w:t>37</w:t>
      </w:r>
      <w:r w:rsidR="006E26FC" w:rsidRPr="004F30BD">
        <w:t>%</w:t>
      </w:r>
      <w:r w:rsidRPr="004F30BD">
        <w:t xml:space="preserve"> for minimising time (a repeated issue</w:t>
      </w:r>
      <w:r w:rsidR="000B5843" w:rsidRPr="004F30BD">
        <w:t xml:space="preserve"> and the lowest scoring item in the survey</w:t>
      </w:r>
      <w:r w:rsidRPr="004F30BD">
        <w:t>)</w:t>
      </w:r>
      <w:r w:rsidR="006E26FC" w:rsidRPr="004F30BD">
        <w:t xml:space="preserve"> and </w:t>
      </w:r>
      <w:r w:rsidR="00F86BB3" w:rsidRPr="004F30BD">
        <w:t>8</w:t>
      </w:r>
      <w:r w:rsidR="006E26FC" w:rsidRPr="004F30BD">
        <w:t>0%</w:t>
      </w:r>
      <w:r w:rsidRPr="004F30BD">
        <w:t xml:space="preserve"> for clarity of the application guide</w:t>
      </w:r>
      <w:r w:rsidR="000B5843" w:rsidRPr="004F30BD">
        <w:t>—indicating TEQSA’s strength in written communication</w:t>
      </w:r>
      <w:r w:rsidRPr="004F30BD">
        <w:t>. Note the smaller n counts meaning results have a much larger margin of error, so should be treated as indicative for this topic.</w:t>
      </w:r>
      <w:r w:rsidR="00313636" w:rsidRPr="004F30BD">
        <w:t xml:space="preserve"> Also</w:t>
      </w:r>
      <w:r w:rsidR="00740CBD">
        <w:t>,</w:t>
      </w:r>
      <w:r w:rsidR="00313636" w:rsidRPr="004F30BD">
        <w:t xml:space="preserve"> note the </w:t>
      </w:r>
      <w:r w:rsidR="00740CBD">
        <w:t xml:space="preserve">proportion of the </w:t>
      </w:r>
      <w:r w:rsidR="00313636" w:rsidRPr="004F30BD">
        <w:rPr>
          <w:i/>
          <w:iCs/>
        </w:rPr>
        <w:t>not applicable</w:t>
      </w:r>
      <w:r w:rsidR="00313636" w:rsidRPr="004F30BD">
        <w:t xml:space="preserve"> response for two of the items: </w:t>
      </w:r>
      <w:r w:rsidR="00313636" w:rsidRPr="004F30BD">
        <w:rPr>
          <w:i/>
          <w:iCs/>
        </w:rPr>
        <w:t>usefulness of feedback</w:t>
      </w:r>
      <w:r w:rsidR="00313636" w:rsidRPr="004F30BD">
        <w:t xml:space="preserve"> and </w:t>
      </w:r>
      <w:r w:rsidR="00313636" w:rsidRPr="004F30BD">
        <w:rPr>
          <w:i/>
          <w:iCs/>
        </w:rPr>
        <w:t>minimising decision response time</w:t>
      </w:r>
      <w:r w:rsidR="00313636" w:rsidRPr="004F30BD">
        <w:t xml:space="preserve">. It is likely that respondents did not answer because these activities did not happen or have not yet happened. </w:t>
      </w:r>
      <w:r w:rsidRPr="004F30BD">
        <w:t>Refer to the tables and charts below.</w:t>
      </w:r>
    </w:p>
    <w:tbl>
      <w:tblPr>
        <w:tblW w:w="8550" w:type="dxa"/>
        <w:tblLook w:val="0000" w:firstRow="0" w:lastRow="0" w:firstColumn="0" w:lastColumn="0" w:noHBand="0" w:noVBand="0"/>
      </w:tblPr>
      <w:tblGrid>
        <w:gridCol w:w="6030"/>
        <w:gridCol w:w="90"/>
        <w:gridCol w:w="900"/>
        <w:gridCol w:w="85"/>
        <w:gridCol w:w="1445"/>
      </w:tblGrid>
      <w:tr w:rsidR="00F86BB3" w:rsidRPr="004F30BD" w14:paraId="4FD044B1" w14:textId="77777777" w:rsidTr="00313636">
        <w:trPr>
          <w:trHeight w:val="257"/>
          <w:tblHeader/>
        </w:trPr>
        <w:tc>
          <w:tcPr>
            <w:tcW w:w="6030" w:type="dxa"/>
            <w:shd w:val="clear" w:color="auto" w:fill="00386E"/>
            <w:noWrap/>
            <w:vAlign w:val="center"/>
          </w:tcPr>
          <w:p w14:paraId="62CF5503" w14:textId="77777777" w:rsidR="00F86BB3" w:rsidRPr="004F30BD" w:rsidRDefault="00FC16D6" w:rsidP="00FC16D6">
            <w:pPr>
              <w:pStyle w:val="Tabletext"/>
              <w:spacing w:line="240" w:lineRule="atLeast"/>
              <w:rPr>
                <w:rFonts w:ascii="Arial Nova" w:hAnsi="Arial Nova"/>
                <w:color w:val="FFFFFF"/>
                <w:sz w:val="18"/>
                <w:szCs w:val="16"/>
                <w:lang w:val="en-AU"/>
              </w:rPr>
            </w:pPr>
            <w:bookmarkStart w:id="23" w:name="_Hlk17979455"/>
            <w:r w:rsidRPr="004F30BD">
              <w:rPr>
                <w:rFonts w:ascii="Arial Nova" w:hAnsi="Arial Nova"/>
                <w:color w:val="FFFFFF"/>
                <w:sz w:val="18"/>
                <w:szCs w:val="16"/>
                <w:lang w:val="en-AU"/>
              </w:rPr>
              <w:t>APPLICATION ITEMS</w:t>
            </w:r>
            <w:r w:rsidR="00F86BB3" w:rsidRPr="004F30BD">
              <w:rPr>
                <w:rFonts w:ascii="Arial Nova" w:hAnsi="Arial Nova"/>
                <w:color w:val="FFFFFF"/>
                <w:sz w:val="18"/>
                <w:szCs w:val="16"/>
                <w:lang w:val="en-AU"/>
              </w:rPr>
              <w:t xml:space="preserve"> </w:t>
            </w:r>
          </w:p>
        </w:tc>
        <w:tc>
          <w:tcPr>
            <w:tcW w:w="1075" w:type="dxa"/>
            <w:gridSpan w:val="3"/>
            <w:shd w:val="clear" w:color="auto" w:fill="00386E"/>
            <w:vAlign w:val="center"/>
          </w:tcPr>
          <w:p w14:paraId="46FD4801" w14:textId="77777777" w:rsidR="00F86BB3" w:rsidRPr="004F30BD" w:rsidRDefault="00FC16D6" w:rsidP="00FC16D6">
            <w:pPr>
              <w:pStyle w:val="Tabletext"/>
              <w:spacing w:line="240" w:lineRule="atLeast"/>
              <w:jc w:val="center"/>
              <w:rPr>
                <w:rFonts w:ascii="Arial Nova" w:hAnsi="Arial Nova"/>
                <w:color w:val="FFFFFF"/>
                <w:sz w:val="18"/>
                <w:szCs w:val="16"/>
                <w:lang w:val="en-AU"/>
              </w:rPr>
            </w:pPr>
            <w:r w:rsidRPr="004F30BD">
              <w:rPr>
                <w:rFonts w:ascii="Arial Nova" w:hAnsi="Arial Nova"/>
                <w:color w:val="FFFFFF"/>
                <w:sz w:val="18"/>
                <w:szCs w:val="16"/>
                <w:lang w:val="en-AU"/>
              </w:rPr>
              <w:t>n</w:t>
            </w:r>
          </w:p>
        </w:tc>
        <w:tc>
          <w:tcPr>
            <w:tcW w:w="1445" w:type="dxa"/>
            <w:shd w:val="clear" w:color="auto" w:fill="00386E"/>
            <w:vAlign w:val="center"/>
          </w:tcPr>
          <w:p w14:paraId="7DC02820" w14:textId="77777777" w:rsidR="00F86BB3" w:rsidRPr="004F30BD" w:rsidRDefault="00F86BB3" w:rsidP="00FC16D6">
            <w:pPr>
              <w:pStyle w:val="Tabletext"/>
              <w:spacing w:line="240" w:lineRule="atLeast"/>
              <w:jc w:val="center"/>
              <w:rPr>
                <w:rFonts w:ascii="Arial Nova" w:hAnsi="Arial Nova"/>
                <w:color w:val="FFFFFF"/>
                <w:sz w:val="18"/>
                <w:szCs w:val="16"/>
                <w:lang w:val="en-AU"/>
              </w:rPr>
            </w:pPr>
            <w:r w:rsidRPr="004F30BD">
              <w:rPr>
                <w:rFonts w:ascii="Arial Nova" w:hAnsi="Arial Nova"/>
                <w:color w:val="FFFFFF"/>
                <w:sz w:val="18"/>
                <w:szCs w:val="16"/>
                <w:lang w:val="en-AU"/>
              </w:rPr>
              <w:t>TOP 2 SCORE (%)*</w:t>
            </w:r>
          </w:p>
        </w:tc>
      </w:tr>
      <w:tr w:rsidR="00F86BB3" w:rsidRPr="004F30BD" w14:paraId="28056A85" w14:textId="77777777" w:rsidTr="00FC16D6">
        <w:trPr>
          <w:trHeight w:val="340"/>
        </w:trPr>
        <w:tc>
          <w:tcPr>
            <w:tcW w:w="6120" w:type="dxa"/>
            <w:gridSpan w:val="2"/>
            <w:vAlign w:val="center"/>
          </w:tcPr>
          <w:p w14:paraId="03E817E4" w14:textId="77777777" w:rsidR="00F86BB3" w:rsidRPr="004F30BD" w:rsidRDefault="00F86BB3" w:rsidP="00FC16D6">
            <w:pPr>
              <w:spacing w:before="40" w:after="40"/>
              <w:ind w:right="0"/>
              <w:rPr>
                <w:rFonts w:cs="Calibri"/>
                <w:color w:val="000000"/>
                <w:szCs w:val="16"/>
              </w:rPr>
            </w:pPr>
            <w:r w:rsidRPr="004F30BD">
              <w:t>Clarity of the application guide</w:t>
            </w:r>
          </w:p>
        </w:tc>
        <w:tc>
          <w:tcPr>
            <w:tcW w:w="900" w:type="dxa"/>
            <w:shd w:val="clear" w:color="auto" w:fill="auto"/>
            <w:noWrap/>
            <w:vAlign w:val="center"/>
          </w:tcPr>
          <w:p w14:paraId="79E93448" w14:textId="77777777" w:rsidR="00F86BB3" w:rsidRPr="004F30BD" w:rsidRDefault="00F86BB3" w:rsidP="00FC16D6">
            <w:pPr>
              <w:spacing w:before="40" w:after="40"/>
              <w:ind w:right="0"/>
              <w:jc w:val="center"/>
              <w:rPr>
                <w:szCs w:val="16"/>
              </w:rPr>
            </w:pPr>
            <w:r w:rsidRPr="004F30BD">
              <w:t>84</w:t>
            </w:r>
          </w:p>
        </w:tc>
        <w:tc>
          <w:tcPr>
            <w:tcW w:w="1530" w:type="dxa"/>
            <w:gridSpan w:val="2"/>
            <w:shd w:val="clear" w:color="auto" w:fill="auto"/>
            <w:vAlign w:val="center"/>
          </w:tcPr>
          <w:p w14:paraId="02879FAD" w14:textId="77777777" w:rsidR="00F86BB3" w:rsidRPr="004F30BD" w:rsidRDefault="00F86BB3" w:rsidP="00FC16D6">
            <w:pPr>
              <w:spacing w:before="40" w:after="40"/>
              <w:ind w:right="0"/>
              <w:jc w:val="center"/>
              <w:rPr>
                <w:szCs w:val="16"/>
              </w:rPr>
            </w:pPr>
            <w:r w:rsidRPr="004F30BD">
              <w:t>80</w:t>
            </w:r>
          </w:p>
        </w:tc>
      </w:tr>
      <w:tr w:rsidR="00F86BB3" w:rsidRPr="004F30BD" w14:paraId="0E528A52" w14:textId="77777777" w:rsidTr="00FC16D6">
        <w:trPr>
          <w:trHeight w:val="340"/>
        </w:trPr>
        <w:tc>
          <w:tcPr>
            <w:tcW w:w="6120" w:type="dxa"/>
            <w:gridSpan w:val="2"/>
            <w:shd w:val="clear" w:color="auto" w:fill="E6E6E6"/>
            <w:vAlign w:val="center"/>
          </w:tcPr>
          <w:p w14:paraId="72D42C69" w14:textId="77777777" w:rsidR="00F86BB3" w:rsidRPr="004F30BD" w:rsidRDefault="00F86BB3" w:rsidP="00FC16D6">
            <w:pPr>
              <w:spacing w:before="40" w:after="40"/>
              <w:ind w:right="0"/>
              <w:rPr>
                <w:rFonts w:cs="Calibri"/>
                <w:color w:val="000000"/>
                <w:szCs w:val="16"/>
              </w:rPr>
            </w:pPr>
            <w:r w:rsidRPr="004F30BD">
              <w:t>Clarity of assessment scope and evidence requirements</w:t>
            </w:r>
          </w:p>
        </w:tc>
        <w:tc>
          <w:tcPr>
            <w:tcW w:w="900" w:type="dxa"/>
            <w:shd w:val="clear" w:color="auto" w:fill="E6E6E6"/>
            <w:noWrap/>
            <w:vAlign w:val="center"/>
          </w:tcPr>
          <w:p w14:paraId="50B89C8C" w14:textId="77777777" w:rsidR="00F86BB3" w:rsidRPr="004F30BD" w:rsidRDefault="00F86BB3" w:rsidP="00FC16D6">
            <w:pPr>
              <w:spacing w:before="40" w:after="40"/>
              <w:ind w:right="0"/>
              <w:jc w:val="center"/>
              <w:rPr>
                <w:szCs w:val="16"/>
              </w:rPr>
            </w:pPr>
            <w:r w:rsidRPr="004F30BD">
              <w:t>81</w:t>
            </w:r>
          </w:p>
        </w:tc>
        <w:tc>
          <w:tcPr>
            <w:tcW w:w="1530" w:type="dxa"/>
            <w:gridSpan w:val="2"/>
            <w:shd w:val="clear" w:color="auto" w:fill="E6E6E6"/>
            <w:vAlign w:val="center"/>
          </w:tcPr>
          <w:p w14:paraId="555A8FFC" w14:textId="77777777" w:rsidR="00F86BB3" w:rsidRPr="004F30BD" w:rsidRDefault="00F86BB3" w:rsidP="00FC16D6">
            <w:pPr>
              <w:spacing w:before="40" w:after="40"/>
              <w:ind w:right="0"/>
              <w:jc w:val="center"/>
              <w:rPr>
                <w:szCs w:val="16"/>
              </w:rPr>
            </w:pPr>
            <w:r w:rsidRPr="004F30BD">
              <w:t>74</w:t>
            </w:r>
          </w:p>
        </w:tc>
      </w:tr>
      <w:tr w:rsidR="00F86BB3" w:rsidRPr="004F30BD" w14:paraId="76CFDFA1" w14:textId="77777777" w:rsidTr="00FC16D6">
        <w:trPr>
          <w:trHeight w:val="340"/>
        </w:trPr>
        <w:tc>
          <w:tcPr>
            <w:tcW w:w="6120" w:type="dxa"/>
            <w:gridSpan w:val="2"/>
            <w:vAlign w:val="center"/>
          </w:tcPr>
          <w:p w14:paraId="0F91221E" w14:textId="77777777" w:rsidR="00F86BB3" w:rsidRPr="004F30BD" w:rsidRDefault="00F86BB3" w:rsidP="00FC16D6">
            <w:pPr>
              <w:spacing w:before="40" w:after="40"/>
              <w:ind w:right="0"/>
              <w:rPr>
                <w:rFonts w:cs="Calibri"/>
                <w:color w:val="000000"/>
                <w:szCs w:val="16"/>
              </w:rPr>
            </w:pPr>
            <w:r w:rsidRPr="004F30BD">
              <w:t>Usefulness of information about how to prepare an application</w:t>
            </w:r>
          </w:p>
        </w:tc>
        <w:tc>
          <w:tcPr>
            <w:tcW w:w="900" w:type="dxa"/>
            <w:shd w:val="clear" w:color="auto" w:fill="auto"/>
            <w:noWrap/>
            <w:vAlign w:val="center"/>
          </w:tcPr>
          <w:p w14:paraId="4DD68076" w14:textId="77777777" w:rsidR="00F86BB3" w:rsidRPr="004F30BD" w:rsidRDefault="00F86BB3" w:rsidP="00FC16D6">
            <w:pPr>
              <w:spacing w:before="40" w:after="40"/>
              <w:ind w:right="0"/>
              <w:jc w:val="center"/>
              <w:rPr>
                <w:szCs w:val="16"/>
              </w:rPr>
            </w:pPr>
            <w:r w:rsidRPr="004F30BD">
              <w:t>80</w:t>
            </w:r>
          </w:p>
        </w:tc>
        <w:tc>
          <w:tcPr>
            <w:tcW w:w="1530" w:type="dxa"/>
            <w:gridSpan w:val="2"/>
            <w:shd w:val="clear" w:color="auto" w:fill="auto"/>
            <w:vAlign w:val="center"/>
          </w:tcPr>
          <w:p w14:paraId="390B051C" w14:textId="77777777" w:rsidR="00F86BB3" w:rsidRPr="004F30BD" w:rsidRDefault="00F86BB3" w:rsidP="00FC16D6">
            <w:pPr>
              <w:spacing w:before="40" w:after="40"/>
              <w:ind w:right="0"/>
              <w:jc w:val="center"/>
              <w:rPr>
                <w:szCs w:val="16"/>
              </w:rPr>
            </w:pPr>
            <w:r w:rsidRPr="004F30BD">
              <w:t>74</w:t>
            </w:r>
          </w:p>
        </w:tc>
      </w:tr>
      <w:tr w:rsidR="00F86BB3" w:rsidRPr="004F30BD" w14:paraId="0217CEF5" w14:textId="77777777" w:rsidTr="00FC16D6">
        <w:trPr>
          <w:trHeight w:val="340"/>
        </w:trPr>
        <w:tc>
          <w:tcPr>
            <w:tcW w:w="6120" w:type="dxa"/>
            <w:gridSpan w:val="2"/>
            <w:shd w:val="clear" w:color="auto" w:fill="D9D9D9" w:themeFill="background1" w:themeFillShade="D9"/>
            <w:vAlign w:val="center"/>
          </w:tcPr>
          <w:p w14:paraId="1FC3293D" w14:textId="77777777" w:rsidR="00F86BB3" w:rsidRPr="004F30BD" w:rsidRDefault="00F86BB3" w:rsidP="00FC16D6">
            <w:pPr>
              <w:spacing w:before="40" w:after="40"/>
              <w:ind w:right="0"/>
              <w:rPr>
                <w:rFonts w:cs="Calibri"/>
                <w:color w:val="000000"/>
                <w:szCs w:val="16"/>
              </w:rPr>
            </w:pPr>
            <w:r w:rsidRPr="004F30BD">
              <w:t>Usefulness of feedback from TEQSA about application</w:t>
            </w:r>
          </w:p>
        </w:tc>
        <w:tc>
          <w:tcPr>
            <w:tcW w:w="900" w:type="dxa"/>
            <w:shd w:val="clear" w:color="auto" w:fill="D9D9D9" w:themeFill="background1" w:themeFillShade="D9"/>
            <w:noWrap/>
            <w:vAlign w:val="center"/>
          </w:tcPr>
          <w:p w14:paraId="1D11C57B" w14:textId="77777777" w:rsidR="00F86BB3" w:rsidRPr="004F30BD" w:rsidRDefault="00F86BB3" w:rsidP="00FC16D6">
            <w:pPr>
              <w:spacing w:before="40" w:after="40"/>
              <w:ind w:right="0"/>
              <w:jc w:val="center"/>
              <w:rPr>
                <w:szCs w:val="16"/>
              </w:rPr>
            </w:pPr>
            <w:r w:rsidRPr="004F30BD">
              <w:t>68</w:t>
            </w:r>
          </w:p>
        </w:tc>
        <w:tc>
          <w:tcPr>
            <w:tcW w:w="1530" w:type="dxa"/>
            <w:gridSpan w:val="2"/>
            <w:shd w:val="clear" w:color="auto" w:fill="D9D9D9" w:themeFill="background1" w:themeFillShade="D9"/>
            <w:vAlign w:val="center"/>
          </w:tcPr>
          <w:p w14:paraId="4DD1BBA0" w14:textId="77777777" w:rsidR="00F86BB3" w:rsidRPr="004F30BD" w:rsidRDefault="00F86BB3" w:rsidP="00FC16D6">
            <w:pPr>
              <w:spacing w:before="40" w:after="40"/>
              <w:ind w:right="0"/>
              <w:jc w:val="center"/>
              <w:rPr>
                <w:szCs w:val="16"/>
              </w:rPr>
            </w:pPr>
            <w:r w:rsidRPr="004F30BD">
              <w:t>63</w:t>
            </w:r>
          </w:p>
        </w:tc>
      </w:tr>
      <w:tr w:rsidR="00F86BB3" w:rsidRPr="004F30BD" w14:paraId="0F84EEB1" w14:textId="77777777" w:rsidTr="00FC16D6">
        <w:trPr>
          <w:trHeight w:val="340"/>
        </w:trPr>
        <w:tc>
          <w:tcPr>
            <w:tcW w:w="6120" w:type="dxa"/>
            <w:gridSpan w:val="2"/>
            <w:vAlign w:val="center"/>
          </w:tcPr>
          <w:p w14:paraId="666B3AB5" w14:textId="77777777" w:rsidR="00F86BB3" w:rsidRPr="004F30BD" w:rsidRDefault="00F86BB3" w:rsidP="00FC16D6">
            <w:pPr>
              <w:spacing w:before="40" w:after="40"/>
              <w:ind w:right="0"/>
              <w:rPr>
                <w:rFonts w:cs="Calibri"/>
                <w:color w:val="000000"/>
                <w:szCs w:val="16"/>
              </w:rPr>
            </w:pPr>
            <w:r w:rsidRPr="004F30BD">
              <w:t>Tailoring application process to meet needs</w:t>
            </w:r>
          </w:p>
        </w:tc>
        <w:tc>
          <w:tcPr>
            <w:tcW w:w="900" w:type="dxa"/>
            <w:shd w:val="clear" w:color="auto" w:fill="auto"/>
            <w:noWrap/>
            <w:vAlign w:val="center"/>
          </w:tcPr>
          <w:p w14:paraId="3AB82A51" w14:textId="77777777" w:rsidR="00F86BB3" w:rsidRPr="004F30BD" w:rsidRDefault="00F86BB3" w:rsidP="00FC16D6">
            <w:pPr>
              <w:spacing w:before="40" w:after="40"/>
              <w:ind w:right="0"/>
              <w:jc w:val="center"/>
              <w:rPr>
                <w:szCs w:val="16"/>
              </w:rPr>
            </w:pPr>
            <w:r w:rsidRPr="004F30BD">
              <w:t>78</w:t>
            </w:r>
          </w:p>
        </w:tc>
        <w:tc>
          <w:tcPr>
            <w:tcW w:w="1530" w:type="dxa"/>
            <w:gridSpan w:val="2"/>
            <w:shd w:val="clear" w:color="auto" w:fill="auto"/>
            <w:vAlign w:val="center"/>
          </w:tcPr>
          <w:p w14:paraId="463C39DF" w14:textId="77777777" w:rsidR="00F86BB3" w:rsidRPr="004F30BD" w:rsidRDefault="00F86BB3" w:rsidP="00FC16D6">
            <w:pPr>
              <w:spacing w:before="40" w:after="40"/>
              <w:ind w:right="0"/>
              <w:jc w:val="center"/>
              <w:rPr>
                <w:szCs w:val="16"/>
              </w:rPr>
            </w:pPr>
            <w:r w:rsidRPr="004F30BD">
              <w:t>62</w:t>
            </w:r>
          </w:p>
        </w:tc>
      </w:tr>
      <w:tr w:rsidR="00F86BB3" w:rsidRPr="004F30BD" w14:paraId="090DA5B3" w14:textId="77777777" w:rsidTr="00FC16D6">
        <w:trPr>
          <w:trHeight w:val="340"/>
        </w:trPr>
        <w:tc>
          <w:tcPr>
            <w:tcW w:w="6120" w:type="dxa"/>
            <w:gridSpan w:val="2"/>
            <w:shd w:val="clear" w:color="auto" w:fill="D9D9D9"/>
            <w:vAlign w:val="center"/>
          </w:tcPr>
          <w:p w14:paraId="79C5A522" w14:textId="77777777" w:rsidR="00F86BB3" w:rsidRPr="004F30BD" w:rsidRDefault="00F86BB3" w:rsidP="00FC16D6">
            <w:pPr>
              <w:spacing w:before="40" w:after="40"/>
              <w:ind w:right="0"/>
            </w:pPr>
            <w:r w:rsidRPr="004F30BD">
              <w:t>Timeliness of feedback from TEQSA about application, including those unlikely successful</w:t>
            </w:r>
          </w:p>
        </w:tc>
        <w:tc>
          <w:tcPr>
            <w:tcW w:w="900" w:type="dxa"/>
            <w:shd w:val="clear" w:color="auto" w:fill="D9D9D9"/>
            <w:noWrap/>
            <w:vAlign w:val="center"/>
          </w:tcPr>
          <w:p w14:paraId="2E5D0955" w14:textId="77777777" w:rsidR="00F86BB3" w:rsidRPr="004F30BD" w:rsidRDefault="00F86BB3" w:rsidP="00FC16D6">
            <w:pPr>
              <w:spacing w:before="40" w:after="40"/>
              <w:ind w:right="0"/>
              <w:jc w:val="center"/>
            </w:pPr>
            <w:r w:rsidRPr="004F30BD">
              <w:t>72</w:t>
            </w:r>
          </w:p>
        </w:tc>
        <w:tc>
          <w:tcPr>
            <w:tcW w:w="1530" w:type="dxa"/>
            <w:gridSpan w:val="2"/>
            <w:shd w:val="clear" w:color="auto" w:fill="D9D9D9"/>
            <w:vAlign w:val="center"/>
          </w:tcPr>
          <w:p w14:paraId="423BBEA5" w14:textId="77777777" w:rsidR="00F86BB3" w:rsidRPr="004F30BD" w:rsidRDefault="00F86BB3" w:rsidP="00FC16D6">
            <w:pPr>
              <w:spacing w:before="40" w:after="40"/>
              <w:ind w:right="0"/>
              <w:jc w:val="center"/>
            </w:pPr>
            <w:r w:rsidRPr="004F30BD">
              <w:t>43</w:t>
            </w:r>
          </w:p>
        </w:tc>
      </w:tr>
      <w:tr w:rsidR="00F86BB3" w:rsidRPr="004F30BD" w14:paraId="783416A5" w14:textId="77777777" w:rsidTr="00FC16D6">
        <w:trPr>
          <w:trHeight w:val="340"/>
        </w:trPr>
        <w:tc>
          <w:tcPr>
            <w:tcW w:w="6120" w:type="dxa"/>
            <w:gridSpan w:val="2"/>
            <w:tcBorders>
              <w:bottom w:val="single" w:sz="4" w:space="0" w:color="auto"/>
            </w:tcBorders>
            <w:shd w:val="clear" w:color="auto" w:fill="FFFFFF" w:themeFill="background1"/>
            <w:vAlign w:val="center"/>
          </w:tcPr>
          <w:p w14:paraId="6B9A6AC3" w14:textId="77777777" w:rsidR="00F86BB3" w:rsidRPr="004F30BD" w:rsidRDefault="00F86BB3" w:rsidP="00FC16D6">
            <w:pPr>
              <w:spacing w:before="40" w:after="40"/>
              <w:ind w:right="0"/>
              <w:rPr>
                <w:rFonts w:cs="Calibri"/>
                <w:color w:val="000000"/>
                <w:szCs w:val="16"/>
              </w:rPr>
            </w:pPr>
            <w:r w:rsidRPr="004F30BD">
              <w:t>Minimising time taken between submitting application and first receiving a regulatory decision</w:t>
            </w:r>
          </w:p>
        </w:tc>
        <w:tc>
          <w:tcPr>
            <w:tcW w:w="900" w:type="dxa"/>
            <w:tcBorders>
              <w:bottom w:val="single" w:sz="4" w:space="0" w:color="auto"/>
            </w:tcBorders>
            <w:shd w:val="clear" w:color="auto" w:fill="FFFFFF" w:themeFill="background1"/>
            <w:noWrap/>
            <w:vAlign w:val="center"/>
          </w:tcPr>
          <w:p w14:paraId="1DFEB786" w14:textId="77777777" w:rsidR="00F86BB3" w:rsidRPr="004F30BD" w:rsidRDefault="00F86BB3" w:rsidP="00FC16D6">
            <w:pPr>
              <w:spacing w:before="40" w:after="40"/>
              <w:ind w:right="0"/>
              <w:jc w:val="center"/>
              <w:rPr>
                <w:szCs w:val="16"/>
              </w:rPr>
            </w:pPr>
            <w:r w:rsidRPr="004F30BD">
              <w:t>65</w:t>
            </w:r>
          </w:p>
        </w:tc>
        <w:tc>
          <w:tcPr>
            <w:tcW w:w="1530" w:type="dxa"/>
            <w:gridSpan w:val="2"/>
            <w:tcBorders>
              <w:bottom w:val="single" w:sz="4" w:space="0" w:color="auto"/>
            </w:tcBorders>
            <w:shd w:val="clear" w:color="auto" w:fill="FFFFFF" w:themeFill="background1"/>
            <w:vAlign w:val="center"/>
          </w:tcPr>
          <w:p w14:paraId="4FD34CBF" w14:textId="77777777" w:rsidR="00F86BB3" w:rsidRPr="004F30BD" w:rsidRDefault="00F86BB3" w:rsidP="00FC16D6">
            <w:pPr>
              <w:spacing w:before="40" w:after="40"/>
              <w:ind w:right="0"/>
              <w:jc w:val="center"/>
              <w:rPr>
                <w:szCs w:val="16"/>
              </w:rPr>
            </w:pPr>
            <w:r w:rsidRPr="004F30BD">
              <w:t>37</w:t>
            </w:r>
          </w:p>
        </w:tc>
      </w:tr>
    </w:tbl>
    <w:bookmarkEnd w:id="23"/>
    <w:p w14:paraId="0155C14A" w14:textId="77777777" w:rsidR="0060044E" w:rsidRPr="004F30BD" w:rsidRDefault="00FC16D6" w:rsidP="00F86BB3">
      <w:pPr>
        <w:spacing w:before="60"/>
        <w:rPr>
          <w:i/>
        </w:rPr>
      </w:pPr>
      <w:r w:rsidRPr="004F30BD">
        <w:rPr>
          <w:i/>
        </w:rPr>
        <w:t>*</w:t>
      </w:r>
      <w:r w:rsidR="0073509A" w:rsidRPr="004F30BD">
        <w:rPr>
          <w:i/>
        </w:rPr>
        <w:t>Top 2 scores and n counts e</w:t>
      </w:r>
      <w:r w:rsidR="00E071C3" w:rsidRPr="004F30BD">
        <w:rPr>
          <w:i/>
        </w:rPr>
        <w:t>xclude don’t know / not applicable / no answer responses</w:t>
      </w:r>
      <w:r w:rsidR="0073509A" w:rsidRPr="004F30BD">
        <w:rPr>
          <w:i/>
        </w:rPr>
        <w:t>.</w:t>
      </w:r>
    </w:p>
    <w:p w14:paraId="51E4E569" w14:textId="77777777" w:rsidR="00637C9F" w:rsidRPr="004F30BD" w:rsidRDefault="00637C9F" w:rsidP="00F86BB3">
      <w:pPr>
        <w:spacing w:before="60"/>
        <w:rPr>
          <w:i/>
        </w:rPr>
      </w:pPr>
    </w:p>
    <w:p w14:paraId="5541C975" w14:textId="77777777" w:rsidR="00F86BB3" w:rsidRPr="004F30BD" w:rsidRDefault="00637C9F" w:rsidP="00637C9F">
      <w:pPr>
        <w:spacing w:before="60"/>
        <w:jc w:val="center"/>
        <w:rPr>
          <w:i/>
        </w:rPr>
      </w:pPr>
      <w:r w:rsidRPr="004F30BD">
        <w:rPr>
          <w:noProof/>
          <w:lang w:eastAsia="en-AU"/>
        </w:rPr>
        <w:lastRenderedPageBreak/>
        <w:drawing>
          <wp:inline distT="0" distB="0" distL="0" distR="0" wp14:anchorId="67DA860C" wp14:editId="45556D4D">
            <wp:extent cx="5667375" cy="3438525"/>
            <wp:effectExtent l="0" t="0" r="0" b="0"/>
            <wp:docPr id="22" name="Chart 22">
              <a:extLst xmlns:a="http://schemas.openxmlformats.org/drawingml/2006/main">
                <a:ext uri="{FF2B5EF4-FFF2-40B4-BE49-F238E27FC236}">
                  <a16:creationId xmlns:a16="http://schemas.microsoft.com/office/drawing/2014/main" id="{BEF70247-893A-4755-B7AC-BDF294D67E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7DA6A6A" w14:textId="77777777" w:rsidR="00D36F96" w:rsidRPr="004F30BD" w:rsidRDefault="00D36F96" w:rsidP="003044EE">
      <w:pPr>
        <w:pStyle w:val="Heading3"/>
      </w:pPr>
      <w:r w:rsidRPr="004F30BD">
        <w:t xml:space="preserve">CRICOS </w:t>
      </w:r>
      <w:r w:rsidR="00FC16D6" w:rsidRPr="004F30BD">
        <w:t>application</w:t>
      </w:r>
    </w:p>
    <w:p w14:paraId="71314756" w14:textId="77777777" w:rsidR="007C1C8A" w:rsidRPr="004F30BD" w:rsidRDefault="00FC16D6" w:rsidP="007C1C8A">
      <w:r w:rsidRPr="004F30BD">
        <w:t>P</w:t>
      </w:r>
      <w:r w:rsidR="007C1C8A" w:rsidRPr="004F30BD">
        <w:t xml:space="preserve">roviders </w:t>
      </w:r>
      <w:r w:rsidRPr="004F30BD">
        <w:t>that</w:t>
      </w:r>
      <w:r w:rsidR="007C1C8A" w:rsidRPr="004F30BD">
        <w:t xml:space="preserve"> indicated they</w:t>
      </w:r>
      <w:r w:rsidRPr="004F30BD">
        <w:t xml:space="preserve"> </w:t>
      </w:r>
      <w:r w:rsidR="00977E4F" w:rsidRPr="004F30BD">
        <w:t xml:space="preserve">had </w:t>
      </w:r>
      <w:r w:rsidRPr="004F30BD">
        <w:t>made</w:t>
      </w:r>
      <w:r w:rsidR="007C1C8A" w:rsidRPr="004F30BD">
        <w:t xml:space="preserve"> </w:t>
      </w:r>
      <w:r w:rsidRPr="004F30BD">
        <w:t xml:space="preserve">a </w:t>
      </w:r>
      <w:r w:rsidR="007C1C8A" w:rsidRPr="004F30BD">
        <w:t xml:space="preserve">CRICOS </w:t>
      </w:r>
      <w:r w:rsidRPr="004F30BD">
        <w:t xml:space="preserve">application </w:t>
      </w:r>
      <w:r w:rsidR="00740CBD">
        <w:t>f</w:t>
      </w:r>
      <w:r w:rsidRPr="004F30BD">
        <w:t xml:space="preserve">or </w:t>
      </w:r>
      <w:r w:rsidR="007C1C8A" w:rsidRPr="004F30BD">
        <w:t xml:space="preserve">registration </w:t>
      </w:r>
      <w:r w:rsidR="00292B41" w:rsidRPr="004F30BD">
        <w:t xml:space="preserve">in the last 12 months </w:t>
      </w:r>
      <w:r w:rsidR="007C1C8A" w:rsidRPr="004F30BD">
        <w:t xml:space="preserve">were asked about aspects of their interactions. </w:t>
      </w:r>
      <w:r w:rsidR="0073509A" w:rsidRPr="004F30BD">
        <w:t>The table and chart within this section are based on a sub-s</w:t>
      </w:r>
      <w:r w:rsidR="00543455" w:rsidRPr="004F30BD">
        <w:t>et of the PC survey sample</w:t>
      </w:r>
      <w:r w:rsidR="0073509A" w:rsidRPr="004F30BD">
        <w:t>, that is, only tho</w:t>
      </w:r>
      <w:r w:rsidR="00C64363" w:rsidRPr="004F30BD">
        <w:t xml:space="preserve">se who indicated </w:t>
      </w:r>
      <w:r w:rsidR="000B5843" w:rsidRPr="004F30BD">
        <w:t>they had been involved</w:t>
      </w:r>
      <w:r w:rsidR="0073509A" w:rsidRPr="004F30BD">
        <w:t xml:space="preserve"> </w:t>
      </w:r>
      <w:r w:rsidR="000B5843" w:rsidRPr="004F30BD">
        <w:t xml:space="preserve">with this </w:t>
      </w:r>
      <w:r w:rsidR="0073509A" w:rsidRPr="004F30BD">
        <w:t>particular interaction.</w:t>
      </w:r>
    </w:p>
    <w:p w14:paraId="0A8A9E7D" w14:textId="77777777" w:rsidR="00F86BB3" w:rsidRPr="004F30BD" w:rsidRDefault="008347CA" w:rsidP="00F86BB3">
      <w:pPr>
        <w:spacing w:after="240"/>
      </w:pPr>
      <w:r w:rsidRPr="004F30BD">
        <w:t xml:space="preserve">CRICOS </w:t>
      </w:r>
      <w:r w:rsidR="00FC16D6" w:rsidRPr="004F30BD">
        <w:t>application items had a wide range of scores: from</w:t>
      </w:r>
      <w:r w:rsidRPr="004F30BD">
        <w:t xml:space="preserve"> </w:t>
      </w:r>
      <w:r w:rsidR="00340148" w:rsidRPr="004F30BD">
        <w:t>4</w:t>
      </w:r>
      <w:r w:rsidRPr="004F30BD">
        <w:t xml:space="preserve">1% and </w:t>
      </w:r>
      <w:r w:rsidR="00340148" w:rsidRPr="004F30BD">
        <w:t>75</w:t>
      </w:r>
      <w:r w:rsidRPr="004F30BD">
        <w:t xml:space="preserve">%. </w:t>
      </w:r>
      <w:r w:rsidR="000B5843" w:rsidRPr="004F30BD">
        <w:t>Timeliness was lowest scoring and one of the lowest scoring items in the survey.</w:t>
      </w:r>
    </w:p>
    <w:tbl>
      <w:tblPr>
        <w:tblW w:w="8640" w:type="dxa"/>
        <w:tblLook w:val="0000" w:firstRow="0" w:lastRow="0" w:firstColumn="0" w:lastColumn="0" w:noHBand="0" w:noVBand="0"/>
      </w:tblPr>
      <w:tblGrid>
        <w:gridCol w:w="6660"/>
        <w:gridCol w:w="810"/>
        <w:gridCol w:w="1170"/>
      </w:tblGrid>
      <w:tr w:rsidR="00F86BB3" w:rsidRPr="004F30BD" w14:paraId="41C21D95" w14:textId="77777777" w:rsidTr="00313636">
        <w:trPr>
          <w:trHeight w:val="257"/>
          <w:tblHeader/>
        </w:trPr>
        <w:tc>
          <w:tcPr>
            <w:tcW w:w="6660" w:type="dxa"/>
            <w:shd w:val="clear" w:color="auto" w:fill="00386E"/>
            <w:noWrap/>
            <w:vAlign w:val="center"/>
          </w:tcPr>
          <w:p w14:paraId="02EED8C9" w14:textId="77777777" w:rsidR="00F86BB3" w:rsidRPr="004F30BD" w:rsidRDefault="00F86BB3" w:rsidP="00313636">
            <w:pPr>
              <w:pStyle w:val="Tabletext"/>
              <w:spacing w:line="240" w:lineRule="atLeast"/>
              <w:rPr>
                <w:color w:val="FFFFFF"/>
                <w:sz w:val="18"/>
                <w:szCs w:val="16"/>
                <w:lang w:val="en-AU"/>
              </w:rPr>
            </w:pPr>
            <w:r w:rsidRPr="004F30BD">
              <w:rPr>
                <w:color w:val="FFFFFF"/>
                <w:sz w:val="18"/>
                <w:szCs w:val="16"/>
                <w:lang w:val="en-AU"/>
              </w:rPr>
              <w:t>CRICOS</w:t>
            </w:r>
            <w:r w:rsidR="00FC16D6" w:rsidRPr="004F30BD">
              <w:rPr>
                <w:color w:val="FFFFFF"/>
                <w:sz w:val="18"/>
                <w:szCs w:val="16"/>
                <w:lang w:val="en-AU"/>
              </w:rPr>
              <w:t xml:space="preserve"> APPLICATION ITEMS</w:t>
            </w:r>
          </w:p>
        </w:tc>
        <w:tc>
          <w:tcPr>
            <w:tcW w:w="810" w:type="dxa"/>
            <w:shd w:val="clear" w:color="auto" w:fill="00386E"/>
            <w:vAlign w:val="center"/>
          </w:tcPr>
          <w:p w14:paraId="1FFF536A" w14:textId="77777777" w:rsidR="00F86BB3" w:rsidRPr="004F30BD" w:rsidRDefault="00FC16D6" w:rsidP="00313636">
            <w:pPr>
              <w:pStyle w:val="Tabletext"/>
              <w:spacing w:line="240" w:lineRule="atLeast"/>
              <w:jc w:val="center"/>
              <w:rPr>
                <w:color w:val="FFFFFF"/>
                <w:sz w:val="18"/>
                <w:szCs w:val="16"/>
                <w:lang w:val="en-AU"/>
              </w:rPr>
            </w:pPr>
            <w:r w:rsidRPr="004F30BD">
              <w:rPr>
                <w:color w:val="FFFFFF"/>
                <w:sz w:val="18"/>
                <w:szCs w:val="16"/>
                <w:lang w:val="en-AU"/>
              </w:rPr>
              <w:t>n</w:t>
            </w:r>
          </w:p>
        </w:tc>
        <w:tc>
          <w:tcPr>
            <w:tcW w:w="1170" w:type="dxa"/>
            <w:shd w:val="clear" w:color="auto" w:fill="00386E"/>
            <w:vAlign w:val="center"/>
          </w:tcPr>
          <w:p w14:paraId="212FCC6C" w14:textId="77777777" w:rsidR="00F86BB3" w:rsidRPr="004F30BD" w:rsidRDefault="00F86BB3" w:rsidP="00313636">
            <w:pPr>
              <w:pStyle w:val="Tabletext"/>
              <w:spacing w:line="240" w:lineRule="atLeast"/>
              <w:jc w:val="center"/>
              <w:rPr>
                <w:color w:val="FFFFFF"/>
                <w:sz w:val="18"/>
                <w:szCs w:val="16"/>
                <w:lang w:val="en-AU"/>
              </w:rPr>
            </w:pPr>
            <w:r w:rsidRPr="004F30BD">
              <w:rPr>
                <w:color w:val="FFFFFF"/>
                <w:sz w:val="18"/>
                <w:szCs w:val="16"/>
                <w:lang w:val="en-AU"/>
              </w:rPr>
              <w:t>TOP 2 SCORE (%)*</w:t>
            </w:r>
          </w:p>
        </w:tc>
      </w:tr>
      <w:tr w:rsidR="00F86BB3" w:rsidRPr="004F30BD" w14:paraId="49CB174F" w14:textId="77777777" w:rsidTr="00313636">
        <w:trPr>
          <w:trHeight w:val="340"/>
        </w:trPr>
        <w:tc>
          <w:tcPr>
            <w:tcW w:w="6660" w:type="dxa"/>
          </w:tcPr>
          <w:p w14:paraId="4EF5A882" w14:textId="77777777" w:rsidR="00F86BB3" w:rsidRPr="004F30BD" w:rsidRDefault="00F86BB3" w:rsidP="00313636">
            <w:pPr>
              <w:spacing w:before="40" w:after="40"/>
              <w:ind w:right="0"/>
              <w:rPr>
                <w:rFonts w:cs="Calibri"/>
                <w:color w:val="000000"/>
                <w:szCs w:val="16"/>
              </w:rPr>
            </w:pPr>
            <w:r w:rsidRPr="004F30BD">
              <w:t xml:space="preserve">Usefulness of information on how to use the provider portal </w:t>
            </w:r>
          </w:p>
        </w:tc>
        <w:tc>
          <w:tcPr>
            <w:tcW w:w="810" w:type="dxa"/>
            <w:shd w:val="clear" w:color="auto" w:fill="auto"/>
            <w:noWrap/>
            <w:vAlign w:val="center"/>
          </w:tcPr>
          <w:p w14:paraId="414E52BA" w14:textId="77777777" w:rsidR="00F86BB3" w:rsidRPr="004F30BD" w:rsidRDefault="00F86BB3" w:rsidP="00313636">
            <w:pPr>
              <w:spacing w:before="40" w:after="40"/>
              <w:ind w:right="0"/>
              <w:jc w:val="center"/>
              <w:rPr>
                <w:szCs w:val="16"/>
              </w:rPr>
            </w:pPr>
            <w:r w:rsidRPr="004F30BD">
              <w:t>72</w:t>
            </w:r>
          </w:p>
        </w:tc>
        <w:tc>
          <w:tcPr>
            <w:tcW w:w="1170" w:type="dxa"/>
            <w:shd w:val="clear" w:color="auto" w:fill="auto"/>
            <w:vAlign w:val="center"/>
          </w:tcPr>
          <w:p w14:paraId="74C878B1" w14:textId="77777777" w:rsidR="00F86BB3" w:rsidRPr="004F30BD" w:rsidRDefault="00F86BB3" w:rsidP="00313636">
            <w:pPr>
              <w:spacing w:before="40" w:after="40"/>
              <w:ind w:right="0"/>
              <w:jc w:val="center"/>
              <w:rPr>
                <w:szCs w:val="16"/>
              </w:rPr>
            </w:pPr>
            <w:r w:rsidRPr="004F30BD">
              <w:t>75</w:t>
            </w:r>
          </w:p>
        </w:tc>
      </w:tr>
      <w:tr w:rsidR="00F86BB3" w:rsidRPr="004F30BD" w14:paraId="4809A9CB" w14:textId="77777777" w:rsidTr="00313636">
        <w:trPr>
          <w:trHeight w:val="340"/>
        </w:trPr>
        <w:tc>
          <w:tcPr>
            <w:tcW w:w="6660" w:type="dxa"/>
            <w:shd w:val="clear" w:color="auto" w:fill="E6E6E6"/>
          </w:tcPr>
          <w:p w14:paraId="0F4A1907" w14:textId="77777777" w:rsidR="00F86BB3" w:rsidRPr="004F30BD" w:rsidRDefault="00F86BB3" w:rsidP="00313636">
            <w:pPr>
              <w:spacing w:before="40" w:after="40"/>
              <w:ind w:right="0"/>
              <w:rPr>
                <w:rFonts w:cs="Calibri"/>
                <w:color w:val="000000"/>
                <w:szCs w:val="16"/>
              </w:rPr>
            </w:pPr>
            <w:r w:rsidRPr="004F30BD">
              <w:t>Clarity of assessment scope and evidence requirements</w:t>
            </w:r>
          </w:p>
        </w:tc>
        <w:tc>
          <w:tcPr>
            <w:tcW w:w="810" w:type="dxa"/>
            <w:shd w:val="clear" w:color="auto" w:fill="E6E6E6"/>
            <w:noWrap/>
            <w:vAlign w:val="center"/>
          </w:tcPr>
          <w:p w14:paraId="28AEE787" w14:textId="77777777" w:rsidR="00F86BB3" w:rsidRPr="004F30BD" w:rsidRDefault="00F86BB3" w:rsidP="00313636">
            <w:pPr>
              <w:spacing w:before="40" w:after="40"/>
              <w:ind w:right="0"/>
              <w:jc w:val="center"/>
              <w:rPr>
                <w:szCs w:val="16"/>
              </w:rPr>
            </w:pPr>
            <w:r w:rsidRPr="004F30BD">
              <w:t>73</w:t>
            </w:r>
          </w:p>
        </w:tc>
        <w:tc>
          <w:tcPr>
            <w:tcW w:w="1170" w:type="dxa"/>
            <w:shd w:val="clear" w:color="auto" w:fill="E6E6E6"/>
            <w:vAlign w:val="center"/>
          </w:tcPr>
          <w:p w14:paraId="58F4F28B" w14:textId="77777777" w:rsidR="00F86BB3" w:rsidRPr="004F30BD" w:rsidRDefault="00F86BB3" w:rsidP="00313636">
            <w:pPr>
              <w:spacing w:before="40" w:after="40"/>
              <w:ind w:right="0"/>
              <w:jc w:val="center"/>
              <w:rPr>
                <w:szCs w:val="16"/>
              </w:rPr>
            </w:pPr>
            <w:r w:rsidRPr="004F30BD">
              <w:t>71</w:t>
            </w:r>
          </w:p>
        </w:tc>
      </w:tr>
      <w:tr w:rsidR="00F86BB3" w:rsidRPr="004F30BD" w14:paraId="1A984BE3" w14:textId="77777777" w:rsidTr="00313636">
        <w:trPr>
          <w:trHeight w:val="340"/>
        </w:trPr>
        <w:tc>
          <w:tcPr>
            <w:tcW w:w="6660" w:type="dxa"/>
          </w:tcPr>
          <w:p w14:paraId="35C3AEC8" w14:textId="77777777" w:rsidR="00F86BB3" w:rsidRPr="004F30BD" w:rsidRDefault="00F86BB3" w:rsidP="00313636">
            <w:pPr>
              <w:spacing w:before="40" w:after="40"/>
              <w:ind w:right="0"/>
              <w:rPr>
                <w:rFonts w:cs="Calibri"/>
                <w:color w:val="000000"/>
                <w:szCs w:val="16"/>
              </w:rPr>
            </w:pPr>
            <w:r w:rsidRPr="004F30BD">
              <w:t>Clarity of the application guide</w:t>
            </w:r>
          </w:p>
        </w:tc>
        <w:tc>
          <w:tcPr>
            <w:tcW w:w="810" w:type="dxa"/>
            <w:shd w:val="clear" w:color="auto" w:fill="auto"/>
            <w:noWrap/>
            <w:vAlign w:val="center"/>
          </w:tcPr>
          <w:p w14:paraId="2F1506EC" w14:textId="77777777" w:rsidR="00F86BB3" w:rsidRPr="004F30BD" w:rsidRDefault="00F86BB3" w:rsidP="00313636">
            <w:pPr>
              <w:spacing w:before="40" w:after="40"/>
              <w:ind w:right="0"/>
              <w:jc w:val="center"/>
              <w:rPr>
                <w:szCs w:val="16"/>
              </w:rPr>
            </w:pPr>
            <w:r w:rsidRPr="004F30BD">
              <w:t>72</w:t>
            </w:r>
          </w:p>
        </w:tc>
        <w:tc>
          <w:tcPr>
            <w:tcW w:w="1170" w:type="dxa"/>
            <w:shd w:val="clear" w:color="auto" w:fill="auto"/>
            <w:vAlign w:val="center"/>
          </w:tcPr>
          <w:p w14:paraId="54B76486" w14:textId="77777777" w:rsidR="00F86BB3" w:rsidRPr="004F30BD" w:rsidRDefault="00F86BB3" w:rsidP="00313636">
            <w:pPr>
              <w:spacing w:before="40" w:after="40"/>
              <w:ind w:right="0"/>
              <w:jc w:val="center"/>
              <w:rPr>
                <w:szCs w:val="16"/>
              </w:rPr>
            </w:pPr>
            <w:r w:rsidRPr="004F30BD">
              <w:t>65</w:t>
            </w:r>
          </w:p>
        </w:tc>
      </w:tr>
      <w:tr w:rsidR="00F86BB3" w:rsidRPr="004F30BD" w14:paraId="610F4967" w14:textId="77777777" w:rsidTr="00313636">
        <w:trPr>
          <w:trHeight w:val="340"/>
        </w:trPr>
        <w:tc>
          <w:tcPr>
            <w:tcW w:w="6660" w:type="dxa"/>
            <w:shd w:val="clear" w:color="auto" w:fill="D9D9D9" w:themeFill="background1" w:themeFillShade="D9"/>
          </w:tcPr>
          <w:p w14:paraId="5FA409D2" w14:textId="77777777" w:rsidR="00F86BB3" w:rsidRPr="004F30BD" w:rsidRDefault="00F86BB3" w:rsidP="00313636">
            <w:pPr>
              <w:spacing w:before="40" w:after="40"/>
              <w:ind w:right="0"/>
              <w:rPr>
                <w:rFonts w:cs="Calibri"/>
                <w:color w:val="000000"/>
                <w:szCs w:val="16"/>
              </w:rPr>
            </w:pPr>
            <w:r w:rsidRPr="004F30BD">
              <w:t>Usefulness of information about how to prepare an application</w:t>
            </w:r>
          </w:p>
        </w:tc>
        <w:tc>
          <w:tcPr>
            <w:tcW w:w="810" w:type="dxa"/>
            <w:shd w:val="clear" w:color="auto" w:fill="D9D9D9" w:themeFill="background1" w:themeFillShade="D9"/>
            <w:noWrap/>
            <w:vAlign w:val="center"/>
          </w:tcPr>
          <w:p w14:paraId="3319ACA2" w14:textId="77777777" w:rsidR="00F86BB3" w:rsidRPr="004F30BD" w:rsidRDefault="00F86BB3" w:rsidP="00313636">
            <w:pPr>
              <w:spacing w:before="40" w:after="40"/>
              <w:ind w:right="0"/>
              <w:jc w:val="center"/>
              <w:rPr>
                <w:szCs w:val="16"/>
              </w:rPr>
            </w:pPr>
            <w:r w:rsidRPr="004F30BD">
              <w:t>72</w:t>
            </w:r>
          </w:p>
        </w:tc>
        <w:tc>
          <w:tcPr>
            <w:tcW w:w="1170" w:type="dxa"/>
            <w:shd w:val="clear" w:color="auto" w:fill="D9D9D9" w:themeFill="background1" w:themeFillShade="D9"/>
            <w:vAlign w:val="center"/>
          </w:tcPr>
          <w:p w14:paraId="7B00998A" w14:textId="77777777" w:rsidR="00F86BB3" w:rsidRPr="004F30BD" w:rsidRDefault="00F86BB3" w:rsidP="00313636">
            <w:pPr>
              <w:spacing w:before="40" w:after="40"/>
              <w:ind w:right="0"/>
              <w:jc w:val="center"/>
              <w:rPr>
                <w:szCs w:val="16"/>
              </w:rPr>
            </w:pPr>
            <w:r w:rsidRPr="004F30BD">
              <w:t>63</w:t>
            </w:r>
          </w:p>
        </w:tc>
      </w:tr>
      <w:tr w:rsidR="00F86BB3" w:rsidRPr="004F30BD" w14:paraId="408606CC" w14:textId="77777777" w:rsidTr="00313636">
        <w:trPr>
          <w:trHeight w:val="340"/>
        </w:trPr>
        <w:tc>
          <w:tcPr>
            <w:tcW w:w="6660" w:type="dxa"/>
          </w:tcPr>
          <w:p w14:paraId="227FE171" w14:textId="77777777" w:rsidR="00F86BB3" w:rsidRPr="004F30BD" w:rsidRDefault="00F86BB3" w:rsidP="00313636">
            <w:pPr>
              <w:spacing w:before="40" w:after="40"/>
              <w:ind w:right="0"/>
              <w:rPr>
                <w:rFonts w:cs="Calibri"/>
                <w:color w:val="000000"/>
                <w:szCs w:val="16"/>
              </w:rPr>
            </w:pPr>
            <w:r w:rsidRPr="004F30BD">
              <w:t>Usefulness of feedback from TEQSA about application</w:t>
            </w:r>
          </w:p>
        </w:tc>
        <w:tc>
          <w:tcPr>
            <w:tcW w:w="810" w:type="dxa"/>
            <w:shd w:val="clear" w:color="auto" w:fill="auto"/>
            <w:noWrap/>
            <w:vAlign w:val="center"/>
          </w:tcPr>
          <w:p w14:paraId="1EF86A8B" w14:textId="77777777" w:rsidR="00F86BB3" w:rsidRPr="004F30BD" w:rsidRDefault="00F86BB3" w:rsidP="00313636">
            <w:pPr>
              <w:spacing w:before="40" w:after="40"/>
              <w:ind w:right="0"/>
              <w:jc w:val="center"/>
              <w:rPr>
                <w:szCs w:val="16"/>
              </w:rPr>
            </w:pPr>
            <w:r w:rsidRPr="004F30BD">
              <w:t>63</w:t>
            </w:r>
          </w:p>
        </w:tc>
        <w:tc>
          <w:tcPr>
            <w:tcW w:w="1170" w:type="dxa"/>
            <w:shd w:val="clear" w:color="auto" w:fill="auto"/>
            <w:vAlign w:val="center"/>
          </w:tcPr>
          <w:p w14:paraId="3B1C1CB4" w14:textId="77777777" w:rsidR="00F86BB3" w:rsidRPr="004F30BD" w:rsidRDefault="00F86BB3" w:rsidP="00313636">
            <w:pPr>
              <w:spacing w:before="40" w:after="40"/>
              <w:ind w:right="0"/>
              <w:jc w:val="center"/>
              <w:rPr>
                <w:szCs w:val="16"/>
              </w:rPr>
            </w:pPr>
            <w:r w:rsidRPr="004F30BD">
              <w:t>62</w:t>
            </w:r>
          </w:p>
        </w:tc>
      </w:tr>
      <w:tr w:rsidR="00F86BB3" w:rsidRPr="004F30BD" w14:paraId="61C522E0" w14:textId="77777777" w:rsidTr="00313636">
        <w:trPr>
          <w:trHeight w:val="479"/>
        </w:trPr>
        <w:tc>
          <w:tcPr>
            <w:tcW w:w="6660" w:type="dxa"/>
            <w:shd w:val="clear" w:color="auto" w:fill="D9D9D9"/>
          </w:tcPr>
          <w:p w14:paraId="70BF9F0A" w14:textId="77777777" w:rsidR="00F86BB3" w:rsidRPr="004F30BD" w:rsidRDefault="00F86BB3" w:rsidP="00313636">
            <w:pPr>
              <w:spacing w:before="40" w:after="40"/>
              <w:ind w:right="0"/>
            </w:pPr>
            <w:r w:rsidRPr="004F30BD">
              <w:t>Tailoring application process to meet needs</w:t>
            </w:r>
          </w:p>
        </w:tc>
        <w:tc>
          <w:tcPr>
            <w:tcW w:w="810" w:type="dxa"/>
            <w:shd w:val="clear" w:color="auto" w:fill="D9D9D9"/>
            <w:noWrap/>
            <w:vAlign w:val="center"/>
          </w:tcPr>
          <w:p w14:paraId="02454829" w14:textId="77777777" w:rsidR="00F86BB3" w:rsidRPr="004F30BD" w:rsidRDefault="00F86BB3" w:rsidP="00313636">
            <w:pPr>
              <w:spacing w:before="40" w:after="40"/>
              <w:ind w:right="0"/>
              <w:jc w:val="center"/>
            </w:pPr>
            <w:r w:rsidRPr="004F30BD">
              <w:t>67</w:t>
            </w:r>
          </w:p>
        </w:tc>
        <w:tc>
          <w:tcPr>
            <w:tcW w:w="1170" w:type="dxa"/>
            <w:shd w:val="clear" w:color="auto" w:fill="D9D9D9"/>
            <w:vAlign w:val="center"/>
          </w:tcPr>
          <w:p w14:paraId="36EDF462" w14:textId="77777777" w:rsidR="00F86BB3" w:rsidRPr="004F30BD" w:rsidRDefault="00F86BB3" w:rsidP="00313636">
            <w:pPr>
              <w:spacing w:before="40" w:after="40"/>
              <w:ind w:right="0"/>
              <w:jc w:val="center"/>
            </w:pPr>
            <w:r w:rsidRPr="004F30BD">
              <w:t>51</w:t>
            </w:r>
          </w:p>
        </w:tc>
      </w:tr>
      <w:tr w:rsidR="00F86BB3" w:rsidRPr="004F30BD" w14:paraId="14246E2D" w14:textId="77777777" w:rsidTr="00313636">
        <w:trPr>
          <w:trHeight w:val="340"/>
        </w:trPr>
        <w:tc>
          <w:tcPr>
            <w:tcW w:w="6660" w:type="dxa"/>
            <w:shd w:val="clear" w:color="auto" w:fill="FFFFFF" w:themeFill="background1"/>
          </w:tcPr>
          <w:p w14:paraId="62D7E2F5" w14:textId="77777777" w:rsidR="00F86BB3" w:rsidRPr="004F30BD" w:rsidRDefault="00F86BB3" w:rsidP="00313636">
            <w:pPr>
              <w:spacing w:before="40" w:after="40"/>
              <w:ind w:right="0"/>
            </w:pPr>
            <w:r w:rsidRPr="004F30BD">
              <w:t>Minimising time taken between submitting application and first receiving a regulatory decision</w:t>
            </w:r>
          </w:p>
        </w:tc>
        <w:tc>
          <w:tcPr>
            <w:tcW w:w="810" w:type="dxa"/>
            <w:shd w:val="clear" w:color="auto" w:fill="FFFFFF" w:themeFill="background1"/>
            <w:noWrap/>
            <w:vAlign w:val="center"/>
          </w:tcPr>
          <w:p w14:paraId="0F2ACD50" w14:textId="77777777" w:rsidR="00F86BB3" w:rsidRPr="004F30BD" w:rsidRDefault="00F86BB3" w:rsidP="00313636">
            <w:pPr>
              <w:spacing w:before="40" w:after="40"/>
              <w:ind w:right="0"/>
              <w:jc w:val="center"/>
            </w:pPr>
            <w:r w:rsidRPr="004F30BD">
              <w:t>61</w:t>
            </w:r>
          </w:p>
        </w:tc>
        <w:tc>
          <w:tcPr>
            <w:tcW w:w="1170" w:type="dxa"/>
            <w:shd w:val="clear" w:color="auto" w:fill="FFFFFF" w:themeFill="background1"/>
            <w:vAlign w:val="center"/>
          </w:tcPr>
          <w:p w14:paraId="781336A6" w14:textId="77777777" w:rsidR="00F86BB3" w:rsidRPr="004F30BD" w:rsidRDefault="00F86BB3" w:rsidP="00313636">
            <w:pPr>
              <w:spacing w:before="40" w:after="40"/>
              <w:ind w:right="0"/>
              <w:jc w:val="center"/>
            </w:pPr>
            <w:r w:rsidRPr="004F30BD">
              <w:t>46</w:t>
            </w:r>
          </w:p>
        </w:tc>
      </w:tr>
      <w:tr w:rsidR="00F86BB3" w:rsidRPr="004F30BD" w14:paraId="609ACE97" w14:textId="77777777" w:rsidTr="00313636">
        <w:trPr>
          <w:trHeight w:val="340"/>
        </w:trPr>
        <w:tc>
          <w:tcPr>
            <w:tcW w:w="6660" w:type="dxa"/>
            <w:tcBorders>
              <w:bottom w:val="single" w:sz="4" w:space="0" w:color="auto"/>
            </w:tcBorders>
            <w:shd w:val="clear" w:color="auto" w:fill="D9D9D9"/>
          </w:tcPr>
          <w:p w14:paraId="54A36F2A" w14:textId="77777777" w:rsidR="00F86BB3" w:rsidRPr="004F30BD" w:rsidRDefault="00F86BB3" w:rsidP="00313636">
            <w:pPr>
              <w:spacing w:before="40" w:after="40"/>
              <w:ind w:right="0"/>
              <w:rPr>
                <w:rFonts w:cs="Calibri"/>
                <w:color w:val="000000"/>
                <w:szCs w:val="16"/>
              </w:rPr>
            </w:pPr>
            <w:r w:rsidRPr="004F30BD">
              <w:t>Timeliness of feedback from TEQSA about application, including those unlikely successful</w:t>
            </w:r>
          </w:p>
        </w:tc>
        <w:tc>
          <w:tcPr>
            <w:tcW w:w="810" w:type="dxa"/>
            <w:tcBorders>
              <w:bottom w:val="single" w:sz="4" w:space="0" w:color="auto"/>
            </w:tcBorders>
            <w:shd w:val="clear" w:color="auto" w:fill="D9D9D9"/>
            <w:noWrap/>
            <w:vAlign w:val="center"/>
          </w:tcPr>
          <w:p w14:paraId="1CEC8EA7" w14:textId="77777777" w:rsidR="00F86BB3" w:rsidRPr="004F30BD" w:rsidRDefault="00F86BB3" w:rsidP="00313636">
            <w:pPr>
              <w:spacing w:before="40" w:after="40"/>
              <w:ind w:right="0"/>
              <w:jc w:val="center"/>
              <w:rPr>
                <w:szCs w:val="16"/>
              </w:rPr>
            </w:pPr>
            <w:r w:rsidRPr="004F30BD">
              <w:t>68</w:t>
            </w:r>
          </w:p>
        </w:tc>
        <w:tc>
          <w:tcPr>
            <w:tcW w:w="1170" w:type="dxa"/>
            <w:tcBorders>
              <w:bottom w:val="single" w:sz="4" w:space="0" w:color="auto"/>
            </w:tcBorders>
            <w:shd w:val="clear" w:color="auto" w:fill="D9D9D9"/>
            <w:vAlign w:val="center"/>
          </w:tcPr>
          <w:p w14:paraId="3A2961D4" w14:textId="77777777" w:rsidR="00F86BB3" w:rsidRPr="004F30BD" w:rsidRDefault="00F86BB3" w:rsidP="00313636">
            <w:pPr>
              <w:spacing w:before="40" w:after="40"/>
              <w:ind w:right="0"/>
              <w:jc w:val="center"/>
              <w:rPr>
                <w:szCs w:val="16"/>
              </w:rPr>
            </w:pPr>
            <w:r w:rsidRPr="004F30BD">
              <w:t>41</w:t>
            </w:r>
          </w:p>
        </w:tc>
      </w:tr>
    </w:tbl>
    <w:p w14:paraId="2DF4691F" w14:textId="77777777" w:rsidR="007C1C8A" w:rsidRPr="004F30BD" w:rsidRDefault="007C1C8A" w:rsidP="00FC16D6">
      <w:pPr>
        <w:spacing w:before="60"/>
        <w:rPr>
          <w:i/>
        </w:rPr>
      </w:pPr>
      <w:r w:rsidRPr="004F30BD">
        <w:rPr>
          <w:i/>
        </w:rPr>
        <w:t>*</w:t>
      </w:r>
      <w:r w:rsidR="0073509A" w:rsidRPr="004F30BD">
        <w:rPr>
          <w:i/>
        </w:rPr>
        <w:t>Top 2 scores and n counts e</w:t>
      </w:r>
      <w:r w:rsidRPr="004F30BD">
        <w:rPr>
          <w:i/>
        </w:rPr>
        <w:t>xclude don’t know / not applicable / no answer responses</w:t>
      </w:r>
      <w:r w:rsidR="0073509A" w:rsidRPr="004F30BD">
        <w:rPr>
          <w:i/>
        </w:rPr>
        <w:t>.</w:t>
      </w:r>
    </w:p>
    <w:p w14:paraId="1471A42E" w14:textId="77777777" w:rsidR="00637C9F" w:rsidRPr="004F30BD" w:rsidRDefault="00637C9F" w:rsidP="0073509A">
      <w:pPr>
        <w:spacing w:before="0" w:after="240"/>
      </w:pPr>
      <w:r w:rsidRPr="004F30BD">
        <w:rPr>
          <w:noProof/>
          <w:lang w:eastAsia="en-AU"/>
        </w:rPr>
        <w:lastRenderedPageBreak/>
        <w:drawing>
          <wp:inline distT="0" distB="0" distL="0" distR="0" wp14:anchorId="794EEEDF" wp14:editId="642EE149">
            <wp:extent cx="5695950" cy="3997960"/>
            <wp:effectExtent l="0" t="0" r="0" b="2540"/>
            <wp:docPr id="23" name="Chart 23">
              <a:extLst xmlns:a="http://schemas.openxmlformats.org/drawingml/2006/main">
                <a:ext uri="{FF2B5EF4-FFF2-40B4-BE49-F238E27FC236}">
                  <a16:creationId xmlns:a16="http://schemas.microsoft.com/office/drawing/2014/main" id="{8D5C5423-D369-475D-A979-001D44A06F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6B42AFC" w14:textId="77777777" w:rsidR="00D36F96" w:rsidRPr="004F30BD" w:rsidRDefault="00425912" w:rsidP="00D36F96">
      <w:pPr>
        <w:pStyle w:val="Heading2"/>
      </w:pPr>
      <w:bookmarkStart w:id="24" w:name="_Toc22298028"/>
      <w:r w:rsidRPr="004F30BD">
        <w:t xml:space="preserve">Interaction with </w:t>
      </w:r>
      <w:r w:rsidR="0055110A" w:rsidRPr="004F30BD">
        <w:t>TEQSA</w:t>
      </w:r>
      <w:r w:rsidRPr="004F30BD">
        <w:t xml:space="preserve"> </w:t>
      </w:r>
      <w:r w:rsidR="00EC495C" w:rsidRPr="004F30BD">
        <w:t>s</w:t>
      </w:r>
      <w:r w:rsidRPr="004F30BD">
        <w:t>taff</w:t>
      </w:r>
      <w:bookmarkEnd w:id="24"/>
    </w:p>
    <w:p w14:paraId="28E2012E" w14:textId="77777777" w:rsidR="00425912" w:rsidRPr="004F30BD" w:rsidRDefault="006C4E88" w:rsidP="000B5843">
      <w:r w:rsidRPr="004F30BD">
        <w:t xml:space="preserve">Respondents </w:t>
      </w:r>
      <w:r w:rsidR="005E58A1" w:rsidRPr="004F30BD">
        <w:t xml:space="preserve">who </w:t>
      </w:r>
      <w:r w:rsidR="000B5843" w:rsidRPr="004F30BD">
        <w:t xml:space="preserve">indicated that they </w:t>
      </w:r>
      <w:r w:rsidR="005E58A1" w:rsidRPr="004F30BD">
        <w:t xml:space="preserve">had </w:t>
      </w:r>
      <w:r w:rsidR="00425912" w:rsidRPr="004F30BD">
        <w:t>interacted with</w:t>
      </w:r>
      <w:r w:rsidR="005E58A1" w:rsidRPr="004F30BD">
        <w:t xml:space="preserve"> a case manager or were involved in an application process </w:t>
      </w:r>
      <w:r w:rsidRPr="004F30BD">
        <w:t xml:space="preserve">were then asked about their experiences of </w:t>
      </w:r>
      <w:r w:rsidR="00425912" w:rsidRPr="004F30BD">
        <w:t>interacting with TEQSA staff</w:t>
      </w:r>
      <w:r w:rsidRPr="004F30BD">
        <w:t xml:space="preserve"> over the last 12 months. </w:t>
      </w:r>
    </w:p>
    <w:p w14:paraId="01541051" w14:textId="77777777" w:rsidR="00425912" w:rsidRPr="004F30BD" w:rsidRDefault="00425912" w:rsidP="00425912">
      <w:pPr>
        <w:spacing w:after="240"/>
      </w:pPr>
      <w:r w:rsidRPr="004F30BD">
        <w:t xml:space="preserve">All items for interaction with TEQSA staff rated between </w:t>
      </w:r>
      <w:r w:rsidR="00F36F8D" w:rsidRPr="004F30BD">
        <w:t>54</w:t>
      </w:r>
      <w:r w:rsidRPr="004F30BD">
        <w:t>% and 7</w:t>
      </w:r>
      <w:r w:rsidR="00F36F8D" w:rsidRPr="004F30BD">
        <w:t>8</w:t>
      </w:r>
      <w:r w:rsidRPr="004F30BD">
        <w:t>%</w:t>
      </w:r>
      <w:r w:rsidR="000B5843" w:rsidRPr="004F30BD">
        <w:t xml:space="preserve"> with </w:t>
      </w:r>
      <w:r w:rsidR="00D46872" w:rsidRPr="004F30BD">
        <w:t>efficiency and understanding an organisation scoring lowest</w:t>
      </w:r>
      <w:r w:rsidR="000B5843" w:rsidRPr="004F30BD">
        <w:t xml:space="preserve">. </w:t>
      </w:r>
      <w:r w:rsidR="00EC495C" w:rsidRPr="004F30BD">
        <w:t xml:space="preserve">Meeting </w:t>
      </w:r>
      <w:r w:rsidR="003044EE" w:rsidRPr="004F30BD">
        <w:t xml:space="preserve">face-to-face </w:t>
      </w:r>
      <w:r w:rsidR="00EC495C" w:rsidRPr="004F30BD">
        <w:t xml:space="preserve">with case management teams was useful for </w:t>
      </w:r>
      <w:r w:rsidR="003044EE" w:rsidRPr="004F30BD">
        <w:t>many of those</w:t>
      </w:r>
      <w:r w:rsidR="00EC495C" w:rsidRPr="004F30BD">
        <w:t xml:space="preserve"> providers</w:t>
      </w:r>
      <w:r w:rsidR="003044EE" w:rsidRPr="004F30BD">
        <w:t xml:space="preserve"> who experienced </w:t>
      </w:r>
      <w:r w:rsidR="000204F2" w:rsidRPr="004F30BD">
        <w:t>it but</w:t>
      </w:r>
      <w:r w:rsidR="003044EE" w:rsidRPr="004F30BD">
        <w:t xml:space="preserve"> n</w:t>
      </w:r>
      <w:r w:rsidR="00EC495C" w:rsidRPr="004F30BD">
        <w:t xml:space="preserve">ote the large </w:t>
      </w:r>
      <w:r w:rsidR="00EC495C" w:rsidRPr="004F30BD">
        <w:rPr>
          <w:i/>
          <w:iCs/>
        </w:rPr>
        <w:t>not applicable</w:t>
      </w:r>
      <w:r w:rsidR="00EC495C" w:rsidRPr="004F30BD">
        <w:t xml:space="preserve"> response for this item, indicating that interaction was mainly not face-to-face.</w:t>
      </w:r>
      <w:r w:rsidRPr="004F30BD">
        <w:t xml:space="preserve"> </w:t>
      </w:r>
      <w:r w:rsidR="00EC495C" w:rsidRPr="004F30BD">
        <w:t>Refer to the table and chart below.</w:t>
      </w:r>
    </w:p>
    <w:tbl>
      <w:tblPr>
        <w:tblW w:w="8730" w:type="dxa"/>
        <w:tblLook w:val="0000" w:firstRow="0" w:lastRow="0" w:firstColumn="0" w:lastColumn="0" w:noHBand="0" w:noVBand="0"/>
      </w:tblPr>
      <w:tblGrid>
        <w:gridCol w:w="6480"/>
        <w:gridCol w:w="900"/>
        <w:gridCol w:w="1350"/>
      </w:tblGrid>
      <w:tr w:rsidR="00425912" w:rsidRPr="004F30BD" w14:paraId="1CAF929D" w14:textId="77777777" w:rsidTr="000B5843">
        <w:trPr>
          <w:trHeight w:val="257"/>
          <w:tblHeader/>
        </w:trPr>
        <w:tc>
          <w:tcPr>
            <w:tcW w:w="6480" w:type="dxa"/>
            <w:shd w:val="clear" w:color="auto" w:fill="00386E"/>
            <w:noWrap/>
            <w:vAlign w:val="center"/>
          </w:tcPr>
          <w:p w14:paraId="1102954C" w14:textId="77777777" w:rsidR="00425912" w:rsidRPr="004F30BD" w:rsidRDefault="00EC495C" w:rsidP="000B5843">
            <w:pPr>
              <w:pStyle w:val="Tabletext"/>
              <w:spacing w:line="240" w:lineRule="atLeast"/>
              <w:rPr>
                <w:rFonts w:ascii="Arial Nova" w:hAnsi="Arial Nova"/>
                <w:color w:val="FFFFFF"/>
                <w:sz w:val="18"/>
                <w:szCs w:val="16"/>
                <w:lang w:val="en-AU"/>
              </w:rPr>
            </w:pPr>
            <w:r w:rsidRPr="004F30BD">
              <w:rPr>
                <w:rFonts w:ascii="Arial Nova" w:hAnsi="Arial Nova"/>
                <w:color w:val="FFFFFF"/>
                <w:sz w:val="18"/>
                <w:szCs w:val="16"/>
                <w:lang w:val="en-AU"/>
              </w:rPr>
              <w:t xml:space="preserve">INTERACTION WITH TEQSA STAFF </w:t>
            </w:r>
            <w:r w:rsidR="000204F2">
              <w:rPr>
                <w:rFonts w:ascii="Arial Nova" w:hAnsi="Arial Nova"/>
                <w:color w:val="FFFFFF"/>
                <w:sz w:val="18"/>
                <w:szCs w:val="16"/>
                <w:lang w:val="en-AU"/>
              </w:rPr>
              <w:t>ITEMS</w:t>
            </w:r>
          </w:p>
        </w:tc>
        <w:tc>
          <w:tcPr>
            <w:tcW w:w="900" w:type="dxa"/>
            <w:shd w:val="clear" w:color="auto" w:fill="00386E"/>
            <w:vAlign w:val="center"/>
          </w:tcPr>
          <w:p w14:paraId="2B263BFC" w14:textId="77777777" w:rsidR="00425912" w:rsidRPr="004F30BD" w:rsidRDefault="00977E4F" w:rsidP="000B5843">
            <w:pPr>
              <w:pStyle w:val="Tabletext"/>
              <w:spacing w:line="240" w:lineRule="atLeast"/>
              <w:jc w:val="center"/>
              <w:rPr>
                <w:rFonts w:ascii="Arial Nova" w:hAnsi="Arial Nova"/>
                <w:color w:val="FFFFFF"/>
                <w:sz w:val="18"/>
                <w:szCs w:val="16"/>
                <w:lang w:val="en-AU"/>
              </w:rPr>
            </w:pPr>
            <w:r w:rsidRPr="004F30BD">
              <w:rPr>
                <w:rFonts w:ascii="Arial Nova" w:hAnsi="Arial Nova"/>
                <w:color w:val="FFFFFF"/>
                <w:sz w:val="18"/>
                <w:szCs w:val="16"/>
                <w:lang w:val="en-AU"/>
              </w:rPr>
              <w:t>n</w:t>
            </w:r>
          </w:p>
        </w:tc>
        <w:tc>
          <w:tcPr>
            <w:tcW w:w="1350" w:type="dxa"/>
            <w:shd w:val="clear" w:color="auto" w:fill="00386E"/>
            <w:vAlign w:val="center"/>
          </w:tcPr>
          <w:p w14:paraId="74D7FA70" w14:textId="77777777" w:rsidR="00425912" w:rsidRPr="004F30BD" w:rsidRDefault="00425912" w:rsidP="000B5843">
            <w:pPr>
              <w:pStyle w:val="Tabletext"/>
              <w:spacing w:line="240" w:lineRule="atLeast"/>
              <w:jc w:val="center"/>
              <w:rPr>
                <w:rFonts w:ascii="Arial Nova" w:hAnsi="Arial Nova"/>
                <w:color w:val="FFFFFF"/>
                <w:sz w:val="18"/>
                <w:szCs w:val="16"/>
                <w:lang w:val="en-AU"/>
              </w:rPr>
            </w:pPr>
            <w:r w:rsidRPr="004F30BD">
              <w:rPr>
                <w:rFonts w:ascii="Arial Nova" w:hAnsi="Arial Nova"/>
                <w:color w:val="FFFFFF"/>
                <w:sz w:val="18"/>
                <w:szCs w:val="16"/>
                <w:lang w:val="en-AU"/>
              </w:rPr>
              <w:t>TOP 2 SCORE (%)*</w:t>
            </w:r>
          </w:p>
        </w:tc>
      </w:tr>
      <w:tr w:rsidR="00F36F8D" w:rsidRPr="004F30BD" w14:paraId="4A0900F1" w14:textId="77777777" w:rsidTr="000B5843">
        <w:trPr>
          <w:trHeight w:val="340"/>
        </w:trPr>
        <w:tc>
          <w:tcPr>
            <w:tcW w:w="6480" w:type="dxa"/>
          </w:tcPr>
          <w:p w14:paraId="16984CE8" w14:textId="77777777" w:rsidR="00F36F8D" w:rsidRPr="004F30BD" w:rsidRDefault="00F36F8D" w:rsidP="000B5843">
            <w:pPr>
              <w:spacing w:before="40" w:after="40"/>
              <w:ind w:right="0"/>
              <w:rPr>
                <w:rFonts w:cs="Calibri"/>
                <w:color w:val="000000"/>
                <w:szCs w:val="16"/>
              </w:rPr>
            </w:pPr>
            <w:r w:rsidRPr="004F30BD">
              <w:t>Usefulness of meeting face-to-face with case management teams</w:t>
            </w:r>
          </w:p>
        </w:tc>
        <w:tc>
          <w:tcPr>
            <w:tcW w:w="900" w:type="dxa"/>
            <w:shd w:val="clear" w:color="auto" w:fill="auto"/>
            <w:noWrap/>
            <w:vAlign w:val="center"/>
          </w:tcPr>
          <w:p w14:paraId="6BCB18C6" w14:textId="77777777" w:rsidR="00F36F8D" w:rsidRPr="004F30BD" w:rsidRDefault="00F36F8D" w:rsidP="000B5843">
            <w:pPr>
              <w:spacing w:before="40" w:after="40"/>
              <w:ind w:right="0"/>
              <w:jc w:val="center"/>
              <w:rPr>
                <w:szCs w:val="16"/>
              </w:rPr>
            </w:pPr>
            <w:r w:rsidRPr="004F30BD">
              <w:t>78</w:t>
            </w:r>
          </w:p>
        </w:tc>
        <w:tc>
          <w:tcPr>
            <w:tcW w:w="1350" w:type="dxa"/>
            <w:shd w:val="clear" w:color="auto" w:fill="auto"/>
            <w:vAlign w:val="center"/>
          </w:tcPr>
          <w:p w14:paraId="6982627B" w14:textId="77777777" w:rsidR="00F36F8D" w:rsidRPr="004F30BD" w:rsidRDefault="00F36F8D" w:rsidP="000B5843">
            <w:pPr>
              <w:spacing w:before="40" w:after="40"/>
              <w:ind w:right="0"/>
              <w:jc w:val="center"/>
              <w:rPr>
                <w:szCs w:val="16"/>
              </w:rPr>
            </w:pPr>
            <w:r w:rsidRPr="004F30BD">
              <w:t>78</w:t>
            </w:r>
          </w:p>
        </w:tc>
      </w:tr>
      <w:tr w:rsidR="00F36F8D" w:rsidRPr="004F30BD" w14:paraId="4B8EB7E8" w14:textId="77777777" w:rsidTr="000B5843">
        <w:trPr>
          <w:trHeight w:val="340"/>
        </w:trPr>
        <w:tc>
          <w:tcPr>
            <w:tcW w:w="6480" w:type="dxa"/>
            <w:shd w:val="clear" w:color="auto" w:fill="E6E6E6"/>
          </w:tcPr>
          <w:p w14:paraId="56760BD8" w14:textId="77777777" w:rsidR="00F36F8D" w:rsidRPr="004F30BD" w:rsidRDefault="00F36F8D" w:rsidP="000B5843">
            <w:pPr>
              <w:spacing w:before="40" w:after="40"/>
              <w:ind w:right="0"/>
              <w:rPr>
                <w:rFonts w:cs="Calibri"/>
                <w:color w:val="000000"/>
                <w:szCs w:val="16"/>
              </w:rPr>
            </w:pPr>
            <w:r w:rsidRPr="004F30BD">
              <w:t>TEQSA’s overall approach to case management</w:t>
            </w:r>
          </w:p>
        </w:tc>
        <w:tc>
          <w:tcPr>
            <w:tcW w:w="900" w:type="dxa"/>
            <w:shd w:val="clear" w:color="auto" w:fill="E6E6E6"/>
            <w:noWrap/>
            <w:vAlign w:val="center"/>
          </w:tcPr>
          <w:p w14:paraId="09B145B3" w14:textId="77777777" w:rsidR="00F36F8D" w:rsidRPr="004F30BD" w:rsidRDefault="00F36F8D" w:rsidP="000B5843">
            <w:pPr>
              <w:spacing w:before="40" w:after="40"/>
              <w:ind w:right="0"/>
              <w:jc w:val="center"/>
              <w:rPr>
                <w:szCs w:val="16"/>
              </w:rPr>
            </w:pPr>
            <w:r w:rsidRPr="004F30BD">
              <w:t>128</w:t>
            </w:r>
          </w:p>
        </w:tc>
        <w:tc>
          <w:tcPr>
            <w:tcW w:w="1350" w:type="dxa"/>
            <w:shd w:val="clear" w:color="auto" w:fill="E6E6E6"/>
            <w:vAlign w:val="center"/>
          </w:tcPr>
          <w:p w14:paraId="70CB8A8A" w14:textId="77777777" w:rsidR="00F36F8D" w:rsidRPr="004F30BD" w:rsidRDefault="00F36F8D" w:rsidP="000B5843">
            <w:pPr>
              <w:spacing w:before="40" w:after="40"/>
              <w:ind w:right="0"/>
              <w:jc w:val="center"/>
              <w:rPr>
                <w:szCs w:val="16"/>
              </w:rPr>
            </w:pPr>
            <w:r w:rsidRPr="004F30BD">
              <w:t>69</w:t>
            </w:r>
          </w:p>
        </w:tc>
      </w:tr>
      <w:tr w:rsidR="00F36F8D" w:rsidRPr="004F30BD" w14:paraId="1DF90CD2" w14:textId="77777777" w:rsidTr="000B5843">
        <w:trPr>
          <w:trHeight w:val="340"/>
        </w:trPr>
        <w:tc>
          <w:tcPr>
            <w:tcW w:w="6480" w:type="dxa"/>
          </w:tcPr>
          <w:p w14:paraId="3D322F26" w14:textId="77777777" w:rsidR="00F36F8D" w:rsidRPr="004F30BD" w:rsidRDefault="00F36F8D" w:rsidP="000B5843">
            <w:pPr>
              <w:spacing w:before="40" w:after="40"/>
              <w:ind w:right="0"/>
              <w:rPr>
                <w:rFonts w:cs="Calibri"/>
                <w:color w:val="000000"/>
                <w:szCs w:val="16"/>
              </w:rPr>
            </w:pPr>
            <w:r w:rsidRPr="004F30BD">
              <w:t>Being responsive to organisation’s needs</w:t>
            </w:r>
          </w:p>
        </w:tc>
        <w:tc>
          <w:tcPr>
            <w:tcW w:w="900" w:type="dxa"/>
            <w:shd w:val="clear" w:color="auto" w:fill="auto"/>
            <w:noWrap/>
            <w:vAlign w:val="center"/>
          </w:tcPr>
          <w:p w14:paraId="4947A5E9" w14:textId="77777777" w:rsidR="00F36F8D" w:rsidRPr="004F30BD" w:rsidRDefault="00F36F8D" w:rsidP="000B5843">
            <w:pPr>
              <w:spacing w:before="40" w:after="40"/>
              <w:ind w:right="0"/>
              <w:jc w:val="center"/>
              <w:rPr>
                <w:szCs w:val="16"/>
              </w:rPr>
            </w:pPr>
            <w:r w:rsidRPr="004F30BD">
              <w:t>126</w:t>
            </w:r>
          </w:p>
        </w:tc>
        <w:tc>
          <w:tcPr>
            <w:tcW w:w="1350" w:type="dxa"/>
            <w:shd w:val="clear" w:color="auto" w:fill="auto"/>
            <w:vAlign w:val="center"/>
          </w:tcPr>
          <w:p w14:paraId="5CB4C511" w14:textId="77777777" w:rsidR="00F36F8D" w:rsidRPr="004F30BD" w:rsidRDefault="00F36F8D" w:rsidP="000B5843">
            <w:pPr>
              <w:spacing w:before="40" w:after="40"/>
              <w:ind w:right="0"/>
              <w:jc w:val="center"/>
              <w:rPr>
                <w:szCs w:val="16"/>
              </w:rPr>
            </w:pPr>
            <w:r w:rsidRPr="004F30BD">
              <w:t>59</w:t>
            </w:r>
          </w:p>
        </w:tc>
      </w:tr>
      <w:tr w:rsidR="00F36F8D" w:rsidRPr="004F30BD" w14:paraId="0F4D6558" w14:textId="77777777" w:rsidTr="000B5843">
        <w:trPr>
          <w:trHeight w:val="305"/>
        </w:trPr>
        <w:tc>
          <w:tcPr>
            <w:tcW w:w="6480" w:type="dxa"/>
            <w:shd w:val="clear" w:color="auto" w:fill="D9D9D9"/>
          </w:tcPr>
          <w:p w14:paraId="766DA07D" w14:textId="77777777" w:rsidR="00F36F8D" w:rsidRPr="004F30BD" w:rsidRDefault="00F36F8D" w:rsidP="000B5843">
            <w:pPr>
              <w:spacing w:before="40" w:after="40"/>
              <w:ind w:right="0"/>
            </w:pPr>
            <w:r w:rsidRPr="004F30BD">
              <w:t>Demonstrating an understanding of organisation’s specific needs</w:t>
            </w:r>
          </w:p>
        </w:tc>
        <w:tc>
          <w:tcPr>
            <w:tcW w:w="900" w:type="dxa"/>
            <w:shd w:val="clear" w:color="auto" w:fill="D9D9D9"/>
            <w:noWrap/>
            <w:vAlign w:val="center"/>
          </w:tcPr>
          <w:p w14:paraId="66B2D132" w14:textId="77777777" w:rsidR="00F36F8D" w:rsidRPr="004F30BD" w:rsidRDefault="00F36F8D" w:rsidP="000B5843">
            <w:pPr>
              <w:spacing w:before="40" w:after="40"/>
              <w:ind w:right="0"/>
              <w:jc w:val="center"/>
            </w:pPr>
            <w:r w:rsidRPr="004F30BD">
              <w:t>126</w:t>
            </w:r>
          </w:p>
        </w:tc>
        <w:tc>
          <w:tcPr>
            <w:tcW w:w="1350" w:type="dxa"/>
            <w:shd w:val="clear" w:color="auto" w:fill="D9D9D9"/>
            <w:vAlign w:val="center"/>
          </w:tcPr>
          <w:p w14:paraId="751059AE" w14:textId="77777777" w:rsidR="00F36F8D" w:rsidRPr="004F30BD" w:rsidRDefault="00F36F8D" w:rsidP="000B5843">
            <w:pPr>
              <w:spacing w:before="40" w:after="40"/>
              <w:ind w:right="0"/>
              <w:jc w:val="center"/>
            </w:pPr>
            <w:r w:rsidRPr="004F30BD">
              <w:t>55</w:t>
            </w:r>
          </w:p>
        </w:tc>
      </w:tr>
      <w:tr w:rsidR="00F36F8D" w:rsidRPr="004F30BD" w14:paraId="6C9F5583" w14:textId="77777777" w:rsidTr="000B5843">
        <w:trPr>
          <w:trHeight w:val="340"/>
        </w:trPr>
        <w:tc>
          <w:tcPr>
            <w:tcW w:w="6480" w:type="dxa"/>
            <w:shd w:val="clear" w:color="auto" w:fill="FFFFFF" w:themeFill="background1"/>
          </w:tcPr>
          <w:p w14:paraId="2735A1A2" w14:textId="77777777" w:rsidR="00F36F8D" w:rsidRPr="004F30BD" w:rsidRDefault="00F36F8D" w:rsidP="000B5843">
            <w:pPr>
              <w:spacing w:before="40" w:after="40"/>
              <w:ind w:right="0"/>
            </w:pPr>
            <w:r w:rsidRPr="004F30BD">
              <w:t>Dealing with organisation efficiently</w:t>
            </w:r>
          </w:p>
        </w:tc>
        <w:tc>
          <w:tcPr>
            <w:tcW w:w="900" w:type="dxa"/>
            <w:shd w:val="clear" w:color="auto" w:fill="FFFFFF" w:themeFill="background1"/>
            <w:noWrap/>
            <w:vAlign w:val="center"/>
          </w:tcPr>
          <w:p w14:paraId="4F869453" w14:textId="77777777" w:rsidR="00F36F8D" w:rsidRPr="004F30BD" w:rsidRDefault="00F36F8D" w:rsidP="000B5843">
            <w:pPr>
              <w:spacing w:before="40" w:after="40"/>
              <w:ind w:right="0"/>
              <w:jc w:val="center"/>
            </w:pPr>
            <w:r w:rsidRPr="004F30BD">
              <w:t>126</w:t>
            </w:r>
          </w:p>
        </w:tc>
        <w:tc>
          <w:tcPr>
            <w:tcW w:w="1350" w:type="dxa"/>
            <w:shd w:val="clear" w:color="auto" w:fill="FFFFFF" w:themeFill="background1"/>
            <w:vAlign w:val="center"/>
          </w:tcPr>
          <w:p w14:paraId="78F51123" w14:textId="77777777" w:rsidR="00F36F8D" w:rsidRPr="004F30BD" w:rsidRDefault="00F36F8D" w:rsidP="000B5843">
            <w:pPr>
              <w:spacing w:before="40" w:after="40"/>
              <w:ind w:right="0"/>
              <w:jc w:val="center"/>
            </w:pPr>
            <w:r w:rsidRPr="004F30BD">
              <w:t>54</w:t>
            </w:r>
          </w:p>
        </w:tc>
      </w:tr>
      <w:tr w:rsidR="00D46872" w:rsidRPr="004F30BD" w14:paraId="1E31D51E" w14:textId="77777777" w:rsidTr="000B5843">
        <w:trPr>
          <w:trHeight w:val="340"/>
        </w:trPr>
        <w:tc>
          <w:tcPr>
            <w:tcW w:w="6480" w:type="dxa"/>
            <w:tcBorders>
              <w:bottom w:val="single" w:sz="4" w:space="0" w:color="auto"/>
            </w:tcBorders>
            <w:shd w:val="clear" w:color="auto" w:fill="D9D9D9"/>
          </w:tcPr>
          <w:p w14:paraId="37A06EB6" w14:textId="77777777" w:rsidR="00D46872" w:rsidRPr="004F30BD" w:rsidRDefault="00D46872" w:rsidP="00D46872">
            <w:pPr>
              <w:spacing w:before="40" w:after="40"/>
              <w:ind w:right="0"/>
              <w:rPr>
                <w:rFonts w:cs="Calibri"/>
                <w:color w:val="000000"/>
                <w:szCs w:val="16"/>
              </w:rPr>
            </w:pPr>
            <w:r w:rsidRPr="004F30BD">
              <w:t>Demonstrating an understanding of organisation’s business or operating environment</w:t>
            </w:r>
          </w:p>
        </w:tc>
        <w:tc>
          <w:tcPr>
            <w:tcW w:w="900" w:type="dxa"/>
            <w:tcBorders>
              <w:bottom w:val="single" w:sz="4" w:space="0" w:color="auto"/>
            </w:tcBorders>
            <w:shd w:val="clear" w:color="auto" w:fill="D9D9D9"/>
            <w:noWrap/>
            <w:vAlign w:val="center"/>
          </w:tcPr>
          <w:p w14:paraId="20C41A28" w14:textId="77777777" w:rsidR="00D46872" w:rsidRPr="004F30BD" w:rsidRDefault="00D46872" w:rsidP="00D46872">
            <w:pPr>
              <w:spacing w:before="40" w:after="40"/>
              <w:ind w:right="0"/>
              <w:jc w:val="center"/>
              <w:rPr>
                <w:szCs w:val="16"/>
              </w:rPr>
            </w:pPr>
            <w:r w:rsidRPr="004F30BD">
              <w:t>125</w:t>
            </w:r>
          </w:p>
        </w:tc>
        <w:tc>
          <w:tcPr>
            <w:tcW w:w="1350" w:type="dxa"/>
            <w:tcBorders>
              <w:bottom w:val="single" w:sz="4" w:space="0" w:color="auto"/>
            </w:tcBorders>
            <w:shd w:val="clear" w:color="auto" w:fill="D9D9D9"/>
            <w:vAlign w:val="center"/>
          </w:tcPr>
          <w:p w14:paraId="1E2C2270" w14:textId="77777777" w:rsidR="00D46872" w:rsidRPr="004F30BD" w:rsidRDefault="00D46872" w:rsidP="00D46872">
            <w:pPr>
              <w:spacing w:before="40" w:after="40"/>
              <w:ind w:right="0"/>
              <w:jc w:val="center"/>
              <w:rPr>
                <w:szCs w:val="16"/>
              </w:rPr>
            </w:pPr>
            <w:r w:rsidRPr="004F30BD">
              <w:t>54</w:t>
            </w:r>
          </w:p>
        </w:tc>
      </w:tr>
    </w:tbl>
    <w:p w14:paraId="78C99CBD" w14:textId="77777777" w:rsidR="00425912" w:rsidRPr="004F30BD" w:rsidRDefault="00425912" w:rsidP="000B5843">
      <w:pPr>
        <w:spacing w:before="60"/>
        <w:rPr>
          <w:i/>
        </w:rPr>
      </w:pPr>
      <w:r w:rsidRPr="004F30BD">
        <w:rPr>
          <w:i/>
        </w:rPr>
        <w:t>*Top 2 scores and n counts exclude don’t know / not applicable / no answer responses.</w:t>
      </w:r>
    </w:p>
    <w:p w14:paraId="698EEB61" w14:textId="77777777" w:rsidR="00B17499" w:rsidRPr="004F30BD" w:rsidRDefault="00F36F8D" w:rsidP="003044EE">
      <w:pPr>
        <w:spacing w:before="0" w:line="240" w:lineRule="auto"/>
        <w:ind w:right="0"/>
      </w:pPr>
      <w:r w:rsidRPr="004F30BD">
        <w:rPr>
          <w:noProof/>
          <w:lang w:eastAsia="en-AU"/>
        </w:rPr>
        <w:lastRenderedPageBreak/>
        <w:drawing>
          <wp:inline distT="0" distB="0" distL="0" distR="0" wp14:anchorId="7585AC85" wp14:editId="243865F3">
            <wp:extent cx="5695950" cy="3200400"/>
            <wp:effectExtent l="0" t="0" r="0" b="0"/>
            <wp:docPr id="31" name="Chart 31">
              <a:extLst xmlns:a="http://schemas.openxmlformats.org/drawingml/2006/main">
                <a:ext uri="{FF2B5EF4-FFF2-40B4-BE49-F238E27FC236}">
                  <a16:creationId xmlns:a16="http://schemas.microsoft.com/office/drawing/2014/main" id="{BE969CFB-7CA5-4C41-9616-286FD2A7C0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AE8D7A9" w14:textId="77777777" w:rsidR="00B17499" w:rsidRPr="004F30BD" w:rsidRDefault="00B17499" w:rsidP="00B17499">
      <w:pPr>
        <w:spacing w:before="0" w:line="240" w:lineRule="auto"/>
        <w:ind w:right="0"/>
        <w:jc w:val="center"/>
      </w:pPr>
    </w:p>
    <w:p w14:paraId="41A625B1" w14:textId="77777777" w:rsidR="00CA01CF" w:rsidRPr="004F30BD" w:rsidRDefault="00CA01CF" w:rsidP="00EC495C">
      <w:pPr>
        <w:pStyle w:val="Heading3"/>
      </w:pPr>
      <w:r w:rsidRPr="004F30BD">
        <w:t>Suggestions for improving interactions with TEQSA staff</w:t>
      </w:r>
    </w:p>
    <w:p w14:paraId="1E00D317" w14:textId="77777777" w:rsidR="00045486" w:rsidRPr="004F30BD" w:rsidRDefault="00CA01CF" w:rsidP="00CA01CF">
      <w:r w:rsidRPr="004F30BD">
        <w:t xml:space="preserve">Principal contacts offered </w:t>
      </w:r>
      <w:r w:rsidR="00C646F0" w:rsidRPr="004F30BD">
        <w:t>45</w:t>
      </w:r>
      <w:r w:rsidRPr="004F30BD">
        <w:t xml:space="preserve"> valid comments for </w:t>
      </w:r>
      <w:r w:rsidR="00045486" w:rsidRPr="004F30BD">
        <w:t>improving interactions with TEQSA staff</w:t>
      </w:r>
      <w:r w:rsidRPr="004F30BD">
        <w:t xml:space="preserve">. </w:t>
      </w:r>
    </w:p>
    <w:p w14:paraId="20AEE064" w14:textId="77777777" w:rsidR="00A901C3" w:rsidRPr="004F30BD" w:rsidRDefault="00045486" w:rsidP="00045486">
      <w:r w:rsidRPr="004F30BD">
        <w:t xml:space="preserve">While there were several positive comments about the service provided, describing </w:t>
      </w:r>
      <w:r w:rsidR="00A67EFE" w:rsidRPr="004F30BD">
        <w:t>case managers</w:t>
      </w:r>
      <w:r w:rsidR="003044EE" w:rsidRPr="004F30BD">
        <w:t xml:space="preserve"> and staff </w:t>
      </w:r>
      <w:r w:rsidRPr="004F30BD">
        <w:t xml:space="preserve">as </w:t>
      </w:r>
      <w:r w:rsidR="00A901C3" w:rsidRPr="004F30BD">
        <w:t xml:space="preserve">approachable, helpful, </w:t>
      </w:r>
      <w:r w:rsidR="003044EE" w:rsidRPr="004F30BD">
        <w:t xml:space="preserve">honest, </w:t>
      </w:r>
      <w:r w:rsidR="00A901C3" w:rsidRPr="004F30BD">
        <w:t>clear</w:t>
      </w:r>
      <w:r w:rsidR="003044EE" w:rsidRPr="004F30BD">
        <w:t xml:space="preserve"> and </w:t>
      </w:r>
      <w:r w:rsidR="00A901C3" w:rsidRPr="004F30BD">
        <w:t>friendly</w:t>
      </w:r>
      <w:r w:rsidRPr="004F30BD">
        <w:t xml:space="preserve">, a number of suggestions were made for improving interactions with TEQSA staff </w:t>
      </w:r>
      <w:r w:rsidR="00A700BA" w:rsidRPr="004F30BD">
        <w:t xml:space="preserve">and the service in general </w:t>
      </w:r>
      <w:r w:rsidRPr="004F30BD">
        <w:t>including:</w:t>
      </w:r>
    </w:p>
    <w:p w14:paraId="6FE3174B" w14:textId="77777777" w:rsidR="00FA1AEA" w:rsidRPr="004F30BD" w:rsidRDefault="00FA1AEA" w:rsidP="00A06284">
      <w:pPr>
        <w:pStyle w:val="ListParagraph"/>
        <w:numPr>
          <w:ilvl w:val="0"/>
          <w:numId w:val="8"/>
        </w:numPr>
        <w:spacing w:before="60"/>
        <w:ind w:right="1080"/>
        <w:contextualSpacing w:val="0"/>
      </w:pPr>
      <w:r w:rsidRPr="004F30BD">
        <w:t xml:space="preserve">Case management </w:t>
      </w:r>
      <w:r w:rsidR="003044EE" w:rsidRPr="004F30BD">
        <w:t>related</w:t>
      </w:r>
      <w:r w:rsidRPr="004F30BD">
        <w:t>:</w:t>
      </w:r>
    </w:p>
    <w:p w14:paraId="76019692" w14:textId="77777777" w:rsidR="00C646F0" w:rsidRPr="004F30BD" w:rsidRDefault="003044EE" w:rsidP="00A06284">
      <w:pPr>
        <w:pStyle w:val="ListParagraph"/>
        <w:numPr>
          <w:ilvl w:val="1"/>
          <w:numId w:val="8"/>
        </w:numPr>
        <w:spacing w:before="60"/>
        <w:ind w:right="1080"/>
        <w:contextualSpacing w:val="0"/>
      </w:pPr>
      <w:r w:rsidRPr="004F30BD">
        <w:t>Rotate to increase knowledge</w:t>
      </w:r>
    </w:p>
    <w:p w14:paraId="35FA68D5" w14:textId="77777777" w:rsidR="00C646F0" w:rsidRPr="004F30BD" w:rsidRDefault="003044EE" w:rsidP="00A06284">
      <w:pPr>
        <w:pStyle w:val="ListParagraph"/>
        <w:numPr>
          <w:ilvl w:val="1"/>
          <w:numId w:val="8"/>
        </w:numPr>
        <w:spacing w:before="60"/>
        <w:ind w:right="1080"/>
        <w:contextualSpacing w:val="0"/>
      </w:pPr>
      <w:r w:rsidRPr="004F30BD">
        <w:t>Increase case manager knowledge of organisation and regulation / compliance matters</w:t>
      </w:r>
    </w:p>
    <w:p w14:paraId="62948EB7" w14:textId="77777777" w:rsidR="001B6E2C" w:rsidRPr="004F30BD" w:rsidRDefault="003044EE" w:rsidP="00A06284">
      <w:pPr>
        <w:pStyle w:val="ListParagraph"/>
        <w:numPr>
          <w:ilvl w:val="1"/>
          <w:numId w:val="8"/>
        </w:numPr>
        <w:spacing w:before="60"/>
        <w:ind w:right="1080"/>
        <w:contextualSpacing w:val="0"/>
      </w:pPr>
      <w:r w:rsidRPr="004F30BD">
        <w:t>Improve</w:t>
      </w:r>
      <w:r w:rsidR="001B6E2C" w:rsidRPr="004F30BD">
        <w:t xml:space="preserve"> consistency / minimise churn of case managers </w:t>
      </w:r>
    </w:p>
    <w:p w14:paraId="7833EC6D" w14:textId="77777777" w:rsidR="001B6E2C" w:rsidRPr="004F30BD" w:rsidRDefault="003044EE" w:rsidP="00A06284">
      <w:pPr>
        <w:pStyle w:val="ListParagraph"/>
        <w:numPr>
          <w:ilvl w:val="1"/>
          <w:numId w:val="8"/>
        </w:numPr>
        <w:spacing w:before="60"/>
        <w:ind w:right="1080"/>
        <w:contextualSpacing w:val="0"/>
      </w:pPr>
      <w:r w:rsidRPr="004F30BD">
        <w:t>Assign them early</w:t>
      </w:r>
    </w:p>
    <w:p w14:paraId="7B020BA7" w14:textId="77777777" w:rsidR="008C4E3E" w:rsidRPr="004F30BD" w:rsidRDefault="008C4E3E" w:rsidP="00A06284">
      <w:pPr>
        <w:pStyle w:val="ListParagraph"/>
        <w:numPr>
          <w:ilvl w:val="1"/>
          <w:numId w:val="8"/>
        </w:numPr>
        <w:spacing w:before="60"/>
        <w:ind w:right="1080"/>
        <w:contextualSpacing w:val="0"/>
      </w:pPr>
      <w:r w:rsidRPr="004F30BD">
        <w:t>Follow up on issues</w:t>
      </w:r>
    </w:p>
    <w:p w14:paraId="188601D4" w14:textId="77777777" w:rsidR="00A700BA" w:rsidRPr="004F30BD" w:rsidRDefault="003044EE" w:rsidP="00A06284">
      <w:pPr>
        <w:pStyle w:val="ListParagraph"/>
        <w:numPr>
          <w:ilvl w:val="0"/>
          <w:numId w:val="8"/>
        </w:numPr>
        <w:spacing w:before="60"/>
        <w:ind w:right="1080"/>
        <w:contextualSpacing w:val="0"/>
      </w:pPr>
      <w:r w:rsidRPr="004F30BD">
        <w:t>Poor s</w:t>
      </w:r>
      <w:r w:rsidR="00A700BA" w:rsidRPr="004F30BD">
        <w:t>taff manner / attitude</w:t>
      </w:r>
      <w:r w:rsidRPr="004F30BD">
        <w:t xml:space="preserve"> – be more consultative</w:t>
      </w:r>
      <w:r w:rsidR="008C4E3E" w:rsidRPr="004F30BD">
        <w:t xml:space="preserve"> and proactive</w:t>
      </w:r>
    </w:p>
    <w:p w14:paraId="6800D4BD" w14:textId="77777777" w:rsidR="00A67EFE" w:rsidRPr="004F30BD" w:rsidRDefault="003044EE" w:rsidP="00A06284">
      <w:pPr>
        <w:pStyle w:val="ListParagraph"/>
        <w:numPr>
          <w:ilvl w:val="0"/>
          <w:numId w:val="8"/>
        </w:numPr>
        <w:spacing w:before="60"/>
        <w:ind w:right="1080"/>
        <w:contextualSpacing w:val="0"/>
      </w:pPr>
      <w:r w:rsidRPr="004F30BD">
        <w:t>I</w:t>
      </w:r>
      <w:r w:rsidR="00A67EFE" w:rsidRPr="004F30BD">
        <w:t>mprove</w:t>
      </w:r>
      <w:r w:rsidR="00A901C3" w:rsidRPr="004F30BD">
        <w:t xml:space="preserve"> respons</w:t>
      </w:r>
      <w:r w:rsidRPr="004F30BD">
        <w:t>e times to issues</w:t>
      </w:r>
      <w:r w:rsidR="008C4E3E" w:rsidRPr="004F30BD">
        <w:t>, emails, webforms and to making decisions</w:t>
      </w:r>
    </w:p>
    <w:p w14:paraId="02EE55BE" w14:textId="77777777" w:rsidR="00C646F0" w:rsidRPr="004F30BD" w:rsidRDefault="008C4E3E" w:rsidP="00A06284">
      <w:pPr>
        <w:pStyle w:val="ListParagraph"/>
        <w:numPr>
          <w:ilvl w:val="0"/>
          <w:numId w:val="8"/>
        </w:numPr>
        <w:spacing w:before="60"/>
        <w:ind w:right="1080"/>
        <w:contextualSpacing w:val="0"/>
      </w:pPr>
      <w:r w:rsidRPr="004F30BD">
        <w:t>Share information amongst staff</w:t>
      </w:r>
    </w:p>
    <w:p w14:paraId="0C5C0FE6" w14:textId="77777777" w:rsidR="00C646F0" w:rsidRPr="004F30BD" w:rsidRDefault="00A67EFE" w:rsidP="00A06284">
      <w:pPr>
        <w:pStyle w:val="ListParagraph"/>
        <w:numPr>
          <w:ilvl w:val="0"/>
          <w:numId w:val="8"/>
        </w:numPr>
        <w:spacing w:before="60"/>
        <w:ind w:right="1080"/>
        <w:contextualSpacing w:val="0"/>
      </w:pPr>
      <w:r w:rsidRPr="004F30BD">
        <w:t>Review p</w:t>
      </w:r>
      <w:r w:rsidR="00C646F0" w:rsidRPr="004F30BD">
        <w:t>artitioning of ESOS</w:t>
      </w:r>
      <w:r w:rsidRPr="004F30BD">
        <w:t xml:space="preserve"> </w:t>
      </w:r>
      <w:r w:rsidR="00C646F0" w:rsidRPr="004F30BD">
        <w:t>/</w:t>
      </w:r>
      <w:r w:rsidRPr="004F30BD">
        <w:t xml:space="preserve"> </w:t>
      </w:r>
      <w:r w:rsidR="00C646F0" w:rsidRPr="004F30BD">
        <w:t>CRICOS diminish</w:t>
      </w:r>
      <w:r w:rsidRPr="004F30BD">
        <w:t>es</w:t>
      </w:r>
      <w:r w:rsidR="00C646F0" w:rsidRPr="004F30BD">
        <w:t xml:space="preserve"> ability to interact with single point of contact</w:t>
      </w:r>
    </w:p>
    <w:p w14:paraId="42DAB509" w14:textId="77777777" w:rsidR="00A901C3" w:rsidRPr="004F30BD" w:rsidRDefault="00FA1AEA" w:rsidP="00A06284">
      <w:pPr>
        <w:pStyle w:val="ListParagraph"/>
        <w:numPr>
          <w:ilvl w:val="0"/>
          <w:numId w:val="8"/>
        </w:numPr>
        <w:spacing w:before="60"/>
        <w:ind w:right="1080"/>
        <w:contextualSpacing w:val="0"/>
      </w:pPr>
      <w:r w:rsidRPr="004F30BD">
        <w:t>M</w:t>
      </w:r>
      <w:r w:rsidR="00A67EFE" w:rsidRPr="004F30BD">
        <w:t>ake it easier to find</w:t>
      </w:r>
      <w:r w:rsidR="00C646F0" w:rsidRPr="004F30BD">
        <w:t xml:space="preserve"> someone to talk to</w:t>
      </w:r>
      <w:r w:rsidR="00A67EFE" w:rsidRPr="004F30BD">
        <w:t xml:space="preserve"> ab</w:t>
      </w:r>
      <w:r w:rsidRPr="004F30BD">
        <w:t>o</w:t>
      </w:r>
      <w:r w:rsidR="00A67EFE" w:rsidRPr="004F30BD">
        <w:t xml:space="preserve">ut CRICOS re-registration </w:t>
      </w:r>
      <w:r w:rsidRPr="004F30BD">
        <w:t xml:space="preserve">/ </w:t>
      </w:r>
      <w:r w:rsidR="00A67EFE" w:rsidRPr="004F30BD">
        <w:t>difficult</w:t>
      </w:r>
      <w:r w:rsidRPr="004F30BD">
        <w:t xml:space="preserve"> process</w:t>
      </w:r>
    </w:p>
    <w:p w14:paraId="5B5FF9DE" w14:textId="77777777" w:rsidR="00C646F0" w:rsidRPr="004F30BD" w:rsidRDefault="008C4E3E" w:rsidP="00A06284">
      <w:pPr>
        <w:pStyle w:val="ListParagraph"/>
        <w:numPr>
          <w:ilvl w:val="0"/>
          <w:numId w:val="8"/>
        </w:numPr>
        <w:spacing w:before="60"/>
        <w:ind w:right="1080"/>
        <w:contextualSpacing w:val="0"/>
      </w:pPr>
      <w:r w:rsidRPr="004F30BD">
        <w:t>Deadlines for providers are too tight</w:t>
      </w:r>
      <w:r w:rsidR="00C646F0" w:rsidRPr="004F30BD">
        <w:t xml:space="preserve"> </w:t>
      </w:r>
    </w:p>
    <w:p w14:paraId="0C01A1E1" w14:textId="77777777" w:rsidR="008C4E3E" w:rsidRPr="004F30BD" w:rsidRDefault="008C4E3E" w:rsidP="00A06284">
      <w:pPr>
        <w:pStyle w:val="ListParagraph"/>
        <w:numPr>
          <w:ilvl w:val="0"/>
          <w:numId w:val="8"/>
        </w:numPr>
        <w:spacing w:before="60"/>
        <w:ind w:right="1080"/>
        <w:contextualSpacing w:val="0"/>
      </w:pPr>
      <w:r w:rsidRPr="004F30BD">
        <w:t>Be more</w:t>
      </w:r>
      <w:r w:rsidR="00FA1AEA" w:rsidRPr="004F30BD">
        <w:t xml:space="preserve"> flexib</w:t>
      </w:r>
      <w:r w:rsidRPr="004F30BD">
        <w:t>le re different modes of delivery and reviewing cases</w:t>
      </w:r>
    </w:p>
    <w:p w14:paraId="35ABDB41" w14:textId="77777777" w:rsidR="00C646F0" w:rsidRPr="004F30BD" w:rsidRDefault="00A901C3" w:rsidP="00A06284">
      <w:pPr>
        <w:pStyle w:val="ListParagraph"/>
        <w:numPr>
          <w:ilvl w:val="0"/>
          <w:numId w:val="8"/>
        </w:numPr>
        <w:spacing w:before="60"/>
        <w:ind w:right="1080"/>
        <w:contextualSpacing w:val="0"/>
      </w:pPr>
      <w:r w:rsidRPr="004F30BD">
        <w:t xml:space="preserve">Provide more feedback on submissions provided / not just acknowledge receipt </w:t>
      </w:r>
    </w:p>
    <w:p w14:paraId="1D070E07" w14:textId="77777777" w:rsidR="001579BD" w:rsidRPr="004F30BD" w:rsidRDefault="00B90E93" w:rsidP="007315A4">
      <w:pPr>
        <w:pStyle w:val="Heading2"/>
      </w:pPr>
      <w:bookmarkStart w:id="25" w:name="_Toc22298029"/>
      <w:r w:rsidRPr="004F30BD">
        <w:lastRenderedPageBreak/>
        <w:t>Changes in last 12 months</w:t>
      </w:r>
      <w:bookmarkEnd w:id="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45"/>
        <w:gridCol w:w="5490"/>
      </w:tblGrid>
      <w:tr w:rsidR="008C4E3E" w:rsidRPr="004F30BD" w14:paraId="6BC979C3" w14:textId="77777777" w:rsidTr="00DE1754">
        <w:tc>
          <w:tcPr>
            <w:tcW w:w="3145" w:type="dxa"/>
          </w:tcPr>
          <w:p w14:paraId="32B1EBF9" w14:textId="77777777" w:rsidR="008C4E3E" w:rsidRPr="004F30BD" w:rsidRDefault="008C4E3E" w:rsidP="008C4E3E">
            <w:pPr>
              <w:spacing w:before="240" w:after="240"/>
              <w:ind w:right="30"/>
            </w:pPr>
            <w:r w:rsidRPr="004F30BD">
              <w:t xml:space="preserve">Respondents were asked </w:t>
            </w:r>
            <w:r w:rsidR="00DE1754" w:rsidRPr="004F30BD">
              <w:t>what they had noticed about</w:t>
            </w:r>
            <w:r w:rsidRPr="004F30BD">
              <w:t xml:space="preserve"> TEQSA’s re-use of </w:t>
            </w:r>
            <w:r w:rsidR="00DE1754" w:rsidRPr="004F30BD">
              <w:t xml:space="preserve">organisation-provided </w:t>
            </w:r>
            <w:r w:rsidRPr="004F30BD">
              <w:t xml:space="preserve">material </w:t>
            </w:r>
            <w:r w:rsidR="00DE1754" w:rsidRPr="004F30BD">
              <w:t>in</w:t>
            </w:r>
            <w:r w:rsidRPr="004F30BD">
              <w:t xml:space="preserve"> the last 12 months. Most had no answer</w:t>
            </w:r>
            <w:r w:rsidR="00DE1754" w:rsidRPr="004F30BD">
              <w:t xml:space="preserve"> (don’t know)</w:t>
            </w:r>
            <w:r w:rsidRPr="004F30BD">
              <w:t xml:space="preserve">, but of </w:t>
            </w:r>
            <w:r w:rsidR="00DE1754" w:rsidRPr="004F30BD">
              <w:t>those who</w:t>
            </w:r>
            <w:r w:rsidRPr="004F30BD">
              <w:t xml:space="preserve"> did</w:t>
            </w:r>
            <w:r w:rsidR="00DE1754" w:rsidRPr="004F30BD">
              <w:t xml:space="preserve"> answer</w:t>
            </w:r>
            <w:r w:rsidRPr="004F30BD">
              <w:t xml:space="preserve">, most </w:t>
            </w:r>
            <w:r w:rsidR="00DE1754" w:rsidRPr="004F30BD">
              <w:t>indicated that it</w:t>
            </w:r>
            <w:r w:rsidRPr="004F30BD">
              <w:t xml:space="preserve"> had stayed the same in the last 12 months. Refer to the chart on the right.</w:t>
            </w:r>
          </w:p>
        </w:tc>
        <w:tc>
          <w:tcPr>
            <w:tcW w:w="5490" w:type="dxa"/>
          </w:tcPr>
          <w:p w14:paraId="6EB68998" w14:textId="77777777" w:rsidR="008C4E3E" w:rsidRPr="004F30BD" w:rsidRDefault="008C4E3E" w:rsidP="00DE1754">
            <w:pPr>
              <w:spacing w:before="240"/>
              <w:ind w:right="30"/>
            </w:pPr>
            <w:r w:rsidRPr="004F30BD">
              <w:rPr>
                <w:noProof/>
                <w:lang w:eastAsia="en-AU"/>
              </w:rPr>
              <w:drawing>
                <wp:inline distT="0" distB="0" distL="0" distR="0" wp14:anchorId="22ABEA07" wp14:editId="383DE4B6">
                  <wp:extent cx="3429000" cy="2981325"/>
                  <wp:effectExtent l="0" t="0" r="0" b="0"/>
                  <wp:docPr id="34" name="Chart 34">
                    <a:extLst xmlns:a="http://schemas.openxmlformats.org/drawingml/2006/main">
                      <a:ext uri="{FF2B5EF4-FFF2-40B4-BE49-F238E27FC236}">
                        <a16:creationId xmlns:a16="http://schemas.microsoft.com/office/drawing/2014/main" id="{3BBA53A6-2003-4A2C-92CD-E345D46D14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8C4E3E" w:rsidRPr="004F30BD" w14:paraId="5B2B0ADF" w14:textId="77777777" w:rsidTr="00DE1754">
        <w:tc>
          <w:tcPr>
            <w:tcW w:w="3145" w:type="dxa"/>
          </w:tcPr>
          <w:p w14:paraId="2B511D43" w14:textId="77777777" w:rsidR="008C4E3E" w:rsidRPr="004F30BD" w:rsidRDefault="008C4E3E" w:rsidP="00DE1754">
            <w:pPr>
              <w:spacing w:before="0" w:after="240"/>
              <w:ind w:right="30"/>
            </w:pPr>
            <w:r w:rsidRPr="004F30BD">
              <w:t xml:space="preserve">Respondents were next asked about </w:t>
            </w:r>
            <w:r w:rsidR="00DE1754" w:rsidRPr="004F30BD">
              <w:t>what they had noticed in relation to the a</w:t>
            </w:r>
            <w:r w:rsidRPr="004F30BD">
              <w:t>dministrative burden that TEQSA’s regulations imposed</w:t>
            </w:r>
            <w:r w:rsidR="00DE1754" w:rsidRPr="004F30BD">
              <w:t xml:space="preserve"> on their organisation</w:t>
            </w:r>
            <w:r w:rsidRPr="004F30BD">
              <w:t xml:space="preserve"> over the last 12 months. </w:t>
            </w:r>
            <w:r w:rsidR="00DE1754" w:rsidRPr="004F30BD">
              <w:t xml:space="preserve">Most (59%) indicated that it had stayed the same, while 20% thought it had worsened. </w:t>
            </w:r>
            <w:r w:rsidRPr="004F30BD">
              <w:t>Refer to the chart on the right</w:t>
            </w:r>
            <w:r w:rsidR="00DE1754" w:rsidRPr="004F30BD">
              <w:t>.</w:t>
            </w:r>
          </w:p>
        </w:tc>
        <w:tc>
          <w:tcPr>
            <w:tcW w:w="5490" w:type="dxa"/>
          </w:tcPr>
          <w:p w14:paraId="61DC4AB6" w14:textId="77777777" w:rsidR="008C4E3E" w:rsidRPr="004F30BD" w:rsidRDefault="00DE1754" w:rsidP="00DE1754">
            <w:pPr>
              <w:spacing w:before="0" w:after="240"/>
              <w:ind w:right="30"/>
            </w:pPr>
            <w:r w:rsidRPr="004F30BD">
              <w:rPr>
                <w:noProof/>
                <w:lang w:eastAsia="en-AU"/>
              </w:rPr>
              <w:drawing>
                <wp:inline distT="0" distB="0" distL="0" distR="0" wp14:anchorId="397BEF9C" wp14:editId="62A4172D">
                  <wp:extent cx="3457575" cy="2867025"/>
                  <wp:effectExtent l="0" t="0" r="0" b="0"/>
                  <wp:docPr id="35" name="Chart 35">
                    <a:extLst xmlns:a="http://schemas.openxmlformats.org/drawingml/2006/main">
                      <a:ext uri="{FF2B5EF4-FFF2-40B4-BE49-F238E27FC236}">
                        <a16:creationId xmlns:a16="http://schemas.microsoft.com/office/drawing/2014/main" id="{83CA0B27-BDDE-43BB-951B-4F6843D126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1D4CF64A" w14:textId="77777777" w:rsidR="00A51C4E" w:rsidRPr="004F30BD" w:rsidRDefault="007315A4" w:rsidP="007315A4">
      <w:pPr>
        <w:pStyle w:val="Heading4"/>
      </w:pPr>
      <w:r w:rsidRPr="004F30BD">
        <w:t>Suggestions for lifting reporting burden</w:t>
      </w:r>
    </w:p>
    <w:p w14:paraId="2C91303A" w14:textId="77777777" w:rsidR="008D234B" w:rsidRPr="004F30BD" w:rsidRDefault="00714DBA" w:rsidP="00585D11">
      <w:r w:rsidRPr="004F30BD">
        <w:t>P</w:t>
      </w:r>
      <w:r w:rsidR="00585D11" w:rsidRPr="004F30BD">
        <w:t>rincipal contacts</w:t>
      </w:r>
      <w:r w:rsidR="00DE1754" w:rsidRPr="004F30BD">
        <w:t xml:space="preserve"> were asked to nominate one reporting burden that could be lifted without adversely affecting the performance of their organisation. Thirty-five </w:t>
      </w:r>
      <w:r w:rsidRPr="004F30BD">
        <w:t xml:space="preserve">valid </w:t>
      </w:r>
      <w:r w:rsidR="00585D11" w:rsidRPr="004F30BD">
        <w:t xml:space="preserve">comments </w:t>
      </w:r>
      <w:r w:rsidR="00DE1754" w:rsidRPr="004F30BD">
        <w:t>were offered</w:t>
      </w:r>
      <w:r w:rsidR="005E58A1" w:rsidRPr="004F30BD">
        <w:t xml:space="preserve">. </w:t>
      </w:r>
    </w:p>
    <w:p w14:paraId="58F3F583" w14:textId="77777777" w:rsidR="00D36F96" w:rsidRPr="004F30BD" w:rsidRDefault="00DE1754" w:rsidP="00585D11">
      <w:r w:rsidRPr="004F30BD">
        <w:t>S</w:t>
      </w:r>
      <w:r w:rsidR="0065594F" w:rsidRPr="004F30BD">
        <w:t>ome providers indicated that the</w:t>
      </w:r>
      <w:r w:rsidR="00861EF1" w:rsidRPr="004F30BD">
        <w:t xml:space="preserve"> administrative load and responsive case management </w:t>
      </w:r>
      <w:r w:rsidRPr="004F30BD">
        <w:t>had</w:t>
      </w:r>
      <w:r w:rsidR="00861EF1" w:rsidRPr="004F30BD">
        <w:t xml:space="preserve"> improved in the past 12 months</w:t>
      </w:r>
      <w:r w:rsidRPr="004F30BD">
        <w:t>. Themes for other suggestions were</w:t>
      </w:r>
      <w:r w:rsidR="00585D11" w:rsidRPr="004F30BD">
        <w:t>:</w:t>
      </w:r>
    </w:p>
    <w:p w14:paraId="221E97A1" w14:textId="77777777" w:rsidR="00861EF1" w:rsidRPr="004F30BD" w:rsidRDefault="00DE1754" w:rsidP="00A06284">
      <w:pPr>
        <w:pStyle w:val="ListParagraph"/>
        <w:numPr>
          <w:ilvl w:val="0"/>
          <w:numId w:val="8"/>
        </w:numPr>
        <w:spacing w:before="60"/>
        <w:ind w:right="1080"/>
        <w:contextualSpacing w:val="0"/>
      </w:pPr>
      <w:r w:rsidRPr="004F30BD">
        <w:t>Have an e</w:t>
      </w:r>
      <w:r w:rsidR="00861EF1" w:rsidRPr="004F30BD">
        <w:t xml:space="preserve">asier way to update PIR staffing </w:t>
      </w:r>
    </w:p>
    <w:p w14:paraId="0AABCAB1" w14:textId="77777777" w:rsidR="00861EF1" w:rsidRPr="004F30BD" w:rsidRDefault="00861EF1" w:rsidP="00A06284">
      <w:pPr>
        <w:pStyle w:val="ListParagraph"/>
        <w:numPr>
          <w:ilvl w:val="0"/>
          <w:numId w:val="8"/>
        </w:numPr>
        <w:spacing w:before="60"/>
        <w:ind w:right="1080"/>
        <w:contextualSpacing w:val="0"/>
      </w:pPr>
      <w:r w:rsidRPr="004F30BD">
        <w:t xml:space="preserve">Review appropriateness of requests for additional information / material change notifications </w:t>
      </w:r>
    </w:p>
    <w:p w14:paraId="7B8B9B8C" w14:textId="77777777" w:rsidR="00861EF1" w:rsidRPr="004F30BD" w:rsidRDefault="00861EF1" w:rsidP="00A06284">
      <w:pPr>
        <w:pStyle w:val="ListParagraph"/>
        <w:numPr>
          <w:ilvl w:val="0"/>
          <w:numId w:val="8"/>
        </w:numPr>
        <w:spacing w:before="60"/>
        <w:ind w:right="1080"/>
        <w:contextualSpacing w:val="0"/>
      </w:pPr>
      <w:r w:rsidRPr="004F30BD">
        <w:t xml:space="preserve">Remove duplication </w:t>
      </w:r>
      <w:r w:rsidR="0065594F" w:rsidRPr="004F30BD">
        <w:t>of data reporting</w:t>
      </w:r>
    </w:p>
    <w:p w14:paraId="35DB535B" w14:textId="77777777" w:rsidR="00861EF1" w:rsidRPr="004F30BD" w:rsidRDefault="008D234B" w:rsidP="00A06284">
      <w:pPr>
        <w:pStyle w:val="ListParagraph"/>
        <w:numPr>
          <w:ilvl w:val="0"/>
          <w:numId w:val="8"/>
        </w:numPr>
        <w:spacing w:before="60"/>
        <w:ind w:right="1080"/>
        <w:contextualSpacing w:val="0"/>
      </w:pPr>
      <w:r w:rsidRPr="004F30BD">
        <w:t>Allow c</w:t>
      </w:r>
      <w:r w:rsidR="00861EF1" w:rsidRPr="004F30BD">
        <w:t xml:space="preserve">apacity limit on a campus within overall CRICOS code </w:t>
      </w:r>
    </w:p>
    <w:p w14:paraId="3A198986" w14:textId="77777777" w:rsidR="00EB678B" w:rsidRPr="004F30BD" w:rsidRDefault="00861EF1" w:rsidP="00A06284">
      <w:pPr>
        <w:pStyle w:val="ListParagraph"/>
        <w:numPr>
          <w:ilvl w:val="0"/>
          <w:numId w:val="8"/>
        </w:numPr>
        <w:spacing w:before="60"/>
        <w:ind w:right="1080"/>
        <w:contextualSpacing w:val="0"/>
      </w:pPr>
      <w:r w:rsidRPr="004F30BD">
        <w:t xml:space="preserve">Useful to have a 30 day prompt </w:t>
      </w:r>
      <w:r w:rsidR="008D234B" w:rsidRPr="004F30BD">
        <w:t xml:space="preserve">in advance </w:t>
      </w:r>
      <w:r w:rsidR="0065594F" w:rsidRPr="004F30BD">
        <w:t>for key reports</w:t>
      </w:r>
    </w:p>
    <w:p w14:paraId="00BDADC1" w14:textId="77777777" w:rsidR="00861EF1" w:rsidRPr="004F30BD" w:rsidRDefault="00EB678B" w:rsidP="00A06284">
      <w:pPr>
        <w:pStyle w:val="ListParagraph"/>
        <w:numPr>
          <w:ilvl w:val="0"/>
          <w:numId w:val="8"/>
        </w:numPr>
        <w:spacing w:before="60"/>
        <w:ind w:right="1080"/>
        <w:contextualSpacing w:val="0"/>
      </w:pPr>
      <w:r w:rsidRPr="004F30BD">
        <w:t>K</w:t>
      </w:r>
      <w:r w:rsidR="00861EF1" w:rsidRPr="004F30BD">
        <w:t xml:space="preserve">eep the same date each August </w:t>
      </w:r>
      <w:r w:rsidR="0065594F" w:rsidRPr="004F30BD">
        <w:t xml:space="preserve">for annual risk assessment </w:t>
      </w:r>
      <w:r w:rsidR="00861EF1" w:rsidRPr="004F30BD">
        <w:t xml:space="preserve">and allow 10 business days to respond </w:t>
      </w:r>
    </w:p>
    <w:p w14:paraId="07BF70F3" w14:textId="77777777" w:rsidR="008D234B" w:rsidRPr="004F30BD" w:rsidRDefault="00861EF1" w:rsidP="00A06284">
      <w:pPr>
        <w:pStyle w:val="ListParagraph"/>
        <w:numPr>
          <w:ilvl w:val="0"/>
          <w:numId w:val="8"/>
        </w:numPr>
        <w:spacing w:before="60"/>
        <w:ind w:right="1080"/>
        <w:contextualSpacing w:val="0"/>
      </w:pPr>
      <w:r w:rsidRPr="004F30BD">
        <w:t>Stop changing (external) reporting systems</w:t>
      </w:r>
    </w:p>
    <w:p w14:paraId="565CD7B8" w14:textId="77777777" w:rsidR="00861EF1" w:rsidRPr="004F30BD" w:rsidRDefault="008D234B" w:rsidP="00A06284">
      <w:pPr>
        <w:pStyle w:val="ListParagraph"/>
        <w:numPr>
          <w:ilvl w:val="0"/>
          <w:numId w:val="8"/>
        </w:numPr>
        <w:spacing w:before="60"/>
        <w:ind w:right="1080"/>
        <w:contextualSpacing w:val="0"/>
      </w:pPr>
      <w:r w:rsidRPr="004F30BD">
        <w:lastRenderedPageBreak/>
        <w:t>Standardise</w:t>
      </w:r>
      <w:r w:rsidR="00861EF1" w:rsidRPr="004F30BD">
        <w:t xml:space="preserve"> reporting formats </w:t>
      </w:r>
      <w:r w:rsidR="00EB678B" w:rsidRPr="004F30BD">
        <w:t xml:space="preserve">across government agencies </w:t>
      </w:r>
    </w:p>
    <w:p w14:paraId="42CC9116" w14:textId="7A02E32F" w:rsidR="00861EF1" w:rsidRPr="004F30BD" w:rsidRDefault="0065594F" w:rsidP="00A06284">
      <w:pPr>
        <w:pStyle w:val="ListParagraph"/>
        <w:numPr>
          <w:ilvl w:val="0"/>
          <w:numId w:val="8"/>
        </w:numPr>
        <w:spacing w:before="60"/>
        <w:ind w:right="1080"/>
        <w:contextualSpacing w:val="0"/>
      </w:pPr>
      <w:r w:rsidRPr="004F30BD">
        <w:t>Requests</w:t>
      </w:r>
      <w:r w:rsidR="00861EF1" w:rsidRPr="004F30BD">
        <w:t xml:space="preserve"> to provide policies</w:t>
      </w:r>
      <w:r w:rsidRPr="004F30BD">
        <w:t xml:space="preserve"> </w:t>
      </w:r>
      <w:r w:rsidR="00861EF1" w:rsidRPr="004F30BD">
        <w:t>/</w:t>
      </w:r>
      <w:r w:rsidRPr="004F30BD">
        <w:t xml:space="preserve"> </w:t>
      </w:r>
      <w:r w:rsidR="00861EF1" w:rsidRPr="004F30BD">
        <w:t>procedures</w:t>
      </w:r>
      <w:r w:rsidRPr="004F30BD">
        <w:t xml:space="preserve"> </w:t>
      </w:r>
      <w:r w:rsidR="00861EF1" w:rsidRPr="004F30BD">
        <w:t>/</w:t>
      </w:r>
      <w:r w:rsidRPr="004F30BD">
        <w:t xml:space="preserve"> </w:t>
      </w:r>
      <w:r w:rsidR="00861EF1" w:rsidRPr="004F30BD">
        <w:t>explanations have increased significantly over the past 2 years</w:t>
      </w:r>
      <w:r w:rsidR="00EB678B" w:rsidRPr="004F30BD">
        <w:t xml:space="preserve">. These are </w:t>
      </w:r>
      <w:r w:rsidR="00861EF1" w:rsidRPr="004F30BD">
        <w:t>not differentiated by provider risk level, and/or self-accrediting status</w:t>
      </w:r>
    </w:p>
    <w:p w14:paraId="3CE6D60E" w14:textId="77777777" w:rsidR="00861EF1" w:rsidRPr="004F30BD" w:rsidRDefault="00EB678B" w:rsidP="00A06284">
      <w:pPr>
        <w:pStyle w:val="ListParagraph"/>
        <w:numPr>
          <w:ilvl w:val="0"/>
          <w:numId w:val="8"/>
        </w:numPr>
        <w:spacing w:before="60"/>
        <w:ind w:right="1080"/>
        <w:contextualSpacing w:val="0"/>
      </w:pPr>
      <w:r w:rsidRPr="004F30BD">
        <w:t xml:space="preserve">CRICOS: </w:t>
      </w:r>
      <w:r w:rsidR="0065594F" w:rsidRPr="004F30BD">
        <w:t>Reduce</w:t>
      </w:r>
      <w:r w:rsidR="00861EF1" w:rsidRPr="004F30BD">
        <w:t xml:space="preserve"> volume of documentation </w:t>
      </w:r>
      <w:r w:rsidRPr="004F30BD">
        <w:t>for</w:t>
      </w:r>
      <w:r w:rsidR="00861EF1" w:rsidRPr="004F30BD">
        <w:t xml:space="preserve"> registration renewal</w:t>
      </w:r>
      <w:r w:rsidRPr="004F30BD">
        <w:t xml:space="preserve"> and harmoni</w:t>
      </w:r>
      <w:r w:rsidR="00861EF1" w:rsidRPr="004F30BD">
        <w:t>s</w:t>
      </w:r>
      <w:r w:rsidR="0065594F" w:rsidRPr="004F30BD">
        <w:t xml:space="preserve">e </w:t>
      </w:r>
      <w:r w:rsidR="00861EF1" w:rsidRPr="004F30BD">
        <w:t xml:space="preserve">CRICOS and </w:t>
      </w:r>
      <w:r w:rsidR="008D234B" w:rsidRPr="004F30BD">
        <w:t>r</w:t>
      </w:r>
      <w:r w:rsidR="00861EF1" w:rsidRPr="004F30BD">
        <w:t>e-registration</w:t>
      </w:r>
    </w:p>
    <w:p w14:paraId="7EAEA17C" w14:textId="77777777" w:rsidR="00861EF1" w:rsidRPr="004F30BD" w:rsidRDefault="00EB678B" w:rsidP="00A06284">
      <w:pPr>
        <w:pStyle w:val="ListParagraph"/>
        <w:numPr>
          <w:ilvl w:val="0"/>
          <w:numId w:val="8"/>
        </w:numPr>
        <w:spacing w:before="60"/>
        <w:ind w:right="1080"/>
        <w:contextualSpacing w:val="0"/>
      </w:pPr>
      <w:r w:rsidRPr="004F30BD">
        <w:t>Reduce the requirement</w:t>
      </w:r>
      <w:r w:rsidR="00861EF1" w:rsidRPr="004F30BD">
        <w:t xml:space="preserve"> to submit all teaching materials for a reaccreditation </w:t>
      </w:r>
      <w:r w:rsidR="008D234B" w:rsidRPr="004F30BD">
        <w:t xml:space="preserve">at once </w:t>
      </w:r>
    </w:p>
    <w:p w14:paraId="0C76206A" w14:textId="77777777" w:rsidR="00861EF1" w:rsidRPr="004F30BD" w:rsidRDefault="00EB678B" w:rsidP="00A06284">
      <w:pPr>
        <w:pStyle w:val="ListParagraph"/>
        <w:numPr>
          <w:ilvl w:val="0"/>
          <w:numId w:val="8"/>
        </w:numPr>
        <w:spacing w:before="60"/>
        <w:ind w:right="1080"/>
        <w:contextualSpacing w:val="0"/>
      </w:pPr>
      <w:r w:rsidRPr="004F30BD">
        <w:t xml:space="preserve">Review </w:t>
      </w:r>
      <w:r w:rsidR="00861EF1" w:rsidRPr="004F30BD">
        <w:t>HEP annual report</w:t>
      </w:r>
      <w:r w:rsidRPr="004F30BD">
        <w:t xml:space="preserve">ing process </w:t>
      </w:r>
      <w:r w:rsidR="0065594F" w:rsidRPr="004F30BD">
        <w:t xml:space="preserve">/ provide </w:t>
      </w:r>
      <w:r w:rsidR="00861EF1" w:rsidRPr="004F30BD">
        <w:t>sample template or report framework to ensure only pertinent information provided</w:t>
      </w:r>
    </w:p>
    <w:p w14:paraId="2AC63A7B" w14:textId="77777777" w:rsidR="00861EF1" w:rsidRPr="004F30BD" w:rsidRDefault="0065594F" w:rsidP="00A06284">
      <w:pPr>
        <w:pStyle w:val="ListParagraph"/>
        <w:numPr>
          <w:ilvl w:val="0"/>
          <w:numId w:val="8"/>
        </w:numPr>
        <w:spacing w:before="60"/>
        <w:ind w:right="1080"/>
        <w:contextualSpacing w:val="0"/>
      </w:pPr>
      <w:r w:rsidRPr="004F30BD">
        <w:t xml:space="preserve">Provide feedback on </w:t>
      </w:r>
      <w:r w:rsidR="008D234B" w:rsidRPr="004F30BD">
        <w:t xml:space="preserve">quality of </w:t>
      </w:r>
      <w:r w:rsidRPr="004F30BD">
        <w:t>provider reports or submissions</w:t>
      </w:r>
    </w:p>
    <w:p w14:paraId="11BE4E76" w14:textId="77777777" w:rsidR="00861EF1" w:rsidRPr="004F30BD" w:rsidRDefault="008D234B" w:rsidP="00A06284">
      <w:pPr>
        <w:pStyle w:val="ListParagraph"/>
        <w:numPr>
          <w:ilvl w:val="0"/>
          <w:numId w:val="8"/>
        </w:numPr>
        <w:spacing w:before="60"/>
        <w:ind w:right="1080"/>
        <w:contextualSpacing w:val="0"/>
      </w:pPr>
      <w:r w:rsidRPr="004F30BD">
        <w:t>Provide c</w:t>
      </w:r>
      <w:r w:rsidR="00861EF1" w:rsidRPr="004F30BD">
        <w:t>learer explanation of what TEQSA expects for student staffing ratios, and / or permanent to casual staffing ratios</w:t>
      </w:r>
    </w:p>
    <w:p w14:paraId="4CD4CD2C" w14:textId="77777777" w:rsidR="00902DF2" w:rsidRPr="004F30BD" w:rsidRDefault="0065594F" w:rsidP="00A06284">
      <w:pPr>
        <w:pStyle w:val="ListParagraph"/>
        <w:numPr>
          <w:ilvl w:val="0"/>
          <w:numId w:val="8"/>
        </w:numPr>
        <w:spacing w:before="60"/>
        <w:ind w:right="1080"/>
        <w:contextualSpacing w:val="0"/>
      </w:pPr>
      <w:r w:rsidRPr="004F30BD">
        <w:t>Operate with</w:t>
      </w:r>
      <w:r w:rsidR="00861EF1" w:rsidRPr="004F30BD">
        <w:t xml:space="preserve"> real time data to enable current risk ratings to be more meaningful</w:t>
      </w:r>
      <w:r w:rsidRPr="004F30BD">
        <w:t xml:space="preserve"> / risk assessment data very dated</w:t>
      </w:r>
      <w:r w:rsidR="008D234B" w:rsidRPr="004F30BD">
        <w:t>.</w:t>
      </w:r>
    </w:p>
    <w:p w14:paraId="1ACFF5B1" w14:textId="77777777" w:rsidR="00062ABB" w:rsidRPr="004F30BD" w:rsidRDefault="00062ABB">
      <w:pPr>
        <w:spacing w:before="0" w:line="240" w:lineRule="auto"/>
        <w:ind w:right="0"/>
        <w:rPr>
          <w:b/>
          <w:color w:val="00376E"/>
          <w:sz w:val="32"/>
        </w:rPr>
      </w:pPr>
      <w:bookmarkStart w:id="26" w:name="_Toc457919434"/>
      <w:r w:rsidRPr="004F30BD">
        <w:br w:type="page"/>
      </w:r>
    </w:p>
    <w:p w14:paraId="37113F93" w14:textId="77777777" w:rsidR="00340229" w:rsidRPr="004F30BD" w:rsidRDefault="00340229" w:rsidP="00340229">
      <w:pPr>
        <w:pStyle w:val="Heading2"/>
      </w:pPr>
      <w:bookmarkStart w:id="27" w:name="_Toc22298030"/>
      <w:r w:rsidRPr="004F30BD">
        <w:lastRenderedPageBreak/>
        <w:t>Sector risks</w:t>
      </w:r>
      <w:bookmarkEnd w:id="27"/>
    </w:p>
    <w:p w14:paraId="2BC0ADB1" w14:textId="17933D42" w:rsidR="00686436" w:rsidRPr="004F30BD" w:rsidRDefault="00340229" w:rsidP="00EB678B">
      <w:pPr>
        <w:spacing w:after="120"/>
      </w:pPr>
      <w:r w:rsidRPr="004F30BD">
        <w:t xml:space="preserve">Providers were asked to </w:t>
      </w:r>
      <w:r w:rsidR="00D42C76" w:rsidRPr="004F30BD">
        <w:t>indicate the level of threat</w:t>
      </w:r>
      <w:r w:rsidR="008B4E03" w:rsidRPr="004F30BD">
        <w:t xml:space="preserve"> </w:t>
      </w:r>
      <w:r w:rsidR="00D42C76" w:rsidRPr="004F30BD">
        <w:t xml:space="preserve">to the strength and reputation of the sector of </w:t>
      </w:r>
      <w:r w:rsidR="005D6ECF">
        <w:t>risks</w:t>
      </w:r>
      <w:r w:rsidR="005D6ECF" w:rsidRPr="004F30BD">
        <w:t xml:space="preserve"> </w:t>
      </w:r>
      <w:r w:rsidR="008B4E03" w:rsidRPr="004F30BD">
        <w:t xml:space="preserve">identified in </w:t>
      </w:r>
      <w:r w:rsidR="00D42C76" w:rsidRPr="004F30BD">
        <w:t xml:space="preserve">the </w:t>
      </w:r>
      <w:r w:rsidR="008B4E03" w:rsidRPr="004F30BD">
        <w:t>2018</w:t>
      </w:r>
      <w:r w:rsidR="00D42C76" w:rsidRPr="004F30BD">
        <w:t xml:space="preserve"> survey</w:t>
      </w:r>
      <w:r w:rsidR="008B4E03" w:rsidRPr="004F30BD">
        <w:t>.</w:t>
      </w:r>
      <w:r w:rsidR="00EB678B" w:rsidRPr="004F30BD">
        <w:t xml:space="preserve"> </w:t>
      </w:r>
      <w:bookmarkStart w:id="28" w:name="_Hlk17989342"/>
      <w:r w:rsidR="00686436" w:rsidRPr="004F30BD">
        <w:t xml:space="preserve">The </w:t>
      </w:r>
      <w:r w:rsidR="005D6ECF">
        <w:t>risks</w:t>
      </w:r>
      <w:r w:rsidR="005D6ECF" w:rsidRPr="004F30BD">
        <w:t xml:space="preserve"> </w:t>
      </w:r>
      <w:r w:rsidR="00D42C76" w:rsidRPr="004F30BD">
        <w:t>with the highest perceived threat</w:t>
      </w:r>
      <w:r w:rsidR="00686436" w:rsidRPr="004F30BD">
        <w:t xml:space="preserve"> </w:t>
      </w:r>
      <w:r w:rsidR="00D42C76" w:rsidRPr="004F30BD">
        <w:t xml:space="preserve">(more than 40% indicated high threat level) </w:t>
      </w:r>
      <w:r w:rsidR="00686436" w:rsidRPr="004F30BD">
        <w:t>were:</w:t>
      </w:r>
      <w:r w:rsidRPr="004F30BD">
        <w:t xml:space="preserve"> </w:t>
      </w:r>
    </w:p>
    <w:p w14:paraId="19D41720" w14:textId="77777777" w:rsidR="00686436" w:rsidRPr="004F30BD" w:rsidRDefault="00686436" w:rsidP="00A06284">
      <w:pPr>
        <w:pStyle w:val="ListParagraph"/>
        <w:numPr>
          <w:ilvl w:val="0"/>
          <w:numId w:val="19"/>
        </w:numPr>
        <w:spacing w:before="60"/>
        <w:ind w:right="1080"/>
        <w:contextualSpacing w:val="0"/>
      </w:pPr>
      <w:r w:rsidRPr="004F30BD">
        <w:t>Contract cheating</w:t>
      </w:r>
      <w:bookmarkEnd w:id="28"/>
    </w:p>
    <w:p w14:paraId="7887E676" w14:textId="77777777" w:rsidR="00686436" w:rsidRPr="004F30BD" w:rsidRDefault="00686436" w:rsidP="00A06284">
      <w:pPr>
        <w:pStyle w:val="ListParagraph"/>
        <w:numPr>
          <w:ilvl w:val="0"/>
          <w:numId w:val="19"/>
        </w:numPr>
        <w:spacing w:before="60"/>
        <w:ind w:right="1080"/>
        <w:contextualSpacing w:val="0"/>
      </w:pPr>
      <w:r w:rsidRPr="004F30BD">
        <w:t>Cyber security</w:t>
      </w:r>
    </w:p>
    <w:p w14:paraId="10A133C8" w14:textId="77777777" w:rsidR="00686436" w:rsidRPr="004F30BD" w:rsidRDefault="00686436" w:rsidP="00A06284">
      <w:pPr>
        <w:pStyle w:val="ListParagraph"/>
        <w:numPr>
          <w:ilvl w:val="0"/>
          <w:numId w:val="19"/>
        </w:numPr>
        <w:spacing w:before="60"/>
        <w:ind w:right="1080"/>
        <w:contextualSpacing w:val="0"/>
      </w:pPr>
      <w:r w:rsidRPr="004F30BD">
        <w:t>Stereotyping of private providers.</w:t>
      </w:r>
    </w:p>
    <w:p w14:paraId="134C3D53" w14:textId="77777777" w:rsidR="00686436" w:rsidRPr="004F30BD" w:rsidRDefault="00686436" w:rsidP="00340229">
      <w:r w:rsidRPr="004F30BD">
        <w:t>The item with the lowest level of perceived risk to the sector was micro-credentials.</w:t>
      </w:r>
      <w:r w:rsidR="00EB678B" w:rsidRPr="004F30BD">
        <w:t xml:space="preserve"> Refer to the chart below.</w:t>
      </w:r>
    </w:p>
    <w:p w14:paraId="6ED95F6F" w14:textId="77777777" w:rsidR="003502DC" w:rsidRPr="004F30BD" w:rsidRDefault="008B4E03" w:rsidP="003502DC">
      <w:pPr>
        <w:sectPr w:rsidR="003502DC" w:rsidRPr="004F30BD" w:rsidSect="007C5F26">
          <w:footerReference w:type="default" r:id="rId26"/>
          <w:pgSz w:w="11899" w:h="16838" w:code="9"/>
          <w:pgMar w:top="1531" w:right="567" w:bottom="1134" w:left="1701" w:header="0" w:footer="454" w:gutter="0"/>
          <w:pgNumType w:start="1"/>
          <w:cols w:space="720"/>
        </w:sectPr>
      </w:pPr>
      <w:r w:rsidRPr="004F30BD">
        <w:rPr>
          <w:noProof/>
          <w:shd w:val="clear" w:color="auto" w:fill="00386E"/>
          <w:lang w:eastAsia="en-AU"/>
        </w:rPr>
        <w:drawing>
          <wp:inline distT="0" distB="0" distL="0" distR="0" wp14:anchorId="4C19FB94" wp14:editId="1BD53BA1">
            <wp:extent cx="6000750" cy="6105525"/>
            <wp:effectExtent l="0" t="0" r="0" b="0"/>
            <wp:docPr id="39" name="Chart 39">
              <a:extLst xmlns:a="http://schemas.openxmlformats.org/drawingml/2006/main">
                <a:ext uri="{FF2B5EF4-FFF2-40B4-BE49-F238E27FC236}">
                  <a16:creationId xmlns:a16="http://schemas.microsoft.com/office/drawing/2014/main" id="{6FE4C25B-388C-49E6-B922-2D382BBDA5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3502DC" w:rsidRPr="004F30BD">
        <w:rPr>
          <w:i/>
        </w:rPr>
        <w:t>.</w:t>
      </w:r>
    </w:p>
    <w:p w14:paraId="242F0DB4" w14:textId="77777777" w:rsidR="003502DC" w:rsidRPr="004F30BD" w:rsidRDefault="003502DC" w:rsidP="00835A71">
      <w:pPr>
        <w:pStyle w:val="Heading3"/>
      </w:pPr>
      <w:r w:rsidRPr="004F30BD">
        <w:rPr>
          <w:lang w:eastAsia="en-AU"/>
        </w:rPr>
        <w:lastRenderedPageBreak/>
        <w:t>Sector risks by market groupings</w:t>
      </w:r>
    </w:p>
    <w:p w14:paraId="3C2D66EA" w14:textId="77777777" w:rsidR="00432037" w:rsidRPr="004F30BD" w:rsidRDefault="00973DAD" w:rsidP="00973DAD">
      <w:pPr>
        <w:ind w:right="-2"/>
        <w:rPr>
          <w:lang w:eastAsia="en-AU"/>
        </w:rPr>
      </w:pPr>
      <w:r w:rsidRPr="004F30BD">
        <w:rPr>
          <w:lang w:eastAsia="en-AU"/>
        </w:rPr>
        <w:t xml:space="preserve">The table below shows the perceived threat level for each sector risk based on average (mean) threat ratings for each market grouping. To generate a mean threat level, each threat level was weighted (x6 for high threat, x4 for medium threat and x2 for low threat) and then the average calculated using the proportion of respondents that chose a particular threat level for each risk. Scores in the table below will be somewhere between 6 (high) and </w:t>
      </w:r>
      <w:r w:rsidR="00F35799" w:rsidRPr="004F30BD">
        <w:rPr>
          <w:lang w:eastAsia="en-AU"/>
        </w:rPr>
        <w:t>2</w:t>
      </w:r>
      <w:r w:rsidRPr="004F30BD">
        <w:rPr>
          <w:lang w:eastAsia="en-AU"/>
        </w:rPr>
        <w:t xml:space="preserve"> (low).</w:t>
      </w:r>
      <w:r w:rsidR="00F35799" w:rsidRPr="004F30BD">
        <w:rPr>
          <w:lang w:eastAsia="en-AU"/>
        </w:rPr>
        <w:t xml:space="preserve"> Any number above 4.5 should be treated as high threat and </w:t>
      </w:r>
      <w:r w:rsidR="00432037" w:rsidRPr="004F30BD">
        <w:rPr>
          <w:lang w:eastAsia="en-AU"/>
        </w:rPr>
        <w:t xml:space="preserve">these </w:t>
      </w:r>
      <w:r w:rsidR="00F35799" w:rsidRPr="004F30BD">
        <w:rPr>
          <w:lang w:eastAsia="en-AU"/>
        </w:rPr>
        <w:t xml:space="preserve">have been </w:t>
      </w:r>
      <w:r w:rsidR="00F35799" w:rsidRPr="004F30BD">
        <w:rPr>
          <w:b/>
          <w:bCs/>
          <w:lang w:eastAsia="en-AU"/>
        </w:rPr>
        <w:t>bolded</w:t>
      </w:r>
      <w:r w:rsidR="00432037" w:rsidRPr="004F30BD">
        <w:rPr>
          <w:lang w:eastAsia="en-AU"/>
        </w:rPr>
        <w:t>; treat</w:t>
      </w:r>
      <w:r w:rsidR="00F35799" w:rsidRPr="004F30BD">
        <w:rPr>
          <w:lang w:eastAsia="en-AU"/>
        </w:rPr>
        <w:t xml:space="preserve"> 3.5 to 4.5 as medium</w:t>
      </w:r>
      <w:r w:rsidR="00432037" w:rsidRPr="004F30BD">
        <w:rPr>
          <w:lang w:eastAsia="en-AU"/>
        </w:rPr>
        <w:t>;</w:t>
      </w:r>
      <w:r w:rsidR="00F35799" w:rsidRPr="004F30BD">
        <w:rPr>
          <w:lang w:eastAsia="en-AU"/>
        </w:rPr>
        <w:t xml:space="preserve"> and</w:t>
      </w:r>
      <w:r w:rsidR="00432037" w:rsidRPr="004F30BD">
        <w:rPr>
          <w:lang w:eastAsia="en-AU"/>
        </w:rPr>
        <w:t xml:space="preserve"> treat anything </w:t>
      </w:r>
      <w:r w:rsidR="00F35799" w:rsidRPr="004F30BD">
        <w:rPr>
          <w:lang w:eastAsia="en-AU"/>
        </w:rPr>
        <w:t xml:space="preserve">less than 3.5 as low threat. </w:t>
      </w:r>
    </w:p>
    <w:p w14:paraId="34D20583" w14:textId="77777777" w:rsidR="00973DAD" w:rsidRPr="004F30BD" w:rsidRDefault="00F35799" w:rsidP="00973DAD">
      <w:pPr>
        <w:ind w:right="-2"/>
        <w:rPr>
          <w:lang w:eastAsia="en-AU"/>
        </w:rPr>
      </w:pPr>
      <w:r w:rsidRPr="004F30BD">
        <w:rPr>
          <w:i/>
          <w:iCs/>
          <w:lang w:eastAsia="en-AU"/>
        </w:rPr>
        <w:t>Don’t know/no answer</w:t>
      </w:r>
      <w:r w:rsidRPr="004F30BD">
        <w:rPr>
          <w:lang w:eastAsia="en-AU"/>
        </w:rPr>
        <w:t xml:space="preserve"> answers have been excluded from mean calculations, so the valid n count will vary for each threat within a group. The maximum n count for each group is shown in a column header.</w:t>
      </w:r>
    </w:p>
    <w:p w14:paraId="782A38A5" w14:textId="06A1BBA9" w:rsidR="00F35799" w:rsidRPr="004F30BD" w:rsidRDefault="00973DAD" w:rsidP="00F35799">
      <w:pPr>
        <w:spacing w:after="120"/>
        <w:ind w:right="-2"/>
        <w:rPr>
          <w:rFonts w:eastAsia="Times New Roman" w:cs="Calibri"/>
          <w:color w:val="000000"/>
          <w:szCs w:val="16"/>
          <w:lang w:eastAsia="en-AU"/>
        </w:rPr>
      </w:pPr>
      <w:r w:rsidRPr="004F30BD">
        <w:rPr>
          <w:lang w:eastAsia="en-AU"/>
        </w:rPr>
        <w:t xml:space="preserve">There were few differences in ratings of sector risks that were statistically significant. </w:t>
      </w:r>
      <w:r w:rsidRPr="004F30BD">
        <w:rPr>
          <w:i/>
          <w:iCs/>
          <w:lang w:eastAsia="en-AU"/>
        </w:rPr>
        <w:t>Stereotyping of private providers</w:t>
      </w:r>
      <w:r w:rsidRPr="004F30BD">
        <w:rPr>
          <w:lang w:eastAsia="en-AU"/>
        </w:rPr>
        <w:t xml:space="preserve"> was perceived as a much greater threat by all market groups with the exception of universities</w:t>
      </w:r>
      <w:r w:rsidRPr="004F30BD">
        <w:rPr>
          <w:rFonts w:eastAsia="Times New Roman" w:cs="Calibri"/>
          <w:color w:val="000000"/>
          <w:szCs w:val="16"/>
          <w:lang w:eastAsia="en-AU"/>
        </w:rPr>
        <w:t xml:space="preserve">. </w:t>
      </w:r>
      <w:r w:rsidR="005D6ECF">
        <w:rPr>
          <w:rFonts w:eastAsia="Times New Roman" w:cs="Calibri"/>
          <w:color w:val="000000"/>
          <w:szCs w:val="16"/>
          <w:lang w:eastAsia="en-AU"/>
        </w:rPr>
        <w:t>P</w:t>
      </w:r>
      <w:r w:rsidRPr="004F30BD">
        <w:rPr>
          <w:rFonts w:eastAsia="Times New Roman" w:cs="Calibri"/>
          <w:color w:val="000000"/>
          <w:szCs w:val="16"/>
          <w:lang w:eastAsia="en-AU"/>
        </w:rPr>
        <w:t xml:space="preserve">rofit and prospective HEPs </w:t>
      </w:r>
      <w:r w:rsidR="00F35799" w:rsidRPr="004F30BD">
        <w:rPr>
          <w:rFonts w:eastAsia="Times New Roman" w:cs="Calibri"/>
          <w:color w:val="000000"/>
          <w:szCs w:val="16"/>
          <w:lang w:eastAsia="en-AU"/>
        </w:rPr>
        <w:t>indicated a number of higher threats than the other market groups, as shown with the yellow highlights in the table below.</w:t>
      </w:r>
    </w:p>
    <w:p w14:paraId="06CC0BC7" w14:textId="77777777" w:rsidR="00432037" w:rsidRPr="004F30BD" w:rsidRDefault="00F35799" w:rsidP="00F35799">
      <w:pPr>
        <w:spacing w:after="120"/>
        <w:ind w:right="-2"/>
        <w:rPr>
          <w:rFonts w:eastAsia="Times New Roman" w:cs="Calibri"/>
          <w:color w:val="000000"/>
          <w:szCs w:val="16"/>
          <w:lang w:eastAsia="en-AU"/>
        </w:rPr>
      </w:pPr>
      <w:r w:rsidRPr="004F30BD">
        <w:rPr>
          <w:rFonts w:eastAsia="Times New Roman" w:cs="Calibri"/>
          <w:color w:val="000000"/>
          <w:szCs w:val="16"/>
          <w:lang w:eastAsia="en-AU"/>
        </w:rPr>
        <w:t xml:space="preserve">This analysis needs to be interpreted </w:t>
      </w:r>
      <w:r w:rsidR="00835A71" w:rsidRPr="004F30BD">
        <w:rPr>
          <w:rFonts w:eastAsia="Times New Roman" w:cs="Calibri"/>
          <w:color w:val="000000"/>
          <w:szCs w:val="16"/>
          <w:lang w:eastAsia="en-AU"/>
        </w:rPr>
        <w:t>keeping in mind</w:t>
      </w:r>
      <w:r w:rsidRPr="004F30BD">
        <w:rPr>
          <w:rFonts w:eastAsia="Times New Roman" w:cs="Calibri"/>
          <w:color w:val="000000"/>
          <w:szCs w:val="16"/>
          <w:lang w:eastAsia="en-AU"/>
        </w:rPr>
        <w:t xml:space="preserve"> that there are extremely small sample sizes for each group, that is, </w:t>
      </w:r>
      <w:r w:rsidR="00835A71" w:rsidRPr="004F30BD">
        <w:rPr>
          <w:rFonts w:eastAsia="Times New Roman" w:cs="Calibri"/>
          <w:color w:val="000000"/>
          <w:szCs w:val="16"/>
          <w:lang w:eastAsia="en-AU"/>
        </w:rPr>
        <w:t>the following figures are</w:t>
      </w:r>
      <w:r w:rsidRPr="004F30BD">
        <w:rPr>
          <w:rFonts w:eastAsia="Times New Roman" w:cs="Calibri"/>
          <w:color w:val="000000"/>
          <w:szCs w:val="16"/>
          <w:lang w:eastAsia="en-AU"/>
        </w:rPr>
        <w:t xml:space="preserve"> only roughly indicative, and therefore should not be used to make major decisions.</w:t>
      </w:r>
    </w:p>
    <w:p w14:paraId="5CEC9241" w14:textId="77777777" w:rsidR="00432037" w:rsidRPr="004F30BD" w:rsidRDefault="00432037">
      <w:pPr>
        <w:spacing w:before="0" w:line="240" w:lineRule="auto"/>
        <w:ind w:right="0"/>
        <w:rPr>
          <w:rFonts w:eastAsia="Times New Roman" w:cs="Calibri"/>
          <w:color w:val="000000"/>
          <w:szCs w:val="16"/>
          <w:lang w:eastAsia="en-AU"/>
        </w:rPr>
      </w:pPr>
      <w:r w:rsidRPr="004F30BD">
        <w:rPr>
          <w:rFonts w:eastAsia="Times New Roman" w:cs="Calibri"/>
          <w:color w:val="000000"/>
          <w:szCs w:val="16"/>
          <w:lang w:eastAsia="en-AU"/>
        </w:rPr>
        <w:br w:type="page"/>
      </w:r>
    </w:p>
    <w:p w14:paraId="7AB3B3F5" w14:textId="77777777" w:rsidR="00973DAD" w:rsidRPr="004F30BD" w:rsidRDefault="00973DAD" w:rsidP="00F35799">
      <w:pPr>
        <w:spacing w:after="120"/>
        <w:ind w:right="-2"/>
        <w:rPr>
          <w:lang w:eastAsia="en-AU"/>
        </w:rPr>
      </w:pPr>
    </w:p>
    <w:p w14:paraId="5B0BB0DE" w14:textId="77777777" w:rsidR="00973DAD" w:rsidRPr="004F30BD" w:rsidRDefault="00973DAD" w:rsidP="00973DAD">
      <w:pPr>
        <w:spacing w:before="60" w:after="60"/>
        <w:rPr>
          <w:highlight w:val="yellow"/>
        </w:rPr>
      </w:pPr>
      <w:r w:rsidRPr="004F30BD">
        <w:rPr>
          <w:i/>
        </w:rPr>
        <w:t xml:space="preserve">Significantly higher results highlighted in </w:t>
      </w:r>
      <w:r w:rsidRPr="004F30BD">
        <w:rPr>
          <w:i/>
          <w:highlight w:val="yellow"/>
        </w:rPr>
        <w:t>yellow.</w:t>
      </w:r>
    </w:p>
    <w:tbl>
      <w:tblPr>
        <w:tblW w:w="14185" w:type="dxa"/>
        <w:tblLayout w:type="fixed"/>
        <w:tblCellMar>
          <w:left w:w="0" w:type="dxa"/>
          <w:right w:w="0" w:type="dxa"/>
        </w:tblCellMar>
        <w:tblLook w:val="04A0" w:firstRow="1" w:lastRow="0" w:firstColumn="1" w:lastColumn="0" w:noHBand="0" w:noVBand="1"/>
      </w:tblPr>
      <w:tblGrid>
        <w:gridCol w:w="5130"/>
        <w:gridCol w:w="1509"/>
        <w:gridCol w:w="1509"/>
        <w:gridCol w:w="1509"/>
        <w:gridCol w:w="1509"/>
        <w:gridCol w:w="1509"/>
        <w:gridCol w:w="1510"/>
      </w:tblGrid>
      <w:tr w:rsidR="00973DAD" w:rsidRPr="004F30BD" w14:paraId="2EE7006F" w14:textId="77777777" w:rsidTr="008A5E67">
        <w:trPr>
          <w:trHeight w:val="174"/>
          <w:tblHeader/>
        </w:trPr>
        <w:tc>
          <w:tcPr>
            <w:tcW w:w="5130" w:type="dxa"/>
            <w:tcBorders>
              <w:top w:val="nil"/>
              <w:left w:val="nil"/>
            </w:tcBorders>
            <w:shd w:val="clear" w:color="auto" w:fill="00386E"/>
            <w:tcMar>
              <w:top w:w="15" w:type="dxa"/>
              <w:left w:w="15" w:type="dxa"/>
              <w:bottom w:w="0" w:type="dxa"/>
              <w:right w:w="15" w:type="dxa"/>
            </w:tcMar>
            <w:vAlign w:val="center"/>
          </w:tcPr>
          <w:p w14:paraId="6A8D2005" w14:textId="77777777" w:rsidR="00973DAD" w:rsidRPr="004F30BD" w:rsidRDefault="00973DAD" w:rsidP="00F35799">
            <w:pPr>
              <w:spacing w:before="0" w:line="240" w:lineRule="auto"/>
              <w:ind w:right="0"/>
              <w:rPr>
                <w:rFonts w:eastAsia="Times New Roman" w:cs="Calibri"/>
                <w:color w:val="FFFFFF"/>
                <w:szCs w:val="18"/>
                <w:lang w:eastAsia="en-AU"/>
              </w:rPr>
            </w:pPr>
          </w:p>
        </w:tc>
        <w:tc>
          <w:tcPr>
            <w:tcW w:w="9055" w:type="dxa"/>
            <w:gridSpan w:val="6"/>
            <w:shd w:val="clear" w:color="auto" w:fill="00386E"/>
            <w:noWrap/>
            <w:tcMar>
              <w:top w:w="15" w:type="dxa"/>
              <w:left w:w="15" w:type="dxa"/>
              <w:bottom w:w="0" w:type="dxa"/>
              <w:right w:w="15" w:type="dxa"/>
            </w:tcMar>
            <w:vAlign w:val="center"/>
          </w:tcPr>
          <w:p w14:paraId="431244D2" w14:textId="77777777" w:rsidR="00973DAD" w:rsidRPr="004F30BD" w:rsidRDefault="00973DAD" w:rsidP="00F35799">
            <w:pPr>
              <w:spacing w:before="0" w:line="240" w:lineRule="auto"/>
              <w:ind w:right="0"/>
              <w:jc w:val="center"/>
              <w:rPr>
                <w:rFonts w:eastAsia="Times New Roman" w:cs="Calibri"/>
                <w:szCs w:val="18"/>
                <w:lang w:eastAsia="en-AU"/>
              </w:rPr>
            </w:pPr>
            <w:r w:rsidRPr="004F30BD">
              <w:rPr>
                <w:rFonts w:eastAsia="Times New Roman"/>
                <w:color w:val="FFFFFF"/>
                <w:szCs w:val="18"/>
                <w:lang w:eastAsia="en-AU"/>
              </w:rPr>
              <w:t>MARKET GROUPINGS^ - MEAN THREAT LEVEL</w:t>
            </w:r>
          </w:p>
        </w:tc>
      </w:tr>
      <w:tr w:rsidR="00973DAD" w:rsidRPr="004F30BD" w14:paraId="1FCFC1B4" w14:textId="77777777" w:rsidTr="008A5E67">
        <w:trPr>
          <w:trHeight w:val="291"/>
          <w:tblHeader/>
        </w:trPr>
        <w:tc>
          <w:tcPr>
            <w:tcW w:w="5130" w:type="dxa"/>
            <w:tcBorders>
              <w:top w:val="nil"/>
              <w:left w:val="nil"/>
            </w:tcBorders>
            <w:shd w:val="clear" w:color="auto" w:fill="00386E"/>
            <w:tcMar>
              <w:top w:w="15" w:type="dxa"/>
              <w:left w:w="15" w:type="dxa"/>
              <w:bottom w:w="0" w:type="dxa"/>
              <w:right w:w="15" w:type="dxa"/>
            </w:tcMar>
            <w:vAlign w:val="center"/>
            <w:hideMark/>
          </w:tcPr>
          <w:p w14:paraId="6F087B7D" w14:textId="77777777" w:rsidR="00973DAD" w:rsidRPr="004F30BD" w:rsidRDefault="00973DAD" w:rsidP="00F35799">
            <w:pPr>
              <w:spacing w:before="0" w:line="240" w:lineRule="auto"/>
              <w:ind w:right="0"/>
              <w:rPr>
                <w:rFonts w:eastAsia="Times New Roman" w:cs="Calibri"/>
                <w:color w:val="FFFFFF"/>
                <w:szCs w:val="18"/>
                <w:lang w:eastAsia="en-AU"/>
              </w:rPr>
            </w:pPr>
            <w:r w:rsidRPr="004F30BD">
              <w:rPr>
                <w:rFonts w:eastAsia="Times New Roman"/>
                <w:color w:val="FFFFFF"/>
                <w:szCs w:val="18"/>
                <w:lang w:eastAsia="en-AU"/>
              </w:rPr>
              <w:t>TOPIC / ITEM</w:t>
            </w:r>
          </w:p>
          <w:p w14:paraId="33764A18" w14:textId="77777777" w:rsidR="00973DAD" w:rsidRPr="004F30BD" w:rsidRDefault="00973DAD" w:rsidP="00F35799">
            <w:pPr>
              <w:spacing w:before="0" w:line="240" w:lineRule="auto"/>
              <w:ind w:right="0"/>
              <w:rPr>
                <w:rFonts w:eastAsia="Times New Roman" w:cs="Calibri"/>
                <w:color w:val="FFFFFF"/>
                <w:szCs w:val="18"/>
                <w:lang w:eastAsia="en-AU"/>
              </w:rPr>
            </w:pPr>
            <w:r w:rsidRPr="004F30BD">
              <w:rPr>
                <w:rFonts w:eastAsia="Times New Roman" w:cs="Calibri"/>
                <w:color w:val="FFFFFF"/>
                <w:szCs w:val="18"/>
                <w:lang w:eastAsia="en-AU"/>
              </w:rPr>
              <w:t> </w:t>
            </w:r>
          </w:p>
        </w:tc>
        <w:tc>
          <w:tcPr>
            <w:tcW w:w="1509" w:type="dxa"/>
            <w:shd w:val="clear" w:color="auto" w:fill="00386E"/>
            <w:noWrap/>
            <w:tcMar>
              <w:top w:w="15" w:type="dxa"/>
              <w:left w:w="15" w:type="dxa"/>
              <w:bottom w:w="0" w:type="dxa"/>
              <w:right w:w="15" w:type="dxa"/>
            </w:tcMar>
            <w:vAlign w:val="center"/>
            <w:hideMark/>
          </w:tcPr>
          <w:p w14:paraId="5C0552E8" w14:textId="77777777" w:rsidR="00973DAD" w:rsidRPr="004F30BD" w:rsidRDefault="00973DAD" w:rsidP="00F35799">
            <w:pPr>
              <w:spacing w:before="0" w:line="240" w:lineRule="auto"/>
              <w:ind w:right="0"/>
              <w:jc w:val="center"/>
              <w:rPr>
                <w:rFonts w:eastAsia="Times New Roman" w:cs="Calibri"/>
                <w:color w:val="FFFFFF"/>
                <w:szCs w:val="18"/>
                <w:lang w:eastAsia="en-AU"/>
              </w:rPr>
            </w:pPr>
            <w:r w:rsidRPr="004F30BD">
              <w:rPr>
                <w:rFonts w:eastAsia="Times New Roman" w:cs="Calibri"/>
                <w:szCs w:val="18"/>
                <w:lang w:eastAsia="en-AU"/>
              </w:rPr>
              <w:t>Faith based</w:t>
            </w:r>
          </w:p>
          <w:p w14:paraId="534A8677" w14:textId="77777777" w:rsidR="00973DAD" w:rsidRPr="004F30BD" w:rsidRDefault="00973DAD" w:rsidP="00F35799">
            <w:pPr>
              <w:spacing w:before="0" w:line="240" w:lineRule="auto"/>
              <w:ind w:right="0"/>
              <w:jc w:val="center"/>
              <w:rPr>
                <w:rFonts w:eastAsia="Times New Roman" w:cs="Calibri"/>
                <w:color w:val="FFFFFF"/>
                <w:szCs w:val="18"/>
                <w:lang w:eastAsia="en-AU"/>
              </w:rPr>
            </w:pPr>
            <w:r w:rsidRPr="004F30BD">
              <w:rPr>
                <w:rFonts w:eastAsia="Times New Roman" w:cs="Calibri"/>
                <w:szCs w:val="18"/>
                <w:lang w:eastAsia="en-AU"/>
              </w:rPr>
              <w:t>n=11^</w:t>
            </w:r>
          </w:p>
        </w:tc>
        <w:tc>
          <w:tcPr>
            <w:tcW w:w="1509" w:type="dxa"/>
            <w:shd w:val="clear" w:color="auto" w:fill="00386E"/>
            <w:tcMar>
              <w:top w:w="15" w:type="dxa"/>
              <w:left w:w="15" w:type="dxa"/>
              <w:bottom w:w="0" w:type="dxa"/>
              <w:right w:w="15" w:type="dxa"/>
            </w:tcMar>
            <w:vAlign w:val="center"/>
            <w:hideMark/>
          </w:tcPr>
          <w:p w14:paraId="6D156A8E" w14:textId="77777777" w:rsidR="00973DAD" w:rsidRPr="004F30BD" w:rsidRDefault="00973DAD" w:rsidP="00F35799">
            <w:pPr>
              <w:spacing w:before="0" w:line="240" w:lineRule="auto"/>
              <w:ind w:right="0"/>
              <w:jc w:val="center"/>
              <w:rPr>
                <w:rFonts w:eastAsia="Times New Roman" w:cs="Calibri"/>
                <w:szCs w:val="18"/>
                <w:lang w:eastAsia="en-AU"/>
              </w:rPr>
            </w:pPr>
            <w:r w:rsidRPr="004F30BD">
              <w:rPr>
                <w:rFonts w:eastAsia="Times New Roman" w:cs="Calibri"/>
                <w:szCs w:val="18"/>
                <w:lang w:eastAsia="en-AU"/>
              </w:rPr>
              <w:t>Miscellaneous#</w:t>
            </w:r>
          </w:p>
          <w:p w14:paraId="69A5B5EE" w14:textId="77777777" w:rsidR="00973DAD" w:rsidRPr="004F30BD" w:rsidRDefault="00973DAD" w:rsidP="00F35799">
            <w:pPr>
              <w:spacing w:before="0" w:line="240" w:lineRule="auto"/>
              <w:ind w:right="0"/>
              <w:jc w:val="center"/>
              <w:rPr>
                <w:rFonts w:eastAsia="Times New Roman" w:cs="Calibri"/>
                <w:color w:val="FFFFFF"/>
                <w:szCs w:val="18"/>
                <w:lang w:eastAsia="en-AU"/>
              </w:rPr>
            </w:pPr>
            <w:r w:rsidRPr="004F30BD">
              <w:rPr>
                <w:rFonts w:eastAsia="Times New Roman" w:cs="Calibri"/>
                <w:szCs w:val="18"/>
                <w:lang w:eastAsia="en-AU"/>
              </w:rPr>
              <w:t>n=27^</w:t>
            </w:r>
          </w:p>
        </w:tc>
        <w:tc>
          <w:tcPr>
            <w:tcW w:w="1509" w:type="dxa"/>
            <w:shd w:val="clear" w:color="auto" w:fill="00386E"/>
            <w:tcMar>
              <w:top w:w="15" w:type="dxa"/>
              <w:left w:w="15" w:type="dxa"/>
              <w:bottom w:w="0" w:type="dxa"/>
              <w:right w:w="15" w:type="dxa"/>
            </w:tcMar>
            <w:vAlign w:val="center"/>
            <w:hideMark/>
          </w:tcPr>
          <w:p w14:paraId="15415E7B" w14:textId="1F1B41CA" w:rsidR="00973DAD" w:rsidRPr="004F30BD" w:rsidRDefault="00725EED" w:rsidP="00F35799">
            <w:pPr>
              <w:spacing w:before="0" w:line="240" w:lineRule="auto"/>
              <w:ind w:right="0"/>
              <w:jc w:val="center"/>
              <w:rPr>
                <w:rFonts w:eastAsia="Times New Roman" w:cs="Calibri"/>
                <w:color w:val="FFFFFF"/>
                <w:szCs w:val="18"/>
                <w:lang w:eastAsia="en-AU"/>
              </w:rPr>
            </w:pPr>
            <w:r>
              <w:rPr>
                <w:rFonts w:eastAsia="Times New Roman" w:cs="Calibri"/>
                <w:szCs w:val="18"/>
                <w:lang w:eastAsia="en-AU"/>
              </w:rPr>
              <w:t>P</w:t>
            </w:r>
            <w:r w:rsidR="00973DAD" w:rsidRPr="004F30BD">
              <w:rPr>
                <w:rFonts w:eastAsia="Times New Roman" w:cs="Calibri"/>
                <w:szCs w:val="18"/>
                <w:lang w:eastAsia="en-AU"/>
              </w:rPr>
              <w:t>rofit</w:t>
            </w:r>
          </w:p>
          <w:p w14:paraId="07D24132" w14:textId="77777777" w:rsidR="00973DAD" w:rsidRPr="004F30BD" w:rsidRDefault="00973DAD" w:rsidP="00F35799">
            <w:pPr>
              <w:spacing w:before="0" w:line="240" w:lineRule="auto"/>
              <w:ind w:right="0"/>
              <w:jc w:val="center"/>
              <w:rPr>
                <w:rFonts w:eastAsia="Times New Roman" w:cs="Calibri"/>
                <w:color w:val="FFFFFF"/>
                <w:szCs w:val="18"/>
                <w:lang w:eastAsia="en-AU"/>
              </w:rPr>
            </w:pPr>
            <w:r w:rsidRPr="004F30BD">
              <w:rPr>
                <w:rFonts w:eastAsia="Times New Roman" w:cs="Calibri"/>
                <w:szCs w:val="18"/>
                <w:lang w:eastAsia="en-AU"/>
              </w:rPr>
              <w:t>n=38</w:t>
            </w:r>
          </w:p>
        </w:tc>
        <w:tc>
          <w:tcPr>
            <w:tcW w:w="1509" w:type="dxa"/>
            <w:shd w:val="clear" w:color="auto" w:fill="00386E"/>
            <w:tcMar>
              <w:top w:w="15" w:type="dxa"/>
              <w:left w:w="15" w:type="dxa"/>
              <w:bottom w:w="0" w:type="dxa"/>
              <w:right w:w="15" w:type="dxa"/>
            </w:tcMar>
            <w:vAlign w:val="center"/>
            <w:hideMark/>
          </w:tcPr>
          <w:p w14:paraId="281BCA98" w14:textId="77777777" w:rsidR="00973DAD" w:rsidRPr="004F30BD" w:rsidRDefault="00973DAD" w:rsidP="00F35799">
            <w:pPr>
              <w:spacing w:before="0" w:line="240" w:lineRule="auto"/>
              <w:ind w:right="0"/>
              <w:jc w:val="center"/>
              <w:rPr>
                <w:rFonts w:eastAsia="Times New Roman" w:cs="Calibri"/>
                <w:color w:val="FFFFFF"/>
                <w:szCs w:val="18"/>
                <w:lang w:eastAsia="en-AU"/>
              </w:rPr>
            </w:pPr>
            <w:r w:rsidRPr="004F30BD">
              <w:rPr>
                <w:rFonts w:eastAsia="Times New Roman" w:cs="Calibri"/>
                <w:szCs w:val="18"/>
                <w:lang w:eastAsia="en-AU"/>
              </w:rPr>
              <w:t>University</w:t>
            </w:r>
          </w:p>
          <w:p w14:paraId="4D38023C" w14:textId="77777777" w:rsidR="00973DAD" w:rsidRPr="004F30BD" w:rsidRDefault="00973DAD" w:rsidP="00F35799">
            <w:pPr>
              <w:spacing w:before="0" w:line="240" w:lineRule="auto"/>
              <w:ind w:right="0"/>
              <w:jc w:val="center"/>
              <w:rPr>
                <w:rFonts w:eastAsia="Times New Roman" w:cs="Calibri"/>
                <w:color w:val="FFFFFF"/>
                <w:szCs w:val="18"/>
                <w:lang w:eastAsia="en-AU"/>
              </w:rPr>
            </w:pPr>
            <w:r w:rsidRPr="004F30BD">
              <w:rPr>
                <w:rFonts w:eastAsia="Times New Roman" w:cs="Calibri"/>
                <w:szCs w:val="18"/>
                <w:lang w:eastAsia="en-AU"/>
              </w:rPr>
              <w:t>n=35</w:t>
            </w:r>
          </w:p>
        </w:tc>
        <w:tc>
          <w:tcPr>
            <w:tcW w:w="1509" w:type="dxa"/>
            <w:shd w:val="clear" w:color="auto" w:fill="00386E"/>
            <w:tcMar>
              <w:top w:w="15" w:type="dxa"/>
              <w:left w:w="15" w:type="dxa"/>
              <w:bottom w:w="0" w:type="dxa"/>
              <w:right w:w="15" w:type="dxa"/>
            </w:tcMar>
            <w:vAlign w:val="center"/>
            <w:hideMark/>
          </w:tcPr>
          <w:p w14:paraId="78BA898A" w14:textId="77777777" w:rsidR="00973DAD" w:rsidRPr="004F30BD" w:rsidRDefault="00973DAD" w:rsidP="00F35799">
            <w:pPr>
              <w:spacing w:before="0" w:line="240" w:lineRule="auto"/>
              <w:ind w:right="0"/>
              <w:jc w:val="center"/>
              <w:rPr>
                <w:rFonts w:eastAsia="Times New Roman" w:cs="Calibri"/>
                <w:color w:val="FFFFFF"/>
                <w:szCs w:val="18"/>
                <w:lang w:eastAsia="en-AU"/>
              </w:rPr>
            </w:pPr>
            <w:r w:rsidRPr="004F30BD">
              <w:rPr>
                <w:rFonts w:eastAsia="Times New Roman" w:cs="Calibri"/>
                <w:szCs w:val="18"/>
                <w:lang w:eastAsia="en-AU"/>
              </w:rPr>
              <w:t>Other+</w:t>
            </w:r>
          </w:p>
          <w:p w14:paraId="273B79DB" w14:textId="77777777" w:rsidR="00973DAD" w:rsidRPr="004F30BD" w:rsidRDefault="00973DAD" w:rsidP="00F35799">
            <w:pPr>
              <w:spacing w:before="0" w:line="240" w:lineRule="auto"/>
              <w:ind w:right="0"/>
              <w:jc w:val="center"/>
              <w:rPr>
                <w:rFonts w:eastAsia="Times New Roman" w:cs="Calibri"/>
                <w:color w:val="FFFFFF"/>
                <w:szCs w:val="18"/>
                <w:lang w:eastAsia="en-AU"/>
              </w:rPr>
            </w:pPr>
            <w:r w:rsidRPr="004F30BD">
              <w:rPr>
                <w:rFonts w:eastAsia="Times New Roman" w:cs="Calibri"/>
                <w:szCs w:val="18"/>
                <w:lang w:eastAsia="en-AU"/>
              </w:rPr>
              <w:t>n=16^</w:t>
            </w:r>
          </w:p>
        </w:tc>
        <w:tc>
          <w:tcPr>
            <w:tcW w:w="1510" w:type="dxa"/>
            <w:shd w:val="clear" w:color="auto" w:fill="00386E"/>
            <w:tcMar>
              <w:top w:w="15" w:type="dxa"/>
              <w:left w:w="15" w:type="dxa"/>
              <w:bottom w:w="0" w:type="dxa"/>
              <w:right w:w="15" w:type="dxa"/>
            </w:tcMar>
            <w:vAlign w:val="center"/>
            <w:hideMark/>
          </w:tcPr>
          <w:p w14:paraId="2FBE90D0" w14:textId="77777777" w:rsidR="00973DAD" w:rsidRPr="004F30BD" w:rsidRDefault="00973DAD" w:rsidP="00F35799">
            <w:pPr>
              <w:spacing w:before="0" w:line="240" w:lineRule="auto"/>
              <w:ind w:right="0"/>
              <w:jc w:val="center"/>
              <w:rPr>
                <w:rFonts w:eastAsia="Times New Roman" w:cs="Calibri"/>
                <w:szCs w:val="18"/>
                <w:lang w:eastAsia="en-AU"/>
              </w:rPr>
            </w:pPr>
            <w:r w:rsidRPr="004F30BD">
              <w:rPr>
                <w:rFonts w:eastAsia="Times New Roman" w:cs="Calibri"/>
                <w:szCs w:val="18"/>
                <w:lang w:eastAsia="en-AU"/>
              </w:rPr>
              <w:t>N/A as</w:t>
            </w:r>
          </w:p>
          <w:p w14:paraId="3CC655A0" w14:textId="77777777" w:rsidR="00973DAD" w:rsidRPr="004F30BD" w:rsidRDefault="00973DAD" w:rsidP="00F35799">
            <w:pPr>
              <w:spacing w:before="0" w:line="240" w:lineRule="auto"/>
              <w:ind w:right="0"/>
              <w:jc w:val="center"/>
              <w:rPr>
                <w:rFonts w:eastAsia="Times New Roman" w:cs="Calibri"/>
                <w:color w:val="FFFFFF"/>
                <w:szCs w:val="18"/>
                <w:lang w:eastAsia="en-AU"/>
              </w:rPr>
            </w:pPr>
            <w:r w:rsidRPr="004F30BD">
              <w:rPr>
                <w:rFonts w:eastAsia="Times New Roman" w:cs="Calibri"/>
                <w:szCs w:val="18"/>
                <w:lang w:eastAsia="en-AU"/>
              </w:rPr>
              <w:t>prospective HEP n=15^</w:t>
            </w:r>
          </w:p>
        </w:tc>
      </w:tr>
      <w:tr w:rsidR="00973DAD" w:rsidRPr="004F30BD" w14:paraId="298D1C3E" w14:textId="77777777" w:rsidTr="00835A71">
        <w:trPr>
          <w:trHeight w:val="288"/>
        </w:trPr>
        <w:tc>
          <w:tcPr>
            <w:tcW w:w="5130" w:type="dxa"/>
            <w:tcBorders>
              <w:top w:val="nil"/>
              <w:left w:val="nil"/>
              <w:bottom w:val="nil"/>
              <w:right w:val="nil"/>
            </w:tcBorders>
            <w:shd w:val="clear" w:color="auto" w:fill="auto"/>
            <w:tcMar>
              <w:top w:w="15" w:type="dxa"/>
              <w:left w:w="15" w:type="dxa"/>
              <w:bottom w:w="0" w:type="dxa"/>
              <w:right w:w="15" w:type="dxa"/>
            </w:tcMar>
            <w:vAlign w:val="center"/>
            <w:hideMark/>
          </w:tcPr>
          <w:p w14:paraId="0046E36C" w14:textId="77777777" w:rsidR="00973DAD" w:rsidRPr="004F30BD" w:rsidRDefault="00973DAD" w:rsidP="00835A71">
            <w:pPr>
              <w:spacing w:before="20" w:after="20" w:line="240" w:lineRule="auto"/>
              <w:ind w:right="0"/>
              <w:rPr>
                <w:rFonts w:eastAsia="Times New Roman" w:cs="Calibri"/>
                <w:color w:val="000000"/>
                <w:szCs w:val="18"/>
                <w:lang w:eastAsia="en-AU"/>
              </w:rPr>
            </w:pPr>
            <w:r w:rsidRPr="004F30BD">
              <w:rPr>
                <w:rFonts w:eastAsia="Times New Roman" w:cs="Calibri"/>
                <w:color w:val="000000"/>
                <w:szCs w:val="18"/>
                <w:lang w:eastAsia="en-AU"/>
              </w:rPr>
              <w:t>Reliance on income from overseas students</w:t>
            </w:r>
          </w:p>
        </w:tc>
        <w:tc>
          <w:tcPr>
            <w:tcW w:w="1509" w:type="dxa"/>
            <w:tcBorders>
              <w:left w:val="nil"/>
              <w:bottom w:val="nil"/>
              <w:right w:val="nil"/>
            </w:tcBorders>
            <w:shd w:val="clear" w:color="auto" w:fill="auto"/>
            <w:noWrap/>
            <w:tcMar>
              <w:top w:w="15" w:type="dxa"/>
              <w:left w:w="15" w:type="dxa"/>
              <w:bottom w:w="0" w:type="dxa"/>
              <w:right w:w="15" w:type="dxa"/>
            </w:tcMar>
            <w:vAlign w:val="center"/>
            <w:hideMark/>
          </w:tcPr>
          <w:p w14:paraId="3A8F4F39"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4.2</w:t>
            </w:r>
          </w:p>
        </w:tc>
        <w:tc>
          <w:tcPr>
            <w:tcW w:w="1509" w:type="dxa"/>
            <w:tcBorders>
              <w:left w:val="nil"/>
              <w:bottom w:val="nil"/>
              <w:right w:val="nil"/>
            </w:tcBorders>
            <w:shd w:val="clear" w:color="auto" w:fill="auto"/>
            <w:noWrap/>
            <w:tcMar>
              <w:top w:w="15" w:type="dxa"/>
              <w:left w:w="15" w:type="dxa"/>
              <w:bottom w:w="0" w:type="dxa"/>
              <w:right w:w="15" w:type="dxa"/>
            </w:tcMar>
            <w:vAlign w:val="center"/>
            <w:hideMark/>
          </w:tcPr>
          <w:p w14:paraId="26DEFEE6" w14:textId="77777777" w:rsidR="00973DAD" w:rsidRPr="004F30BD" w:rsidRDefault="00973DAD" w:rsidP="00835A71">
            <w:pPr>
              <w:spacing w:before="0" w:line="240" w:lineRule="auto"/>
              <w:ind w:right="0"/>
              <w:jc w:val="center"/>
              <w:rPr>
                <w:rFonts w:eastAsia="Times New Roman" w:cs="Calibri"/>
                <w:b/>
                <w:bCs/>
                <w:color w:val="000000"/>
                <w:szCs w:val="18"/>
                <w:lang w:eastAsia="en-AU"/>
              </w:rPr>
            </w:pPr>
            <w:r w:rsidRPr="004F30BD">
              <w:rPr>
                <w:rFonts w:cs="Calibri"/>
                <w:b/>
                <w:bCs/>
                <w:color w:val="000000"/>
                <w:szCs w:val="18"/>
              </w:rPr>
              <w:t>4.6</w:t>
            </w:r>
          </w:p>
        </w:tc>
        <w:tc>
          <w:tcPr>
            <w:tcW w:w="1509" w:type="dxa"/>
            <w:tcBorders>
              <w:left w:val="nil"/>
              <w:bottom w:val="nil"/>
              <w:right w:val="nil"/>
            </w:tcBorders>
            <w:shd w:val="clear" w:color="auto" w:fill="auto"/>
            <w:noWrap/>
            <w:tcMar>
              <w:top w:w="15" w:type="dxa"/>
              <w:left w:w="15" w:type="dxa"/>
              <w:bottom w:w="0" w:type="dxa"/>
              <w:right w:w="15" w:type="dxa"/>
            </w:tcMar>
            <w:vAlign w:val="center"/>
            <w:hideMark/>
          </w:tcPr>
          <w:p w14:paraId="53E58077"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4.3</w:t>
            </w:r>
          </w:p>
        </w:tc>
        <w:tc>
          <w:tcPr>
            <w:tcW w:w="1509" w:type="dxa"/>
            <w:tcBorders>
              <w:left w:val="nil"/>
              <w:bottom w:val="nil"/>
              <w:right w:val="nil"/>
            </w:tcBorders>
            <w:shd w:val="clear" w:color="auto" w:fill="auto"/>
            <w:noWrap/>
            <w:tcMar>
              <w:top w:w="15" w:type="dxa"/>
              <w:left w:w="15" w:type="dxa"/>
              <w:bottom w:w="0" w:type="dxa"/>
              <w:right w:w="15" w:type="dxa"/>
            </w:tcMar>
            <w:vAlign w:val="center"/>
            <w:hideMark/>
          </w:tcPr>
          <w:p w14:paraId="267E36F0" w14:textId="77777777" w:rsidR="00973DAD" w:rsidRPr="004F30BD" w:rsidRDefault="00973DAD" w:rsidP="00835A71">
            <w:pPr>
              <w:spacing w:before="0" w:line="240" w:lineRule="auto"/>
              <w:ind w:right="0"/>
              <w:jc w:val="center"/>
              <w:rPr>
                <w:rFonts w:eastAsia="Times New Roman" w:cs="Calibri"/>
                <w:b/>
                <w:bCs/>
                <w:color w:val="000000"/>
                <w:szCs w:val="18"/>
                <w:lang w:eastAsia="en-AU"/>
              </w:rPr>
            </w:pPr>
            <w:r w:rsidRPr="004F30BD">
              <w:rPr>
                <w:rFonts w:cs="Calibri"/>
                <w:b/>
                <w:bCs/>
                <w:color w:val="000000"/>
                <w:szCs w:val="18"/>
              </w:rPr>
              <w:t>5.1</w:t>
            </w:r>
          </w:p>
        </w:tc>
        <w:tc>
          <w:tcPr>
            <w:tcW w:w="1509" w:type="dxa"/>
            <w:tcBorders>
              <w:left w:val="nil"/>
              <w:bottom w:val="nil"/>
              <w:right w:val="nil"/>
            </w:tcBorders>
            <w:shd w:val="clear" w:color="auto" w:fill="auto"/>
            <w:noWrap/>
            <w:tcMar>
              <w:top w:w="15" w:type="dxa"/>
              <w:left w:w="15" w:type="dxa"/>
              <w:bottom w:w="0" w:type="dxa"/>
              <w:right w:w="15" w:type="dxa"/>
            </w:tcMar>
            <w:vAlign w:val="center"/>
            <w:hideMark/>
          </w:tcPr>
          <w:p w14:paraId="530E69A1"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4.5</w:t>
            </w:r>
          </w:p>
        </w:tc>
        <w:tc>
          <w:tcPr>
            <w:tcW w:w="1510" w:type="dxa"/>
            <w:tcBorders>
              <w:left w:val="nil"/>
              <w:bottom w:val="nil"/>
              <w:right w:val="nil"/>
            </w:tcBorders>
            <w:shd w:val="clear" w:color="auto" w:fill="auto"/>
            <w:noWrap/>
            <w:tcMar>
              <w:top w:w="15" w:type="dxa"/>
              <w:left w:w="15" w:type="dxa"/>
              <w:bottom w:w="0" w:type="dxa"/>
              <w:right w:w="15" w:type="dxa"/>
            </w:tcMar>
            <w:vAlign w:val="center"/>
            <w:hideMark/>
          </w:tcPr>
          <w:p w14:paraId="6AF73A86" w14:textId="77777777" w:rsidR="00973DAD" w:rsidRPr="004F30BD" w:rsidRDefault="00973DAD" w:rsidP="00835A71">
            <w:pPr>
              <w:spacing w:before="0" w:line="240" w:lineRule="auto"/>
              <w:ind w:right="0"/>
              <w:jc w:val="center"/>
              <w:rPr>
                <w:rFonts w:eastAsia="Times New Roman" w:cs="Calibri"/>
                <w:b/>
                <w:bCs/>
                <w:color w:val="000000"/>
                <w:szCs w:val="18"/>
                <w:lang w:eastAsia="en-AU"/>
              </w:rPr>
            </w:pPr>
            <w:r w:rsidRPr="004F30BD">
              <w:rPr>
                <w:rFonts w:cs="Calibri"/>
                <w:b/>
                <w:bCs/>
                <w:color w:val="000000"/>
                <w:szCs w:val="18"/>
              </w:rPr>
              <w:t>4.6</w:t>
            </w:r>
          </w:p>
        </w:tc>
      </w:tr>
      <w:tr w:rsidR="00973DAD" w:rsidRPr="004F30BD" w14:paraId="5959F58E" w14:textId="77777777" w:rsidTr="00835A71">
        <w:trPr>
          <w:trHeight w:val="288"/>
        </w:trPr>
        <w:tc>
          <w:tcPr>
            <w:tcW w:w="5130" w:type="dxa"/>
            <w:tcBorders>
              <w:top w:val="nil"/>
              <w:left w:val="nil"/>
              <w:bottom w:val="nil"/>
              <w:right w:val="nil"/>
            </w:tcBorders>
            <w:shd w:val="clear" w:color="auto" w:fill="E6E6E6"/>
            <w:tcMar>
              <w:top w:w="15" w:type="dxa"/>
              <w:left w:w="15" w:type="dxa"/>
              <w:bottom w:w="0" w:type="dxa"/>
              <w:right w:w="15" w:type="dxa"/>
            </w:tcMar>
            <w:vAlign w:val="center"/>
            <w:hideMark/>
          </w:tcPr>
          <w:p w14:paraId="25815037" w14:textId="77777777" w:rsidR="00973DAD" w:rsidRPr="004F30BD" w:rsidRDefault="00973DAD" w:rsidP="00835A71">
            <w:pPr>
              <w:spacing w:before="20" w:after="20" w:line="240" w:lineRule="auto"/>
              <w:ind w:right="0"/>
              <w:rPr>
                <w:rFonts w:eastAsia="Times New Roman" w:cs="Calibri"/>
                <w:color w:val="000000"/>
                <w:szCs w:val="18"/>
                <w:lang w:eastAsia="en-AU"/>
              </w:rPr>
            </w:pPr>
            <w:r w:rsidRPr="004F30BD">
              <w:rPr>
                <w:rFonts w:eastAsia="Times New Roman" w:cs="Calibri"/>
                <w:color w:val="000000"/>
                <w:szCs w:val="18"/>
                <w:lang w:eastAsia="en-AU"/>
              </w:rPr>
              <w:t>Admission of underqualified students</w:t>
            </w:r>
          </w:p>
        </w:tc>
        <w:tc>
          <w:tcPr>
            <w:tcW w:w="1509" w:type="dxa"/>
            <w:tcBorders>
              <w:top w:val="nil"/>
              <w:left w:val="nil"/>
              <w:bottom w:val="nil"/>
              <w:right w:val="nil"/>
            </w:tcBorders>
            <w:shd w:val="clear" w:color="auto" w:fill="E6E6E6"/>
            <w:noWrap/>
            <w:tcMar>
              <w:top w:w="15" w:type="dxa"/>
              <w:left w:w="15" w:type="dxa"/>
              <w:bottom w:w="0" w:type="dxa"/>
              <w:right w:w="15" w:type="dxa"/>
            </w:tcMar>
            <w:vAlign w:val="center"/>
            <w:hideMark/>
          </w:tcPr>
          <w:p w14:paraId="6CEF11B7"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4.0</w:t>
            </w:r>
          </w:p>
        </w:tc>
        <w:tc>
          <w:tcPr>
            <w:tcW w:w="1509" w:type="dxa"/>
            <w:tcBorders>
              <w:top w:val="nil"/>
              <w:left w:val="nil"/>
              <w:bottom w:val="nil"/>
              <w:right w:val="nil"/>
            </w:tcBorders>
            <w:shd w:val="clear" w:color="auto" w:fill="E6E6E6"/>
            <w:noWrap/>
            <w:tcMar>
              <w:top w:w="15" w:type="dxa"/>
              <w:left w:w="15" w:type="dxa"/>
              <w:bottom w:w="0" w:type="dxa"/>
              <w:right w:w="15" w:type="dxa"/>
            </w:tcMar>
            <w:vAlign w:val="center"/>
            <w:hideMark/>
          </w:tcPr>
          <w:p w14:paraId="2A877B1D"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4.5</w:t>
            </w:r>
          </w:p>
        </w:tc>
        <w:tc>
          <w:tcPr>
            <w:tcW w:w="1509" w:type="dxa"/>
            <w:tcBorders>
              <w:top w:val="nil"/>
              <w:left w:val="nil"/>
              <w:bottom w:val="nil"/>
              <w:right w:val="nil"/>
            </w:tcBorders>
            <w:shd w:val="clear" w:color="auto" w:fill="E6E6E6"/>
            <w:noWrap/>
            <w:tcMar>
              <w:top w:w="15" w:type="dxa"/>
              <w:left w:w="15" w:type="dxa"/>
              <w:bottom w:w="0" w:type="dxa"/>
              <w:right w:w="15" w:type="dxa"/>
            </w:tcMar>
            <w:vAlign w:val="center"/>
            <w:hideMark/>
          </w:tcPr>
          <w:p w14:paraId="2A8AD516"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4.4</w:t>
            </w:r>
          </w:p>
        </w:tc>
        <w:tc>
          <w:tcPr>
            <w:tcW w:w="1509" w:type="dxa"/>
            <w:tcBorders>
              <w:top w:val="nil"/>
              <w:left w:val="nil"/>
              <w:bottom w:val="nil"/>
              <w:right w:val="nil"/>
            </w:tcBorders>
            <w:shd w:val="clear" w:color="auto" w:fill="E6E6E6"/>
            <w:noWrap/>
            <w:tcMar>
              <w:top w:w="15" w:type="dxa"/>
              <w:left w:w="15" w:type="dxa"/>
              <w:bottom w:w="0" w:type="dxa"/>
              <w:right w:w="15" w:type="dxa"/>
            </w:tcMar>
            <w:vAlign w:val="center"/>
            <w:hideMark/>
          </w:tcPr>
          <w:p w14:paraId="2B1D86C2"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3.8</w:t>
            </w:r>
          </w:p>
        </w:tc>
        <w:tc>
          <w:tcPr>
            <w:tcW w:w="1509" w:type="dxa"/>
            <w:tcBorders>
              <w:top w:val="nil"/>
              <w:left w:val="nil"/>
              <w:bottom w:val="nil"/>
              <w:right w:val="nil"/>
            </w:tcBorders>
            <w:shd w:val="clear" w:color="auto" w:fill="E6E6E6"/>
            <w:noWrap/>
            <w:tcMar>
              <w:top w:w="15" w:type="dxa"/>
              <w:left w:w="15" w:type="dxa"/>
              <w:bottom w:w="0" w:type="dxa"/>
              <w:right w:w="15" w:type="dxa"/>
            </w:tcMar>
            <w:vAlign w:val="center"/>
            <w:hideMark/>
          </w:tcPr>
          <w:p w14:paraId="26C78B2F"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3.8</w:t>
            </w:r>
          </w:p>
        </w:tc>
        <w:tc>
          <w:tcPr>
            <w:tcW w:w="1510" w:type="dxa"/>
            <w:tcBorders>
              <w:top w:val="nil"/>
              <w:left w:val="nil"/>
              <w:bottom w:val="nil"/>
              <w:right w:val="nil"/>
            </w:tcBorders>
            <w:shd w:val="clear" w:color="auto" w:fill="E6E6E6"/>
            <w:noWrap/>
            <w:tcMar>
              <w:top w:w="15" w:type="dxa"/>
              <w:left w:w="15" w:type="dxa"/>
              <w:bottom w:w="0" w:type="dxa"/>
              <w:right w:w="15" w:type="dxa"/>
            </w:tcMar>
            <w:vAlign w:val="center"/>
            <w:hideMark/>
          </w:tcPr>
          <w:p w14:paraId="50334139" w14:textId="77777777" w:rsidR="00973DAD" w:rsidRPr="004F30BD" w:rsidRDefault="00973DAD" w:rsidP="00835A71">
            <w:pPr>
              <w:spacing w:before="0" w:line="240" w:lineRule="auto"/>
              <w:ind w:right="0"/>
              <w:jc w:val="center"/>
              <w:rPr>
                <w:rFonts w:eastAsia="Times New Roman" w:cs="Calibri"/>
                <w:b/>
                <w:bCs/>
                <w:color w:val="000000"/>
                <w:szCs w:val="18"/>
                <w:lang w:eastAsia="en-AU"/>
              </w:rPr>
            </w:pPr>
            <w:r w:rsidRPr="004F30BD">
              <w:rPr>
                <w:rFonts w:cs="Calibri"/>
                <w:b/>
                <w:bCs/>
                <w:color w:val="000000"/>
                <w:szCs w:val="18"/>
              </w:rPr>
              <w:t>4.9</w:t>
            </w:r>
          </w:p>
        </w:tc>
      </w:tr>
      <w:tr w:rsidR="00973DAD" w:rsidRPr="004F30BD" w14:paraId="1CFC408B" w14:textId="77777777" w:rsidTr="00835A71">
        <w:trPr>
          <w:trHeight w:val="288"/>
        </w:trPr>
        <w:tc>
          <w:tcPr>
            <w:tcW w:w="5130" w:type="dxa"/>
            <w:tcBorders>
              <w:top w:val="nil"/>
              <w:left w:val="nil"/>
              <w:bottom w:val="nil"/>
              <w:right w:val="nil"/>
            </w:tcBorders>
            <w:shd w:val="clear" w:color="auto" w:fill="auto"/>
            <w:tcMar>
              <w:top w:w="15" w:type="dxa"/>
              <w:left w:w="15" w:type="dxa"/>
              <w:bottom w:w="0" w:type="dxa"/>
              <w:right w:w="15" w:type="dxa"/>
            </w:tcMar>
            <w:vAlign w:val="center"/>
            <w:hideMark/>
          </w:tcPr>
          <w:p w14:paraId="6B2E3E39" w14:textId="77777777" w:rsidR="00973DAD" w:rsidRPr="004F30BD" w:rsidRDefault="00973DAD" w:rsidP="00835A71">
            <w:pPr>
              <w:spacing w:before="20" w:after="20" w:line="240" w:lineRule="auto"/>
              <w:ind w:right="0"/>
              <w:rPr>
                <w:rFonts w:eastAsia="Times New Roman" w:cs="Calibri"/>
                <w:color w:val="000000"/>
                <w:szCs w:val="18"/>
                <w:lang w:eastAsia="en-AU"/>
              </w:rPr>
            </w:pPr>
            <w:r w:rsidRPr="004F30BD">
              <w:rPr>
                <w:rFonts w:eastAsia="Times New Roman" w:cs="Calibri"/>
                <w:color w:val="000000"/>
                <w:szCs w:val="18"/>
                <w:lang w:eastAsia="en-AU"/>
              </w:rPr>
              <w:t>Graduating poorly trained students</w:t>
            </w:r>
          </w:p>
        </w:tc>
        <w:tc>
          <w:tcPr>
            <w:tcW w:w="1509" w:type="dxa"/>
            <w:tcBorders>
              <w:top w:val="nil"/>
              <w:left w:val="nil"/>
              <w:bottom w:val="nil"/>
              <w:right w:val="nil"/>
            </w:tcBorders>
            <w:shd w:val="clear" w:color="auto" w:fill="auto"/>
            <w:noWrap/>
            <w:tcMar>
              <w:top w:w="15" w:type="dxa"/>
              <w:left w:w="15" w:type="dxa"/>
              <w:bottom w:w="0" w:type="dxa"/>
              <w:right w:w="15" w:type="dxa"/>
            </w:tcMar>
            <w:vAlign w:val="center"/>
            <w:hideMark/>
          </w:tcPr>
          <w:p w14:paraId="6815F14A"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3.2</w:t>
            </w:r>
          </w:p>
        </w:tc>
        <w:tc>
          <w:tcPr>
            <w:tcW w:w="1509" w:type="dxa"/>
            <w:tcBorders>
              <w:top w:val="nil"/>
              <w:left w:val="nil"/>
              <w:bottom w:val="nil"/>
              <w:right w:val="nil"/>
            </w:tcBorders>
            <w:shd w:val="clear" w:color="auto" w:fill="auto"/>
            <w:noWrap/>
            <w:tcMar>
              <w:top w:w="15" w:type="dxa"/>
              <w:left w:w="15" w:type="dxa"/>
              <w:bottom w:w="0" w:type="dxa"/>
              <w:right w:w="15" w:type="dxa"/>
            </w:tcMar>
            <w:vAlign w:val="center"/>
            <w:hideMark/>
          </w:tcPr>
          <w:p w14:paraId="2CD682F8"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3.8</w:t>
            </w:r>
          </w:p>
        </w:tc>
        <w:tc>
          <w:tcPr>
            <w:tcW w:w="1509" w:type="dxa"/>
            <w:tcBorders>
              <w:top w:val="nil"/>
              <w:left w:val="nil"/>
              <w:bottom w:val="nil"/>
              <w:right w:val="nil"/>
            </w:tcBorders>
            <w:shd w:val="clear" w:color="auto" w:fill="auto"/>
            <w:noWrap/>
            <w:tcMar>
              <w:top w:w="15" w:type="dxa"/>
              <w:left w:w="15" w:type="dxa"/>
              <w:bottom w:w="0" w:type="dxa"/>
              <w:right w:w="15" w:type="dxa"/>
            </w:tcMar>
            <w:vAlign w:val="center"/>
            <w:hideMark/>
          </w:tcPr>
          <w:p w14:paraId="3C6B2AD4"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4.5</w:t>
            </w:r>
          </w:p>
        </w:tc>
        <w:tc>
          <w:tcPr>
            <w:tcW w:w="1509" w:type="dxa"/>
            <w:tcBorders>
              <w:top w:val="nil"/>
              <w:left w:val="nil"/>
              <w:bottom w:val="nil"/>
              <w:right w:val="nil"/>
            </w:tcBorders>
            <w:shd w:val="clear" w:color="auto" w:fill="auto"/>
            <w:noWrap/>
            <w:tcMar>
              <w:top w:w="15" w:type="dxa"/>
              <w:left w:w="15" w:type="dxa"/>
              <w:bottom w:w="0" w:type="dxa"/>
              <w:right w:w="15" w:type="dxa"/>
            </w:tcMar>
            <w:vAlign w:val="center"/>
            <w:hideMark/>
          </w:tcPr>
          <w:p w14:paraId="7656CC79"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3.5</w:t>
            </w:r>
          </w:p>
        </w:tc>
        <w:tc>
          <w:tcPr>
            <w:tcW w:w="1509" w:type="dxa"/>
            <w:tcBorders>
              <w:top w:val="nil"/>
              <w:left w:val="nil"/>
              <w:bottom w:val="nil"/>
              <w:right w:val="nil"/>
            </w:tcBorders>
            <w:shd w:val="clear" w:color="auto" w:fill="auto"/>
            <w:noWrap/>
            <w:tcMar>
              <w:top w:w="15" w:type="dxa"/>
              <w:left w:w="15" w:type="dxa"/>
              <w:bottom w:w="0" w:type="dxa"/>
              <w:right w:w="15" w:type="dxa"/>
            </w:tcMar>
            <w:vAlign w:val="center"/>
            <w:hideMark/>
          </w:tcPr>
          <w:p w14:paraId="7AEF2667"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4.4</w:t>
            </w:r>
          </w:p>
        </w:tc>
        <w:tc>
          <w:tcPr>
            <w:tcW w:w="1510" w:type="dxa"/>
            <w:tcBorders>
              <w:top w:val="nil"/>
              <w:left w:val="nil"/>
              <w:bottom w:val="nil"/>
              <w:right w:val="nil"/>
            </w:tcBorders>
            <w:shd w:val="clear" w:color="auto" w:fill="auto"/>
            <w:noWrap/>
            <w:tcMar>
              <w:top w:w="15" w:type="dxa"/>
              <w:left w:w="15" w:type="dxa"/>
              <w:bottom w:w="0" w:type="dxa"/>
              <w:right w:w="15" w:type="dxa"/>
            </w:tcMar>
            <w:vAlign w:val="center"/>
            <w:hideMark/>
          </w:tcPr>
          <w:p w14:paraId="43A145B6" w14:textId="77777777" w:rsidR="00973DAD" w:rsidRPr="004F30BD" w:rsidRDefault="00973DAD" w:rsidP="00835A71">
            <w:pPr>
              <w:spacing w:before="0" w:line="240" w:lineRule="auto"/>
              <w:ind w:right="0"/>
              <w:jc w:val="center"/>
              <w:rPr>
                <w:rFonts w:eastAsia="Times New Roman" w:cs="Calibri"/>
                <w:b/>
                <w:bCs/>
                <w:color w:val="000000"/>
                <w:szCs w:val="18"/>
                <w:lang w:eastAsia="en-AU"/>
              </w:rPr>
            </w:pPr>
            <w:r w:rsidRPr="004F30BD">
              <w:rPr>
                <w:rFonts w:cs="Calibri"/>
                <w:b/>
                <w:bCs/>
                <w:color w:val="000000"/>
                <w:szCs w:val="18"/>
              </w:rPr>
              <w:t>4.9</w:t>
            </w:r>
          </w:p>
        </w:tc>
      </w:tr>
      <w:tr w:rsidR="00973DAD" w:rsidRPr="004F30BD" w14:paraId="70E84CA8" w14:textId="77777777" w:rsidTr="00835A71">
        <w:trPr>
          <w:trHeight w:val="288"/>
        </w:trPr>
        <w:tc>
          <w:tcPr>
            <w:tcW w:w="5130" w:type="dxa"/>
            <w:tcBorders>
              <w:top w:val="nil"/>
              <w:left w:val="nil"/>
              <w:bottom w:val="nil"/>
              <w:right w:val="nil"/>
            </w:tcBorders>
            <w:shd w:val="clear" w:color="auto" w:fill="E6E6E6"/>
            <w:tcMar>
              <w:top w:w="15" w:type="dxa"/>
              <w:left w:w="15" w:type="dxa"/>
              <w:bottom w:w="0" w:type="dxa"/>
              <w:right w:w="15" w:type="dxa"/>
            </w:tcMar>
            <w:vAlign w:val="center"/>
            <w:hideMark/>
          </w:tcPr>
          <w:p w14:paraId="1444DDC7" w14:textId="77777777" w:rsidR="00973DAD" w:rsidRPr="004F30BD" w:rsidRDefault="00973DAD" w:rsidP="00835A71">
            <w:pPr>
              <w:spacing w:before="20" w:after="20" w:line="240" w:lineRule="auto"/>
              <w:ind w:right="0"/>
              <w:rPr>
                <w:rFonts w:eastAsia="Times New Roman" w:cs="Calibri"/>
                <w:color w:val="000000"/>
                <w:szCs w:val="18"/>
                <w:lang w:eastAsia="en-AU"/>
              </w:rPr>
            </w:pPr>
            <w:r w:rsidRPr="004F30BD">
              <w:rPr>
                <w:rFonts w:eastAsia="Times New Roman" w:cs="Calibri"/>
                <w:color w:val="000000"/>
                <w:szCs w:val="18"/>
                <w:lang w:eastAsia="en-AU"/>
              </w:rPr>
              <w:t>Contract cheating</w:t>
            </w:r>
          </w:p>
        </w:tc>
        <w:tc>
          <w:tcPr>
            <w:tcW w:w="1509" w:type="dxa"/>
            <w:tcBorders>
              <w:top w:val="nil"/>
              <w:left w:val="nil"/>
              <w:bottom w:val="nil"/>
              <w:right w:val="nil"/>
            </w:tcBorders>
            <w:shd w:val="clear" w:color="auto" w:fill="E6E6E6"/>
            <w:noWrap/>
            <w:tcMar>
              <w:top w:w="15" w:type="dxa"/>
              <w:left w:w="15" w:type="dxa"/>
              <w:bottom w:w="0" w:type="dxa"/>
              <w:right w:w="15" w:type="dxa"/>
            </w:tcMar>
            <w:vAlign w:val="center"/>
            <w:hideMark/>
          </w:tcPr>
          <w:p w14:paraId="30FCE77F"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4.5</w:t>
            </w:r>
          </w:p>
        </w:tc>
        <w:tc>
          <w:tcPr>
            <w:tcW w:w="1509" w:type="dxa"/>
            <w:tcBorders>
              <w:top w:val="nil"/>
              <w:left w:val="nil"/>
              <w:bottom w:val="nil"/>
              <w:right w:val="nil"/>
            </w:tcBorders>
            <w:shd w:val="clear" w:color="auto" w:fill="E6E6E6"/>
            <w:noWrap/>
            <w:tcMar>
              <w:top w:w="15" w:type="dxa"/>
              <w:left w:w="15" w:type="dxa"/>
              <w:bottom w:w="0" w:type="dxa"/>
              <w:right w:w="15" w:type="dxa"/>
            </w:tcMar>
            <w:vAlign w:val="center"/>
            <w:hideMark/>
          </w:tcPr>
          <w:p w14:paraId="7149C28F" w14:textId="77777777" w:rsidR="00973DAD" w:rsidRPr="004F30BD" w:rsidRDefault="00973DAD" w:rsidP="00835A71">
            <w:pPr>
              <w:spacing w:before="0" w:line="240" w:lineRule="auto"/>
              <w:ind w:right="0"/>
              <w:jc w:val="center"/>
              <w:rPr>
                <w:rFonts w:eastAsia="Times New Roman" w:cs="Calibri"/>
                <w:b/>
                <w:bCs/>
                <w:color w:val="000000"/>
                <w:szCs w:val="18"/>
                <w:lang w:eastAsia="en-AU"/>
              </w:rPr>
            </w:pPr>
            <w:r w:rsidRPr="004F30BD">
              <w:rPr>
                <w:rFonts w:cs="Calibri"/>
                <w:b/>
                <w:bCs/>
                <w:color w:val="000000"/>
                <w:szCs w:val="18"/>
              </w:rPr>
              <w:t>5.0</w:t>
            </w:r>
          </w:p>
        </w:tc>
        <w:tc>
          <w:tcPr>
            <w:tcW w:w="1509" w:type="dxa"/>
            <w:tcBorders>
              <w:top w:val="nil"/>
              <w:left w:val="nil"/>
              <w:bottom w:val="nil"/>
              <w:right w:val="nil"/>
            </w:tcBorders>
            <w:shd w:val="clear" w:color="auto" w:fill="E6E6E6"/>
            <w:noWrap/>
            <w:tcMar>
              <w:top w:w="15" w:type="dxa"/>
              <w:left w:w="15" w:type="dxa"/>
              <w:bottom w:w="0" w:type="dxa"/>
              <w:right w:w="15" w:type="dxa"/>
            </w:tcMar>
            <w:vAlign w:val="center"/>
            <w:hideMark/>
          </w:tcPr>
          <w:p w14:paraId="35B9D678" w14:textId="77777777" w:rsidR="00973DAD" w:rsidRPr="004F30BD" w:rsidRDefault="00973DAD" w:rsidP="00835A71">
            <w:pPr>
              <w:spacing w:before="0" w:line="240" w:lineRule="auto"/>
              <w:ind w:right="0"/>
              <w:jc w:val="center"/>
              <w:rPr>
                <w:rFonts w:eastAsia="Times New Roman" w:cs="Calibri"/>
                <w:b/>
                <w:bCs/>
                <w:color w:val="000000"/>
                <w:szCs w:val="18"/>
                <w:lang w:eastAsia="en-AU"/>
              </w:rPr>
            </w:pPr>
            <w:r w:rsidRPr="004F30BD">
              <w:rPr>
                <w:rFonts w:cs="Calibri"/>
                <w:b/>
                <w:bCs/>
                <w:color w:val="000000"/>
                <w:szCs w:val="18"/>
              </w:rPr>
              <w:t>5.1</w:t>
            </w:r>
          </w:p>
        </w:tc>
        <w:tc>
          <w:tcPr>
            <w:tcW w:w="1509" w:type="dxa"/>
            <w:tcBorders>
              <w:top w:val="nil"/>
              <w:left w:val="nil"/>
              <w:bottom w:val="nil"/>
              <w:right w:val="nil"/>
            </w:tcBorders>
            <w:shd w:val="clear" w:color="auto" w:fill="E6E6E6"/>
            <w:noWrap/>
            <w:tcMar>
              <w:top w:w="15" w:type="dxa"/>
              <w:left w:w="15" w:type="dxa"/>
              <w:bottom w:w="0" w:type="dxa"/>
              <w:right w:w="15" w:type="dxa"/>
            </w:tcMar>
            <w:vAlign w:val="center"/>
            <w:hideMark/>
          </w:tcPr>
          <w:p w14:paraId="35659070" w14:textId="77777777" w:rsidR="00973DAD" w:rsidRPr="004F30BD" w:rsidRDefault="00973DAD" w:rsidP="00835A71">
            <w:pPr>
              <w:spacing w:before="0" w:line="240" w:lineRule="auto"/>
              <w:ind w:right="0"/>
              <w:jc w:val="center"/>
              <w:rPr>
                <w:rFonts w:eastAsia="Times New Roman" w:cs="Calibri"/>
                <w:b/>
                <w:bCs/>
                <w:color w:val="000000"/>
                <w:szCs w:val="18"/>
                <w:lang w:eastAsia="en-AU"/>
              </w:rPr>
            </w:pPr>
            <w:r w:rsidRPr="004F30BD">
              <w:rPr>
                <w:rFonts w:cs="Calibri"/>
                <w:b/>
                <w:bCs/>
                <w:color w:val="000000"/>
                <w:szCs w:val="18"/>
              </w:rPr>
              <w:t>4.6</w:t>
            </w:r>
          </w:p>
        </w:tc>
        <w:tc>
          <w:tcPr>
            <w:tcW w:w="1509" w:type="dxa"/>
            <w:tcBorders>
              <w:top w:val="nil"/>
              <w:left w:val="nil"/>
              <w:bottom w:val="nil"/>
              <w:right w:val="nil"/>
            </w:tcBorders>
            <w:shd w:val="clear" w:color="auto" w:fill="E6E6E6"/>
            <w:noWrap/>
            <w:tcMar>
              <w:top w:w="15" w:type="dxa"/>
              <w:left w:w="15" w:type="dxa"/>
              <w:bottom w:w="0" w:type="dxa"/>
              <w:right w:w="15" w:type="dxa"/>
            </w:tcMar>
            <w:vAlign w:val="center"/>
            <w:hideMark/>
          </w:tcPr>
          <w:p w14:paraId="1462E02C"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4.5</w:t>
            </w:r>
          </w:p>
        </w:tc>
        <w:tc>
          <w:tcPr>
            <w:tcW w:w="1510" w:type="dxa"/>
            <w:tcBorders>
              <w:top w:val="nil"/>
              <w:left w:val="nil"/>
              <w:bottom w:val="nil"/>
              <w:right w:val="nil"/>
            </w:tcBorders>
            <w:shd w:val="clear" w:color="auto" w:fill="E6E6E6"/>
            <w:noWrap/>
            <w:tcMar>
              <w:top w:w="15" w:type="dxa"/>
              <w:left w:w="15" w:type="dxa"/>
              <w:bottom w:w="0" w:type="dxa"/>
              <w:right w:w="15" w:type="dxa"/>
            </w:tcMar>
            <w:vAlign w:val="center"/>
            <w:hideMark/>
          </w:tcPr>
          <w:p w14:paraId="303EB667" w14:textId="77777777" w:rsidR="00973DAD" w:rsidRPr="004F30BD" w:rsidRDefault="00973DAD" w:rsidP="00835A71">
            <w:pPr>
              <w:spacing w:before="0" w:line="240" w:lineRule="auto"/>
              <w:ind w:right="0"/>
              <w:jc w:val="center"/>
              <w:rPr>
                <w:rFonts w:eastAsia="Times New Roman" w:cs="Calibri"/>
                <w:b/>
                <w:bCs/>
                <w:color w:val="000000"/>
                <w:szCs w:val="18"/>
                <w:lang w:eastAsia="en-AU"/>
              </w:rPr>
            </w:pPr>
            <w:r w:rsidRPr="004F30BD">
              <w:rPr>
                <w:rFonts w:cs="Calibri"/>
                <w:b/>
                <w:bCs/>
                <w:color w:val="000000"/>
                <w:szCs w:val="18"/>
              </w:rPr>
              <w:t>5.1</w:t>
            </w:r>
          </w:p>
        </w:tc>
      </w:tr>
      <w:tr w:rsidR="00973DAD" w:rsidRPr="004F30BD" w14:paraId="2AC92999" w14:textId="77777777" w:rsidTr="00835A71">
        <w:trPr>
          <w:trHeight w:val="288"/>
        </w:trPr>
        <w:tc>
          <w:tcPr>
            <w:tcW w:w="5130" w:type="dxa"/>
            <w:tcBorders>
              <w:top w:val="nil"/>
              <w:left w:val="nil"/>
              <w:bottom w:val="nil"/>
              <w:right w:val="nil"/>
            </w:tcBorders>
            <w:shd w:val="clear" w:color="auto" w:fill="auto"/>
            <w:tcMar>
              <w:top w:w="15" w:type="dxa"/>
              <w:left w:w="15" w:type="dxa"/>
              <w:bottom w:w="0" w:type="dxa"/>
              <w:right w:w="15" w:type="dxa"/>
            </w:tcMar>
            <w:vAlign w:val="center"/>
            <w:hideMark/>
          </w:tcPr>
          <w:p w14:paraId="1AD1AE90" w14:textId="77777777" w:rsidR="00973DAD" w:rsidRPr="004F30BD" w:rsidRDefault="00973DAD" w:rsidP="00835A71">
            <w:pPr>
              <w:spacing w:before="20" w:after="20" w:line="240" w:lineRule="auto"/>
              <w:ind w:right="0"/>
              <w:rPr>
                <w:rFonts w:eastAsia="Times New Roman" w:cs="Calibri"/>
                <w:color w:val="000000"/>
                <w:szCs w:val="18"/>
                <w:lang w:eastAsia="en-AU"/>
              </w:rPr>
            </w:pPr>
            <w:r w:rsidRPr="004F30BD">
              <w:rPr>
                <w:rFonts w:eastAsia="Times New Roman" w:cs="Calibri"/>
                <w:color w:val="000000"/>
                <w:szCs w:val="18"/>
                <w:lang w:eastAsia="en-AU"/>
              </w:rPr>
              <w:t>Micro-credentials</w:t>
            </w:r>
          </w:p>
        </w:tc>
        <w:tc>
          <w:tcPr>
            <w:tcW w:w="1509" w:type="dxa"/>
            <w:tcBorders>
              <w:top w:val="nil"/>
              <w:left w:val="nil"/>
              <w:bottom w:val="nil"/>
              <w:right w:val="nil"/>
            </w:tcBorders>
            <w:shd w:val="clear" w:color="auto" w:fill="auto"/>
            <w:noWrap/>
            <w:tcMar>
              <w:top w:w="15" w:type="dxa"/>
              <w:left w:w="15" w:type="dxa"/>
              <w:bottom w:w="0" w:type="dxa"/>
              <w:right w:w="15" w:type="dxa"/>
            </w:tcMar>
            <w:vAlign w:val="center"/>
            <w:hideMark/>
          </w:tcPr>
          <w:p w14:paraId="79228295"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3.2</w:t>
            </w:r>
          </w:p>
        </w:tc>
        <w:tc>
          <w:tcPr>
            <w:tcW w:w="1509" w:type="dxa"/>
            <w:tcBorders>
              <w:top w:val="nil"/>
              <w:left w:val="nil"/>
              <w:bottom w:val="nil"/>
              <w:right w:val="nil"/>
            </w:tcBorders>
            <w:shd w:val="clear" w:color="auto" w:fill="auto"/>
            <w:noWrap/>
            <w:tcMar>
              <w:top w:w="15" w:type="dxa"/>
              <w:left w:w="15" w:type="dxa"/>
              <w:bottom w:w="0" w:type="dxa"/>
              <w:right w:w="15" w:type="dxa"/>
            </w:tcMar>
            <w:vAlign w:val="center"/>
            <w:hideMark/>
          </w:tcPr>
          <w:p w14:paraId="3BF877C7"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2.3</w:t>
            </w:r>
          </w:p>
        </w:tc>
        <w:tc>
          <w:tcPr>
            <w:tcW w:w="1509" w:type="dxa"/>
            <w:tcBorders>
              <w:top w:val="nil"/>
              <w:left w:val="nil"/>
              <w:bottom w:val="nil"/>
              <w:right w:val="nil"/>
            </w:tcBorders>
            <w:shd w:val="clear" w:color="auto" w:fill="auto"/>
            <w:noWrap/>
            <w:tcMar>
              <w:top w:w="15" w:type="dxa"/>
              <w:left w:w="15" w:type="dxa"/>
              <w:bottom w:w="0" w:type="dxa"/>
              <w:right w:w="15" w:type="dxa"/>
            </w:tcMar>
            <w:vAlign w:val="center"/>
            <w:hideMark/>
          </w:tcPr>
          <w:p w14:paraId="4617EBA1"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3.2</w:t>
            </w:r>
          </w:p>
        </w:tc>
        <w:tc>
          <w:tcPr>
            <w:tcW w:w="1509" w:type="dxa"/>
            <w:tcBorders>
              <w:top w:val="nil"/>
              <w:left w:val="nil"/>
              <w:bottom w:val="nil"/>
              <w:right w:val="nil"/>
            </w:tcBorders>
            <w:shd w:val="clear" w:color="auto" w:fill="auto"/>
            <w:noWrap/>
            <w:tcMar>
              <w:top w:w="15" w:type="dxa"/>
              <w:left w:w="15" w:type="dxa"/>
              <w:bottom w:w="0" w:type="dxa"/>
              <w:right w:w="15" w:type="dxa"/>
            </w:tcMar>
            <w:vAlign w:val="center"/>
            <w:hideMark/>
          </w:tcPr>
          <w:p w14:paraId="1EB74D44"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2.7</w:t>
            </w:r>
          </w:p>
        </w:tc>
        <w:tc>
          <w:tcPr>
            <w:tcW w:w="1509" w:type="dxa"/>
            <w:tcBorders>
              <w:top w:val="nil"/>
              <w:left w:val="nil"/>
              <w:bottom w:val="nil"/>
              <w:right w:val="nil"/>
            </w:tcBorders>
            <w:shd w:val="clear" w:color="auto" w:fill="auto"/>
            <w:noWrap/>
            <w:tcMar>
              <w:top w:w="15" w:type="dxa"/>
              <w:left w:w="15" w:type="dxa"/>
              <w:bottom w:w="0" w:type="dxa"/>
              <w:right w:w="15" w:type="dxa"/>
            </w:tcMar>
            <w:vAlign w:val="center"/>
            <w:hideMark/>
          </w:tcPr>
          <w:p w14:paraId="791BF201"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2.6</w:t>
            </w:r>
          </w:p>
        </w:tc>
        <w:tc>
          <w:tcPr>
            <w:tcW w:w="1510" w:type="dxa"/>
            <w:tcBorders>
              <w:top w:val="nil"/>
              <w:left w:val="nil"/>
              <w:bottom w:val="nil"/>
              <w:right w:val="nil"/>
            </w:tcBorders>
            <w:shd w:val="clear" w:color="auto" w:fill="auto"/>
            <w:noWrap/>
            <w:tcMar>
              <w:top w:w="15" w:type="dxa"/>
              <w:left w:w="15" w:type="dxa"/>
              <w:bottom w:w="0" w:type="dxa"/>
              <w:right w:w="15" w:type="dxa"/>
            </w:tcMar>
            <w:vAlign w:val="center"/>
            <w:hideMark/>
          </w:tcPr>
          <w:p w14:paraId="40201B6E"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3.2</w:t>
            </w:r>
          </w:p>
        </w:tc>
      </w:tr>
      <w:tr w:rsidR="00973DAD" w:rsidRPr="004F30BD" w14:paraId="3C997210" w14:textId="77777777" w:rsidTr="00835A71">
        <w:trPr>
          <w:trHeight w:val="288"/>
        </w:trPr>
        <w:tc>
          <w:tcPr>
            <w:tcW w:w="5130" w:type="dxa"/>
            <w:tcBorders>
              <w:top w:val="nil"/>
              <w:left w:val="nil"/>
              <w:bottom w:val="nil"/>
              <w:right w:val="nil"/>
            </w:tcBorders>
            <w:shd w:val="clear" w:color="auto" w:fill="E6E6E6"/>
            <w:tcMar>
              <w:top w:w="15" w:type="dxa"/>
              <w:left w:w="15" w:type="dxa"/>
              <w:bottom w:w="0" w:type="dxa"/>
              <w:right w:w="15" w:type="dxa"/>
            </w:tcMar>
            <w:vAlign w:val="center"/>
            <w:hideMark/>
          </w:tcPr>
          <w:p w14:paraId="024D95DF" w14:textId="77777777" w:rsidR="00973DAD" w:rsidRPr="004F30BD" w:rsidRDefault="00973DAD" w:rsidP="00835A71">
            <w:pPr>
              <w:spacing w:before="20" w:after="20" w:line="240" w:lineRule="auto"/>
              <w:ind w:right="0"/>
              <w:rPr>
                <w:rFonts w:eastAsia="Times New Roman" w:cs="Calibri"/>
                <w:color w:val="000000"/>
                <w:szCs w:val="18"/>
                <w:lang w:eastAsia="en-AU"/>
              </w:rPr>
            </w:pPr>
            <w:r w:rsidRPr="004F30BD">
              <w:rPr>
                <w:rFonts w:eastAsia="Times New Roman" w:cs="Calibri"/>
                <w:color w:val="000000"/>
                <w:szCs w:val="18"/>
                <w:lang w:eastAsia="en-AU"/>
              </w:rPr>
              <w:t>Students whose well-being has not been safeguarded</w:t>
            </w:r>
          </w:p>
        </w:tc>
        <w:tc>
          <w:tcPr>
            <w:tcW w:w="1509" w:type="dxa"/>
            <w:tcBorders>
              <w:top w:val="nil"/>
              <w:left w:val="nil"/>
              <w:bottom w:val="nil"/>
              <w:right w:val="nil"/>
            </w:tcBorders>
            <w:shd w:val="clear" w:color="auto" w:fill="E6E6E6"/>
            <w:noWrap/>
            <w:tcMar>
              <w:top w:w="15" w:type="dxa"/>
              <w:left w:w="15" w:type="dxa"/>
              <w:bottom w:w="0" w:type="dxa"/>
              <w:right w:w="15" w:type="dxa"/>
            </w:tcMar>
            <w:vAlign w:val="center"/>
            <w:hideMark/>
          </w:tcPr>
          <w:p w14:paraId="757B43D5"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4.0</w:t>
            </w:r>
          </w:p>
        </w:tc>
        <w:tc>
          <w:tcPr>
            <w:tcW w:w="1509" w:type="dxa"/>
            <w:tcBorders>
              <w:top w:val="nil"/>
              <w:left w:val="nil"/>
              <w:bottom w:val="nil"/>
              <w:right w:val="nil"/>
            </w:tcBorders>
            <w:shd w:val="clear" w:color="auto" w:fill="E6E6E6"/>
            <w:noWrap/>
            <w:tcMar>
              <w:top w:w="15" w:type="dxa"/>
              <w:left w:w="15" w:type="dxa"/>
              <w:bottom w:w="0" w:type="dxa"/>
              <w:right w:w="15" w:type="dxa"/>
            </w:tcMar>
            <w:vAlign w:val="center"/>
            <w:hideMark/>
          </w:tcPr>
          <w:p w14:paraId="14E62896"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4.3</w:t>
            </w:r>
          </w:p>
        </w:tc>
        <w:tc>
          <w:tcPr>
            <w:tcW w:w="1509" w:type="dxa"/>
            <w:tcBorders>
              <w:top w:val="nil"/>
              <w:left w:val="nil"/>
              <w:bottom w:val="nil"/>
              <w:right w:val="nil"/>
            </w:tcBorders>
            <w:shd w:val="clear" w:color="auto" w:fill="E6E6E6"/>
            <w:noWrap/>
            <w:tcMar>
              <w:top w:w="15" w:type="dxa"/>
              <w:left w:w="15" w:type="dxa"/>
              <w:bottom w:w="0" w:type="dxa"/>
              <w:right w:w="15" w:type="dxa"/>
            </w:tcMar>
            <w:vAlign w:val="center"/>
            <w:hideMark/>
          </w:tcPr>
          <w:p w14:paraId="5CAFC3C1"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3.9</w:t>
            </w:r>
          </w:p>
        </w:tc>
        <w:tc>
          <w:tcPr>
            <w:tcW w:w="1509" w:type="dxa"/>
            <w:tcBorders>
              <w:top w:val="nil"/>
              <w:left w:val="nil"/>
              <w:bottom w:val="nil"/>
              <w:right w:val="nil"/>
            </w:tcBorders>
            <w:shd w:val="clear" w:color="auto" w:fill="E6E6E6"/>
            <w:noWrap/>
            <w:tcMar>
              <w:top w:w="15" w:type="dxa"/>
              <w:left w:w="15" w:type="dxa"/>
              <w:bottom w:w="0" w:type="dxa"/>
              <w:right w:w="15" w:type="dxa"/>
            </w:tcMar>
            <w:vAlign w:val="center"/>
            <w:hideMark/>
          </w:tcPr>
          <w:p w14:paraId="5DF5A4F8"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3.8</w:t>
            </w:r>
          </w:p>
        </w:tc>
        <w:tc>
          <w:tcPr>
            <w:tcW w:w="1509" w:type="dxa"/>
            <w:tcBorders>
              <w:top w:val="nil"/>
              <w:left w:val="nil"/>
              <w:bottom w:val="nil"/>
              <w:right w:val="nil"/>
            </w:tcBorders>
            <w:shd w:val="clear" w:color="auto" w:fill="E6E6E6"/>
            <w:noWrap/>
            <w:tcMar>
              <w:top w:w="15" w:type="dxa"/>
              <w:left w:w="15" w:type="dxa"/>
              <w:bottom w:w="0" w:type="dxa"/>
              <w:right w:w="15" w:type="dxa"/>
            </w:tcMar>
            <w:vAlign w:val="center"/>
            <w:hideMark/>
          </w:tcPr>
          <w:p w14:paraId="33C6A07A"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4.0</w:t>
            </w:r>
          </w:p>
        </w:tc>
        <w:tc>
          <w:tcPr>
            <w:tcW w:w="1510" w:type="dxa"/>
            <w:tcBorders>
              <w:top w:val="nil"/>
              <w:left w:val="nil"/>
              <w:bottom w:val="nil"/>
              <w:right w:val="nil"/>
            </w:tcBorders>
            <w:shd w:val="clear" w:color="auto" w:fill="E6E6E6"/>
            <w:noWrap/>
            <w:tcMar>
              <w:top w:w="15" w:type="dxa"/>
              <w:left w:w="15" w:type="dxa"/>
              <w:bottom w:w="0" w:type="dxa"/>
              <w:right w:w="15" w:type="dxa"/>
            </w:tcMar>
            <w:vAlign w:val="center"/>
            <w:hideMark/>
          </w:tcPr>
          <w:p w14:paraId="66072EC0"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4.5</w:t>
            </w:r>
          </w:p>
        </w:tc>
      </w:tr>
      <w:tr w:rsidR="00973DAD" w:rsidRPr="004F30BD" w14:paraId="1F151B91" w14:textId="77777777" w:rsidTr="00835A71">
        <w:trPr>
          <w:trHeight w:val="288"/>
        </w:trPr>
        <w:tc>
          <w:tcPr>
            <w:tcW w:w="5130" w:type="dxa"/>
            <w:tcBorders>
              <w:top w:val="nil"/>
              <w:left w:val="nil"/>
              <w:bottom w:val="nil"/>
              <w:right w:val="nil"/>
            </w:tcBorders>
            <w:shd w:val="clear" w:color="auto" w:fill="auto"/>
            <w:tcMar>
              <w:top w:w="15" w:type="dxa"/>
              <w:left w:w="15" w:type="dxa"/>
              <w:bottom w:w="0" w:type="dxa"/>
              <w:right w:w="15" w:type="dxa"/>
            </w:tcMar>
            <w:vAlign w:val="center"/>
            <w:hideMark/>
          </w:tcPr>
          <w:p w14:paraId="65B9A262" w14:textId="77777777" w:rsidR="00973DAD" w:rsidRPr="004F30BD" w:rsidRDefault="00973DAD" w:rsidP="00835A71">
            <w:pPr>
              <w:spacing w:before="20" w:after="20" w:line="240" w:lineRule="auto"/>
              <w:ind w:right="0"/>
              <w:rPr>
                <w:rFonts w:eastAsia="Times New Roman" w:cs="Calibri"/>
                <w:color w:val="000000"/>
                <w:szCs w:val="18"/>
                <w:lang w:eastAsia="en-AU"/>
              </w:rPr>
            </w:pPr>
            <w:r w:rsidRPr="004F30BD">
              <w:rPr>
                <w:rFonts w:eastAsia="Times New Roman" w:cs="Calibri"/>
                <w:color w:val="000000"/>
                <w:szCs w:val="18"/>
                <w:lang w:eastAsia="en-AU"/>
              </w:rPr>
              <w:t>Management of sexual harassment / sexual assault on campus</w:t>
            </w:r>
          </w:p>
        </w:tc>
        <w:tc>
          <w:tcPr>
            <w:tcW w:w="1509" w:type="dxa"/>
            <w:tcBorders>
              <w:top w:val="nil"/>
              <w:left w:val="nil"/>
              <w:bottom w:val="nil"/>
              <w:right w:val="nil"/>
            </w:tcBorders>
            <w:shd w:val="clear" w:color="auto" w:fill="auto"/>
            <w:noWrap/>
            <w:tcMar>
              <w:top w:w="15" w:type="dxa"/>
              <w:left w:w="15" w:type="dxa"/>
              <w:bottom w:w="0" w:type="dxa"/>
              <w:right w:w="15" w:type="dxa"/>
            </w:tcMar>
            <w:vAlign w:val="center"/>
            <w:hideMark/>
          </w:tcPr>
          <w:p w14:paraId="1D9769E3"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3.2</w:t>
            </w:r>
          </w:p>
        </w:tc>
        <w:tc>
          <w:tcPr>
            <w:tcW w:w="1509" w:type="dxa"/>
            <w:tcBorders>
              <w:top w:val="nil"/>
              <w:left w:val="nil"/>
              <w:bottom w:val="nil"/>
              <w:right w:val="nil"/>
            </w:tcBorders>
            <w:shd w:val="clear" w:color="auto" w:fill="auto"/>
            <w:noWrap/>
            <w:tcMar>
              <w:top w:w="15" w:type="dxa"/>
              <w:left w:w="15" w:type="dxa"/>
              <w:bottom w:w="0" w:type="dxa"/>
              <w:right w:w="15" w:type="dxa"/>
            </w:tcMar>
            <w:vAlign w:val="center"/>
            <w:hideMark/>
          </w:tcPr>
          <w:p w14:paraId="54C5EC9A"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4.0</w:t>
            </w:r>
          </w:p>
        </w:tc>
        <w:tc>
          <w:tcPr>
            <w:tcW w:w="1509" w:type="dxa"/>
            <w:tcBorders>
              <w:top w:val="nil"/>
              <w:left w:val="nil"/>
              <w:bottom w:val="nil"/>
              <w:right w:val="nil"/>
            </w:tcBorders>
            <w:shd w:val="clear" w:color="auto" w:fill="auto"/>
            <w:noWrap/>
            <w:tcMar>
              <w:top w:w="15" w:type="dxa"/>
              <w:left w:w="15" w:type="dxa"/>
              <w:bottom w:w="0" w:type="dxa"/>
              <w:right w:w="15" w:type="dxa"/>
            </w:tcMar>
            <w:vAlign w:val="center"/>
            <w:hideMark/>
          </w:tcPr>
          <w:p w14:paraId="4812A031"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3.9</w:t>
            </w:r>
          </w:p>
        </w:tc>
        <w:tc>
          <w:tcPr>
            <w:tcW w:w="1509" w:type="dxa"/>
            <w:tcBorders>
              <w:top w:val="nil"/>
              <w:left w:val="nil"/>
              <w:bottom w:val="nil"/>
              <w:right w:val="nil"/>
            </w:tcBorders>
            <w:shd w:val="clear" w:color="auto" w:fill="auto"/>
            <w:noWrap/>
            <w:tcMar>
              <w:top w:w="15" w:type="dxa"/>
              <w:left w:w="15" w:type="dxa"/>
              <w:bottom w:w="0" w:type="dxa"/>
              <w:right w:w="15" w:type="dxa"/>
            </w:tcMar>
            <w:vAlign w:val="center"/>
            <w:hideMark/>
          </w:tcPr>
          <w:p w14:paraId="0D986640"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3.6</w:t>
            </w:r>
          </w:p>
        </w:tc>
        <w:tc>
          <w:tcPr>
            <w:tcW w:w="1509" w:type="dxa"/>
            <w:tcBorders>
              <w:top w:val="nil"/>
              <w:left w:val="nil"/>
              <w:bottom w:val="nil"/>
              <w:right w:val="nil"/>
            </w:tcBorders>
            <w:shd w:val="clear" w:color="auto" w:fill="auto"/>
            <w:noWrap/>
            <w:tcMar>
              <w:top w:w="15" w:type="dxa"/>
              <w:left w:w="15" w:type="dxa"/>
              <w:bottom w:w="0" w:type="dxa"/>
              <w:right w:w="15" w:type="dxa"/>
            </w:tcMar>
            <w:vAlign w:val="center"/>
            <w:hideMark/>
          </w:tcPr>
          <w:p w14:paraId="2A974EB0"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3.6</w:t>
            </w:r>
          </w:p>
        </w:tc>
        <w:tc>
          <w:tcPr>
            <w:tcW w:w="1510" w:type="dxa"/>
            <w:tcBorders>
              <w:top w:val="nil"/>
              <w:left w:val="nil"/>
              <w:bottom w:val="nil"/>
              <w:right w:val="nil"/>
            </w:tcBorders>
            <w:shd w:val="clear" w:color="auto" w:fill="auto"/>
            <w:noWrap/>
            <w:tcMar>
              <w:top w:w="15" w:type="dxa"/>
              <w:left w:w="15" w:type="dxa"/>
              <w:bottom w:w="0" w:type="dxa"/>
              <w:right w:w="15" w:type="dxa"/>
            </w:tcMar>
            <w:vAlign w:val="center"/>
            <w:hideMark/>
          </w:tcPr>
          <w:p w14:paraId="09B27A93"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4.0</w:t>
            </w:r>
          </w:p>
        </w:tc>
      </w:tr>
      <w:tr w:rsidR="00973DAD" w:rsidRPr="004F30BD" w14:paraId="1D7EA64E" w14:textId="77777777" w:rsidTr="00835A71">
        <w:trPr>
          <w:trHeight w:val="288"/>
        </w:trPr>
        <w:tc>
          <w:tcPr>
            <w:tcW w:w="5130" w:type="dxa"/>
            <w:tcBorders>
              <w:top w:val="nil"/>
              <w:left w:val="nil"/>
              <w:bottom w:val="nil"/>
              <w:right w:val="nil"/>
            </w:tcBorders>
            <w:shd w:val="clear" w:color="auto" w:fill="E6E6E6"/>
            <w:tcMar>
              <w:top w:w="15" w:type="dxa"/>
              <w:left w:w="15" w:type="dxa"/>
              <w:bottom w:w="0" w:type="dxa"/>
              <w:right w:w="15" w:type="dxa"/>
            </w:tcMar>
            <w:vAlign w:val="center"/>
            <w:hideMark/>
          </w:tcPr>
          <w:p w14:paraId="07CF4C11" w14:textId="77777777" w:rsidR="00973DAD" w:rsidRPr="004F30BD" w:rsidRDefault="00973DAD" w:rsidP="00835A71">
            <w:pPr>
              <w:spacing w:before="20" w:after="20" w:line="240" w:lineRule="auto"/>
              <w:ind w:right="0"/>
              <w:rPr>
                <w:rFonts w:eastAsia="Times New Roman" w:cs="Calibri"/>
                <w:color w:val="000000"/>
                <w:szCs w:val="18"/>
                <w:lang w:eastAsia="en-AU"/>
              </w:rPr>
            </w:pPr>
            <w:r w:rsidRPr="004F30BD">
              <w:rPr>
                <w:rFonts w:eastAsia="Times New Roman" w:cs="Calibri"/>
                <w:color w:val="000000"/>
                <w:szCs w:val="18"/>
                <w:lang w:eastAsia="en-AU"/>
              </w:rPr>
              <w:t>Management of bullying on campus</w:t>
            </w:r>
          </w:p>
        </w:tc>
        <w:tc>
          <w:tcPr>
            <w:tcW w:w="1509" w:type="dxa"/>
            <w:tcBorders>
              <w:top w:val="nil"/>
              <w:left w:val="nil"/>
              <w:bottom w:val="nil"/>
              <w:right w:val="nil"/>
            </w:tcBorders>
            <w:shd w:val="clear" w:color="auto" w:fill="E6E6E6"/>
            <w:noWrap/>
            <w:tcMar>
              <w:top w:w="15" w:type="dxa"/>
              <w:left w:w="15" w:type="dxa"/>
              <w:bottom w:w="0" w:type="dxa"/>
              <w:right w:w="15" w:type="dxa"/>
            </w:tcMar>
            <w:vAlign w:val="center"/>
            <w:hideMark/>
          </w:tcPr>
          <w:p w14:paraId="36A5D91B"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3.4</w:t>
            </w:r>
          </w:p>
        </w:tc>
        <w:tc>
          <w:tcPr>
            <w:tcW w:w="1509" w:type="dxa"/>
            <w:tcBorders>
              <w:top w:val="nil"/>
              <w:left w:val="nil"/>
              <w:bottom w:val="nil"/>
              <w:right w:val="nil"/>
            </w:tcBorders>
            <w:shd w:val="clear" w:color="auto" w:fill="E6E6E6"/>
            <w:noWrap/>
            <w:tcMar>
              <w:top w:w="15" w:type="dxa"/>
              <w:left w:w="15" w:type="dxa"/>
              <w:bottom w:w="0" w:type="dxa"/>
              <w:right w:w="15" w:type="dxa"/>
            </w:tcMar>
            <w:vAlign w:val="center"/>
            <w:hideMark/>
          </w:tcPr>
          <w:p w14:paraId="1386ABBD"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3.7</w:t>
            </w:r>
          </w:p>
        </w:tc>
        <w:tc>
          <w:tcPr>
            <w:tcW w:w="1509" w:type="dxa"/>
            <w:tcBorders>
              <w:top w:val="nil"/>
              <w:left w:val="nil"/>
              <w:bottom w:val="nil"/>
              <w:right w:val="nil"/>
            </w:tcBorders>
            <w:shd w:val="clear" w:color="auto" w:fill="E6E6E6"/>
            <w:noWrap/>
            <w:tcMar>
              <w:top w:w="15" w:type="dxa"/>
              <w:left w:w="15" w:type="dxa"/>
              <w:bottom w:w="0" w:type="dxa"/>
              <w:right w:w="15" w:type="dxa"/>
            </w:tcMar>
            <w:vAlign w:val="center"/>
            <w:hideMark/>
          </w:tcPr>
          <w:p w14:paraId="30773DB7"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3.6</w:t>
            </w:r>
          </w:p>
        </w:tc>
        <w:tc>
          <w:tcPr>
            <w:tcW w:w="1509" w:type="dxa"/>
            <w:tcBorders>
              <w:top w:val="nil"/>
              <w:left w:val="nil"/>
              <w:bottom w:val="nil"/>
              <w:right w:val="nil"/>
            </w:tcBorders>
            <w:shd w:val="clear" w:color="auto" w:fill="E6E6E6"/>
            <w:noWrap/>
            <w:tcMar>
              <w:top w:w="15" w:type="dxa"/>
              <w:left w:w="15" w:type="dxa"/>
              <w:bottom w:w="0" w:type="dxa"/>
              <w:right w:w="15" w:type="dxa"/>
            </w:tcMar>
            <w:vAlign w:val="center"/>
            <w:hideMark/>
          </w:tcPr>
          <w:p w14:paraId="698756F7"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3.1</w:t>
            </w:r>
          </w:p>
        </w:tc>
        <w:tc>
          <w:tcPr>
            <w:tcW w:w="1509" w:type="dxa"/>
            <w:tcBorders>
              <w:top w:val="nil"/>
              <w:left w:val="nil"/>
              <w:bottom w:val="nil"/>
              <w:right w:val="nil"/>
            </w:tcBorders>
            <w:shd w:val="clear" w:color="auto" w:fill="E6E6E6"/>
            <w:noWrap/>
            <w:tcMar>
              <w:top w:w="15" w:type="dxa"/>
              <w:left w:w="15" w:type="dxa"/>
              <w:bottom w:w="0" w:type="dxa"/>
              <w:right w:w="15" w:type="dxa"/>
            </w:tcMar>
            <w:vAlign w:val="center"/>
            <w:hideMark/>
          </w:tcPr>
          <w:p w14:paraId="0820387F"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3.5</w:t>
            </w:r>
          </w:p>
        </w:tc>
        <w:tc>
          <w:tcPr>
            <w:tcW w:w="1510" w:type="dxa"/>
            <w:tcBorders>
              <w:top w:val="nil"/>
              <w:left w:val="nil"/>
              <w:bottom w:val="nil"/>
              <w:right w:val="nil"/>
            </w:tcBorders>
            <w:shd w:val="clear" w:color="auto" w:fill="E6E6E6"/>
            <w:noWrap/>
            <w:tcMar>
              <w:top w:w="15" w:type="dxa"/>
              <w:left w:w="15" w:type="dxa"/>
              <w:bottom w:w="0" w:type="dxa"/>
              <w:right w:w="15" w:type="dxa"/>
            </w:tcMar>
            <w:vAlign w:val="center"/>
            <w:hideMark/>
          </w:tcPr>
          <w:p w14:paraId="57240FCA"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3.6</w:t>
            </w:r>
          </w:p>
        </w:tc>
      </w:tr>
      <w:tr w:rsidR="00973DAD" w:rsidRPr="004F30BD" w14:paraId="0762B44C" w14:textId="77777777" w:rsidTr="00835A71">
        <w:trPr>
          <w:trHeight w:val="288"/>
        </w:trPr>
        <w:tc>
          <w:tcPr>
            <w:tcW w:w="5130" w:type="dxa"/>
            <w:tcBorders>
              <w:top w:val="nil"/>
              <w:left w:val="nil"/>
              <w:bottom w:val="nil"/>
              <w:right w:val="nil"/>
            </w:tcBorders>
            <w:shd w:val="clear" w:color="auto" w:fill="auto"/>
            <w:tcMar>
              <w:top w:w="15" w:type="dxa"/>
              <w:left w:w="15" w:type="dxa"/>
              <w:bottom w:w="0" w:type="dxa"/>
              <w:right w:w="15" w:type="dxa"/>
            </w:tcMar>
            <w:vAlign w:val="center"/>
            <w:hideMark/>
          </w:tcPr>
          <w:p w14:paraId="1EBEC3B9" w14:textId="77777777" w:rsidR="00973DAD" w:rsidRPr="004F30BD" w:rsidRDefault="00973DAD" w:rsidP="00835A71">
            <w:pPr>
              <w:spacing w:before="20" w:after="20" w:line="240" w:lineRule="auto"/>
              <w:ind w:right="0"/>
              <w:rPr>
                <w:rFonts w:eastAsia="Times New Roman" w:cs="Calibri"/>
                <w:color w:val="000000"/>
                <w:szCs w:val="18"/>
                <w:lang w:eastAsia="en-AU"/>
              </w:rPr>
            </w:pPr>
            <w:r w:rsidRPr="004F30BD">
              <w:rPr>
                <w:rFonts w:eastAsia="Times New Roman" w:cs="Calibri"/>
                <w:color w:val="000000"/>
                <w:szCs w:val="18"/>
                <w:lang w:eastAsia="en-AU"/>
              </w:rPr>
              <w:t>Stereotyping of private providers</w:t>
            </w:r>
          </w:p>
        </w:tc>
        <w:tc>
          <w:tcPr>
            <w:tcW w:w="1509" w:type="dxa"/>
            <w:tcBorders>
              <w:top w:val="nil"/>
              <w:left w:val="nil"/>
              <w:bottom w:val="nil"/>
              <w:right w:val="nil"/>
            </w:tcBorders>
            <w:shd w:val="clear" w:color="auto" w:fill="FFFF00"/>
            <w:noWrap/>
            <w:tcMar>
              <w:top w:w="15" w:type="dxa"/>
              <w:left w:w="15" w:type="dxa"/>
              <w:bottom w:w="0" w:type="dxa"/>
              <w:right w:w="15" w:type="dxa"/>
            </w:tcMar>
            <w:vAlign w:val="center"/>
            <w:hideMark/>
          </w:tcPr>
          <w:p w14:paraId="17674B54" w14:textId="77777777" w:rsidR="00973DAD" w:rsidRPr="004F30BD" w:rsidRDefault="00973DAD" w:rsidP="00835A71">
            <w:pPr>
              <w:spacing w:before="0" w:line="240" w:lineRule="auto"/>
              <w:ind w:right="0"/>
              <w:jc w:val="center"/>
              <w:rPr>
                <w:rFonts w:eastAsia="Times New Roman" w:cs="Calibri"/>
                <w:b/>
                <w:bCs/>
                <w:color w:val="000000"/>
                <w:szCs w:val="18"/>
                <w:lang w:eastAsia="en-AU"/>
              </w:rPr>
            </w:pPr>
            <w:r w:rsidRPr="004F30BD">
              <w:rPr>
                <w:rFonts w:cs="Calibri"/>
                <w:b/>
                <w:bCs/>
                <w:color w:val="000000"/>
                <w:szCs w:val="18"/>
              </w:rPr>
              <w:t>4.9</w:t>
            </w:r>
          </w:p>
        </w:tc>
        <w:tc>
          <w:tcPr>
            <w:tcW w:w="1509" w:type="dxa"/>
            <w:tcBorders>
              <w:top w:val="nil"/>
              <w:left w:val="nil"/>
              <w:bottom w:val="nil"/>
              <w:right w:val="nil"/>
            </w:tcBorders>
            <w:shd w:val="clear" w:color="auto" w:fill="FFFF00"/>
            <w:noWrap/>
            <w:tcMar>
              <w:top w:w="15" w:type="dxa"/>
              <w:left w:w="15" w:type="dxa"/>
              <w:bottom w:w="0" w:type="dxa"/>
              <w:right w:w="15" w:type="dxa"/>
            </w:tcMar>
            <w:vAlign w:val="center"/>
            <w:hideMark/>
          </w:tcPr>
          <w:p w14:paraId="70C1950D"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4.2</w:t>
            </w:r>
          </w:p>
        </w:tc>
        <w:tc>
          <w:tcPr>
            <w:tcW w:w="1509" w:type="dxa"/>
            <w:tcBorders>
              <w:top w:val="nil"/>
              <w:left w:val="nil"/>
              <w:bottom w:val="nil"/>
              <w:right w:val="nil"/>
            </w:tcBorders>
            <w:shd w:val="clear" w:color="auto" w:fill="FFFF00"/>
            <w:noWrap/>
            <w:tcMar>
              <w:top w:w="15" w:type="dxa"/>
              <w:left w:w="15" w:type="dxa"/>
              <w:bottom w:w="0" w:type="dxa"/>
              <w:right w:w="15" w:type="dxa"/>
            </w:tcMar>
            <w:vAlign w:val="center"/>
            <w:hideMark/>
          </w:tcPr>
          <w:p w14:paraId="4D801520" w14:textId="77777777" w:rsidR="00973DAD" w:rsidRPr="004F30BD" w:rsidRDefault="00973DAD" w:rsidP="00835A71">
            <w:pPr>
              <w:spacing w:before="0" w:line="240" w:lineRule="auto"/>
              <w:ind w:right="0"/>
              <w:jc w:val="center"/>
              <w:rPr>
                <w:rFonts w:eastAsia="Times New Roman" w:cs="Calibri"/>
                <w:b/>
                <w:bCs/>
                <w:color w:val="000000"/>
                <w:szCs w:val="18"/>
                <w:lang w:eastAsia="en-AU"/>
              </w:rPr>
            </w:pPr>
            <w:r w:rsidRPr="004F30BD">
              <w:rPr>
                <w:rFonts w:cs="Calibri"/>
                <w:b/>
                <w:bCs/>
                <w:color w:val="000000"/>
                <w:szCs w:val="18"/>
              </w:rPr>
              <w:t>5.4</w:t>
            </w:r>
          </w:p>
        </w:tc>
        <w:tc>
          <w:tcPr>
            <w:tcW w:w="1509" w:type="dxa"/>
            <w:tcBorders>
              <w:top w:val="nil"/>
              <w:left w:val="nil"/>
              <w:bottom w:val="nil"/>
              <w:right w:val="nil"/>
            </w:tcBorders>
            <w:shd w:val="clear" w:color="auto" w:fill="FFFFFF" w:themeFill="background1"/>
            <w:noWrap/>
            <w:tcMar>
              <w:top w:w="15" w:type="dxa"/>
              <w:left w:w="15" w:type="dxa"/>
              <w:bottom w:w="0" w:type="dxa"/>
              <w:right w:w="15" w:type="dxa"/>
            </w:tcMar>
            <w:vAlign w:val="center"/>
            <w:hideMark/>
          </w:tcPr>
          <w:p w14:paraId="45B73AC6"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2.9</w:t>
            </w:r>
          </w:p>
        </w:tc>
        <w:tc>
          <w:tcPr>
            <w:tcW w:w="1509" w:type="dxa"/>
            <w:tcBorders>
              <w:top w:val="nil"/>
              <w:left w:val="nil"/>
              <w:bottom w:val="nil"/>
              <w:right w:val="nil"/>
            </w:tcBorders>
            <w:shd w:val="clear" w:color="auto" w:fill="FFFF00"/>
            <w:noWrap/>
            <w:tcMar>
              <w:top w:w="15" w:type="dxa"/>
              <w:left w:w="15" w:type="dxa"/>
              <w:bottom w:w="0" w:type="dxa"/>
              <w:right w:w="15" w:type="dxa"/>
            </w:tcMar>
            <w:vAlign w:val="center"/>
            <w:hideMark/>
          </w:tcPr>
          <w:p w14:paraId="2156A914" w14:textId="77777777" w:rsidR="00973DAD" w:rsidRPr="004F30BD" w:rsidRDefault="00973DAD" w:rsidP="00835A71">
            <w:pPr>
              <w:spacing w:before="0" w:line="240" w:lineRule="auto"/>
              <w:ind w:right="0"/>
              <w:jc w:val="center"/>
              <w:rPr>
                <w:rFonts w:eastAsia="Times New Roman" w:cs="Calibri"/>
                <w:b/>
                <w:bCs/>
                <w:color w:val="000000"/>
                <w:szCs w:val="18"/>
                <w:lang w:eastAsia="en-AU"/>
              </w:rPr>
            </w:pPr>
            <w:r w:rsidRPr="004F30BD">
              <w:rPr>
                <w:rFonts w:cs="Calibri"/>
                <w:b/>
                <w:bCs/>
                <w:color w:val="000000"/>
                <w:szCs w:val="18"/>
              </w:rPr>
              <w:t>4.7</w:t>
            </w:r>
          </w:p>
        </w:tc>
        <w:tc>
          <w:tcPr>
            <w:tcW w:w="1510" w:type="dxa"/>
            <w:tcBorders>
              <w:top w:val="nil"/>
              <w:left w:val="nil"/>
              <w:bottom w:val="nil"/>
              <w:right w:val="nil"/>
            </w:tcBorders>
            <w:shd w:val="clear" w:color="auto" w:fill="FFFF00"/>
            <w:noWrap/>
            <w:tcMar>
              <w:top w:w="15" w:type="dxa"/>
              <w:left w:w="15" w:type="dxa"/>
              <w:bottom w:w="0" w:type="dxa"/>
              <w:right w:w="15" w:type="dxa"/>
            </w:tcMar>
            <w:vAlign w:val="center"/>
            <w:hideMark/>
          </w:tcPr>
          <w:p w14:paraId="14A1345E" w14:textId="77777777" w:rsidR="00973DAD" w:rsidRPr="004F30BD" w:rsidRDefault="00973DAD" w:rsidP="00835A71">
            <w:pPr>
              <w:spacing w:before="0" w:line="240" w:lineRule="auto"/>
              <w:ind w:right="0"/>
              <w:jc w:val="center"/>
              <w:rPr>
                <w:rFonts w:eastAsia="Times New Roman" w:cs="Calibri"/>
                <w:b/>
                <w:bCs/>
                <w:color w:val="000000"/>
                <w:szCs w:val="18"/>
                <w:lang w:eastAsia="en-AU"/>
              </w:rPr>
            </w:pPr>
            <w:r w:rsidRPr="004F30BD">
              <w:rPr>
                <w:rFonts w:cs="Calibri"/>
                <w:b/>
                <w:bCs/>
                <w:color w:val="000000"/>
                <w:szCs w:val="18"/>
              </w:rPr>
              <w:t>5.4</w:t>
            </w:r>
          </w:p>
        </w:tc>
      </w:tr>
      <w:tr w:rsidR="00973DAD" w:rsidRPr="004F30BD" w14:paraId="21F2373D" w14:textId="77777777" w:rsidTr="00835A71">
        <w:trPr>
          <w:trHeight w:val="288"/>
        </w:trPr>
        <w:tc>
          <w:tcPr>
            <w:tcW w:w="5130" w:type="dxa"/>
            <w:tcBorders>
              <w:top w:val="nil"/>
              <w:left w:val="nil"/>
              <w:bottom w:val="nil"/>
              <w:right w:val="nil"/>
            </w:tcBorders>
            <w:shd w:val="clear" w:color="auto" w:fill="E6E6E6"/>
            <w:tcMar>
              <w:top w:w="15" w:type="dxa"/>
              <w:left w:w="15" w:type="dxa"/>
              <w:bottom w:w="0" w:type="dxa"/>
              <w:right w:w="15" w:type="dxa"/>
            </w:tcMar>
            <w:vAlign w:val="center"/>
            <w:hideMark/>
          </w:tcPr>
          <w:p w14:paraId="70AB7949" w14:textId="77777777" w:rsidR="00973DAD" w:rsidRPr="004F30BD" w:rsidRDefault="00973DAD" w:rsidP="00835A71">
            <w:pPr>
              <w:spacing w:before="20" w:after="20" w:line="240" w:lineRule="auto"/>
              <w:ind w:right="0"/>
              <w:rPr>
                <w:rFonts w:eastAsia="Times New Roman" w:cs="Calibri"/>
                <w:color w:val="000000"/>
                <w:szCs w:val="18"/>
                <w:lang w:eastAsia="en-AU"/>
              </w:rPr>
            </w:pPr>
            <w:r w:rsidRPr="004F30BD">
              <w:rPr>
                <w:rFonts w:eastAsia="Times New Roman" w:cs="Calibri"/>
                <w:color w:val="000000"/>
                <w:szCs w:val="18"/>
                <w:lang w:eastAsia="en-AU"/>
              </w:rPr>
              <w:t>Cyber security</w:t>
            </w:r>
          </w:p>
        </w:tc>
        <w:tc>
          <w:tcPr>
            <w:tcW w:w="1509" w:type="dxa"/>
            <w:tcBorders>
              <w:top w:val="nil"/>
              <w:left w:val="nil"/>
              <w:bottom w:val="nil"/>
              <w:right w:val="nil"/>
            </w:tcBorders>
            <w:shd w:val="clear" w:color="auto" w:fill="E6E6E6"/>
            <w:noWrap/>
            <w:tcMar>
              <w:top w:w="15" w:type="dxa"/>
              <w:left w:w="15" w:type="dxa"/>
              <w:bottom w:w="0" w:type="dxa"/>
              <w:right w:w="15" w:type="dxa"/>
            </w:tcMar>
            <w:vAlign w:val="center"/>
            <w:hideMark/>
          </w:tcPr>
          <w:p w14:paraId="7D58CFC4"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4.2</w:t>
            </w:r>
          </w:p>
        </w:tc>
        <w:tc>
          <w:tcPr>
            <w:tcW w:w="1509" w:type="dxa"/>
            <w:tcBorders>
              <w:top w:val="nil"/>
              <w:left w:val="nil"/>
              <w:bottom w:val="nil"/>
              <w:right w:val="nil"/>
            </w:tcBorders>
            <w:shd w:val="clear" w:color="auto" w:fill="E6E6E6"/>
            <w:noWrap/>
            <w:tcMar>
              <w:top w:w="15" w:type="dxa"/>
              <w:left w:w="15" w:type="dxa"/>
              <w:bottom w:w="0" w:type="dxa"/>
              <w:right w:w="15" w:type="dxa"/>
            </w:tcMar>
            <w:vAlign w:val="center"/>
            <w:hideMark/>
          </w:tcPr>
          <w:p w14:paraId="532781EC" w14:textId="77777777" w:rsidR="00973DAD" w:rsidRPr="004F30BD" w:rsidRDefault="00973DAD" w:rsidP="00835A71">
            <w:pPr>
              <w:spacing w:before="0" w:line="240" w:lineRule="auto"/>
              <w:ind w:right="0"/>
              <w:jc w:val="center"/>
              <w:rPr>
                <w:rFonts w:eastAsia="Times New Roman" w:cs="Calibri"/>
                <w:b/>
                <w:bCs/>
                <w:color w:val="000000"/>
                <w:szCs w:val="18"/>
                <w:lang w:eastAsia="en-AU"/>
              </w:rPr>
            </w:pPr>
            <w:r w:rsidRPr="004F30BD">
              <w:rPr>
                <w:rFonts w:cs="Calibri"/>
                <w:b/>
                <w:bCs/>
                <w:color w:val="000000"/>
                <w:szCs w:val="18"/>
              </w:rPr>
              <w:t>4.8</w:t>
            </w:r>
          </w:p>
        </w:tc>
        <w:tc>
          <w:tcPr>
            <w:tcW w:w="1509" w:type="dxa"/>
            <w:tcBorders>
              <w:top w:val="nil"/>
              <w:left w:val="nil"/>
              <w:bottom w:val="nil"/>
              <w:right w:val="nil"/>
            </w:tcBorders>
            <w:shd w:val="clear" w:color="auto" w:fill="E6E6E6"/>
            <w:noWrap/>
            <w:tcMar>
              <w:top w:w="15" w:type="dxa"/>
              <w:left w:w="15" w:type="dxa"/>
              <w:bottom w:w="0" w:type="dxa"/>
              <w:right w:w="15" w:type="dxa"/>
            </w:tcMar>
            <w:vAlign w:val="center"/>
            <w:hideMark/>
          </w:tcPr>
          <w:p w14:paraId="2DB00DFB"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4.5</w:t>
            </w:r>
          </w:p>
        </w:tc>
        <w:tc>
          <w:tcPr>
            <w:tcW w:w="1509" w:type="dxa"/>
            <w:tcBorders>
              <w:top w:val="nil"/>
              <w:left w:val="nil"/>
              <w:bottom w:val="nil"/>
              <w:right w:val="nil"/>
            </w:tcBorders>
            <w:shd w:val="clear" w:color="auto" w:fill="E6E6E6"/>
            <w:noWrap/>
            <w:tcMar>
              <w:top w:w="15" w:type="dxa"/>
              <w:left w:w="15" w:type="dxa"/>
              <w:bottom w:w="0" w:type="dxa"/>
              <w:right w:w="15" w:type="dxa"/>
            </w:tcMar>
            <w:vAlign w:val="center"/>
            <w:hideMark/>
          </w:tcPr>
          <w:p w14:paraId="56152874" w14:textId="77777777" w:rsidR="00973DAD" w:rsidRPr="004F30BD" w:rsidRDefault="00973DAD" w:rsidP="00835A71">
            <w:pPr>
              <w:spacing w:before="0" w:line="240" w:lineRule="auto"/>
              <w:ind w:right="0"/>
              <w:jc w:val="center"/>
              <w:rPr>
                <w:rFonts w:eastAsia="Times New Roman" w:cs="Calibri"/>
                <w:b/>
                <w:bCs/>
                <w:color w:val="000000"/>
                <w:szCs w:val="18"/>
                <w:lang w:eastAsia="en-AU"/>
              </w:rPr>
            </w:pPr>
            <w:r w:rsidRPr="004F30BD">
              <w:rPr>
                <w:rFonts w:cs="Calibri"/>
                <w:b/>
                <w:bCs/>
                <w:color w:val="000000"/>
                <w:szCs w:val="18"/>
              </w:rPr>
              <w:t>4.9</w:t>
            </w:r>
          </w:p>
        </w:tc>
        <w:tc>
          <w:tcPr>
            <w:tcW w:w="1509" w:type="dxa"/>
            <w:tcBorders>
              <w:top w:val="nil"/>
              <w:left w:val="nil"/>
              <w:bottom w:val="nil"/>
              <w:right w:val="nil"/>
            </w:tcBorders>
            <w:shd w:val="clear" w:color="auto" w:fill="E6E6E6"/>
            <w:noWrap/>
            <w:tcMar>
              <w:top w:w="15" w:type="dxa"/>
              <w:left w:w="15" w:type="dxa"/>
              <w:bottom w:w="0" w:type="dxa"/>
              <w:right w:w="15" w:type="dxa"/>
            </w:tcMar>
            <w:vAlign w:val="center"/>
            <w:hideMark/>
          </w:tcPr>
          <w:p w14:paraId="04BDD4EB"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4.0</w:t>
            </w:r>
          </w:p>
        </w:tc>
        <w:tc>
          <w:tcPr>
            <w:tcW w:w="1510" w:type="dxa"/>
            <w:tcBorders>
              <w:top w:val="nil"/>
              <w:left w:val="nil"/>
              <w:bottom w:val="nil"/>
              <w:right w:val="nil"/>
            </w:tcBorders>
            <w:shd w:val="clear" w:color="auto" w:fill="E6E6E6"/>
            <w:noWrap/>
            <w:tcMar>
              <w:top w:w="15" w:type="dxa"/>
              <w:left w:w="15" w:type="dxa"/>
              <w:bottom w:w="0" w:type="dxa"/>
              <w:right w:w="15" w:type="dxa"/>
            </w:tcMar>
            <w:vAlign w:val="center"/>
            <w:hideMark/>
          </w:tcPr>
          <w:p w14:paraId="019DE8A2" w14:textId="77777777" w:rsidR="00973DAD" w:rsidRPr="004F30BD" w:rsidRDefault="00973DAD" w:rsidP="00835A71">
            <w:pPr>
              <w:spacing w:before="0" w:line="240" w:lineRule="auto"/>
              <w:ind w:right="0"/>
              <w:jc w:val="center"/>
              <w:rPr>
                <w:rFonts w:eastAsia="Times New Roman" w:cs="Calibri"/>
                <w:b/>
                <w:bCs/>
                <w:color w:val="000000"/>
                <w:szCs w:val="18"/>
                <w:lang w:eastAsia="en-AU"/>
              </w:rPr>
            </w:pPr>
            <w:r w:rsidRPr="004F30BD">
              <w:rPr>
                <w:rFonts w:cs="Calibri"/>
                <w:b/>
                <w:bCs/>
                <w:color w:val="000000"/>
                <w:szCs w:val="18"/>
              </w:rPr>
              <w:t>4.9</w:t>
            </w:r>
          </w:p>
        </w:tc>
      </w:tr>
      <w:tr w:rsidR="00973DAD" w:rsidRPr="004F30BD" w14:paraId="3793946E" w14:textId="77777777" w:rsidTr="00835A71">
        <w:trPr>
          <w:trHeight w:val="288"/>
        </w:trPr>
        <w:tc>
          <w:tcPr>
            <w:tcW w:w="5130" w:type="dxa"/>
            <w:tcBorders>
              <w:top w:val="nil"/>
              <w:left w:val="nil"/>
              <w:bottom w:val="nil"/>
              <w:right w:val="nil"/>
            </w:tcBorders>
            <w:shd w:val="clear" w:color="auto" w:fill="auto"/>
            <w:tcMar>
              <w:top w:w="15" w:type="dxa"/>
              <w:left w:w="15" w:type="dxa"/>
              <w:bottom w:w="0" w:type="dxa"/>
              <w:right w:w="15" w:type="dxa"/>
            </w:tcMar>
            <w:vAlign w:val="center"/>
            <w:hideMark/>
          </w:tcPr>
          <w:p w14:paraId="643DF554" w14:textId="77777777" w:rsidR="00973DAD" w:rsidRPr="004F30BD" w:rsidRDefault="00973DAD" w:rsidP="00835A71">
            <w:pPr>
              <w:spacing w:before="20" w:after="20" w:line="240" w:lineRule="auto"/>
              <w:ind w:right="0"/>
              <w:rPr>
                <w:rFonts w:eastAsia="Times New Roman" w:cs="Calibri"/>
                <w:color w:val="000000"/>
                <w:szCs w:val="18"/>
                <w:lang w:eastAsia="en-AU"/>
              </w:rPr>
            </w:pPr>
            <w:r w:rsidRPr="004F30BD">
              <w:rPr>
                <w:rFonts w:eastAsia="Times New Roman" w:cs="Calibri"/>
                <w:color w:val="000000"/>
                <w:szCs w:val="18"/>
                <w:lang w:eastAsia="en-AU"/>
              </w:rPr>
              <w:t>Discouragement of free enquiry in higher education sector</w:t>
            </w:r>
          </w:p>
        </w:tc>
        <w:tc>
          <w:tcPr>
            <w:tcW w:w="1509" w:type="dxa"/>
            <w:tcBorders>
              <w:top w:val="nil"/>
              <w:left w:val="nil"/>
              <w:bottom w:val="nil"/>
              <w:right w:val="nil"/>
            </w:tcBorders>
            <w:shd w:val="clear" w:color="auto" w:fill="auto"/>
            <w:noWrap/>
            <w:tcMar>
              <w:top w:w="15" w:type="dxa"/>
              <w:left w:w="15" w:type="dxa"/>
              <w:bottom w:w="0" w:type="dxa"/>
              <w:right w:w="15" w:type="dxa"/>
            </w:tcMar>
            <w:vAlign w:val="center"/>
            <w:hideMark/>
          </w:tcPr>
          <w:p w14:paraId="37F97883"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3.6</w:t>
            </w:r>
          </w:p>
        </w:tc>
        <w:tc>
          <w:tcPr>
            <w:tcW w:w="1509" w:type="dxa"/>
            <w:tcBorders>
              <w:top w:val="nil"/>
              <w:left w:val="nil"/>
              <w:bottom w:val="nil"/>
              <w:right w:val="nil"/>
            </w:tcBorders>
            <w:shd w:val="clear" w:color="auto" w:fill="auto"/>
            <w:noWrap/>
            <w:tcMar>
              <w:top w:w="15" w:type="dxa"/>
              <w:left w:w="15" w:type="dxa"/>
              <w:bottom w:w="0" w:type="dxa"/>
              <w:right w:w="15" w:type="dxa"/>
            </w:tcMar>
            <w:vAlign w:val="center"/>
            <w:hideMark/>
          </w:tcPr>
          <w:p w14:paraId="7891056A"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3.5</w:t>
            </w:r>
          </w:p>
        </w:tc>
        <w:tc>
          <w:tcPr>
            <w:tcW w:w="1509" w:type="dxa"/>
            <w:tcBorders>
              <w:top w:val="nil"/>
              <w:left w:val="nil"/>
              <w:bottom w:val="nil"/>
              <w:right w:val="nil"/>
            </w:tcBorders>
            <w:shd w:val="clear" w:color="auto" w:fill="auto"/>
            <w:noWrap/>
            <w:tcMar>
              <w:top w:w="15" w:type="dxa"/>
              <w:left w:w="15" w:type="dxa"/>
              <w:bottom w:w="0" w:type="dxa"/>
              <w:right w:w="15" w:type="dxa"/>
            </w:tcMar>
            <w:vAlign w:val="center"/>
            <w:hideMark/>
          </w:tcPr>
          <w:p w14:paraId="6E89ACD0"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3.5</w:t>
            </w:r>
          </w:p>
        </w:tc>
        <w:tc>
          <w:tcPr>
            <w:tcW w:w="1509" w:type="dxa"/>
            <w:tcBorders>
              <w:top w:val="nil"/>
              <w:left w:val="nil"/>
              <w:bottom w:val="nil"/>
              <w:right w:val="nil"/>
            </w:tcBorders>
            <w:shd w:val="clear" w:color="auto" w:fill="FFFFFF" w:themeFill="background1"/>
            <w:noWrap/>
            <w:tcMar>
              <w:top w:w="15" w:type="dxa"/>
              <w:left w:w="15" w:type="dxa"/>
              <w:bottom w:w="0" w:type="dxa"/>
              <w:right w:w="15" w:type="dxa"/>
            </w:tcMar>
            <w:vAlign w:val="center"/>
            <w:hideMark/>
          </w:tcPr>
          <w:p w14:paraId="32B7AAC3"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2.9</w:t>
            </w:r>
          </w:p>
        </w:tc>
        <w:tc>
          <w:tcPr>
            <w:tcW w:w="1509" w:type="dxa"/>
            <w:tcBorders>
              <w:top w:val="nil"/>
              <w:left w:val="nil"/>
              <w:bottom w:val="nil"/>
              <w:right w:val="nil"/>
            </w:tcBorders>
            <w:shd w:val="clear" w:color="auto" w:fill="auto"/>
            <w:noWrap/>
            <w:tcMar>
              <w:top w:w="15" w:type="dxa"/>
              <w:left w:w="15" w:type="dxa"/>
              <w:bottom w:w="0" w:type="dxa"/>
              <w:right w:w="15" w:type="dxa"/>
            </w:tcMar>
            <w:vAlign w:val="center"/>
            <w:hideMark/>
          </w:tcPr>
          <w:p w14:paraId="4B1ED6C7"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3.2</w:t>
            </w:r>
          </w:p>
        </w:tc>
        <w:tc>
          <w:tcPr>
            <w:tcW w:w="1510" w:type="dxa"/>
            <w:tcBorders>
              <w:top w:val="nil"/>
              <w:left w:val="nil"/>
              <w:bottom w:val="nil"/>
              <w:right w:val="nil"/>
            </w:tcBorders>
            <w:shd w:val="clear" w:color="auto" w:fill="FFFF00"/>
            <w:noWrap/>
            <w:tcMar>
              <w:top w:w="15" w:type="dxa"/>
              <w:left w:w="15" w:type="dxa"/>
              <w:bottom w:w="0" w:type="dxa"/>
              <w:right w:w="15" w:type="dxa"/>
            </w:tcMar>
            <w:vAlign w:val="center"/>
            <w:hideMark/>
          </w:tcPr>
          <w:p w14:paraId="79226542"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4.3</w:t>
            </w:r>
          </w:p>
        </w:tc>
      </w:tr>
      <w:tr w:rsidR="00973DAD" w:rsidRPr="004F30BD" w14:paraId="2E27194D" w14:textId="77777777" w:rsidTr="00835A71">
        <w:trPr>
          <w:trHeight w:val="288"/>
        </w:trPr>
        <w:tc>
          <w:tcPr>
            <w:tcW w:w="5130" w:type="dxa"/>
            <w:tcBorders>
              <w:top w:val="nil"/>
              <w:left w:val="nil"/>
              <w:bottom w:val="nil"/>
              <w:right w:val="nil"/>
            </w:tcBorders>
            <w:shd w:val="clear" w:color="auto" w:fill="E6E6E6"/>
            <w:tcMar>
              <w:top w:w="15" w:type="dxa"/>
              <w:left w:w="15" w:type="dxa"/>
              <w:bottom w:w="0" w:type="dxa"/>
              <w:right w:w="15" w:type="dxa"/>
            </w:tcMar>
            <w:vAlign w:val="center"/>
            <w:hideMark/>
          </w:tcPr>
          <w:p w14:paraId="33B218C1" w14:textId="77777777" w:rsidR="00973DAD" w:rsidRPr="004F30BD" w:rsidRDefault="00973DAD" w:rsidP="00835A71">
            <w:pPr>
              <w:spacing w:before="20" w:after="20" w:line="240" w:lineRule="auto"/>
              <w:ind w:right="0"/>
              <w:rPr>
                <w:rFonts w:eastAsia="Times New Roman" w:cs="Calibri"/>
                <w:color w:val="000000"/>
                <w:szCs w:val="18"/>
                <w:lang w:eastAsia="en-AU"/>
              </w:rPr>
            </w:pPr>
            <w:r w:rsidRPr="004F30BD">
              <w:rPr>
                <w:rFonts w:eastAsia="Times New Roman" w:cs="Calibri"/>
                <w:color w:val="000000"/>
                <w:szCs w:val="18"/>
                <w:lang w:eastAsia="en-AU"/>
              </w:rPr>
              <w:t>Stifling of innovation through accreditation processes</w:t>
            </w:r>
          </w:p>
        </w:tc>
        <w:tc>
          <w:tcPr>
            <w:tcW w:w="1509" w:type="dxa"/>
            <w:tcBorders>
              <w:top w:val="nil"/>
              <w:left w:val="nil"/>
              <w:bottom w:val="nil"/>
              <w:right w:val="nil"/>
            </w:tcBorders>
            <w:shd w:val="clear" w:color="auto" w:fill="E6E6E6"/>
            <w:noWrap/>
            <w:tcMar>
              <w:top w:w="15" w:type="dxa"/>
              <w:left w:w="15" w:type="dxa"/>
              <w:bottom w:w="0" w:type="dxa"/>
              <w:right w:w="15" w:type="dxa"/>
            </w:tcMar>
            <w:vAlign w:val="center"/>
            <w:hideMark/>
          </w:tcPr>
          <w:p w14:paraId="526C60F4"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4.0</w:t>
            </w:r>
          </w:p>
        </w:tc>
        <w:tc>
          <w:tcPr>
            <w:tcW w:w="1509" w:type="dxa"/>
            <w:tcBorders>
              <w:top w:val="nil"/>
              <w:left w:val="nil"/>
              <w:bottom w:val="nil"/>
              <w:right w:val="nil"/>
            </w:tcBorders>
            <w:shd w:val="clear" w:color="auto" w:fill="E6E6E6"/>
            <w:noWrap/>
            <w:tcMar>
              <w:top w:w="15" w:type="dxa"/>
              <w:left w:w="15" w:type="dxa"/>
              <w:bottom w:w="0" w:type="dxa"/>
              <w:right w:w="15" w:type="dxa"/>
            </w:tcMar>
            <w:vAlign w:val="center"/>
            <w:hideMark/>
          </w:tcPr>
          <w:p w14:paraId="22D05D5D"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4.0</w:t>
            </w:r>
          </w:p>
        </w:tc>
        <w:tc>
          <w:tcPr>
            <w:tcW w:w="1509" w:type="dxa"/>
            <w:tcBorders>
              <w:top w:val="nil"/>
              <w:left w:val="nil"/>
              <w:bottom w:val="nil"/>
              <w:right w:val="nil"/>
            </w:tcBorders>
            <w:shd w:val="clear" w:color="auto" w:fill="FFFF00"/>
            <w:noWrap/>
            <w:tcMar>
              <w:top w:w="15" w:type="dxa"/>
              <w:left w:w="15" w:type="dxa"/>
              <w:bottom w:w="0" w:type="dxa"/>
              <w:right w:w="15" w:type="dxa"/>
            </w:tcMar>
            <w:vAlign w:val="center"/>
            <w:hideMark/>
          </w:tcPr>
          <w:p w14:paraId="2E9A81C4" w14:textId="77777777" w:rsidR="00973DAD" w:rsidRPr="004F30BD" w:rsidRDefault="00973DAD" w:rsidP="00835A71">
            <w:pPr>
              <w:spacing w:before="0" w:line="240" w:lineRule="auto"/>
              <w:ind w:right="0"/>
              <w:jc w:val="center"/>
              <w:rPr>
                <w:rFonts w:eastAsia="Times New Roman" w:cs="Calibri"/>
                <w:b/>
                <w:bCs/>
                <w:color w:val="000000"/>
                <w:szCs w:val="18"/>
                <w:lang w:eastAsia="en-AU"/>
              </w:rPr>
            </w:pPr>
            <w:r w:rsidRPr="004F30BD">
              <w:rPr>
                <w:rFonts w:cs="Calibri"/>
                <w:b/>
                <w:bCs/>
                <w:color w:val="000000"/>
                <w:szCs w:val="18"/>
              </w:rPr>
              <w:t>4.6</w:t>
            </w:r>
          </w:p>
        </w:tc>
        <w:tc>
          <w:tcPr>
            <w:tcW w:w="1509" w:type="dxa"/>
            <w:tcBorders>
              <w:top w:val="nil"/>
              <w:left w:val="nil"/>
              <w:bottom w:val="nil"/>
              <w:right w:val="nil"/>
            </w:tcBorders>
            <w:shd w:val="clear" w:color="auto" w:fill="E6E6E6"/>
            <w:noWrap/>
            <w:tcMar>
              <w:top w:w="15" w:type="dxa"/>
              <w:left w:w="15" w:type="dxa"/>
              <w:bottom w:w="0" w:type="dxa"/>
              <w:right w:w="15" w:type="dxa"/>
            </w:tcMar>
            <w:vAlign w:val="center"/>
            <w:hideMark/>
          </w:tcPr>
          <w:p w14:paraId="787112E4"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3.3</w:t>
            </w:r>
          </w:p>
        </w:tc>
        <w:tc>
          <w:tcPr>
            <w:tcW w:w="1509" w:type="dxa"/>
            <w:tcBorders>
              <w:top w:val="nil"/>
              <w:left w:val="nil"/>
              <w:bottom w:val="nil"/>
              <w:right w:val="nil"/>
            </w:tcBorders>
            <w:shd w:val="clear" w:color="auto" w:fill="E6E6E6"/>
            <w:noWrap/>
            <w:tcMar>
              <w:top w:w="15" w:type="dxa"/>
              <w:left w:w="15" w:type="dxa"/>
              <w:bottom w:w="0" w:type="dxa"/>
              <w:right w:w="15" w:type="dxa"/>
            </w:tcMar>
            <w:vAlign w:val="center"/>
            <w:hideMark/>
          </w:tcPr>
          <w:p w14:paraId="24EEBB1A"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3.9</w:t>
            </w:r>
          </w:p>
        </w:tc>
        <w:tc>
          <w:tcPr>
            <w:tcW w:w="1510" w:type="dxa"/>
            <w:tcBorders>
              <w:top w:val="nil"/>
              <w:left w:val="nil"/>
              <w:bottom w:val="nil"/>
              <w:right w:val="nil"/>
            </w:tcBorders>
            <w:shd w:val="clear" w:color="auto" w:fill="FFFF00"/>
            <w:noWrap/>
            <w:tcMar>
              <w:top w:w="15" w:type="dxa"/>
              <w:left w:w="15" w:type="dxa"/>
              <w:bottom w:w="0" w:type="dxa"/>
              <w:right w:w="15" w:type="dxa"/>
            </w:tcMar>
            <w:vAlign w:val="center"/>
            <w:hideMark/>
          </w:tcPr>
          <w:p w14:paraId="758C9B1A" w14:textId="77777777" w:rsidR="00973DAD" w:rsidRPr="004F30BD" w:rsidRDefault="00973DAD" w:rsidP="00835A71">
            <w:pPr>
              <w:spacing w:before="0" w:line="240" w:lineRule="auto"/>
              <w:ind w:right="0"/>
              <w:jc w:val="center"/>
              <w:rPr>
                <w:rFonts w:eastAsia="Times New Roman" w:cs="Calibri"/>
                <w:b/>
                <w:bCs/>
                <w:color w:val="000000"/>
                <w:szCs w:val="18"/>
                <w:lang w:eastAsia="en-AU"/>
              </w:rPr>
            </w:pPr>
            <w:r w:rsidRPr="004F30BD">
              <w:rPr>
                <w:rFonts w:cs="Calibri"/>
                <w:b/>
                <w:bCs/>
                <w:color w:val="000000"/>
                <w:szCs w:val="18"/>
              </w:rPr>
              <w:t>5.0</w:t>
            </w:r>
          </w:p>
        </w:tc>
      </w:tr>
      <w:tr w:rsidR="00973DAD" w:rsidRPr="004F30BD" w14:paraId="4A80A676" w14:textId="77777777" w:rsidTr="00835A71">
        <w:trPr>
          <w:trHeight w:val="288"/>
        </w:trPr>
        <w:tc>
          <w:tcPr>
            <w:tcW w:w="5130" w:type="dxa"/>
            <w:tcBorders>
              <w:top w:val="nil"/>
              <w:left w:val="nil"/>
              <w:bottom w:val="nil"/>
              <w:right w:val="nil"/>
            </w:tcBorders>
            <w:shd w:val="clear" w:color="auto" w:fill="auto"/>
            <w:tcMar>
              <w:top w:w="15" w:type="dxa"/>
              <w:left w:w="15" w:type="dxa"/>
              <w:bottom w:w="0" w:type="dxa"/>
              <w:right w:w="15" w:type="dxa"/>
            </w:tcMar>
            <w:vAlign w:val="center"/>
            <w:hideMark/>
          </w:tcPr>
          <w:p w14:paraId="2D026555" w14:textId="77777777" w:rsidR="00973DAD" w:rsidRPr="004F30BD" w:rsidRDefault="00973DAD" w:rsidP="00835A71">
            <w:pPr>
              <w:spacing w:before="20" w:after="20" w:line="240" w:lineRule="auto"/>
              <w:ind w:right="0"/>
              <w:rPr>
                <w:rFonts w:eastAsia="Times New Roman" w:cs="Calibri"/>
                <w:color w:val="000000"/>
                <w:szCs w:val="18"/>
                <w:lang w:eastAsia="en-AU"/>
              </w:rPr>
            </w:pPr>
            <w:r w:rsidRPr="004F30BD">
              <w:rPr>
                <w:rFonts w:eastAsia="Times New Roman" w:cs="Calibri"/>
                <w:color w:val="000000"/>
                <w:szCs w:val="18"/>
                <w:lang w:eastAsia="en-AU"/>
              </w:rPr>
              <w:t>Costs of research for the higher education sector</w:t>
            </w:r>
          </w:p>
        </w:tc>
        <w:tc>
          <w:tcPr>
            <w:tcW w:w="1509" w:type="dxa"/>
            <w:tcBorders>
              <w:top w:val="nil"/>
              <w:left w:val="nil"/>
              <w:bottom w:val="nil"/>
              <w:right w:val="nil"/>
            </w:tcBorders>
            <w:shd w:val="clear" w:color="auto" w:fill="auto"/>
            <w:noWrap/>
            <w:tcMar>
              <w:top w:w="15" w:type="dxa"/>
              <w:left w:w="15" w:type="dxa"/>
              <w:bottom w:w="0" w:type="dxa"/>
              <w:right w:w="15" w:type="dxa"/>
            </w:tcMar>
            <w:vAlign w:val="center"/>
            <w:hideMark/>
          </w:tcPr>
          <w:p w14:paraId="4FF636DC"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4.0</w:t>
            </w:r>
          </w:p>
        </w:tc>
        <w:tc>
          <w:tcPr>
            <w:tcW w:w="1509" w:type="dxa"/>
            <w:tcBorders>
              <w:top w:val="nil"/>
              <w:left w:val="nil"/>
              <w:bottom w:val="nil"/>
              <w:right w:val="nil"/>
            </w:tcBorders>
            <w:shd w:val="clear" w:color="auto" w:fill="auto"/>
            <w:noWrap/>
            <w:tcMar>
              <w:top w:w="15" w:type="dxa"/>
              <w:left w:w="15" w:type="dxa"/>
              <w:bottom w:w="0" w:type="dxa"/>
              <w:right w:w="15" w:type="dxa"/>
            </w:tcMar>
            <w:vAlign w:val="center"/>
            <w:hideMark/>
          </w:tcPr>
          <w:p w14:paraId="33A36C9D"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4.0</w:t>
            </w:r>
          </w:p>
        </w:tc>
        <w:tc>
          <w:tcPr>
            <w:tcW w:w="1509" w:type="dxa"/>
            <w:tcBorders>
              <w:top w:val="nil"/>
              <w:left w:val="nil"/>
              <w:bottom w:val="nil"/>
              <w:right w:val="nil"/>
            </w:tcBorders>
            <w:shd w:val="clear" w:color="auto" w:fill="auto"/>
            <w:noWrap/>
            <w:tcMar>
              <w:top w:w="15" w:type="dxa"/>
              <w:left w:w="15" w:type="dxa"/>
              <w:bottom w:w="0" w:type="dxa"/>
              <w:right w:w="15" w:type="dxa"/>
            </w:tcMar>
            <w:vAlign w:val="center"/>
            <w:hideMark/>
          </w:tcPr>
          <w:p w14:paraId="1F8AA2F2"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3.9</w:t>
            </w:r>
          </w:p>
        </w:tc>
        <w:tc>
          <w:tcPr>
            <w:tcW w:w="1509" w:type="dxa"/>
            <w:tcBorders>
              <w:top w:val="nil"/>
              <w:left w:val="nil"/>
              <w:bottom w:val="nil"/>
              <w:right w:val="nil"/>
            </w:tcBorders>
            <w:shd w:val="clear" w:color="auto" w:fill="auto"/>
            <w:noWrap/>
            <w:tcMar>
              <w:top w:w="15" w:type="dxa"/>
              <w:left w:w="15" w:type="dxa"/>
              <w:bottom w:w="0" w:type="dxa"/>
              <w:right w:w="15" w:type="dxa"/>
            </w:tcMar>
            <w:vAlign w:val="center"/>
            <w:hideMark/>
          </w:tcPr>
          <w:p w14:paraId="2499E493" w14:textId="77777777" w:rsidR="00973DAD" w:rsidRPr="004F30BD" w:rsidRDefault="00973DAD" w:rsidP="00835A71">
            <w:pPr>
              <w:spacing w:before="0" w:line="240" w:lineRule="auto"/>
              <w:ind w:right="0"/>
              <w:jc w:val="center"/>
              <w:rPr>
                <w:rFonts w:eastAsia="Times New Roman" w:cs="Calibri"/>
                <w:b/>
                <w:bCs/>
                <w:color w:val="000000"/>
                <w:szCs w:val="18"/>
                <w:lang w:eastAsia="en-AU"/>
              </w:rPr>
            </w:pPr>
            <w:r w:rsidRPr="004F30BD">
              <w:rPr>
                <w:rFonts w:cs="Calibri"/>
                <w:b/>
                <w:bCs/>
                <w:color w:val="000000"/>
                <w:szCs w:val="18"/>
              </w:rPr>
              <w:t>4.6</w:t>
            </w:r>
          </w:p>
        </w:tc>
        <w:tc>
          <w:tcPr>
            <w:tcW w:w="1509" w:type="dxa"/>
            <w:tcBorders>
              <w:top w:val="nil"/>
              <w:left w:val="nil"/>
              <w:bottom w:val="nil"/>
              <w:right w:val="nil"/>
            </w:tcBorders>
            <w:shd w:val="clear" w:color="auto" w:fill="auto"/>
            <w:noWrap/>
            <w:tcMar>
              <w:top w:w="15" w:type="dxa"/>
              <w:left w:w="15" w:type="dxa"/>
              <w:bottom w:w="0" w:type="dxa"/>
              <w:right w:w="15" w:type="dxa"/>
            </w:tcMar>
            <w:vAlign w:val="center"/>
            <w:hideMark/>
          </w:tcPr>
          <w:p w14:paraId="3EE299E5"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4.4</w:t>
            </w:r>
          </w:p>
        </w:tc>
        <w:tc>
          <w:tcPr>
            <w:tcW w:w="1510" w:type="dxa"/>
            <w:tcBorders>
              <w:top w:val="nil"/>
              <w:left w:val="nil"/>
              <w:bottom w:val="nil"/>
              <w:right w:val="nil"/>
            </w:tcBorders>
            <w:shd w:val="clear" w:color="auto" w:fill="auto"/>
            <w:noWrap/>
            <w:tcMar>
              <w:top w:w="15" w:type="dxa"/>
              <w:left w:w="15" w:type="dxa"/>
              <w:bottom w:w="0" w:type="dxa"/>
              <w:right w:w="15" w:type="dxa"/>
            </w:tcMar>
            <w:vAlign w:val="center"/>
            <w:hideMark/>
          </w:tcPr>
          <w:p w14:paraId="1636AC67"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4.2</w:t>
            </w:r>
          </w:p>
        </w:tc>
      </w:tr>
      <w:tr w:rsidR="00973DAD" w:rsidRPr="004F30BD" w14:paraId="6443A266" w14:textId="77777777" w:rsidTr="00835A71">
        <w:trPr>
          <w:trHeight w:val="288"/>
        </w:trPr>
        <w:tc>
          <w:tcPr>
            <w:tcW w:w="5130" w:type="dxa"/>
            <w:tcBorders>
              <w:top w:val="nil"/>
              <w:left w:val="nil"/>
              <w:bottom w:val="nil"/>
              <w:right w:val="nil"/>
            </w:tcBorders>
            <w:shd w:val="clear" w:color="auto" w:fill="E6E6E6"/>
            <w:tcMar>
              <w:top w:w="15" w:type="dxa"/>
              <w:left w:w="15" w:type="dxa"/>
              <w:bottom w:w="0" w:type="dxa"/>
              <w:right w:w="15" w:type="dxa"/>
            </w:tcMar>
            <w:vAlign w:val="center"/>
            <w:hideMark/>
          </w:tcPr>
          <w:p w14:paraId="447EDBCD" w14:textId="77777777" w:rsidR="00973DAD" w:rsidRPr="004F30BD" w:rsidRDefault="00973DAD" w:rsidP="00835A71">
            <w:pPr>
              <w:spacing w:before="20" w:after="20" w:line="240" w:lineRule="auto"/>
              <w:ind w:right="0"/>
              <w:rPr>
                <w:rFonts w:eastAsia="Times New Roman" w:cs="Calibri"/>
                <w:color w:val="000000"/>
                <w:szCs w:val="18"/>
                <w:lang w:eastAsia="en-AU"/>
              </w:rPr>
            </w:pPr>
            <w:r w:rsidRPr="004F30BD">
              <w:rPr>
                <w:rFonts w:eastAsia="Times New Roman" w:cs="Calibri"/>
                <w:color w:val="000000"/>
                <w:szCs w:val="18"/>
                <w:lang w:eastAsia="en-AU"/>
              </w:rPr>
              <w:t>Over-reliance on paper-based assessment of providers including desk audits</w:t>
            </w:r>
          </w:p>
        </w:tc>
        <w:tc>
          <w:tcPr>
            <w:tcW w:w="1509" w:type="dxa"/>
            <w:tcBorders>
              <w:top w:val="nil"/>
              <w:left w:val="nil"/>
              <w:bottom w:val="nil"/>
              <w:right w:val="nil"/>
            </w:tcBorders>
            <w:shd w:val="clear" w:color="auto" w:fill="E6E6E6"/>
            <w:noWrap/>
            <w:tcMar>
              <w:top w:w="15" w:type="dxa"/>
              <w:left w:w="15" w:type="dxa"/>
              <w:bottom w:w="0" w:type="dxa"/>
              <w:right w:w="15" w:type="dxa"/>
            </w:tcMar>
            <w:vAlign w:val="center"/>
            <w:hideMark/>
          </w:tcPr>
          <w:p w14:paraId="51C326A1"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2.4</w:t>
            </w:r>
          </w:p>
        </w:tc>
        <w:tc>
          <w:tcPr>
            <w:tcW w:w="1509" w:type="dxa"/>
            <w:tcBorders>
              <w:top w:val="nil"/>
              <w:left w:val="nil"/>
              <w:bottom w:val="nil"/>
              <w:right w:val="nil"/>
            </w:tcBorders>
            <w:shd w:val="clear" w:color="auto" w:fill="E6E6E6"/>
            <w:noWrap/>
            <w:tcMar>
              <w:top w:w="15" w:type="dxa"/>
              <w:left w:w="15" w:type="dxa"/>
              <w:bottom w:w="0" w:type="dxa"/>
              <w:right w:w="15" w:type="dxa"/>
            </w:tcMar>
            <w:vAlign w:val="center"/>
            <w:hideMark/>
          </w:tcPr>
          <w:p w14:paraId="46ADE28D"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3.2</w:t>
            </w:r>
          </w:p>
        </w:tc>
        <w:tc>
          <w:tcPr>
            <w:tcW w:w="1509" w:type="dxa"/>
            <w:tcBorders>
              <w:top w:val="nil"/>
              <w:left w:val="nil"/>
              <w:bottom w:val="nil"/>
              <w:right w:val="nil"/>
            </w:tcBorders>
            <w:shd w:val="clear" w:color="auto" w:fill="E6E6E6"/>
            <w:noWrap/>
            <w:tcMar>
              <w:top w:w="15" w:type="dxa"/>
              <w:left w:w="15" w:type="dxa"/>
              <w:bottom w:w="0" w:type="dxa"/>
              <w:right w:w="15" w:type="dxa"/>
            </w:tcMar>
            <w:vAlign w:val="center"/>
            <w:hideMark/>
          </w:tcPr>
          <w:p w14:paraId="17D922ED"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3.5</w:t>
            </w:r>
          </w:p>
        </w:tc>
        <w:tc>
          <w:tcPr>
            <w:tcW w:w="1509" w:type="dxa"/>
            <w:tcBorders>
              <w:top w:val="nil"/>
              <w:left w:val="nil"/>
              <w:bottom w:val="nil"/>
              <w:right w:val="nil"/>
            </w:tcBorders>
            <w:shd w:val="clear" w:color="auto" w:fill="E6E6E6"/>
            <w:noWrap/>
            <w:tcMar>
              <w:top w:w="15" w:type="dxa"/>
              <w:left w:w="15" w:type="dxa"/>
              <w:bottom w:w="0" w:type="dxa"/>
              <w:right w:w="15" w:type="dxa"/>
            </w:tcMar>
            <w:vAlign w:val="center"/>
            <w:hideMark/>
          </w:tcPr>
          <w:p w14:paraId="001DA090"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3.0</w:t>
            </w:r>
          </w:p>
        </w:tc>
        <w:tc>
          <w:tcPr>
            <w:tcW w:w="1509" w:type="dxa"/>
            <w:tcBorders>
              <w:top w:val="nil"/>
              <w:left w:val="nil"/>
              <w:bottom w:val="nil"/>
              <w:right w:val="nil"/>
            </w:tcBorders>
            <w:shd w:val="clear" w:color="auto" w:fill="E6E6E6"/>
            <w:noWrap/>
            <w:tcMar>
              <w:top w:w="15" w:type="dxa"/>
              <w:left w:w="15" w:type="dxa"/>
              <w:bottom w:w="0" w:type="dxa"/>
              <w:right w:w="15" w:type="dxa"/>
            </w:tcMar>
            <w:vAlign w:val="center"/>
            <w:hideMark/>
          </w:tcPr>
          <w:p w14:paraId="0BA56C36"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3.5</w:t>
            </w:r>
          </w:p>
        </w:tc>
        <w:tc>
          <w:tcPr>
            <w:tcW w:w="1510" w:type="dxa"/>
            <w:tcBorders>
              <w:top w:val="nil"/>
              <w:left w:val="nil"/>
              <w:bottom w:val="nil"/>
              <w:right w:val="nil"/>
            </w:tcBorders>
            <w:shd w:val="clear" w:color="auto" w:fill="E6E6E6"/>
            <w:noWrap/>
            <w:tcMar>
              <w:top w:w="15" w:type="dxa"/>
              <w:left w:w="15" w:type="dxa"/>
              <w:bottom w:w="0" w:type="dxa"/>
              <w:right w:w="15" w:type="dxa"/>
            </w:tcMar>
            <w:vAlign w:val="center"/>
            <w:hideMark/>
          </w:tcPr>
          <w:p w14:paraId="64351A6D"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4.2</w:t>
            </w:r>
          </w:p>
        </w:tc>
      </w:tr>
      <w:tr w:rsidR="00973DAD" w:rsidRPr="004F30BD" w14:paraId="6A3FF9BC" w14:textId="77777777" w:rsidTr="00835A71">
        <w:trPr>
          <w:trHeight w:val="288"/>
        </w:trPr>
        <w:tc>
          <w:tcPr>
            <w:tcW w:w="5130" w:type="dxa"/>
            <w:tcBorders>
              <w:top w:val="nil"/>
              <w:left w:val="nil"/>
              <w:bottom w:val="nil"/>
              <w:right w:val="nil"/>
            </w:tcBorders>
            <w:shd w:val="clear" w:color="auto" w:fill="auto"/>
            <w:tcMar>
              <w:top w:w="15" w:type="dxa"/>
              <w:left w:w="15" w:type="dxa"/>
              <w:bottom w:w="0" w:type="dxa"/>
              <w:right w:w="15" w:type="dxa"/>
            </w:tcMar>
            <w:vAlign w:val="center"/>
            <w:hideMark/>
          </w:tcPr>
          <w:p w14:paraId="11BA19AB" w14:textId="77777777" w:rsidR="00973DAD" w:rsidRPr="004F30BD" w:rsidRDefault="00973DAD" w:rsidP="00835A71">
            <w:pPr>
              <w:spacing w:before="20" w:after="20" w:line="240" w:lineRule="auto"/>
              <w:ind w:right="0"/>
              <w:rPr>
                <w:rFonts w:eastAsia="Times New Roman" w:cs="Calibri"/>
                <w:color w:val="000000"/>
                <w:szCs w:val="18"/>
                <w:lang w:eastAsia="en-AU"/>
              </w:rPr>
            </w:pPr>
            <w:r w:rsidRPr="004F30BD">
              <w:rPr>
                <w:rFonts w:eastAsia="Times New Roman" w:cs="Calibri"/>
                <w:color w:val="000000"/>
                <w:szCs w:val="18"/>
                <w:lang w:eastAsia="en-AU"/>
              </w:rPr>
              <w:t>TEQSA being unable to see problems in large complex providers</w:t>
            </w:r>
          </w:p>
        </w:tc>
        <w:tc>
          <w:tcPr>
            <w:tcW w:w="1509" w:type="dxa"/>
            <w:tcBorders>
              <w:top w:val="nil"/>
              <w:left w:val="nil"/>
              <w:bottom w:val="nil"/>
              <w:right w:val="nil"/>
            </w:tcBorders>
            <w:shd w:val="clear" w:color="auto" w:fill="auto"/>
            <w:noWrap/>
            <w:tcMar>
              <w:top w:w="15" w:type="dxa"/>
              <w:left w:w="15" w:type="dxa"/>
              <w:bottom w:w="0" w:type="dxa"/>
              <w:right w:w="15" w:type="dxa"/>
            </w:tcMar>
            <w:vAlign w:val="center"/>
            <w:hideMark/>
          </w:tcPr>
          <w:p w14:paraId="2B777D34"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3.3</w:t>
            </w:r>
          </w:p>
        </w:tc>
        <w:tc>
          <w:tcPr>
            <w:tcW w:w="1509" w:type="dxa"/>
            <w:tcBorders>
              <w:top w:val="nil"/>
              <w:left w:val="nil"/>
              <w:bottom w:val="nil"/>
              <w:right w:val="nil"/>
            </w:tcBorders>
            <w:shd w:val="clear" w:color="auto" w:fill="auto"/>
            <w:noWrap/>
            <w:tcMar>
              <w:top w:w="15" w:type="dxa"/>
              <w:left w:w="15" w:type="dxa"/>
              <w:bottom w:w="0" w:type="dxa"/>
              <w:right w:w="15" w:type="dxa"/>
            </w:tcMar>
            <w:vAlign w:val="center"/>
            <w:hideMark/>
          </w:tcPr>
          <w:p w14:paraId="220B03B1"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3.7</w:t>
            </w:r>
          </w:p>
        </w:tc>
        <w:tc>
          <w:tcPr>
            <w:tcW w:w="1509" w:type="dxa"/>
            <w:tcBorders>
              <w:top w:val="nil"/>
              <w:left w:val="nil"/>
              <w:bottom w:val="nil"/>
              <w:right w:val="nil"/>
            </w:tcBorders>
            <w:shd w:val="clear" w:color="auto" w:fill="FFFF00"/>
            <w:noWrap/>
            <w:tcMar>
              <w:top w:w="15" w:type="dxa"/>
              <w:left w:w="15" w:type="dxa"/>
              <w:bottom w:w="0" w:type="dxa"/>
              <w:right w:w="15" w:type="dxa"/>
            </w:tcMar>
            <w:vAlign w:val="center"/>
            <w:hideMark/>
          </w:tcPr>
          <w:p w14:paraId="1B9961F0"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4.4</w:t>
            </w:r>
          </w:p>
        </w:tc>
        <w:tc>
          <w:tcPr>
            <w:tcW w:w="1509" w:type="dxa"/>
            <w:tcBorders>
              <w:top w:val="nil"/>
              <w:left w:val="nil"/>
              <w:bottom w:val="nil"/>
              <w:right w:val="nil"/>
            </w:tcBorders>
            <w:shd w:val="clear" w:color="auto" w:fill="auto"/>
            <w:noWrap/>
            <w:tcMar>
              <w:top w:w="15" w:type="dxa"/>
              <w:left w:w="15" w:type="dxa"/>
              <w:bottom w:w="0" w:type="dxa"/>
              <w:right w:w="15" w:type="dxa"/>
            </w:tcMar>
            <w:vAlign w:val="center"/>
            <w:hideMark/>
          </w:tcPr>
          <w:p w14:paraId="664EF659"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3.1</w:t>
            </w:r>
          </w:p>
        </w:tc>
        <w:tc>
          <w:tcPr>
            <w:tcW w:w="1509" w:type="dxa"/>
            <w:tcBorders>
              <w:top w:val="nil"/>
              <w:left w:val="nil"/>
              <w:bottom w:val="nil"/>
              <w:right w:val="nil"/>
            </w:tcBorders>
            <w:shd w:val="clear" w:color="auto" w:fill="auto"/>
            <w:noWrap/>
            <w:tcMar>
              <w:top w:w="15" w:type="dxa"/>
              <w:left w:w="15" w:type="dxa"/>
              <w:bottom w:w="0" w:type="dxa"/>
              <w:right w:w="15" w:type="dxa"/>
            </w:tcMar>
            <w:vAlign w:val="center"/>
            <w:hideMark/>
          </w:tcPr>
          <w:p w14:paraId="7E4D9D14"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4.0</w:t>
            </w:r>
          </w:p>
        </w:tc>
        <w:tc>
          <w:tcPr>
            <w:tcW w:w="1510" w:type="dxa"/>
            <w:tcBorders>
              <w:top w:val="nil"/>
              <w:left w:val="nil"/>
              <w:bottom w:val="nil"/>
              <w:right w:val="nil"/>
            </w:tcBorders>
            <w:shd w:val="clear" w:color="auto" w:fill="auto"/>
            <w:noWrap/>
            <w:tcMar>
              <w:top w:w="15" w:type="dxa"/>
              <w:left w:w="15" w:type="dxa"/>
              <w:bottom w:w="0" w:type="dxa"/>
              <w:right w:w="15" w:type="dxa"/>
            </w:tcMar>
            <w:vAlign w:val="center"/>
            <w:hideMark/>
          </w:tcPr>
          <w:p w14:paraId="029005ED"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4.3</w:t>
            </w:r>
          </w:p>
        </w:tc>
      </w:tr>
      <w:tr w:rsidR="00973DAD" w:rsidRPr="004F30BD" w14:paraId="46341292" w14:textId="77777777" w:rsidTr="00835A71">
        <w:trPr>
          <w:trHeight w:val="288"/>
        </w:trPr>
        <w:tc>
          <w:tcPr>
            <w:tcW w:w="5130" w:type="dxa"/>
            <w:tcBorders>
              <w:top w:val="nil"/>
              <w:left w:val="nil"/>
              <w:bottom w:val="nil"/>
              <w:right w:val="nil"/>
            </w:tcBorders>
            <w:shd w:val="clear" w:color="auto" w:fill="E6E6E6"/>
            <w:tcMar>
              <w:top w:w="15" w:type="dxa"/>
              <w:left w:w="15" w:type="dxa"/>
              <w:bottom w:w="0" w:type="dxa"/>
              <w:right w:w="15" w:type="dxa"/>
            </w:tcMar>
            <w:vAlign w:val="center"/>
            <w:hideMark/>
          </w:tcPr>
          <w:p w14:paraId="335C9AAF" w14:textId="77777777" w:rsidR="00973DAD" w:rsidRPr="004F30BD" w:rsidRDefault="00973DAD" w:rsidP="00835A71">
            <w:pPr>
              <w:spacing w:before="20" w:after="20" w:line="240" w:lineRule="auto"/>
              <w:ind w:right="0"/>
              <w:rPr>
                <w:rFonts w:eastAsia="Times New Roman" w:cs="Calibri"/>
                <w:color w:val="000000"/>
                <w:szCs w:val="18"/>
                <w:lang w:eastAsia="en-AU"/>
              </w:rPr>
            </w:pPr>
            <w:r w:rsidRPr="004F30BD">
              <w:rPr>
                <w:rFonts w:eastAsia="Times New Roman" w:cs="Calibri"/>
                <w:color w:val="000000"/>
                <w:szCs w:val="18"/>
                <w:lang w:eastAsia="en-AU"/>
              </w:rPr>
              <w:t>Difficulty in holding to account providers that are too big to fail</w:t>
            </w:r>
          </w:p>
        </w:tc>
        <w:tc>
          <w:tcPr>
            <w:tcW w:w="1509" w:type="dxa"/>
            <w:tcBorders>
              <w:top w:val="nil"/>
              <w:left w:val="nil"/>
              <w:bottom w:val="nil"/>
              <w:right w:val="nil"/>
            </w:tcBorders>
            <w:shd w:val="clear" w:color="auto" w:fill="E6E6E6"/>
            <w:noWrap/>
            <w:tcMar>
              <w:top w:w="15" w:type="dxa"/>
              <w:left w:w="15" w:type="dxa"/>
              <w:bottom w:w="0" w:type="dxa"/>
              <w:right w:w="15" w:type="dxa"/>
            </w:tcMar>
            <w:vAlign w:val="center"/>
            <w:hideMark/>
          </w:tcPr>
          <w:p w14:paraId="02A6FFF3"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4.0</w:t>
            </w:r>
          </w:p>
        </w:tc>
        <w:tc>
          <w:tcPr>
            <w:tcW w:w="1509" w:type="dxa"/>
            <w:tcBorders>
              <w:top w:val="nil"/>
              <w:left w:val="nil"/>
              <w:bottom w:val="nil"/>
              <w:right w:val="nil"/>
            </w:tcBorders>
            <w:shd w:val="clear" w:color="auto" w:fill="E6E6E6"/>
            <w:noWrap/>
            <w:tcMar>
              <w:top w:w="15" w:type="dxa"/>
              <w:left w:w="15" w:type="dxa"/>
              <w:bottom w:w="0" w:type="dxa"/>
              <w:right w:w="15" w:type="dxa"/>
            </w:tcMar>
            <w:vAlign w:val="center"/>
            <w:hideMark/>
          </w:tcPr>
          <w:p w14:paraId="5BB5AE9E"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4.1</w:t>
            </w:r>
          </w:p>
        </w:tc>
        <w:tc>
          <w:tcPr>
            <w:tcW w:w="1509" w:type="dxa"/>
            <w:tcBorders>
              <w:top w:val="nil"/>
              <w:left w:val="nil"/>
              <w:bottom w:val="nil"/>
              <w:right w:val="nil"/>
            </w:tcBorders>
            <w:shd w:val="clear" w:color="auto" w:fill="FFFF00"/>
            <w:noWrap/>
            <w:tcMar>
              <w:top w:w="15" w:type="dxa"/>
              <w:left w:w="15" w:type="dxa"/>
              <w:bottom w:w="0" w:type="dxa"/>
              <w:right w:w="15" w:type="dxa"/>
            </w:tcMar>
            <w:vAlign w:val="center"/>
            <w:hideMark/>
          </w:tcPr>
          <w:p w14:paraId="63F8DD15" w14:textId="77777777" w:rsidR="00973DAD" w:rsidRPr="004F30BD" w:rsidRDefault="00973DAD" w:rsidP="00835A71">
            <w:pPr>
              <w:spacing w:before="0" w:line="240" w:lineRule="auto"/>
              <w:ind w:right="0"/>
              <w:jc w:val="center"/>
              <w:rPr>
                <w:rFonts w:eastAsia="Times New Roman" w:cs="Calibri"/>
                <w:b/>
                <w:bCs/>
                <w:color w:val="000000"/>
                <w:szCs w:val="18"/>
                <w:lang w:eastAsia="en-AU"/>
              </w:rPr>
            </w:pPr>
            <w:r w:rsidRPr="004F30BD">
              <w:rPr>
                <w:rFonts w:cs="Calibri"/>
                <w:b/>
                <w:bCs/>
                <w:color w:val="000000"/>
                <w:szCs w:val="18"/>
              </w:rPr>
              <w:t>5.1</w:t>
            </w:r>
          </w:p>
        </w:tc>
        <w:tc>
          <w:tcPr>
            <w:tcW w:w="1509" w:type="dxa"/>
            <w:tcBorders>
              <w:top w:val="nil"/>
              <w:left w:val="nil"/>
              <w:bottom w:val="nil"/>
              <w:right w:val="nil"/>
            </w:tcBorders>
            <w:shd w:val="clear" w:color="auto" w:fill="E6E6E6"/>
            <w:noWrap/>
            <w:tcMar>
              <w:top w:w="15" w:type="dxa"/>
              <w:left w:w="15" w:type="dxa"/>
              <w:bottom w:w="0" w:type="dxa"/>
              <w:right w:w="15" w:type="dxa"/>
            </w:tcMar>
            <w:vAlign w:val="center"/>
            <w:hideMark/>
          </w:tcPr>
          <w:p w14:paraId="5D465EDF"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3.1</w:t>
            </w:r>
          </w:p>
        </w:tc>
        <w:tc>
          <w:tcPr>
            <w:tcW w:w="1509" w:type="dxa"/>
            <w:tcBorders>
              <w:top w:val="nil"/>
              <w:left w:val="nil"/>
              <w:bottom w:val="nil"/>
              <w:right w:val="nil"/>
            </w:tcBorders>
            <w:shd w:val="clear" w:color="auto" w:fill="FFFF00"/>
            <w:noWrap/>
            <w:tcMar>
              <w:top w:w="15" w:type="dxa"/>
              <w:left w:w="15" w:type="dxa"/>
              <w:bottom w:w="0" w:type="dxa"/>
              <w:right w:w="15" w:type="dxa"/>
            </w:tcMar>
            <w:vAlign w:val="center"/>
            <w:hideMark/>
          </w:tcPr>
          <w:p w14:paraId="6FB26E98"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4.5</w:t>
            </w:r>
          </w:p>
        </w:tc>
        <w:tc>
          <w:tcPr>
            <w:tcW w:w="1510" w:type="dxa"/>
            <w:tcBorders>
              <w:top w:val="nil"/>
              <w:left w:val="nil"/>
              <w:bottom w:val="nil"/>
              <w:right w:val="nil"/>
            </w:tcBorders>
            <w:shd w:val="clear" w:color="auto" w:fill="FFFF00"/>
            <w:noWrap/>
            <w:tcMar>
              <w:top w:w="15" w:type="dxa"/>
              <w:left w:w="15" w:type="dxa"/>
              <w:bottom w:w="0" w:type="dxa"/>
              <w:right w:w="15" w:type="dxa"/>
            </w:tcMar>
            <w:vAlign w:val="center"/>
            <w:hideMark/>
          </w:tcPr>
          <w:p w14:paraId="2B49B867" w14:textId="77777777" w:rsidR="00973DAD" w:rsidRPr="004F30BD" w:rsidRDefault="00973DAD" w:rsidP="00835A71">
            <w:pPr>
              <w:spacing w:before="0" w:line="240" w:lineRule="auto"/>
              <w:ind w:right="0"/>
              <w:jc w:val="center"/>
              <w:rPr>
                <w:rFonts w:eastAsia="Times New Roman" w:cs="Calibri"/>
                <w:b/>
                <w:bCs/>
                <w:color w:val="000000"/>
                <w:szCs w:val="18"/>
                <w:lang w:eastAsia="en-AU"/>
              </w:rPr>
            </w:pPr>
            <w:r w:rsidRPr="004F30BD">
              <w:rPr>
                <w:rFonts w:cs="Calibri"/>
                <w:b/>
                <w:bCs/>
                <w:color w:val="000000"/>
                <w:szCs w:val="18"/>
              </w:rPr>
              <w:t>5.0</w:t>
            </w:r>
          </w:p>
        </w:tc>
      </w:tr>
      <w:tr w:rsidR="00973DAD" w:rsidRPr="004F30BD" w14:paraId="77B56E8E" w14:textId="77777777" w:rsidTr="00835A71">
        <w:trPr>
          <w:trHeight w:val="288"/>
        </w:trPr>
        <w:tc>
          <w:tcPr>
            <w:tcW w:w="5130" w:type="dxa"/>
            <w:tcBorders>
              <w:top w:val="nil"/>
              <w:left w:val="nil"/>
              <w:bottom w:val="nil"/>
              <w:right w:val="nil"/>
            </w:tcBorders>
            <w:shd w:val="clear" w:color="auto" w:fill="auto"/>
            <w:tcMar>
              <w:top w:w="15" w:type="dxa"/>
              <w:left w:w="15" w:type="dxa"/>
              <w:bottom w:w="0" w:type="dxa"/>
              <w:right w:w="15" w:type="dxa"/>
            </w:tcMar>
            <w:vAlign w:val="center"/>
            <w:hideMark/>
          </w:tcPr>
          <w:p w14:paraId="56B94BFF" w14:textId="77777777" w:rsidR="00973DAD" w:rsidRPr="004F30BD" w:rsidRDefault="00973DAD" w:rsidP="00835A71">
            <w:pPr>
              <w:spacing w:before="20" w:after="20" w:line="240" w:lineRule="auto"/>
              <w:ind w:right="0"/>
              <w:rPr>
                <w:rFonts w:eastAsia="Times New Roman" w:cs="Calibri"/>
                <w:color w:val="000000"/>
                <w:szCs w:val="18"/>
                <w:lang w:eastAsia="en-AU"/>
              </w:rPr>
            </w:pPr>
            <w:r w:rsidRPr="004F30BD">
              <w:rPr>
                <w:rFonts w:eastAsia="Times New Roman" w:cs="Calibri"/>
                <w:color w:val="000000"/>
                <w:szCs w:val="18"/>
                <w:lang w:eastAsia="en-AU"/>
              </w:rPr>
              <w:t>Having a regulator that operates under cost recovery model</w:t>
            </w:r>
          </w:p>
        </w:tc>
        <w:tc>
          <w:tcPr>
            <w:tcW w:w="1509" w:type="dxa"/>
            <w:tcBorders>
              <w:top w:val="nil"/>
              <w:left w:val="nil"/>
              <w:bottom w:val="nil"/>
              <w:right w:val="nil"/>
            </w:tcBorders>
            <w:shd w:val="clear" w:color="auto" w:fill="auto"/>
            <w:noWrap/>
            <w:tcMar>
              <w:top w:w="15" w:type="dxa"/>
              <w:left w:w="15" w:type="dxa"/>
              <w:bottom w:w="0" w:type="dxa"/>
              <w:right w:w="15" w:type="dxa"/>
            </w:tcMar>
            <w:vAlign w:val="center"/>
            <w:hideMark/>
          </w:tcPr>
          <w:p w14:paraId="1DA55120" w14:textId="77777777" w:rsidR="00973DAD" w:rsidRPr="004F30BD" w:rsidRDefault="00973DAD" w:rsidP="00835A71">
            <w:pPr>
              <w:spacing w:before="0" w:line="240" w:lineRule="auto"/>
              <w:ind w:right="0"/>
              <w:jc w:val="center"/>
              <w:rPr>
                <w:rFonts w:eastAsia="Times New Roman" w:cs="Calibri"/>
                <w:b/>
                <w:bCs/>
                <w:color w:val="000000"/>
                <w:szCs w:val="18"/>
                <w:lang w:eastAsia="en-AU"/>
              </w:rPr>
            </w:pPr>
            <w:r w:rsidRPr="004F30BD">
              <w:rPr>
                <w:rFonts w:cs="Calibri"/>
                <w:b/>
                <w:bCs/>
                <w:color w:val="000000"/>
                <w:szCs w:val="18"/>
              </w:rPr>
              <w:t>4.9</w:t>
            </w:r>
          </w:p>
        </w:tc>
        <w:tc>
          <w:tcPr>
            <w:tcW w:w="1509" w:type="dxa"/>
            <w:tcBorders>
              <w:top w:val="nil"/>
              <w:left w:val="nil"/>
              <w:bottom w:val="nil"/>
              <w:right w:val="nil"/>
            </w:tcBorders>
            <w:shd w:val="clear" w:color="auto" w:fill="auto"/>
            <w:noWrap/>
            <w:tcMar>
              <w:top w:w="15" w:type="dxa"/>
              <w:left w:w="15" w:type="dxa"/>
              <w:bottom w:w="0" w:type="dxa"/>
              <w:right w:w="15" w:type="dxa"/>
            </w:tcMar>
            <w:vAlign w:val="center"/>
            <w:hideMark/>
          </w:tcPr>
          <w:p w14:paraId="6A260A25"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4.1</w:t>
            </w:r>
          </w:p>
        </w:tc>
        <w:tc>
          <w:tcPr>
            <w:tcW w:w="1509" w:type="dxa"/>
            <w:tcBorders>
              <w:top w:val="nil"/>
              <w:left w:val="nil"/>
              <w:bottom w:val="nil"/>
              <w:right w:val="nil"/>
            </w:tcBorders>
            <w:shd w:val="clear" w:color="auto" w:fill="auto"/>
            <w:noWrap/>
            <w:tcMar>
              <w:top w:w="15" w:type="dxa"/>
              <w:left w:w="15" w:type="dxa"/>
              <w:bottom w:w="0" w:type="dxa"/>
              <w:right w:w="15" w:type="dxa"/>
            </w:tcMar>
            <w:vAlign w:val="center"/>
            <w:hideMark/>
          </w:tcPr>
          <w:p w14:paraId="50601F42"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4.1</w:t>
            </w:r>
          </w:p>
        </w:tc>
        <w:tc>
          <w:tcPr>
            <w:tcW w:w="1509" w:type="dxa"/>
            <w:tcBorders>
              <w:top w:val="nil"/>
              <w:left w:val="nil"/>
              <w:bottom w:val="nil"/>
              <w:right w:val="nil"/>
            </w:tcBorders>
            <w:shd w:val="clear" w:color="auto" w:fill="auto"/>
            <w:noWrap/>
            <w:tcMar>
              <w:top w:w="15" w:type="dxa"/>
              <w:left w:w="15" w:type="dxa"/>
              <w:bottom w:w="0" w:type="dxa"/>
              <w:right w:w="15" w:type="dxa"/>
            </w:tcMar>
            <w:vAlign w:val="center"/>
            <w:hideMark/>
          </w:tcPr>
          <w:p w14:paraId="129BFD72"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3.7</w:t>
            </w:r>
          </w:p>
        </w:tc>
        <w:tc>
          <w:tcPr>
            <w:tcW w:w="1509" w:type="dxa"/>
            <w:tcBorders>
              <w:top w:val="nil"/>
              <w:left w:val="nil"/>
              <w:bottom w:val="nil"/>
              <w:right w:val="nil"/>
            </w:tcBorders>
            <w:shd w:val="clear" w:color="auto" w:fill="auto"/>
            <w:noWrap/>
            <w:tcMar>
              <w:top w:w="15" w:type="dxa"/>
              <w:left w:w="15" w:type="dxa"/>
              <w:bottom w:w="0" w:type="dxa"/>
              <w:right w:w="15" w:type="dxa"/>
            </w:tcMar>
            <w:vAlign w:val="center"/>
            <w:hideMark/>
          </w:tcPr>
          <w:p w14:paraId="0556C96C" w14:textId="77777777" w:rsidR="00973DAD" w:rsidRPr="004F30BD" w:rsidRDefault="00973DAD" w:rsidP="00835A71">
            <w:pPr>
              <w:spacing w:before="0" w:line="240" w:lineRule="auto"/>
              <w:ind w:right="0"/>
              <w:jc w:val="center"/>
              <w:rPr>
                <w:rFonts w:eastAsia="Times New Roman" w:cs="Calibri"/>
                <w:b/>
                <w:bCs/>
                <w:color w:val="000000"/>
                <w:szCs w:val="18"/>
                <w:lang w:eastAsia="en-AU"/>
              </w:rPr>
            </w:pPr>
            <w:r w:rsidRPr="004F30BD">
              <w:rPr>
                <w:rFonts w:cs="Calibri"/>
                <w:b/>
                <w:bCs/>
                <w:color w:val="000000"/>
                <w:szCs w:val="18"/>
              </w:rPr>
              <w:t>4.6</w:t>
            </w:r>
          </w:p>
        </w:tc>
        <w:tc>
          <w:tcPr>
            <w:tcW w:w="1510" w:type="dxa"/>
            <w:tcBorders>
              <w:top w:val="nil"/>
              <w:left w:val="nil"/>
              <w:bottom w:val="nil"/>
              <w:right w:val="nil"/>
            </w:tcBorders>
            <w:shd w:val="clear" w:color="auto" w:fill="auto"/>
            <w:noWrap/>
            <w:tcMar>
              <w:top w:w="15" w:type="dxa"/>
              <w:left w:w="15" w:type="dxa"/>
              <w:bottom w:w="0" w:type="dxa"/>
              <w:right w:w="15" w:type="dxa"/>
            </w:tcMar>
            <w:vAlign w:val="center"/>
            <w:hideMark/>
          </w:tcPr>
          <w:p w14:paraId="6D79E0E4"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3.7</w:t>
            </w:r>
          </w:p>
        </w:tc>
      </w:tr>
      <w:tr w:rsidR="00973DAD" w:rsidRPr="004F30BD" w14:paraId="0CFE42CC" w14:textId="77777777" w:rsidTr="00835A71">
        <w:trPr>
          <w:trHeight w:val="288"/>
        </w:trPr>
        <w:tc>
          <w:tcPr>
            <w:tcW w:w="5130" w:type="dxa"/>
            <w:tcBorders>
              <w:top w:val="nil"/>
              <w:left w:val="nil"/>
              <w:bottom w:val="single" w:sz="4" w:space="0" w:color="auto"/>
              <w:right w:val="nil"/>
            </w:tcBorders>
            <w:shd w:val="clear" w:color="auto" w:fill="E6E6E6"/>
            <w:tcMar>
              <w:top w:w="15" w:type="dxa"/>
              <w:left w:w="15" w:type="dxa"/>
              <w:bottom w:w="0" w:type="dxa"/>
              <w:right w:w="15" w:type="dxa"/>
            </w:tcMar>
            <w:vAlign w:val="center"/>
            <w:hideMark/>
          </w:tcPr>
          <w:p w14:paraId="065F34CD" w14:textId="77777777" w:rsidR="00973DAD" w:rsidRPr="004F30BD" w:rsidRDefault="00973DAD" w:rsidP="00835A71">
            <w:pPr>
              <w:spacing w:before="20" w:after="20" w:line="240" w:lineRule="auto"/>
              <w:ind w:right="0"/>
              <w:rPr>
                <w:rFonts w:eastAsia="Times New Roman" w:cs="Calibri"/>
                <w:color w:val="000000"/>
                <w:szCs w:val="18"/>
                <w:lang w:eastAsia="en-AU"/>
              </w:rPr>
            </w:pPr>
            <w:r w:rsidRPr="004F30BD">
              <w:rPr>
                <w:rFonts w:eastAsia="Times New Roman" w:cs="Calibri"/>
                <w:color w:val="000000"/>
                <w:szCs w:val="18"/>
                <w:lang w:eastAsia="en-AU"/>
              </w:rPr>
              <w:t>Poor cooperation among national and international professional accreditation bodies, national regulators and government</w:t>
            </w:r>
          </w:p>
        </w:tc>
        <w:tc>
          <w:tcPr>
            <w:tcW w:w="1509" w:type="dxa"/>
            <w:tcBorders>
              <w:top w:val="nil"/>
              <w:left w:val="nil"/>
              <w:bottom w:val="single" w:sz="4" w:space="0" w:color="auto"/>
              <w:right w:val="nil"/>
            </w:tcBorders>
            <w:shd w:val="clear" w:color="auto" w:fill="E6E6E6"/>
            <w:noWrap/>
            <w:tcMar>
              <w:top w:w="15" w:type="dxa"/>
              <w:left w:w="15" w:type="dxa"/>
              <w:bottom w:w="0" w:type="dxa"/>
              <w:right w:w="15" w:type="dxa"/>
            </w:tcMar>
            <w:vAlign w:val="center"/>
            <w:hideMark/>
          </w:tcPr>
          <w:p w14:paraId="0D794FA7"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3.8</w:t>
            </w:r>
          </w:p>
        </w:tc>
        <w:tc>
          <w:tcPr>
            <w:tcW w:w="1509" w:type="dxa"/>
            <w:tcBorders>
              <w:top w:val="nil"/>
              <w:left w:val="nil"/>
              <w:bottom w:val="single" w:sz="4" w:space="0" w:color="auto"/>
              <w:right w:val="nil"/>
            </w:tcBorders>
            <w:shd w:val="clear" w:color="auto" w:fill="E6E6E6"/>
            <w:noWrap/>
            <w:tcMar>
              <w:top w:w="15" w:type="dxa"/>
              <w:left w:w="15" w:type="dxa"/>
              <w:bottom w:w="0" w:type="dxa"/>
              <w:right w:w="15" w:type="dxa"/>
            </w:tcMar>
            <w:vAlign w:val="center"/>
            <w:hideMark/>
          </w:tcPr>
          <w:p w14:paraId="01F16F78"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3.7</w:t>
            </w:r>
          </w:p>
        </w:tc>
        <w:tc>
          <w:tcPr>
            <w:tcW w:w="1509" w:type="dxa"/>
            <w:tcBorders>
              <w:top w:val="nil"/>
              <w:left w:val="nil"/>
              <w:bottom w:val="single" w:sz="4" w:space="0" w:color="auto"/>
              <w:right w:val="nil"/>
            </w:tcBorders>
            <w:shd w:val="clear" w:color="auto" w:fill="E6E6E6"/>
            <w:noWrap/>
            <w:tcMar>
              <w:top w:w="15" w:type="dxa"/>
              <w:left w:w="15" w:type="dxa"/>
              <w:bottom w:w="0" w:type="dxa"/>
              <w:right w:w="15" w:type="dxa"/>
            </w:tcMar>
            <w:vAlign w:val="center"/>
            <w:hideMark/>
          </w:tcPr>
          <w:p w14:paraId="264E121B"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3.9</w:t>
            </w:r>
          </w:p>
        </w:tc>
        <w:tc>
          <w:tcPr>
            <w:tcW w:w="1509" w:type="dxa"/>
            <w:tcBorders>
              <w:top w:val="nil"/>
              <w:left w:val="nil"/>
              <w:bottom w:val="single" w:sz="4" w:space="0" w:color="auto"/>
              <w:right w:val="nil"/>
            </w:tcBorders>
            <w:shd w:val="clear" w:color="auto" w:fill="E6E6E6"/>
            <w:noWrap/>
            <w:tcMar>
              <w:top w:w="15" w:type="dxa"/>
              <w:left w:w="15" w:type="dxa"/>
              <w:bottom w:w="0" w:type="dxa"/>
              <w:right w:w="15" w:type="dxa"/>
            </w:tcMar>
            <w:vAlign w:val="center"/>
            <w:hideMark/>
          </w:tcPr>
          <w:p w14:paraId="1C19628A"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3.6</w:t>
            </w:r>
          </w:p>
        </w:tc>
        <w:tc>
          <w:tcPr>
            <w:tcW w:w="1509" w:type="dxa"/>
            <w:tcBorders>
              <w:top w:val="nil"/>
              <w:left w:val="nil"/>
              <w:bottom w:val="single" w:sz="4" w:space="0" w:color="auto"/>
              <w:right w:val="nil"/>
            </w:tcBorders>
            <w:shd w:val="clear" w:color="auto" w:fill="E6E6E6"/>
            <w:noWrap/>
            <w:tcMar>
              <w:top w:w="15" w:type="dxa"/>
              <w:left w:w="15" w:type="dxa"/>
              <w:bottom w:w="0" w:type="dxa"/>
              <w:right w:w="15" w:type="dxa"/>
            </w:tcMar>
            <w:vAlign w:val="center"/>
            <w:hideMark/>
          </w:tcPr>
          <w:p w14:paraId="14E6129D"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3.8</w:t>
            </w:r>
          </w:p>
        </w:tc>
        <w:tc>
          <w:tcPr>
            <w:tcW w:w="1510" w:type="dxa"/>
            <w:tcBorders>
              <w:top w:val="nil"/>
              <w:left w:val="nil"/>
              <w:bottom w:val="single" w:sz="4" w:space="0" w:color="auto"/>
              <w:right w:val="nil"/>
            </w:tcBorders>
            <w:shd w:val="clear" w:color="auto" w:fill="E6E6E6"/>
            <w:noWrap/>
            <w:tcMar>
              <w:top w:w="15" w:type="dxa"/>
              <w:left w:w="15" w:type="dxa"/>
              <w:bottom w:w="0" w:type="dxa"/>
              <w:right w:w="15" w:type="dxa"/>
            </w:tcMar>
            <w:vAlign w:val="center"/>
            <w:hideMark/>
          </w:tcPr>
          <w:p w14:paraId="5964D9A4" w14:textId="77777777" w:rsidR="00973DAD" w:rsidRPr="004F30BD" w:rsidRDefault="00973DAD" w:rsidP="00835A71">
            <w:pPr>
              <w:spacing w:before="0" w:line="240" w:lineRule="auto"/>
              <w:ind w:right="0"/>
              <w:jc w:val="center"/>
              <w:rPr>
                <w:rFonts w:eastAsia="Times New Roman" w:cs="Calibri"/>
                <w:color w:val="000000"/>
                <w:szCs w:val="18"/>
                <w:lang w:eastAsia="en-AU"/>
              </w:rPr>
            </w:pPr>
            <w:r w:rsidRPr="004F30BD">
              <w:rPr>
                <w:rFonts w:cs="Calibri"/>
                <w:color w:val="000000"/>
                <w:szCs w:val="18"/>
              </w:rPr>
              <w:t>3.7</w:t>
            </w:r>
          </w:p>
        </w:tc>
      </w:tr>
    </w:tbl>
    <w:p w14:paraId="115533E6" w14:textId="77777777" w:rsidR="00973DAD" w:rsidRPr="00725EED" w:rsidRDefault="00F35799" w:rsidP="00973DAD">
      <w:pPr>
        <w:tabs>
          <w:tab w:val="right" w:pos="13041"/>
        </w:tabs>
        <w:spacing w:before="0"/>
        <w:rPr>
          <w:i/>
        </w:rPr>
        <w:sectPr w:rsidR="00973DAD" w:rsidRPr="00725EED" w:rsidSect="007C5F26">
          <w:headerReference w:type="default" r:id="rId28"/>
          <w:pgSz w:w="16834" w:h="11909" w:orient="landscape" w:code="9"/>
          <w:pgMar w:top="1699" w:right="1526" w:bottom="562" w:left="1138" w:header="0" w:footer="461" w:gutter="0"/>
          <w:cols w:space="720"/>
          <w:docGrid w:linePitch="245"/>
        </w:sectPr>
      </w:pPr>
      <w:r w:rsidRPr="004F30BD">
        <w:rPr>
          <w:i/>
        </w:rPr>
        <w:t>T</w:t>
      </w:r>
      <w:r w:rsidR="00973DAD" w:rsidRPr="004F30BD">
        <w:rPr>
          <w:i/>
        </w:rPr>
        <w:t xml:space="preserve">he maximum possible n </w:t>
      </w:r>
      <w:r w:rsidRPr="004F30BD">
        <w:rPr>
          <w:i/>
        </w:rPr>
        <w:t xml:space="preserve">for each market group </w:t>
      </w:r>
      <w:r w:rsidR="00973DAD" w:rsidRPr="004F30BD">
        <w:rPr>
          <w:i/>
        </w:rPr>
        <w:t>is displayed in the table header.</w:t>
      </w:r>
      <w:r w:rsidR="00973DAD" w:rsidRPr="004F30BD">
        <w:rPr>
          <w:i/>
        </w:rPr>
        <w:br/>
        <w:t>^Some cell numbers (n counts) are very small so results should be interpreted with extreme caution.</w:t>
      </w:r>
      <w:r w:rsidR="00973DAD" w:rsidRPr="004F30BD">
        <w:rPr>
          <w:i/>
        </w:rPr>
        <w:br/>
      </w:r>
      <w:r w:rsidR="00973DAD" w:rsidRPr="00725EED">
        <w:rPr>
          <w:i/>
        </w:rPr>
        <w:t>#Includes Government Agencies, Pathways, Professional Bodies and TAFEs +Includes not for profit and non-faith base</w:t>
      </w:r>
    </w:p>
    <w:p w14:paraId="0CB4C358" w14:textId="77777777" w:rsidR="00686436" w:rsidRPr="004F30BD" w:rsidRDefault="00686436" w:rsidP="00686436">
      <w:pPr>
        <w:pStyle w:val="Heading3"/>
      </w:pPr>
      <w:r w:rsidRPr="004F30BD">
        <w:lastRenderedPageBreak/>
        <w:t xml:space="preserve">Future risks </w:t>
      </w:r>
      <w:r w:rsidR="009C3146" w:rsidRPr="004F30BD">
        <w:t>that TEQSA should investigate</w:t>
      </w:r>
    </w:p>
    <w:p w14:paraId="0DB6B0B5" w14:textId="77777777" w:rsidR="004C06B7" w:rsidRPr="004F30BD" w:rsidRDefault="00835A71" w:rsidP="00C269B9">
      <w:r w:rsidRPr="004F30BD">
        <w:rPr>
          <w:lang w:eastAsia="en-AU"/>
        </w:rPr>
        <w:t xml:space="preserve">Principal contacts were asked to nominate the immediate or future threats to the higher education sector that TEQSA should be investigating. </w:t>
      </w:r>
      <w:r w:rsidR="003E65D9" w:rsidRPr="004F30BD">
        <w:t>A total of 59 principal contacts provided valid comments</w:t>
      </w:r>
      <w:r w:rsidRPr="004F30BD">
        <w:t xml:space="preserve"> which were broad ranging. </w:t>
      </w:r>
      <w:r w:rsidR="003E65D9" w:rsidRPr="004F30BD">
        <w:t xml:space="preserve">The </w:t>
      </w:r>
      <w:r w:rsidRPr="004F30BD">
        <w:t>more common risk</w:t>
      </w:r>
      <w:r w:rsidR="003E65D9" w:rsidRPr="004F30BD">
        <w:t xml:space="preserve"> identified</w:t>
      </w:r>
      <w:r w:rsidR="00686436" w:rsidRPr="004F30BD">
        <w:t xml:space="preserve"> </w:t>
      </w:r>
      <w:r w:rsidR="002750F8" w:rsidRPr="004F30BD">
        <w:t xml:space="preserve">in provider comments </w:t>
      </w:r>
      <w:r w:rsidR="004C06B7" w:rsidRPr="004F30BD">
        <w:t>are outlined below</w:t>
      </w:r>
      <w:r w:rsidRPr="004F30BD">
        <w:t>, noting that this is not an exhaustive list and TEQSA has been provided with detailed responses</w:t>
      </w:r>
      <w:r w:rsidR="004C06B7" w:rsidRPr="004F30BD">
        <w:t>:</w:t>
      </w:r>
    </w:p>
    <w:p w14:paraId="34A5C9E6" w14:textId="651109B0" w:rsidR="002750F8" w:rsidRPr="004F30BD" w:rsidRDefault="003E65D9" w:rsidP="00A06284">
      <w:pPr>
        <w:pStyle w:val="ListParagraph"/>
        <w:numPr>
          <w:ilvl w:val="0"/>
          <w:numId w:val="19"/>
        </w:numPr>
        <w:spacing w:before="60"/>
        <w:ind w:right="1080"/>
        <w:contextualSpacing w:val="0"/>
      </w:pPr>
      <w:r w:rsidRPr="004F30BD">
        <w:t>Skills requirements of employers / careers not being met by traditional higher education</w:t>
      </w:r>
    </w:p>
    <w:p w14:paraId="573F5498" w14:textId="77777777" w:rsidR="0079604D" w:rsidRPr="004F30BD" w:rsidRDefault="0079604D" w:rsidP="00A06284">
      <w:pPr>
        <w:pStyle w:val="ListParagraph"/>
        <w:numPr>
          <w:ilvl w:val="0"/>
          <w:numId w:val="19"/>
        </w:numPr>
        <w:spacing w:before="60"/>
        <w:ind w:right="1080"/>
        <w:contextualSpacing w:val="0"/>
      </w:pPr>
      <w:r w:rsidRPr="004F30BD">
        <w:t>Reclassification of HEPs / delineation between VET &amp; HE</w:t>
      </w:r>
    </w:p>
    <w:p w14:paraId="339D3578" w14:textId="77777777" w:rsidR="003E65D9" w:rsidRPr="004F30BD" w:rsidRDefault="003E65D9" w:rsidP="00A06284">
      <w:pPr>
        <w:pStyle w:val="ListParagraph"/>
        <w:numPr>
          <w:ilvl w:val="0"/>
          <w:numId w:val="19"/>
        </w:numPr>
        <w:spacing w:before="60"/>
        <w:ind w:right="1080"/>
        <w:contextualSpacing w:val="0"/>
      </w:pPr>
      <w:r w:rsidRPr="004F30BD">
        <w:t>Penalising full paying students who access FEE HELP by charging a 25% loan fee</w:t>
      </w:r>
    </w:p>
    <w:p w14:paraId="311905CD" w14:textId="77777777" w:rsidR="00E205F2" w:rsidRPr="004F30BD" w:rsidRDefault="003E65D9" w:rsidP="00A06284">
      <w:pPr>
        <w:pStyle w:val="ListParagraph"/>
        <w:numPr>
          <w:ilvl w:val="0"/>
          <w:numId w:val="19"/>
        </w:numPr>
        <w:spacing w:before="60"/>
        <w:ind w:right="1080"/>
        <w:contextualSpacing w:val="0"/>
      </w:pPr>
      <w:r w:rsidRPr="004F30BD">
        <w:t>Admission of underqualified students</w:t>
      </w:r>
      <w:r w:rsidR="00F5702A" w:rsidRPr="004F30BD">
        <w:t xml:space="preserve"> / not meet English language requirements</w:t>
      </w:r>
      <w:r w:rsidR="0001207D" w:rsidRPr="004F30BD">
        <w:t xml:space="preserve"> </w:t>
      </w:r>
    </w:p>
    <w:p w14:paraId="28004EB5" w14:textId="77777777" w:rsidR="0079604D" w:rsidRPr="004F30BD" w:rsidRDefault="0079604D" w:rsidP="00A06284">
      <w:pPr>
        <w:pStyle w:val="ListParagraph"/>
        <w:numPr>
          <w:ilvl w:val="0"/>
          <w:numId w:val="19"/>
        </w:numPr>
        <w:spacing w:before="60"/>
        <w:ind w:right="1080"/>
        <w:contextualSpacing w:val="0"/>
      </w:pPr>
      <w:r w:rsidRPr="004F30BD">
        <w:t>Academic integrity / contract cheating / student attitudes to plagiarism especially other cultures / use of translation and paraphrasing websites and tools</w:t>
      </w:r>
    </w:p>
    <w:p w14:paraId="2ED8494D" w14:textId="77777777" w:rsidR="003E65D9" w:rsidRPr="004F30BD" w:rsidRDefault="00F4717D" w:rsidP="00A06284">
      <w:pPr>
        <w:pStyle w:val="ListParagraph"/>
        <w:numPr>
          <w:ilvl w:val="0"/>
          <w:numId w:val="19"/>
        </w:numPr>
        <w:spacing w:before="60"/>
        <w:ind w:right="1080"/>
        <w:contextualSpacing w:val="0"/>
      </w:pPr>
      <w:r w:rsidRPr="004F30BD">
        <w:t>Impact of casualisation</w:t>
      </w:r>
      <w:r w:rsidR="0079604D" w:rsidRPr="004F30BD">
        <w:t xml:space="preserve"> / a</w:t>
      </w:r>
      <w:r w:rsidR="003E65D9" w:rsidRPr="004F30BD">
        <w:t xml:space="preserve">cademic </w:t>
      </w:r>
      <w:r w:rsidR="00F5702A" w:rsidRPr="004F30BD">
        <w:t>s</w:t>
      </w:r>
      <w:r w:rsidR="003E65D9" w:rsidRPr="004F30BD">
        <w:t>taff payment</w:t>
      </w:r>
      <w:r w:rsidR="00F5702A" w:rsidRPr="004F30BD">
        <w:t xml:space="preserve"> may not be correct</w:t>
      </w:r>
    </w:p>
    <w:p w14:paraId="3A80D6C1" w14:textId="77777777" w:rsidR="00F4717D" w:rsidRPr="004F30BD" w:rsidRDefault="00F4717D" w:rsidP="00A06284">
      <w:pPr>
        <w:pStyle w:val="ListParagraph"/>
        <w:numPr>
          <w:ilvl w:val="0"/>
          <w:numId w:val="19"/>
        </w:numPr>
        <w:spacing w:before="60"/>
        <w:ind w:right="1080"/>
        <w:contextualSpacing w:val="0"/>
      </w:pPr>
      <w:r w:rsidRPr="004F30BD">
        <w:t>Currency of knowledge of staff; keeping up with technology and the associated costs</w:t>
      </w:r>
    </w:p>
    <w:p w14:paraId="7BBB8466" w14:textId="77777777" w:rsidR="00AA105D" w:rsidRPr="004F30BD" w:rsidRDefault="00AA105D" w:rsidP="00A06284">
      <w:pPr>
        <w:pStyle w:val="ListParagraph"/>
        <w:numPr>
          <w:ilvl w:val="0"/>
          <w:numId w:val="19"/>
        </w:numPr>
        <w:spacing w:before="60"/>
        <w:ind w:right="1080"/>
        <w:contextualSpacing w:val="0"/>
      </w:pPr>
      <w:r w:rsidRPr="004F30BD">
        <w:t xml:space="preserve">International Education Agents </w:t>
      </w:r>
    </w:p>
    <w:p w14:paraId="63D33889" w14:textId="77777777" w:rsidR="0079604D" w:rsidRPr="004F30BD" w:rsidRDefault="0079604D" w:rsidP="00A06284">
      <w:pPr>
        <w:pStyle w:val="ListParagraph"/>
        <w:numPr>
          <w:ilvl w:val="0"/>
          <w:numId w:val="19"/>
        </w:numPr>
        <w:spacing w:before="60"/>
        <w:ind w:right="1080"/>
        <w:contextualSpacing w:val="0"/>
      </w:pPr>
      <w:r w:rsidRPr="004F30BD">
        <w:t>Fraud and corruption in international operations</w:t>
      </w:r>
    </w:p>
    <w:p w14:paraId="392CC6CC" w14:textId="77777777" w:rsidR="003E65D9" w:rsidRPr="004F30BD" w:rsidRDefault="003E65D9" w:rsidP="00A06284">
      <w:pPr>
        <w:pStyle w:val="ListParagraph"/>
        <w:numPr>
          <w:ilvl w:val="0"/>
          <w:numId w:val="19"/>
        </w:numPr>
        <w:spacing w:before="60"/>
        <w:ind w:right="1080"/>
        <w:contextualSpacing w:val="0"/>
      </w:pPr>
      <w:r w:rsidRPr="004F30BD">
        <w:t>Cyber security</w:t>
      </w:r>
    </w:p>
    <w:p w14:paraId="05D35096" w14:textId="77777777" w:rsidR="0079604D" w:rsidRPr="004F30BD" w:rsidRDefault="002750F8" w:rsidP="00A06284">
      <w:pPr>
        <w:pStyle w:val="ListParagraph"/>
        <w:numPr>
          <w:ilvl w:val="0"/>
          <w:numId w:val="19"/>
        </w:numPr>
        <w:spacing w:before="60"/>
        <w:ind w:right="1080"/>
        <w:contextualSpacing w:val="0"/>
      </w:pPr>
      <w:r w:rsidRPr="004F30BD">
        <w:t>Lack of</w:t>
      </w:r>
      <w:r w:rsidR="0079604D" w:rsidRPr="004F30BD">
        <w:t xml:space="preserve"> innovation, with funding and regulatory disincentives</w:t>
      </w:r>
      <w:r w:rsidRPr="004F30BD">
        <w:t xml:space="preserve"> to do so </w:t>
      </w:r>
    </w:p>
    <w:p w14:paraId="16C7411E" w14:textId="77777777" w:rsidR="003E65D9" w:rsidRPr="004F30BD" w:rsidRDefault="00F3486C" w:rsidP="00A06284">
      <w:pPr>
        <w:pStyle w:val="ListParagraph"/>
        <w:numPr>
          <w:ilvl w:val="0"/>
          <w:numId w:val="19"/>
        </w:numPr>
        <w:spacing w:before="60"/>
        <w:ind w:right="1080"/>
        <w:contextualSpacing w:val="0"/>
      </w:pPr>
      <w:r w:rsidRPr="004F30BD">
        <w:t>S</w:t>
      </w:r>
      <w:r w:rsidR="003E65D9" w:rsidRPr="004F30BD">
        <w:t xml:space="preserve">exual assault and sexual harassment </w:t>
      </w:r>
      <w:r w:rsidR="006202B7" w:rsidRPr="004F30BD">
        <w:t>issues</w:t>
      </w:r>
    </w:p>
    <w:p w14:paraId="7519DF55" w14:textId="77777777" w:rsidR="00A46A86" w:rsidRPr="004F30BD" w:rsidRDefault="00A46A86" w:rsidP="00A06284">
      <w:pPr>
        <w:pStyle w:val="ListParagraph"/>
        <w:numPr>
          <w:ilvl w:val="0"/>
          <w:numId w:val="19"/>
        </w:numPr>
        <w:spacing w:before="60"/>
        <w:ind w:right="1080"/>
        <w:contextualSpacing w:val="0"/>
      </w:pPr>
      <w:r w:rsidRPr="004F30BD">
        <w:t xml:space="preserve">Mental </w:t>
      </w:r>
      <w:r w:rsidR="00835A71" w:rsidRPr="004F30BD">
        <w:t>h</w:t>
      </w:r>
      <w:r w:rsidRPr="004F30BD">
        <w:t xml:space="preserve">ealth issues for domestic and international students </w:t>
      </w:r>
    </w:p>
    <w:p w14:paraId="7C99ABFF" w14:textId="77777777" w:rsidR="0079604D" w:rsidRPr="004F30BD" w:rsidRDefault="0079604D" w:rsidP="00A06284">
      <w:pPr>
        <w:pStyle w:val="ListParagraph"/>
        <w:numPr>
          <w:ilvl w:val="0"/>
          <w:numId w:val="19"/>
        </w:numPr>
        <w:spacing w:before="60"/>
        <w:ind w:right="1080"/>
        <w:contextualSpacing w:val="0"/>
      </w:pPr>
      <w:r w:rsidRPr="004F30BD">
        <w:t>Adequacy of infrastructure with contemporary requirements / environmental sustainability</w:t>
      </w:r>
    </w:p>
    <w:p w14:paraId="2E685A09" w14:textId="77777777" w:rsidR="002750F8" w:rsidRPr="004F30BD" w:rsidRDefault="002750F8" w:rsidP="00A06284">
      <w:pPr>
        <w:pStyle w:val="ListParagraph"/>
        <w:numPr>
          <w:ilvl w:val="0"/>
          <w:numId w:val="19"/>
        </w:numPr>
        <w:spacing w:before="60"/>
        <w:ind w:right="1080"/>
        <w:contextualSpacing w:val="0"/>
      </w:pPr>
      <w:r w:rsidRPr="004F30BD">
        <w:t>Focus on revenue generating with less of a focus on quality outcomes</w:t>
      </w:r>
    </w:p>
    <w:p w14:paraId="7452E39B" w14:textId="77777777" w:rsidR="002750F8" w:rsidRPr="004F30BD" w:rsidRDefault="002750F8" w:rsidP="00A06284">
      <w:pPr>
        <w:pStyle w:val="ListParagraph"/>
        <w:numPr>
          <w:ilvl w:val="0"/>
          <w:numId w:val="19"/>
        </w:numPr>
        <w:spacing w:before="60"/>
        <w:ind w:right="1080"/>
        <w:contextualSpacing w:val="0"/>
      </w:pPr>
      <w:r w:rsidRPr="004F30BD">
        <w:t>Reduced funding for universities on ability to deliver quality outcomes</w:t>
      </w:r>
    </w:p>
    <w:p w14:paraId="2AF2B76F" w14:textId="77777777" w:rsidR="002750F8" w:rsidRPr="004F30BD" w:rsidRDefault="002750F8" w:rsidP="00A06284">
      <w:pPr>
        <w:pStyle w:val="ListParagraph"/>
        <w:numPr>
          <w:ilvl w:val="0"/>
          <w:numId w:val="19"/>
        </w:numPr>
        <w:spacing w:before="60"/>
        <w:ind w:right="1080"/>
        <w:contextualSpacing w:val="0"/>
      </w:pPr>
      <w:r w:rsidRPr="004F30BD">
        <w:t xml:space="preserve">Publication of </w:t>
      </w:r>
      <w:r w:rsidR="00835A71" w:rsidRPr="004F30BD">
        <w:t xml:space="preserve">risk assessment and LANTITE </w:t>
      </w:r>
      <w:r w:rsidRPr="004F30BD">
        <w:t>information without full understanding of the impact</w:t>
      </w:r>
      <w:r w:rsidR="00835A71" w:rsidRPr="004F30BD">
        <w:t xml:space="preserve"> on the sector</w:t>
      </w:r>
    </w:p>
    <w:p w14:paraId="3C73D632" w14:textId="77777777" w:rsidR="0079604D" w:rsidRPr="004F30BD" w:rsidRDefault="0079604D" w:rsidP="00A06284">
      <w:pPr>
        <w:pStyle w:val="ListParagraph"/>
        <w:numPr>
          <w:ilvl w:val="0"/>
          <w:numId w:val="19"/>
        </w:numPr>
        <w:spacing w:before="60"/>
        <w:ind w:right="1080"/>
        <w:contextualSpacing w:val="0"/>
      </w:pPr>
      <w:r w:rsidRPr="004F30BD">
        <w:t>Having a regulator (TEQSA) that operates under a cost recovery model</w:t>
      </w:r>
    </w:p>
    <w:p w14:paraId="42ED10D5" w14:textId="77777777" w:rsidR="00AA105D" w:rsidRPr="004F30BD" w:rsidRDefault="002750F8" w:rsidP="00A06284">
      <w:pPr>
        <w:pStyle w:val="ListParagraph"/>
        <w:numPr>
          <w:ilvl w:val="0"/>
          <w:numId w:val="19"/>
        </w:numPr>
        <w:spacing w:before="60"/>
        <w:ind w:right="1080"/>
        <w:contextualSpacing w:val="0"/>
      </w:pPr>
      <w:r w:rsidRPr="004F30BD">
        <w:t xml:space="preserve">Regulatory framework </w:t>
      </w:r>
      <w:r w:rsidR="00835A71" w:rsidRPr="004F30BD">
        <w:t>designed for</w:t>
      </w:r>
      <w:r w:rsidRPr="004F30BD">
        <w:t xml:space="preserve"> universities</w:t>
      </w:r>
      <w:r w:rsidR="00835A71" w:rsidRPr="004F30BD">
        <w:t>, not other models</w:t>
      </w:r>
    </w:p>
    <w:p w14:paraId="1BAB9EF6" w14:textId="77777777" w:rsidR="00835A71" w:rsidRPr="004F30BD" w:rsidRDefault="00835A71" w:rsidP="00A06284">
      <w:pPr>
        <w:pStyle w:val="ListParagraph"/>
        <w:numPr>
          <w:ilvl w:val="0"/>
          <w:numId w:val="19"/>
        </w:numPr>
        <w:spacing w:before="60"/>
        <w:ind w:right="1080"/>
        <w:contextualSpacing w:val="0"/>
      </w:pPr>
      <w:r w:rsidRPr="004F30BD">
        <w:t>Universities held to account more</w:t>
      </w:r>
    </w:p>
    <w:p w14:paraId="21FE0635" w14:textId="77777777" w:rsidR="00835A71" w:rsidRPr="004F30BD" w:rsidRDefault="00835A71" w:rsidP="00A06284">
      <w:pPr>
        <w:pStyle w:val="ListParagraph"/>
        <w:numPr>
          <w:ilvl w:val="0"/>
          <w:numId w:val="19"/>
        </w:numPr>
        <w:spacing w:before="60"/>
        <w:ind w:right="1080"/>
        <w:contextualSpacing w:val="0"/>
      </w:pPr>
      <w:r w:rsidRPr="004F30BD">
        <w:t>Cost of compliance</w:t>
      </w:r>
    </w:p>
    <w:p w14:paraId="2940D3A1" w14:textId="77777777" w:rsidR="009F2E37" w:rsidRPr="004F30BD" w:rsidRDefault="0090176D" w:rsidP="009F2E37">
      <w:pPr>
        <w:pStyle w:val="Heading2"/>
        <w:keepNext w:val="0"/>
      </w:pPr>
      <w:bookmarkStart w:id="29" w:name="_Toc22298031"/>
      <w:r w:rsidRPr="004F30BD">
        <w:t>P</w:t>
      </w:r>
      <w:r w:rsidR="00D46872" w:rsidRPr="004F30BD">
        <w:t xml:space="preserve">rincipal contacts - </w:t>
      </w:r>
      <w:r w:rsidR="009F2E37" w:rsidRPr="004F30BD">
        <w:t>TEQSA overall</w:t>
      </w:r>
      <w:bookmarkEnd w:id="26"/>
      <w:bookmarkEnd w:id="29"/>
    </w:p>
    <w:p w14:paraId="3703A00E" w14:textId="71441A2F" w:rsidR="007D2DC2" w:rsidRPr="004F30BD" w:rsidRDefault="00E765AC" w:rsidP="00E765AC">
      <w:r w:rsidRPr="004F30BD">
        <w:t xml:space="preserve">All providers </w:t>
      </w:r>
      <w:r w:rsidR="007A3DD6" w:rsidRPr="004F30BD">
        <w:t xml:space="preserve">were asked to rate TEQSA as a regulator. </w:t>
      </w:r>
      <w:r w:rsidR="00FE3C0C" w:rsidRPr="004F30BD">
        <w:t>Seventy-</w:t>
      </w:r>
      <w:r w:rsidR="005D6ECF">
        <w:t>six</w:t>
      </w:r>
      <w:r w:rsidR="005D6ECF" w:rsidRPr="004F30BD">
        <w:t xml:space="preserve"> </w:t>
      </w:r>
      <w:r w:rsidRPr="004F30BD">
        <w:t>percent</w:t>
      </w:r>
      <w:r w:rsidR="00FE3C0C" w:rsidRPr="004F30BD">
        <w:t xml:space="preserve"> </w:t>
      </w:r>
      <w:r w:rsidRPr="004F30BD">
        <w:t xml:space="preserve">of respondents </w:t>
      </w:r>
      <w:r w:rsidR="001226B6" w:rsidRPr="004F30BD">
        <w:t xml:space="preserve">who answered this question </w:t>
      </w:r>
      <w:r w:rsidR="007A3DD6" w:rsidRPr="004F30BD">
        <w:t xml:space="preserve">rated TEQSA’s performance </w:t>
      </w:r>
      <w:r w:rsidRPr="004F30BD">
        <w:t xml:space="preserve">over the last 12 months as </w:t>
      </w:r>
      <w:r w:rsidR="008621CF" w:rsidRPr="004F30BD">
        <w:t>either</w:t>
      </w:r>
      <w:r w:rsidR="007A3DD6" w:rsidRPr="004F30BD">
        <w:t xml:space="preserve"> </w:t>
      </w:r>
      <w:r w:rsidR="007A3DD6" w:rsidRPr="004F30BD">
        <w:rPr>
          <w:i/>
        </w:rPr>
        <w:t>good</w:t>
      </w:r>
      <w:r w:rsidR="007A3DD6" w:rsidRPr="004F30BD">
        <w:t xml:space="preserve"> or </w:t>
      </w:r>
      <w:r w:rsidR="007A3DD6" w:rsidRPr="004F30BD">
        <w:rPr>
          <w:i/>
        </w:rPr>
        <w:t>excellent</w:t>
      </w:r>
      <w:r w:rsidR="009F425F" w:rsidRPr="004F30BD">
        <w:t xml:space="preserve"> </w:t>
      </w:r>
      <w:r w:rsidR="009C3146" w:rsidRPr="004F30BD">
        <w:t>—</w:t>
      </w:r>
      <w:r w:rsidR="007E056C" w:rsidRPr="004F30BD">
        <w:t>up</w:t>
      </w:r>
      <w:r w:rsidR="009F425F" w:rsidRPr="004F30BD">
        <w:t xml:space="preserve"> </w:t>
      </w:r>
      <w:r w:rsidR="007E056C" w:rsidRPr="004F30BD">
        <w:t>6</w:t>
      </w:r>
      <w:r w:rsidR="009F425F" w:rsidRPr="004F30BD">
        <w:t>% since 201</w:t>
      </w:r>
      <w:r w:rsidR="007E056C" w:rsidRPr="004F30BD">
        <w:t>8</w:t>
      </w:r>
      <w:r w:rsidR="00422E1E" w:rsidRPr="004F30BD">
        <w:t xml:space="preserve"> but not a statistically significant result.</w:t>
      </w:r>
    </w:p>
    <w:p w14:paraId="21200763" w14:textId="5CAD78C8" w:rsidR="001E6D77" w:rsidRPr="004F30BD" w:rsidRDefault="00E765AC" w:rsidP="00FF4DBF">
      <w:pPr>
        <w:spacing w:after="240"/>
        <w:rPr>
          <w:i/>
        </w:rPr>
      </w:pPr>
      <w:r w:rsidRPr="004F30BD">
        <w:rPr>
          <w:i/>
        </w:rPr>
        <w:t>Note that the total of the excellent and good proportions in the char</w:t>
      </w:r>
      <w:r w:rsidR="002546E8" w:rsidRPr="004F30BD">
        <w:rPr>
          <w:i/>
        </w:rPr>
        <w:t xml:space="preserve">t below is slightly less than </w:t>
      </w:r>
      <w:r w:rsidR="005D6ECF">
        <w:rPr>
          <w:i/>
        </w:rPr>
        <w:t>76</w:t>
      </w:r>
      <w:r w:rsidRPr="004F30BD">
        <w:rPr>
          <w:i/>
        </w:rPr>
        <w:t>%. This is because the chart includes a proportion of don’t know / no answer respondents who have been excluded from the top 2 calculation.</w:t>
      </w:r>
      <w:r w:rsidR="00B135D7" w:rsidRPr="004F30BD">
        <w:rPr>
          <w:i/>
        </w:rPr>
        <w:t xml:space="preserve"> </w:t>
      </w:r>
    </w:p>
    <w:p w14:paraId="64C833AF" w14:textId="77777777" w:rsidR="007D2DC2" w:rsidRPr="004F30BD" w:rsidRDefault="007E056C" w:rsidP="007E056C">
      <w:pPr>
        <w:spacing w:after="240"/>
        <w:rPr>
          <w:i/>
        </w:rPr>
      </w:pPr>
      <w:r w:rsidRPr="004F30BD">
        <w:rPr>
          <w:noProof/>
          <w:lang w:eastAsia="en-AU"/>
        </w:rPr>
        <w:lastRenderedPageBreak/>
        <w:drawing>
          <wp:inline distT="0" distB="0" distL="0" distR="0" wp14:anchorId="5E5D4150" wp14:editId="3A9F9240">
            <wp:extent cx="5419725" cy="2143125"/>
            <wp:effectExtent l="0" t="0" r="0" b="0"/>
            <wp:docPr id="5" name="Chart 5">
              <a:extLst xmlns:a="http://schemas.openxmlformats.org/drawingml/2006/main">
                <a:ext uri="{FF2B5EF4-FFF2-40B4-BE49-F238E27FC236}">
                  <a16:creationId xmlns:a16="http://schemas.microsoft.com/office/drawing/2014/main" id="{04A558A9-D785-43ED-85CC-F6AA5700E8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F73AECB" w14:textId="77777777" w:rsidR="007D2DC2" w:rsidRPr="004F30BD" w:rsidRDefault="006838B0" w:rsidP="009C3146">
      <w:pPr>
        <w:pStyle w:val="Heading2"/>
      </w:pPr>
      <w:bookmarkStart w:id="30" w:name="_Toc22298032"/>
      <w:r w:rsidRPr="004F30BD">
        <w:t>Overall comments</w:t>
      </w:r>
      <w:bookmarkEnd w:id="30"/>
    </w:p>
    <w:p w14:paraId="44058301" w14:textId="0158FCBB" w:rsidR="006838B0" w:rsidRPr="004F30BD" w:rsidRDefault="009C3146" w:rsidP="006838B0">
      <w:r w:rsidRPr="004F30BD">
        <w:t>T</w:t>
      </w:r>
      <w:r w:rsidR="006838B0" w:rsidRPr="004F30BD">
        <w:t xml:space="preserve">he following discussion </w:t>
      </w:r>
      <w:r w:rsidR="002E4BC8" w:rsidRPr="004F30BD">
        <w:t>may raise</w:t>
      </w:r>
      <w:r w:rsidR="006838B0" w:rsidRPr="004F30BD">
        <w:t xml:space="preserve"> some contradictions</w:t>
      </w:r>
      <w:r w:rsidR="00714500" w:rsidRPr="004F30BD">
        <w:t xml:space="preserve"> with previously discussed results</w:t>
      </w:r>
      <w:r w:rsidR="006838B0" w:rsidRPr="004F30BD">
        <w:t xml:space="preserve">. </w:t>
      </w:r>
      <w:r w:rsidR="008621CF" w:rsidRPr="004F30BD">
        <w:t>For example, w</w:t>
      </w:r>
      <w:r w:rsidR="006838B0" w:rsidRPr="004F30BD">
        <w:t xml:space="preserve">hile some </w:t>
      </w:r>
      <w:r w:rsidR="00714500" w:rsidRPr="004F30BD">
        <w:t>providers</w:t>
      </w:r>
      <w:r w:rsidR="006838B0" w:rsidRPr="004F30BD">
        <w:t xml:space="preserve"> </w:t>
      </w:r>
      <w:r w:rsidR="008621CF" w:rsidRPr="004F30BD">
        <w:t xml:space="preserve">have </w:t>
      </w:r>
      <w:r w:rsidR="00714500" w:rsidRPr="004F30BD">
        <w:t>been negative about</w:t>
      </w:r>
      <w:r w:rsidR="006838B0" w:rsidRPr="004F30BD">
        <w:t xml:space="preserve"> TEQSA</w:t>
      </w:r>
      <w:r w:rsidR="00714500" w:rsidRPr="004F30BD">
        <w:t xml:space="preserve">’s case management, </w:t>
      </w:r>
      <w:r w:rsidR="006838B0" w:rsidRPr="004F30BD">
        <w:t>others indicate that this is a</w:t>
      </w:r>
      <w:r w:rsidR="00714500" w:rsidRPr="004F30BD">
        <w:t xml:space="preserve"> TEQSA strength</w:t>
      </w:r>
      <w:r w:rsidR="006838B0" w:rsidRPr="004F30BD">
        <w:t xml:space="preserve">. These are not the same people contradicting themselves, but different people who have different experiences. The comments indicate that </w:t>
      </w:r>
      <w:r w:rsidR="009F425F" w:rsidRPr="004F30BD">
        <w:t xml:space="preserve">higher education providers have </w:t>
      </w:r>
      <w:r w:rsidR="005D6ECF">
        <w:t>a diversity of</w:t>
      </w:r>
      <w:r w:rsidR="009F425F" w:rsidRPr="004F30BD">
        <w:t xml:space="preserve"> needs and expectations and/or that TEQSA does not behave uniformly</w:t>
      </w:r>
      <w:r w:rsidR="006838B0" w:rsidRPr="004F30BD">
        <w:t xml:space="preserve">. </w:t>
      </w:r>
    </w:p>
    <w:p w14:paraId="227F8E83" w14:textId="77777777" w:rsidR="00EE10CF" w:rsidRPr="004F30BD" w:rsidRDefault="00EE10CF" w:rsidP="006838B0">
      <w:r w:rsidRPr="004F30BD">
        <w:t>While ASR takes all care in identifying common themes, with expert or knowledgeable</w:t>
      </w:r>
      <w:r w:rsidR="009F425F" w:rsidRPr="004F30BD">
        <w:t xml:space="preserve"> observer insight</w:t>
      </w:r>
      <w:r w:rsidRPr="004F30BD">
        <w:t>, other themes may emerge. ASR has provided TEQSA with all de-identified verbatim comments so that they can gain further insight into what stakeholders are saying. These comments are a valuable and rich source of feedback.</w:t>
      </w:r>
    </w:p>
    <w:p w14:paraId="128B0691" w14:textId="77777777" w:rsidR="00A433E0" w:rsidRPr="004F30BD" w:rsidRDefault="00A433E0" w:rsidP="009C3146">
      <w:pPr>
        <w:pStyle w:val="Heading3"/>
      </w:pPr>
      <w:r w:rsidRPr="004F30BD">
        <w:t>What T</w:t>
      </w:r>
      <w:r w:rsidR="002C3094" w:rsidRPr="004F30BD">
        <w:t>EQSA</w:t>
      </w:r>
      <w:r w:rsidRPr="004F30BD">
        <w:t xml:space="preserve"> does well</w:t>
      </w:r>
      <w:r w:rsidR="00714500" w:rsidRPr="004F30BD">
        <w:t xml:space="preserve"> that it should </w:t>
      </w:r>
      <w:r w:rsidR="00644222" w:rsidRPr="004F30BD">
        <w:t>continue doing</w:t>
      </w:r>
    </w:p>
    <w:p w14:paraId="7A87AD62" w14:textId="77777777" w:rsidR="0073307A" w:rsidRPr="004F30BD" w:rsidRDefault="00C74C73" w:rsidP="006E5BD5">
      <w:r w:rsidRPr="004F30BD">
        <w:t xml:space="preserve">A total of </w:t>
      </w:r>
      <w:r w:rsidR="006E5BD5" w:rsidRPr="004F30BD">
        <w:t>100</w:t>
      </w:r>
      <w:r w:rsidRPr="004F30BD">
        <w:t xml:space="preserve"> principal contacts offered i</w:t>
      </w:r>
      <w:r w:rsidR="00714500" w:rsidRPr="004F30BD">
        <w:t xml:space="preserve">deas about what TEQSA does well. </w:t>
      </w:r>
      <w:r w:rsidR="006E5BD5" w:rsidRPr="004F30BD">
        <w:t>The key themes</w:t>
      </w:r>
      <w:r w:rsidR="0073307A" w:rsidRPr="004F30BD">
        <w:t xml:space="preserve"> were:</w:t>
      </w:r>
    </w:p>
    <w:p w14:paraId="42137818" w14:textId="77777777" w:rsidR="001875BF" w:rsidRPr="004F30BD" w:rsidRDefault="001875BF" w:rsidP="00A06284">
      <w:pPr>
        <w:pStyle w:val="ListParagraph"/>
        <w:numPr>
          <w:ilvl w:val="0"/>
          <w:numId w:val="9"/>
        </w:numPr>
        <w:spacing w:before="60"/>
        <w:ind w:right="1080"/>
        <w:contextualSpacing w:val="0"/>
      </w:pPr>
      <w:r w:rsidRPr="004F30BD">
        <w:t xml:space="preserve">Proportional approach to regulation / focus on high risk providers and </w:t>
      </w:r>
      <w:r w:rsidR="004D7C16" w:rsidRPr="004F30BD">
        <w:t>reduction in</w:t>
      </w:r>
      <w:r w:rsidRPr="004F30BD">
        <w:t xml:space="preserve"> administrative burden on good providers</w:t>
      </w:r>
    </w:p>
    <w:p w14:paraId="7FF31558" w14:textId="77777777" w:rsidR="001875BF" w:rsidRPr="004F30BD" w:rsidRDefault="001875BF" w:rsidP="00A06284">
      <w:pPr>
        <w:pStyle w:val="ListParagraph"/>
        <w:numPr>
          <w:ilvl w:val="0"/>
          <w:numId w:val="9"/>
        </w:numPr>
        <w:spacing w:before="60"/>
        <w:ind w:right="1080"/>
        <w:contextualSpacing w:val="0"/>
      </w:pPr>
      <w:r w:rsidRPr="004F30BD">
        <w:t xml:space="preserve">Strong stance on academic integrity / maintaining high standards / high barriers to entry </w:t>
      </w:r>
    </w:p>
    <w:p w14:paraId="2B86CF00" w14:textId="77777777" w:rsidR="006E5BD5" w:rsidRPr="004F30BD" w:rsidRDefault="006E5BD5" w:rsidP="00A06284">
      <w:pPr>
        <w:pStyle w:val="ListParagraph"/>
        <w:numPr>
          <w:ilvl w:val="0"/>
          <w:numId w:val="9"/>
        </w:numPr>
        <w:spacing w:before="60"/>
        <w:ind w:right="1080"/>
        <w:contextualSpacing w:val="0"/>
      </w:pPr>
      <w:r w:rsidRPr="004F30BD">
        <w:t>Case management approach / efficient / responsive / supportive</w:t>
      </w:r>
      <w:r w:rsidR="00570BC3" w:rsidRPr="004F30BD">
        <w:t>,</w:t>
      </w:r>
      <w:r w:rsidRPr="004F30BD">
        <w:t xml:space="preserve"> although need to retain </w:t>
      </w:r>
      <w:r w:rsidR="00190D82" w:rsidRPr="004F30BD">
        <w:t xml:space="preserve">continuity of </w:t>
      </w:r>
      <w:r w:rsidR="004D7C16" w:rsidRPr="004F30BD">
        <w:t xml:space="preserve">case managers </w:t>
      </w:r>
      <w:r w:rsidRPr="004F30BD">
        <w:t xml:space="preserve">to establish knowledge / relationship </w:t>
      </w:r>
      <w:r w:rsidR="00190D82" w:rsidRPr="004F30BD">
        <w:t>with providers</w:t>
      </w:r>
    </w:p>
    <w:p w14:paraId="6DBFFA8E" w14:textId="77777777" w:rsidR="006E5BD5" w:rsidRPr="004F30BD" w:rsidRDefault="00570BC3" w:rsidP="00A06284">
      <w:pPr>
        <w:pStyle w:val="ListParagraph"/>
        <w:numPr>
          <w:ilvl w:val="0"/>
          <w:numId w:val="9"/>
        </w:numPr>
        <w:spacing w:before="60"/>
        <w:ind w:right="1080"/>
        <w:contextualSpacing w:val="0"/>
      </w:pPr>
      <w:r w:rsidRPr="004F30BD">
        <w:t>TEQSA e</w:t>
      </w:r>
      <w:r w:rsidR="006E5BD5" w:rsidRPr="004F30BD">
        <w:t xml:space="preserve">ngagement with providers on </w:t>
      </w:r>
      <w:r w:rsidRPr="004F30BD">
        <w:t>sector</w:t>
      </w:r>
      <w:r w:rsidR="006E5BD5" w:rsidRPr="004F30BD">
        <w:t xml:space="preserve"> issues / approachable / accessible / consultative</w:t>
      </w:r>
    </w:p>
    <w:p w14:paraId="78FC0554" w14:textId="77777777" w:rsidR="006E5BD5" w:rsidRPr="004F30BD" w:rsidRDefault="006E5BD5" w:rsidP="00A06284">
      <w:pPr>
        <w:pStyle w:val="ListParagraph"/>
        <w:numPr>
          <w:ilvl w:val="0"/>
          <w:numId w:val="9"/>
        </w:numPr>
        <w:spacing w:before="60"/>
        <w:ind w:right="1080"/>
        <w:contextualSpacing w:val="0"/>
      </w:pPr>
      <w:r w:rsidRPr="004F30BD">
        <w:t xml:space="preserve">Opportunities to exchange views, </w:t>
      </w:r>
      <w:r w:rsidR="009C3146" w:rsidRPr="004F30BD">
        <w:t>for example,</w:t>
      </w:r>
      <w:r w:rsidRPr="004F30BD">
        <w:t xml:space="preserve"> conference, round tables, workshops, forums</w:t>
      </w:r>
    </w:p>
    <w:p w14:paraId="77656F82" w14:textId="77777777" w:rsidR="006E5BD5" w:rsidRPr="004F30BD" w:rsidRDefault="006E5BD5" w:rsidP="00A06284">
      <w:pPr>
        <w:pStyle w:val="ListParagraph"/>
        <w:numPr>
          <w:ilvl w:val="0"/>
          <w:numId w:val="9"/>
        </w:numPr>
        <w:spacing w:before="60"/>
        <w:ind w:right="1080"/>
        <w:contextualSpacing w:val="0"/>
      </w:pPr>
      <w:r w:rsidRPr="004F30BD">
        <w:t>Provid</w:t>
      </w:r>
      <w:r w:rsidR="00570BC3" w:rsidRPr="004F30BD">
        <w:t>es</w:t>
      </w:r>
      <w:r w:rsidRPr="004F30BD">
        <w:t xml:space="preserve"> an encouraging environment for industry newcomers</w:t>
      </w:r>
    </w:p>
    <w:p w14:paraId="0973C225" w14:textId="77777777" w:rsidR="006E5BD5" w:rsidRPr="004F30BD" w:rsidRDefault="006E5BD5" w:rsidP="00A06284">
      <w:pPr>
        <w:pStyle w:val="ListParagraph"/>
        <w:numPr>
          <w:ilvl w:val="0"/>
          <w:numId w:val="9"/>
        </w:numPr>
        <w:spacing w:before="60"/>
        <w:ind w:right="1080"/>
        <w:contextualSpacing w:val="0"/>
      </w:pPr>
      <w:r w:rsidRPr="004F30BD">
        <w:t xml:space="preserve">Quality of </w:t>
      </w:r>
      <w:r w:rsidR="00FF6747" w:rsidRPr="004F30BD">
        <w:t>information—</w:t>
      </w:r>
      <w:r w:rsidRPr="004F30BD">
        <w:t>transparent, clear, useful</w:t>
      </w:r>
      <w:r w:rsidR="00FF6747" w:rsidRPr="004F30BD">
        <w:t>. Including</w:t>
      </w:r>
      <w:r w:rsidRPr="004F30BD">
        <w:t xml:space="preserve"> </w:t>
      </w:r>
      <w:r w:rsidR="00FF6747" w:rsidRPr="004F30BD">
        <w:t xml:space="preserve">in relation to </w:t>
      </w:r>
      <w:r w:rsidRPr="004F30BD">
        <w:t xml:space="preserve">Guidance Notes, Good </w:t>
      </w:r>
      <w:r w:rsidR="00570BC3" w:rsidRPr="004F30BD">
        <w:t>P</w:t>
      </w:r>
      <w:r w:rsidRPr="004F30BD">
        <w:t>ractice</w:t>
      </w:r>
      <w:r w:rsidR="005D6ECF">
        <w:t xml:space="preserve"> Notes</w:t>
      </w:r>
      <w:r w:rsidRPr="004F30BD">
        <w:t xml:space="preserve">, </w:t>
      </w:r>
      <w:r w:rsidR="00FF6747" w:rsidRPr="004F30BD">
        <w:t>u</w:t>
      </w:r>
      <w:r w:rsidRPr="004F30BD">
        <w:t xml:space="preserve">npacking </w:t>
      </w:r>
      <w:r w:rsidR="00FF6747" w:rsidRPr="004F30BD">
        <w:t>st</w:t>
      </w:r>
      <w:r w:rsidRPr="004F30BD">
        <w:t>andards / regulatory requirements, TEQSA website, commentary on decisions</w:t>
      </w:r>
    </w:p>
    <w:p w14:paraId="38EBB8EB" w14:textId="77777777" w:rsidR="006E5BD5" w:rsidRPr="004F30BD" w:rsidRDefault="006E5BD5" w:rsidP="00A06284">
      <w:pPr>
        <w:pStyle w:val="ListParagraph"/>
        <w:numPr>
          <w:ilvl w:val="0"/>
          <w:numId w:val="9"/>
        </w:numPr>
        <w:spacing w:before="60"/>
        <w:ind w:right="1080"/>
        <w:contextualSpacing w:val="0"/>
      </w:pPr>
      <w:r w:rsidRPr="004F30BD">
        <w:t>Clear format of annual risk assessment</w:t>
      </w:r>
    </w:p>
    <w:p w14:paraId="4621E10B" w14:textId="77777777" w:rsidR="006E5BD5" w:rsidRPr="004F30BD" w:rsidRDefault="006E5BD5" w:rsidP="00A06284">
      <w:pPr>
        <w:pStyle w:val="ListParagraph"/>
        <w:numPr>
          <w:ilvl w:val="0"/>
          <w:numId w:val="9"/>
        </w:numPr>
        <w:spacing w:before="60"/>
        <w:ind w:right="1080"/>
        <w:contextualSpacing w:val="0"/>
      </w:pPr>
      <w:r w:rsidRPr="004F30BD">
        <w:t>Turnaround time of applications to add courses to CRICOS reduced significantly</w:t>
      </w:r>
    </w:p>
    <w:p w14:paraId="1CC33C63" w14:textId="77777777" w:rsidR="006E5BD5" w:rsidRPr="004F30BD" w:rsidRDefault="006E5BD5" w:rsidP="00A06284">
      <w:pPr>
        <w:pStyle w:val="ListParagraph"/>
        <w:numPr>
          <w:ilvl w:val="0"/>
          <w:numId w:val="9"/>
        </w:numPr>
        <w:spacing w:before="60"/>
        <w:ind w:right="1080"/>
        <w:contextualSpacing w:val="0"/>
      </w:pPr>
      <w:r w:rsidRPr="004F30BD">
        <w:t>Critical analysis of the HE provider's capability</w:t>
      </w:r>
    </w:p>
    <w:p w14:paraId="08F07032" w14:textId="77777777" w:rsidR="003F3E93" w:rsidRPr="004F30BD" w:rsidRDefault="006E5BD5" w:rsidP="00A06284">
      <w:pPr>
        <w:pStyle w:val="ListParagraph"/>
        <w:numPr>
          <w:ilvl w:val="0"/>
          <w:numId w:val="9"/>
        </w:numPr>
        <w:spacing w:before="60"/>
        <w:ind w:right="1080"/>
        <w:contextualSpacing w:val="0"/>
      </w:pPr>
      <w:r w:rsidRPr="004F30BD">
        <w:t>Providing valuable data to the sector</w:t>
      </w:r>
      <w:r w:rsidR="003F3E93" w:rsidRPr="004F30BD">
        <w:t>.</w:t>
      </w:r>
    </w:p>
    <w:p w14:paraId="0B0CD38F" w14:textId="77777777" w:rsidR="00B56A20" w:rsidRPr="004F30BD" w:rsidRDefault="00B56A20" w:rsidP="009C3146">
      <w:pPr>
        <w:pStyle w:val="Heading3"/>
      </w:pPr>
      <w:r w:rsidRPr="004F30BD">
        <w:t>What T</w:t>
      </w:r>
      <w:r w:rsidR="002C3094" w:rsidRPr="004F30BD">
        <w:t>EQSA</w:t>
      </w:r>
      <w:r w:rsidRPr="004F30BD">
        <w:t xml:space="preserve"> could improve</w:t>
      </w:r>
    </w:p>
    <w:p w14:paraId="061CBA91" w14:textId="77777777" w:rsidR="002C3094" w:rsidRPr="004F30BD" w:rsidRDefault="00F92229" w:rsidP="0073307A">
      <w:r w:rsidRPr="004F30BD">
        <w:t xml:space="preserve">Principal </w:t>
      </w:r>
      <w:r w:rsidR="009325A7" w:rsidRPr="004F30BD">
        <w:t xml:space="preserve">contacts offered </w:t>
      </w:r>
      <w:r w:rsidR="00905405" w:rsidRPr="004F30BD">
        <w:t>89</w:t>
      </w:r>
      <w:r w:rsidRPr="004F30BD">
        <w:t xml:space="preserve"> valid </w:t>
      </w:r>
      <w:r w:rsidR="009325A7" w:rsidRPr="004F30BD">
        <w:t xml:space="preserve">suggestions about </w:t>
      </w:r>
      <w:r w:rsidRPr="004F30BD">
        <w:t xml:space="preserve">one thing that </w:t>
      </w:r>
      <w:r w:rsidR="009325A7" w:rsidRPr="004F30BD">
        <w:t xml:space="preserve">TEQSA should improve or change that would make the most difference to its effectiveness as a regulator. The suggestions </w:t>
      </w:r>
      <w:r w:rsidR="009C3146" w:rsidRPr="004F30BD">
        <w:t>covered the following ideas</w:t>
      </w:r>
      <w:r w:rsidR="009325A7" w:rsidRPr="004F30BD">
        <w:t>:</w:t>
      </w:r>
    </w:p>
    <w:p w14:paraId="172E0733" w14:textId="77777777" w:rsidR="00421BB7" w:rsidRPr="004F30BD" w:rsidRDefault="00421BB7" w:rsidP="00A06284">
      <w:pPr>
        <w:pStyle w:val="ListParagraph"/>
        <w:numPr>
          <w:ilvl w:val="0"/>
          <w:numId w:val="10"/>
        </w:numPr>
        <w:spacing w:before="60"/>
        <w:ind w:right="1080"/>
        <w:contextualSpacing w:val="0"/>
      </w:pPr>
      <w:r w:rsidRPr="004F30BD">
        <w:t>Regular updates on accreditation status</w:t>
      </w:r>
    </w:p>
    <w:p w14:paraId="5BD6DDAF" w14:textId="77777777" w:rsidR="00421BB7" w:rsidRPr="004F30BD" w:rsidRDefault="00570BC3" w:rsidP="00A06284">
      <w:pPr>
        <w:pStyle w:val="ListParagraph"/>
        <w:numPr>
          <w:ilvl w:val="0"/>
          <w:numId w:val="10"/>
        </w:numPr>
        <w:spacing w:before="60"/>
        <w:ind w:right="1080"/>
        <w:contextualSpacing w:val="0"/>
      </w:pPr>
      <w:r w:rsidRPr="004F30BD">
        <w:t>Greater</w:t>
      </w:r>
      <w:r w:rsidR="00421BB7" w:rsidRPr="004F30BD">
        <w:t xml:space="preserve"> advance notice of impending reaccreditation</w:t>
      </w:r>
      <w:r w:rsidR="00E31714" w:rsidRPr="004F30BD">
        <w:t xml:space="preserve"> or annual risk assessment</w:t>
      </w:r>
    </w:p>
    <w:p w14:paraId="5D035837" w14:textId="77777777" w:rsidR="00421BB7" w:rsidRPr="004F30BD" w:rsidRDefault="00421BB7" w:rsidP="00A06284">
      <w:pPr>
        <w:pStyle w:val="ListParagraph"/>
        <w:numPr>
          <w:ilvl w:val="0"/>
          <w:numId w:val="10"/>
        </w:numPr>
        <w:spacing w:before="60"/>
        <w:ind w:right="1080"/>
        <w:contextualSpacing w:val="0"/>
      </w:pPr>
      <w:r w:rsidRPr="004F30BD">
        <w:lastRenderedPageBreak/>
        <w:t xml:space="preserve">Improve </w:t>
      </w:r>
      <w:r w:rsidR="009C3146" w:rsidRPr="004F30BD">
        <w:t>response times</w:t>
      </w:r>
      <w:r w:rsidRPr="004F30BD">
        <w:t xml:space="preserve"> and internal communications</w:t>
      </w:r>
      <w:r w:rsidR="009C3146" w:rsidRPr="004F30BD">
        <w:t xml:space="preserve"> around</w:t>
      </w:r>
      <w:r w:rsidRPr="004F30BD">
        <w:t xml:space="preserve"> accreditation, CRICOS, submissions</w:t>
      </w:r>
      <w:r w:rsidR="00E31714" w:rsidRPr="004F30BD">
        <w:t xml:space="preserve">, </w:t>
      </w:r>
      <w:r w:rsidRPr="004F30BD">
        <w:t xml:space="preserve">annual risk assessment </w:t>
      </w:r>
    </w:p>
    <w:p w14:paraId="645C276C" w14:textId="77777777" w:rsidR="00421BB7" w:rsidRPr="004F30BD" w:rsidRDefault="00421BB7" w:rsidP="00A06284">
      <w:pPr>
        <w:pStyle w:val="ListParagraph"/>
        <w:numPr>
          <w:ilvl w:val="0"/>
          <w:numId w:val="10"/>
        </w:numPr>
        <w:spacing w:before="60"/>
        <w:ind w:right="1080"/>
        <w:contextualSpacing w:val="0"/>
      </w:pPr>
      <w:r w:rsidRPr="004F30BD">
        <w:t>More information about the impact of the work of the Higher Education Standards Panel, e.g. survey on work integrated placement</w:t>
      </w:r>
    </w:p>
    <w:p w14:paraId="3E613439" w14:textId="77777777" w:rsidR="00421BB7" w:rsidRPr="004F30BD" w:rsidRDefault="00421BB7" w:rsidP="00A06284">
      <w:pPr>
        <w:pStyle w:val="ListParagraph"/>
        <w:numPr>
          <w:ilvl w:val="0"/>
          <w:numId w:val="10"/>
        </w:numPr>
        <w:spacing w:before="60"/>
        <w:ind w:right="1080"/>
        <w:contextualSpacing w:val="0"/>
      </w:pPr>
      <w:r w:rsidRPr="004F30BD">
        <w:t xml:space="preserve">Adopt innovation to improve processes </w:t>
      </w:r>
      <w:r w:rsidR="007158A1" w:rsidRPr="004F30BD">
        <w:t xml:space="preserve">to accommodate </w:t>
      </w:r>
      <w:r w:rsidRPr="004F30BD">
        <w:t>regulation</w:t>
      </w:r>
      <w:r w:rsidR="007158A1" w:rsidRPr="004F30BD">
        <w:t xml:space="preserve">, </w:t>
      </w:r>
      <w:r w:rsidRPr="004F30BD">
        <w:t>eLearning</w:t>
      </w:r>
      <w:r w:rsidR="007158A1" w:rsidRPr="004F30BD">
        <w:t xml:space="preserve">, and </w:t>
      </w:r>
      <w:r w:rsidRPr="004F30BD">
        <w:t>flex learning</w:t>
      </w:r>
    </w:p>
    <w:p w14:paraId="321D4E51" w14:textId="4DE43CB8" w:rsidR="00421BB7" w:rsidRPr="004F30BD" w:rsidRDefault="00421BB7" w:rsidP="00A06284">
      <w:pPr>
        <w:pStyle w:val="ListParagraph"/>
        <w:numPr>
          <w:ilvl w:val="0"/>
          <w:numId w:val="10"/>
        </w:numPr>
        <w:spacing w:before="60"/>
        <w:ind w:right="1080"/>
        <w:contextualSpacing w:val="0"/>
      </w:pPr>
      <w:r w:rsidRPr="004F30BD">
        <w:t xml:space="preserve">Update </w:t>
      </w:r>
      <w:r w:rsidR="00B257C5" w:rsidRPr="004F30BD">
        <w:t>PI</w:t>
      </w:r>
      <w:r w:rsidR="00B257C5">
        <w:t>R</w:t>
      </w:r>
      <w:r w:rsidR="00B257C5" w:rsidRPr="004F30BD">
        <w:t xml:space="preserve"> </w:t>
      </w:r>
      <w:r w:rsidRPr="004F30BD">
        <w:t xml:space="preserve">reporting format </w:t>
      </w:r>
      <w:r w:rsidR="007158A1" w:rsidRPr="004F30BD">
        <w:t>and</w:t>
      </w:r>
      <w:r w:rsidRPr="004F30BD">
        <w:t xml:space="preserve"> process</w:t>
      </w:r>
    </w:p>
    <w:p w14:paraId="29524A93" w14:textId="77777777" w:rsidR="00421BB7" w:rsidRPr="004F30BD" w:rsidRDefault="00421BB7" w:rsidP="00A06284">
      <w:pPr>
        <w:pStyle w:val="ListParagraph"/>
        <w:numPr>
          <w:ilvl w:val="0"/>
          <w:numId w:val="10"/>
        </w:numPr>
        <w:spacing w:before="60"/>
        <w:ind w:right="1080"/>
        <w:contextualSpacing w:val="0"/>
      </w:pPr>
      <w:r w:rsidRPr="004F30BD">
        <w:t xml:space="preserve">Assist with provider staff training, </w:t>
      </w:r>
      <w:r w:rsidR="009C3146" w:rsidRPr="004F30BD">
        <w:t>for example</w:t>
      </w:r>
      <w:r w:rsidRPr="004F30BD">
        <w:t xml:space="preserve"> on-site professional development in relation to the Standards, help build positive relationships to improve compliance</w:t>
      </w:r>
    </w:p>
    <w:p w14:paraId="5503B860" w14:textId="77777777" w:rsidR="00421BB7" w:rsidRPr="004F30BD" w:rsidRDefault="007158A1" w:rsidP="00A06284">
      <w:pPr>
        <w:pStyle w:val="ListParagraph"/>
        <w:numPr>
          <w:ilvl w:val="0"/>
          <w:numId w:val="10"/>
        </w:numPr>
        <w:spacing w:before="60"/>
        <w:ind w:right="1080"/>
        <w:contextualSpacing w:val="0"/>
      </w:pPr>
      <w:r w:rsidRPr="004F30BD">
        <w:t>Develop strategies to improve</w:t>
      </w:r>
      <w:r w:rsidR="00421BB7" w:rsidRPr="004F30BD">
        <w:t xml:space="preserve"> quality of high</w:t>
      </w:r>
      <w:r w:rsidR="00B257C5">
        <w:t>er</w:t>
      </w:r>
      <w:r w:rsidR="00421BB7" w:rsidRPr="004F30BD">
        <w:t xml:space="preserve"> education staff </w:t>
      </w:r>
      <w:r w:rsidRPr="004F30BD">
        <w:t>and</w:t>
      </w:r>
      <w:r w:rsidR="00421BB7" w:rsidRPr="004F30BD">
        <w:t xml:space="preserve"> teaching skills</w:t>
      </w:r>
    </w:p>
    <w:p w14:paraId="0AC525F3" w14:textId="47FA2DD2" w:rsidR="00421BB7" w:rsidRPr="004F30BD" w:rsidRDefault="00421BB7" w:rsidP="00A06284">
      <w:pPr>
        <w:pStyle w:val="ListParagraph"/>
        <w:numPr>
          <w:ilvl w:val="0"/>
          <w:numId w:val="10"/>
        </w:numPr>
        <w:spacing w:before="60"/>
        <w:ind w:right="1080"/>
        <w:contextualSpacing w:val="0"/>
      </w:pPr>
      <w:r w:rsidRPr="004F30BD">
        <w:t xml:space="preserve">Greater transparency </w:t>
      </w:r>
      <w:r w:rsidR="007158A1" w:rsidRPr="004F30BD">
        <w:t>about how TEQSA makes</w:t>
      </w:r>
      <w:r w:rsidRPr="004F30BD">
        <w:t xml:space="preserve"> decisions, </w:t>
      </w:r>
      <w:r w:rsidR="009C3146" w:rsidRPr="004F30BD">
        <w:t>for example</w:t>
      </w:r>
      <w:r w:rsidRPr="004F30BD">
        <w:t xml:space="preserve"> specific ratios </w:t>
      </w:r>
      <w:r w:rsidR="00B257C5">
        <w:t>expected</w:t>
      </w:r>
      <w:r w:rsidRPr="004F30BD">
        <w:t xml:space="preserve">, </w:t>
      </w:r>
      <w:r w:rsidR="00A84F1D" w:rsidRPr="004F30BD">
        <w:t xml:space="preserve">requirements of </w:t>
      </w:r>
      <w:r w:rsidRPr="004F30BD">
        <w:t>Higher Ed Standards Framework</w:t>
      </w:r>
    </w:p>
    <w:p w14:paraId="484DA468" w14:textId="77777777" w:rsidR="00421BB7" w:rsidRPr="004F30BD" w:rsidRDefault="00421BB7" w:rsidP="00A06284">
      <w:pPr>
        <w:pStyle w:val="ListParagraph"/>
        <w:numPr>
          <w:ilvl w:val="0"/>
          <w:numId w:val="10"/>
        </w:numPr>
        <w:spacing w:before="60"/>
        <w:ind w:right="1080"/>
        <w:contextualSpacing w:val="0"/>
      </w:pPr>
      <w:r w:rsidRPr="004F30BD">
        <w:t xml:space="preserve">Provide constructive, helpful responses to questions, </w:t>
      </w:r>
      <w:r w:rsidR="009C3146" w:rsidRPr="004F30BD">
        <w:t>for example</w:t>
      </w:r>
      <w:r w:rsidRPr="004F30BD">
        <w:t>. interpretation of Threshold Standards</w:t>
      </w:r>
    </w:p>
    <w:p w14:paraId="65A90E68" w14:textId="77777777" w:rsidR="00421BB7" w:rsidRPr="004F30BD" w:rsidRDefault="00421BB7" w:rsidP="00A06284">
      <w:pPr>
        <w:pStyle w:val="ListParagraph"/>
        <w:numPr>
          <w:ilvl w:val="0"/>
          <w:numId w:val="10"/>
        </w:numPr>
        <w:spacing w:before="60"/>
        <w:ind w:right="1080"/>
        <w:contextualSpacing w:val="0"/>
      </w:pPr>
      <w:r w:rsidRPr="004F30BD">
        <w:t>Improve knowledge of case manager / better understanding of provider context</w:t>
      </w:r>
    </w:p>
    <w:p w14:paraId="219AA9D0" w14:textId="77777777" w:rsidR="00421BB7" w:rsidRPr="004F30BD" w:rsidRDefault="00421BB7" w:rsidP="00A06284">
      <w:pPr>
        <w:pStyle w:val="ListParagraph"/>
        <w:numPr>
          <w:ilvl w:val="0"/>
          <w:numId w:val="10"/>
        </w:numPr>
        <w:spacing w:before="60"/>
        <w:ind w:right="1080"/>
        <w:contextualSpacing w:val="0"/>
      </w:pPr>
      <w:r w:rsidRPr="004F30BD">
        <w:t xml:space="preserve">Improve case manager staff retention </w:t>
      </w:r>
    </w:p>
    <w:p w14:paraId="457157F8" w14:textId="77777777" w:rsidR="00421BB7" w:rsidRPr="004F30BD" w:rsidRDefault="00421BB7" w:rsidP="00A06284">
      <w:pPr>
        <w:pStyle w:val="ListParagraph"/>
        <w:numPr>
          <w:ilvl w:val="0"/>
          <w:numId w:val="10"/>
        </w:numPr>
        <w:spacing w:before="60"/>
        <w:ind w:right="1080"/>
        <w:contextualSpacing w:val="0"/>
      </w:pPr>
      <w:r w:rsidRPr="004F30BD">
        <w:t>Provide access to experts who can advise on key practice area when required</w:t>
      </w:r>
    </w:p>
    <w:p w14:paraId="2848A2E8" w14:textId="63BCA176" w:rsidR="00421BB7" w:rsidRPr="004F30BD" w:rsidRDefault="00421BB7" w:rsidP="00A06284">
      <w:pPr>
        <w:pStyle w:val="ListParagraph"/>
        <w:numPr>
          <w:ilvl w:val="0"/>
          <w:numId w:val="10"/>
        </w:numPr>
        <w:spacing w:before="60"/>
        <w:ind w:right="1080"/>
        <w:contextualSpacing w:val="0"/>
      </w:pPr>
      <w:r w:rsidRPr="004F30BD">
        <w:t>Reduce constant expan</w:t>
      </w:r>
      <w:r w:rsidR="00B257C5">
        <w:t>sion</w:t>
      </w:r>
      <w:r w:rsidRPr="004F30BD">
        <w:t xml:space="preserve"> of requirements for reaccreditation and</w:t>
      </w:r>
      <w:r w:rsidR="00A84F1D" w:rsidRPr="004F30BD">
        <w:t xml:space="preserve"> </w:t>
      </w:r>
      <w:r w:rsidRPr="004F30BD">
        <w:t>accreditation</w:t>
      </w:r>
    </w:p>
    <w:p w14:paraId="059E61A5" w14:textId="77777777" w:rsidR="00421BB7" w:rsidRPr="004F30BD" w:rsidRDefault="00421BB7" w:rsidP="00A06284">
      <w:pPr>
        <w:pStyle w:val="ListParagraph"/>
        <w:numPr>
          <w:ilvl w:val="0"/>
          <w:numId w:val="10"/>
        </w:numPr>
        <w:spacing w:before="60"/>
        <w:ind w:right="1080"/>
        <w:contextualSpacing w:val="0"/>
      </w:pPr>
      <w:r w:rsidRPr="004F30BD">
        <w:t>Ensure website downloads function</w:t>
      </w:r>
      <w:r w:rsidR="007158A1" w:rsidRPr="004F30BD">
        <w:t xml:space="preserve"> properly</w:t>
      </w:r>
      <w:r w:rsidRPr="004F30BD">
        <w:t xml:space="preserve">, e.g. checklists for reaccreditation </w:t>
      </w:r>
    </w:p>
    <w:p w14:paraId="2814B5BC" w14:textId="77777777" w:rsidR="00421BB7" w:rsidRPr="004F30BD" w:rsidRDefault="00421BB7" w:rsidP="00A06284">
      <w:pPr>
        <w:pStyle w:val="ListParagraph"/>
        <w:numPr>
          <w:ilvl w:val="0"/>
          <w:numId w:val="10"/>
        </w:numPr>
        <w:spacing w:before="60"/>
        <w:ind w:right="1080"/>
        <w:contextualSpacing w:val="0"/>
      </w:pPr>
      <w:r w:rsidRPr="004F30BD">
        <w:t>Improve ease of accessing portal</w:t>
      </w:r>
    </w:p>
    <w:p w14:paraId="3D8CA904" w14:textId="77777777" w:rsidR="00421BB7" w:rsidRPr="004F30BD" w:rsidRDefault="00421BB7" w:rsidP="00A06284">
      <w:pPr>
        <w:pStyle w:val="ListParagraph"/>
        <w:numPr>
          <w:ilvl w:val="0"/>
          <w:numId w:val="10"/>
        </w:numPr>
        <w:spacing w:before="60"/>
        <w:ind w:right="1080"/>
        <w:contextualSpacing w:val="0"/>
      </w:pPr>
      <w:r w:rsidRPr="004F30BD">
        <w:t xml:space="preserve">Expert panel needs to include </w:t>
      </w:r>
      <w:r w:rsidR="007158A1" w:rsidRPr="004F30BD">
        <w:t xml:space="preserve">representation from </w:t>
      </w:r>
      <w:r w:rsidRPr="004F30BD">
        <w:t>more private providers</w:t>
      </w:r>
    </w:p>
    <w:p w14:paraId="583CCF60" w14:textId="77777777" w:rsidR="00421BB7" w:rsidRPr="004F30BD" w:rsidRDefault="00421BB7" w:rsidP="00A06284">
      <w:pPr>
        <w:pStyle w:val="ListParagraph"/>
        <w:numPr>
          <w:ilvl w:val="0"/>
          <w:numId w:val="10"/>
        </w:numPr>
        <w:spacing w:before="60"/>
        <w:ind w:right="1080"/>
        <w:contextualSpacing w:val="0"/>
      </w:pPr>
      <w:r w:rsidRPr="004F30BD">
        <w:t xml:space="preserve">Reflect greater diversity of views in the Guidance </w:t>
      </w:r>
      <w:r w:rsidR="007158A1" w:rsidRPr="004F30BD">
        <w:t>N</w:t>
      </w:r>
      <w:r w:rsidRPr="004F30BD">
        <w:t>otes</w:t>
      </w:r>
    </w:p>
    <w:p w14:paraId="2FEC764F" w14:textId="77777777" w:rsidR="00421BB7" w:rsidRPr="004F30BD" w:rsidRDefault="007158A1" w:rsidP="00A06284">
      <w:pPr>
        <w:pStyle w:val="ListParagraph"/>
        <w:numPr>
          <w:ilvl w:val="0"/>
          <w:numId w:val="10"/>
        </w:numPr>
        <w:spacing w:before="60"/>
        <w:ind w:right="1080"/>
        <w:contextualSpacing w:val="0"/>
      </w:pPr>
      <w:r w:rsidRPr="004F30BD">
        <w:t>M</w:t>
      </w:r>
      <w:r w:rsidR="00421BB7" w:rsidRPr="004F30BD">
        <w:t xml:space="preserve">ore equitable response to the independent HE sector / small providers </w:t>
      </w:r>
    </w:p>
    <w:p w14:paraId="1D8385C6" w14:textId="77777777" w:rsidR="009619C4" w:rsidRPr="004F30BD" w:rsidRDefault="00421BB7" w:rsidP="00A06284">
      <w:pPr>
        <w:pStyle w:val="ListParagraph"/>
        <w:numPr>
          <w:ilvl w:val="0"/>
          <w:numId w:val="10"/>
        </w:numPr>
        <w:spacing w:before="60"/>
        <w:ind w:right="1080"/>
        <w:contextualSpacing w:val="0"/>
      </w:pPr>
      <w:r w:rsidRPr="004F30BD">
        <w:t>More flexibility in dealing with small unusual providers to encourage diversity into the sector</w:t>
      </w:r>
      <w:r w:rsidR="009619C4" w:rsidRPr="004F30BD">
        <w:t>.</w:t>
      </w:r>
    </w:p>
    <w:p w14:paraId="59AFC4EF" w14:textId="77777777" w:rsidR="002C3094" w:rsidRPr="004F30BD" w:rsidRDefault="002C3094" w:rsidP="009C3146">
      <w:pPr>
        <w:pStyle w:val="Heading3"/>
      </w:pPr>
      <w:r w:rsidRPr="004F30BD">
        <w:t xml:space="preserve">What TEQSA should </w:t>
      </w:r>
      <w:r w:rsidR="00DA4285" w:rsidRPr="004F30BD">
        <w:t>stop</w:t>
      </w:r>
    </w:p>
    <w:p w14:paraId="4722F405" w14:textId="77777777" w:rsidR="00DA4285" w:rsidRPr="004F30BD" w:rsidRDefault="00DA4285" w:rsidP="00DA4285">
      <w:r w:rsidRPr="004F30BD">
        <w:t xml:space="preserve">A total of </w:t>
      </w:r>
      <w:r w:rsidR="00924315" w:rsidRPr="004F30BD">
        <w:t>57</w:t>
      </w:r>
      <w:r w:rsidRPr="004F30BD">
        <w:t xml:space="preserve"> valid suggestions were offered. The most common themes among these were:</w:t>
      </w:r>
    </w:p>
    <w:p w14:paraId="22F82C93" w14:textId="77777777" w:rsidR="00DA4285" w:rsidRPr="004F30BD" w:rsidRDefault="00DA4285" w:rsidP="00A06284">
      <w:pPr>
        <w:pStyle w:val="ListParagraph"/>
        <w:numPr>
          <w:ilvl w:val="0"/>
          <w:numId w:val="15"/>
        </w:numPr>
        <w:spacing w:before="60"/>
        <w:ind w:right="1080"/>
        <w:contextualSpacing w:val="0"/>
      </w:pPr>
      <w:r w:rsidRPr="004F30BD">
        <w:t>Nothing</w:t>
      </w:r>
    </w:p>
    <w:p w14:paraId="25D2C531" w14:textId="77777777" w:rsidR="009B667B" w:rsidRPr="004F30BD" w:rsidRDefault="007158A1" w:rsidP="00A06284">
      <w:pPr>
        <w:pStyle w:val="ListParagraph"/>
        <w:numPr>
          <w:ilvl w:val="0"/>
          <w:numId w:val="15"/>
        </w:numPr>
        <w:spacing w:before="60"/>
        <w:ind w:right="1080"/>
        <w:contextualSpacing w:val="0"/>
      </w:pPr>
      <w:r w:rsidRPr="004F30BD">
        <w:t>Lengthy</w:t>
      </w:r>
      <w:r w:rsidR="009B667B" w:rsidRPr="004F30BD">
        <w:t xml:space="preserve"> timeframes</w:t>
      </w:r>
      <w:r w:rsidRPr="004F30BD">
        <w:t xml:space="preserve"> to assess submissions</w:t>
      </w:r>
    </w:p>
    <w:p w14:paraId="21E3AEB6" w14:textId="77777777" w:rsidR="00966D6B" w:rsidRPr="004F30BD" w:rsidRDefault="00966D6B" w:rsidP="00A06284">
      <w:pPr>
        <w:pStyle w:val="ListParagraph"/>
        <w:numPr>
          <w:ilvl w:val="0"/>
          <w:numId w:val="15"/>
        </w:numPr>
        <w:spacing w:before="60"/>
        <w:ind w:right="1080"/>
        <w:contextualSpacing w:val="0"/>
      </w:pPr>
      <w:r w:rsidRPr="004F30BD">
        <w:t xml:space="preserve">Manage provider requests internally so case manager </w:t>
      </w:r>
      <w:r w:rsidR="007158A1" w:rsidRPr="004F30BD">
        <w:t xml:space="preserve">informed </w:t>
      </w:r>
      <w:r w:rsidRPr="004F30BD">
        <w:t>across different areas of TEQSA</w:t>
      </w:r>
    </w:p>
    <w:p w14:paraId="36B241A7" w14:textId="5BD280ED" w:rsidR="00924315" w:rsidRPr="004F30BD" w:rsidRDefault="007158A1" w:rsidP="00A06284">
      <w:pPr>
        <w:pStyle w:val="ListParagraph"/>
        <w:numPr>
          <w:ilvl w:val="0"/>
          <w:numId w:val="15"/>
        </w:numPr>
        <w:spacing w:before="60"/>
        <w:ind w:right="1080"/>
        <w:contextualSpacing w:val="0"/>
      </w:pPr>
      <w:r w:rsidRPr="004F30BD">
        <w:t>Not differentiating</w:t>
      </w:r>
      <w:r w:rsidR="00924315" w:rsidRPr="004F30BD">
        <w:t xml:space="preserve"> between the </w:t>
      </w:r>
      <w:r w:rsidRPr="004F30BD">
        <w:t>way</w:t>
      </w:r>
      <w:r w:rsidR="00924315" w:rsidRPr="004F30BD">
        <w:t xml:space="preserve"> a university is assessed and a </w:t>
      </w:r>
      <w:r w:rsidR="00AB754F">
        <w:t>independent provider</w:t>
      </w:r>
      <w:r w:rsidR="00AB754F" w:rsidRPr="004F30BD">
        <w:t xml:space="preserve"> </w:t>
      </w:r>
      <w:r w:rsidR="00924315" w:rsidRPr="004F30BD">
        <w:t>is assessed</w:t>
      </w:r>
      <w:r w:rsidR="00F26531" w:rsidRPr="004F30BD">
        <w:t xml:space="preserve">, </w:t>
      </w:r>
      <w:r w:rsidR="00924315" w:rsidRPr="004F30BD">
        <w:t>one size fits all approach</w:t>
      </w:r>
      <w:r w:rsidR="00966D6B" w:rsidRPr="004F30BD">
        <w:t xml:space="preserve"> / </w:t>
      </w:r>
      <w:r w:rsidR="00F26531" w:rsidRPr="004F30BD">
        <w:t xml:space="preserve">should </w:t>
      </w:r>
      <w:r w:rsidR="00966D6B" w:rsidRPr="004F30BD">
        <w:t>consider each provider on their merits</w:t>
      </w:r>
    </w:p>
    <w:p w14:paraId="6F8D6CB8" w14:textId="77777777" w:rsidR="00924315" w:rsidRPr="004F30BD" w:rsidRDefault="007158A1" w:rsidP="00A06284">
      <w:pPr>
        <w:pStyle w:val="ListParagraph"/>
        <w:numPr>
          <w:ilvl w:val="0"/>
          <w:numId w:val="15"/>
        </w:numPr>
        <w:spacing w:before="60"/>
        <w:ind w:right="1080"/>
        <w:contextualSpacing w:val="0"/>
      </w:pPr>
      <w:r w:rsidRPr="004F30BD">
        <w:t>Expecting</w:t>
      </w:r>
      <w:r w:rsidR="00924315" w:rsidRPr="004F30BD">
        <w:t xml:space="preserve"> private providers </w:t>
      </w:r>
      <w:r w:rsidR="009B667B" w:rsidRPr="004F30BD">
        <w:t xml:space="preserve">to </w:t>
      </w:r>
      <w:r w:rsidR="00924315" w:rsidRPr="004F30BD">
        <w:t xml:space="preserve">have the same resources as universities </w:t>
      </w:r>
      <w:r w:rsidR="00966D6B" w:rsidRPr="004F30BD">
        <w:t xml:space="preserve">/ </w:t>
      </w:r>
      <w:r w:rsidR="009B667B" w:rsidRPr="004F30BD">
        <w:t>b</w:t>
      </w:r>
      <w:r w:rsidR="00924315" w:rsidRPr="004F30BD">
        <w:t>ias against private providers / not trusted</w:t>
      </w:r>
      <w:r w:rsidR="00966D6B" w:rsidRPr="004F30BD">
        <w:t xml:space="preserve"> </w:t>
      </w:r>
    </w:p>
    <w:p w14:paraId="1F90D2DF" w14:textId="77777777" w:rsidR="00924315" w:rsidRPr="004F30BD" w:rsidRDefault="007158A1" w:rsidP="00A06284">
      <w:pPr>
        <w:pStyle w:val="ListParagraph"/>
        <w:numPr>
          <w:ilvl w:val="0"/>
          <w:numId w:val="15"/>
        </w:numPr>
        <w:spacing w:before="60"/>
        <w:ind w:right="1080"/>
        <w:contextualSpacing w:val="0"/>
      </w:pPr>
      <w:r w:rsidRPr="004F30BD">
        <w:t>Barriers to the</w:t>
      </w:r>
      <w:r w:rsidR="00924315" w:rsidRPr="004F30BD">
        <w:t xml:space="preserve"> sector </w:t>
      </w:r>
      <w:r w:rsidRPr="004F30BD">
        <w:t>being</w:t>
      </w:r>
      <w:r w:rsidR="00924315" w:rsidRPr="004F30BD">
        <w:t xml:space="preserve"> more innovative and diversif</w:t>
      </w:r>
      <w:r w:rsidRPr="004F30BD">
        <w:t>ying</w:t>
      </w:r>
      <w:r w:rsidR="00966D6B" w:rsidRPr="004F30BD">
        <w:t xml:space="preserve"> course delivery</w:t>
      </w:r>
    </w:p>
    <w:p w14:paraId="11F66A97" w14:textId="77777777" w:rsidR="00924315" w:rsidRPr="004F30BD" w:rsidRDefault="00924315" w:rsidP="00A06284">
      <w:pPr>
        <w:pStyle w:val="ListParagraph"/>
        <w:numPr>
          <w:ilvl w:val="0"/>
          <w:numId w:val="15"/>
        </w:numPr>
        <w:spacing w:before="60"/>
        <w:ind w:right="1080"/>
        <w:contextualSpacing w:val="0"/>
      </w:pPr>
      <w:r w:rsidRPr="004F30BD">
        <w:t>Focus</w:t>
      </w:r>
      <w:r w:rsidR="007158A1" w:rsidRPr="004F30BD">
        <w:t>ing</w:t>
      </w:r>
      <w:r w:rsidRPr="004F30BD">
        <w:t xml:space="preserve"> </w:t>
      </w:r>
      <w:r w:rsidR="007158A1" w:rsidRPr="004F30BD">
        <w:t>on</w:t>
      </w:r>
      <w:r w:rsidRPr="004F30BD">
        <w:t xml:space="preserve"> international MOUs</w:t>
      </w:r>
      <w:r w:rsidR="007158A1" w:rsidRPr="004F30BD">
        <w:t xml:space="preserve"> would prefer more resources devoted to Australian needs </w:t>
      </w:r>
    </w:p>
    <w:p w14:paraId="3563D176" w14:textId="77777777" w:rsidR="0058663F" w:rsidRPr="004F30BD" w:rsidRDefault="00924315" w:rsidP="00A06284">
      <w:pPr>
        <w:pStyle w:val="ListParagraph"/>
        <w:numPr>
          <w:ilvl w:val="0"/>
          <w:numId w:val="15"/>
        </w:numPr>
        <w:spacing w:before="60"/>
        <w:ind w:right="1080"/>
        <w:contextualSpacing w:val="0"/>
      </w:pPr>
      <w:r w:rsidRPr="004F30BD">
        <w:t>Over-reaction to perceived sector threats without cause</w:t>
      </w:r>
      <w:r w:rsidR="00966D6B" w:rsidRPr="004F30BD">
        <w:t xml:space="preserve"> </w:t>
      </w:r>
      <w:r w:rsidRPr="004F30BD">
        <w:t>/ data</w:t>
      </w:r>
      <w:r w:rsidR="0058663F" w:rsidRPr="004F30BD">
        <w:t>.</w:t>
      </w:r>
    </w:p>
    <w:p w14:paraId="516774F5" w14:textId="77777777" w:rsidR="0058663F" w:rsidRPr="004F30BD" w:rsidRDefault="0058663F" w:rsidP="00DA4285">
      <w:r w:rsidRPr="004F30BD">
        <w:t xml:space="preserve">There were quite a few other types of answers to </w:t>
      </w:r>
      <w:r w:rsidR="009B667B" w:rsidRPr="004F30BD">
        <w:t>this question</w:t>
      </w:r>
      <w:r w:rsidRPr="004F30BD">
        <w:t xml:space="preserve"> but were offered by one or two providers, so very little commonality in their themes.</w:t>
      </w:r>
    </w:p>
    <w:p w14:paraId="08FEB3B9" w14:textId="77777777" w:rsidR="002C3094" w:rsidRPr="004F30BD" w:rsidRDefault="002C3094" w:rsidP="002268F6">
      <w:pPr>
        <w:pStyle w:val="Heading3"/>
      </w:pPr>
      <w:r w:rsidRPr="004F30BD">
        <w:t xml:space="preserve">What TEQSA </w:t>
      </w:r>
      <w:r w:rsidR="00A109D9" w:rsidRPr="004F30BD">
        <w:t>should be more</w:t>
      </w:r>
      <w:r w:rsidR="00DA4285" w:rsidRPr="004F30BD">
        <w:t xml:space="preserve"> involved in</w:t>
      </w:r>
    </w:p>
    <w:p w14:paraId="2E417615" w14:textId="77777777" w:rsidR="002C3094" w:rsidRPr="004F30BD" w:rsidRDefault="00F75C93" w:rsidP="00A109D9">
      <w:r w:rsidRPr="004F30BD">
        <w:t xml:space="preserve">A total of </w:t>
      </w:r>
      <w:r w:rsidR="00966D6B" w:rsidRPr="004F30BD">
        <w:t>68</w:t>
      </w:r>
      <w:r w:rsidR="00A109D9" w:rsidRPr="004F30BD">
        <w:t xml:space="preserve"> principal contacts offered valid suggestions about activities that TEQSA </w:t>
      </w:r>
      <w:r w:rsidRPr="004F30BD">
        <w:t>should be more involved in. C</w:t>
      </w:r>
      <w:r w:rsidR="00A109D9" w:rsidRPr="004F30BD">
        <w:t>ommon themes were:</w:t>
      </w:r>
    </w:p>
    <w:p w14:paraId="205BCE1C" w14:textId="77777777" w:rsidR="00DA4285" w:rsidRPr="004F30BD" w:rsidRDefault="00DA4285" w:rsidP="00A06284">
      <w:pPr>
        <w:pStyle w:val="ListParagraph"/>
        <w:numPr>
          <w:ilvl w:val="0"/>
          <w:numId w:val="11"/>
        </w:numPr>
        <w:spacing w:before="60"/>
        <w:ind w:right="1080"/>
        <w:contextualSpacing w:val="0"/>
      </w:pPr>
      <w:r w:rsidRPr="004F30BD">
        <w:t>Nothing</w:t>
      </w:r>
    </w:p>
    <w:p w14:paraId="7CFED0C6" w14:textId="77777777" w:rsidR="00966D6B" w:rsidRPr="004F30BD" w:rsidRDefault="00966D6B" w:rsidP="00A06284">
      <w:pPr>
        <w:pStyle w:val="ListParagraph"/>
        <w:numPr>
          <w:ilvl w:val="0"/>
          <w:numId w:val="11"/>
        </w:numPr>
        <w:spacing w:before="60"/>
        <w:ind w:right="1080"/>
        <w:contextualSpacing w:val="0"/>
      </w:pPr>
      <w:r w:rsidRPr="004F30BD">
        <w:t>Better support for small providers e.g. list of consultants can go to get advice on how better to achieve compliance with rules, regulations, norms and conditions</w:t>
      </w:r>
    </w:p>
    <w:p w14:paraId="569C3C81" w14:textId="77777777" w:rsidR="00966D6B" w:rsidRPr="004F30BD" w:rsidRDefault="00966D6B" w:rsidP="00A06284">
      <w:pPr>
        <w:pStyle w:val="ListParagraph"/>
        <w:numPr>
          <w:ilvl w:val="0"/>
          <w:numId w:val="11"/>
        </w:numPr>
        <w:spacing w:before="60"/>
        <w:ind w:right="1080"/>
        <w:contextualSpacing w:val="0"/>
      </w:pPr>
      <w:r w:rsidRPr="004F30BD">
        <w:t>Support sector innovation / make use of technologies</w:t>
      </w:r>
      <w:r w:rsidR="003B51A9" w:rsidRPr="004F30BD">
        <w:t>, e.g. alternative course delivery</w:t>
      </w:r>
    </w:p>
    <w:p w14:paraId="42CA1560" w14:textId="77777777" w:rsidR="00966D6B" w:rsidRPr="004F30BD" w:rsidRDefault="00966D6B" w:rsidP="00A06284">
      <w:pPr>
        <w:pStyle w:val="ListParagraph"/>
        <w:numPr>
          <w:ilvl w:val="0"/>
          <w:numId w:val="11"/>
        </w:numPr>
        <w:spacing w:before="60"/>
        <w:ind w:right="1080"/>
        <w:contextualSpacing w:val="0"/>
      </w:pPr>
      <w:r w:rsidRPr="004F30BD">
        <w:t>Provide more good practice examples</w:t>
      </w:r>
      <w:r w:rsidR="009C3146" w:rsidRPr="004F30BD">
        <w:t>, including a</w:t>
      </w:r>
      <w:r w:rsidRPr="004F30BD">
        <w:t>dmissions</w:t>
      </w:r>
      <w:r w:rsidR="009C3146" w:rsidRPr="004F30BD">
        <w:t xml:space="preserve">, </w:t>
      </w:r>
      <w:r w:rsidRPr="004F30BD">
        <w:t>meeting threshold</w:t>
      </w:r>
      <w:r w:rsidR="009C3146" w:rsidRPr="004F30BD">
        <w:t xml:space="preserve"> </w:t>
      </w:r>
      <w:r w:rsidRPr="004F30BD">
        <w:t>standards</w:t>
      </w:r>
    </w:p>
    <w:p w14:paraId="5DA2EF05" w14:textId="77777777" w:rsidR="00966D6B" w:rsidRPr="004F30BD" w:rsidRDefault="00966D6B" w:rsidP="00A06284">
      <w:pPr>
        <w:pStyle w:val="ListParagraph"/>
        <w:numPr>
          <w:ilvl w:val="0"/>
          <w:numId w:val="11"/>
        </w:numPr>
        <w:spacing w:before="60"/>
        <w:ind w:right="1080"/>
        <w:contextualSpacing w:val="0"/>
      </w:pPr>
      <w:r w:rsidRPr="004F30BD">
        <w:t>More face to face contact with key staff / engagement / consultation / visits</w:t>
      </w:r>
    </w:p>
    <w:p w14:paraId="4EB88947" w14:textId="2D53AF76" w:rsidR="00966D6B" w:rsidRPr="004F30BD" w:rsidRDefault="00966D6B" w:rsidP="00A06284">
      <w:pPr>
        <w:pStyle w:val="ListParagraph"/>
        <w:numPr>
          <w:ilvl w:val="0"/>
          <w:numId w:val="11"/>
        </w:numPr>
        <w:spacing w:before="60"/>
        <w:ind w:right="1080"/>
        <w:contextualSpacing w:val="0"/>
      </w:pPr>
      <w:r w:rsidRPr="004F30BD">
        <w:lastRenderedPageBreak/>
        <w:t xml:space="preserve">Better understanding of specialist HEPs / increase communications and engagement with </w:t>
      </w:r>
      <w:r w:rsidR="00AB754F">
        <w:t>independent providers</w:t>
      </w:r>
    </w:p>
    <w:p w14:paraId="1877494E" w14:textId="77777777" w:rsidR="00966D6B" w:rsidRPr="004F30BD" w:rsidRDefault="00966D6B" w:rsidP="00A06284">
      <w:pPr>
        <w:pStyle w:val="ListParagraph"/>
        <w:numPr>
          <w:ilvl w:val="0"/>
          <w:numId w:val="11"/>
        </w:numPr>
        <w:spacing w:before="60"/>
        <w:ind w:right="1080"/>
        <w:contextualSpacing w:val="0"/>
      </w:pPr>
      <w:r w:rsidRPr="004F30BD">
        <w:t>Improve level of case management and support available</w:t>
      </w:r>
    </w:p>
    <w:p w14:paraId="3343E704" w14:textId="77777777" w:rsidR="00966D6B" w:rsidRPr="004F30BD" w:rsidRDefault="00A84F1D" w:rsidP="00A06284">
      <w:pPr>
        <w:pStyle w:val="ListParagraph"/>
        <w:numPr>
          <w:ilvl w:val="0"/>
          <w:numId w:val="11"/>
        </w:numPr>
        <w:spacing w:before="60"/>
        <w:ind w:right="1080"/>
        <w:contextualSpacing w:val="0"/>
      </w:pPr>
      <w:r w:rsidRPr="004F30BD">
        <w:t>Be m</w:t>
      </w:r>
      <w:r w:rsidR="00966D6B" w:rsidRPr="004F30BD">
        <w:t>ore proactive in promoting TEQSA’s role both here and overseas</w:t>
      </w:r>
    </w:p>
    <w:p w14:paraId="4F024856" w14:textId="77777777" w:rsidR="00966D6B" w:rsidRPr="004F30BD" w:rsidRDefault="00966D6B" w:rsidP="00A06284">
      <w:pPr>
        <w:pStyle w:val="ListParagraph"/>
        <w:numPr>
          <w:ilvl w:val="0"/>
          <w:numId w:val="11"/>
        </w:numPr>
        <w:spacing w:before="60"/>
        <w:ind w:right="1080"/>
        <w:contextualSpacing w:val="0"/>
      </w:pPr>
      <w:r w:rsidRPr="004F30BD">
        <w:t xml:space="preserve">Help build </w:t>
      </w:r>
      <w:r w:rsidR="003B51A9" w:rsidRPr="004F30BD">
        <w:t xml:space="preserve">support </w:t>
      </w:r>
      <w:r w:rsidRPr="004F30BD">
        <w:t>processes / best practice to drive quality education</w:t>
      </w:r>
    </w:p>
    <w:p w14:paraId="259DFAD0" w14:textId="77777777" w:rsidR="00F75C93" w:rsidRPr="004F30BD" w:rsidRDefault="00F75C93" w:rsidP="00A06284">
      <w:pPr>
        <w:pStyle w:val="ListParagraph"/>
        <w:numPr>
          <w:ilvl w:val="0"/>
          <w:numId w:val="11"/>
        </w:numPr>
        <w:spacing w:before="60"/>
        <w:ind w:right="1080"/>
        <w:contextualSpacing w:val="0"/>
      </w:pPr>
      <w:r w:rsidRPr="004F30BD">
        <w:t>A</w:t>
      </w:r>
      <w:r w:rsidR="00966D6B" w:rsidRPr="004F30BD">
        <w:t>ddress a</w:t>
      </w:r>
      <w:r w:rsidRPr="004F30BD">
        <w:t>cademic integrity, particularly contract cheating.</w:t>
      </w:r>
    </w:p>
    <w:p w14:paraId="38ABC2CC" w14:textId="77777777" w:rsidR="00FF4DBF" w:rsidRPr="004F30BD" w:rsidRDefault="00FF4DBF" w:rsidP="002268F6">
      <w:pPr>
        <w:pStyle w:val="Heading2"/>
      </w:pPr>
      <w:bookmarkStart w:id="31" w:name="_Toc22298033"/>
      <w:r w:rsidRPr="004F30BD">
        <w:t>VC / CEO comments</w:t>
      </w:r>
      <w:bookmarkEnd w:id="31"/>
    </w:p>
    <w:p w14:paraId="305CDFA8" w14:textId="77777777" w:rsidR="00063A20" w:rsidRPr="004F30BD" w:rsidRDefault="00063A20" w:rsidP="00A109D9">
      <w:r w:rsidRPr="004F30BD">
        <w:t xml:space="preserve">To ensure that TEQSA could still give VC / CEOs the opportunity to make personal comments about TEQSA’s performance in the last 12 months, a separate section </w:t>
      </w:r>
      <w:r w:rsidR="0059178B" w:rsidRPr="004F30BD">
        <w:t>has been</w:t>
      </w:r>
      <w:r w:rsidRPr="004F30BD">
        <w:t xml:space="preserve"> included in the PC survey. All participants were aware of this section / opportunity before answering.</w:t>
      </w:r>
    </w:p>
    <w:p w14:paraId="75FCF7CF" w14:textId="77777777" w:rsidR="00DA4285" w:rsidRPr="004F30BD" w:rsidRDefault="0059178B" w:rsidP="00A109D9">
      <w:r w:rsidRPr="004F30BD">
        <w:t xml:space="preserve">The common themes from the </w:t>
      </w:r>
      <w:r w:rsidR="00562BAE" w:rsidRPr="004F30BD">
        <w:t>54</w:t>
      </w:r>
      <w:r w:rsidR="00757F3D" w:rsidRPr="004F30BD">
        <w:t xml:space="preserve"> </w:t>
      </w:r>
      <w:r w:rsidRPr="004F30BD">
        <w:t xml:space="preserve">valid </w:t>
      </w:r>
      <w:r w:rsidR="00757F3D" w:rsidRPr="004F30BD">
        <w:t xml:space="preserve">suggestions </w:t>
      </w:r>
      <w:r w:rsidRPr="004F30BD">
        <w:t xml:space="preserve">offered </w:t>
      </w:r>
      <w:r w:rsidR="00757F3D" w:rsidRPr="004F30BD">
        <w:t>within the VC / CEO question were:</w:t>
      </w:r>
    </w:p>
    <w:p w14:paraId="04BBC0DB" w14:textId="77777777" w:rsidR="00381D3F" w:rsidRPr="004F30BD" w:rsidRDefault="00757F3D" w:rsidP="00A06284">
      <w:pPr>
        <w:pStyle w:val="ListParagraph"/>
        <w:numPr>
          <w:ilvl w:val="0"/>
          <w:numId w:val="16"/>
        </w:numPr>
      </w:pPr>
      <w:r w:rsidRPr="004F30BD">
        <w:t>Positive comments around the</w:t>
      </w:r>
      <w:r w:rsidR="00381D3F" w:rsidRPr="004F30BD">
        <w:t>:</w:t>
      </w:r>
      <w:r w:rsidRPr="004F30BD">
        <w:t xml:space="preserve"> </w:t>
      </w:r>
    </w:p>
    <w:p w14:paraId="31E24064" w14:textId="77777777" w:rsidR="00381D3F" w:rsidRPr="004F30BD" w:rsidRDefault="00381D3F" w:rsidP="00A06284">
      <w:pPr>
        <w:pStyle w:val="ListParagraph"/>
        <w:numPr>
          <w:ilvl w:val="1"/>
          <w:numId w:val="16"/>
        </w:numPr>
        <w:spacing w:before="60"/>
        <w:ind w:right="1080"/>
        <w:contextualSpacing w:val="0"/>
      </w:pPr>
      <w:r w:rsidRPr="004F30BD">
        <w:t>V</w:t>
      </w:r>
      <w:r w:rsidR="00757F3D" w:rsidRPr="004F30BD">
        <w:t xml:space="preserve">alue of TEQSA, its </w:t>
      </w:r>
      <w:r w:rsidR="00922260" w:rsidRPr="004F30BD">
        <w:t>activities and approach</w:t>
      </w:r>
    </w:p>
    <w:p w14:paraId="4FCD03F5" w14:textId="77777777" w:rsidR="00757F3D" w:rsidRPr="004F30BD" w:rsidRDefault="003B51A9" w:rsidP="00A06284">
      <w:pPr>
        <w:pStyle w:val="ListParagraph"/>
        <w:numPr>
          <w:ilvl w:val="1"/>
          <w:numId w:val="16"/>
        </w:numPr>
        <w:spacing w:before="60"/>
        <w:ind w:right="1080"/>
        <w:contextualSpacing w:val="0"/>
      </w:pPr>
      <w:r w:rsidRPr="004F30BD">
        <w:t>Level of support provided</w:t>
      </w:r>
      <w:r w:rsidR="00381D3F" w:rsidRPr="004F30BD">
        <w:t xml:space="preserve"> and responsiveness of </w:t>
      </w:r>
      <w:r w:rsidR="00E564F5" w:rsidRPr="004F30BD">
        <w:t>case managers</w:t>
      </w:r>
    </w:p>
    <w:p w14:paraId="071DC0B9" w14:textId="77777777" w:rsidR="00381D3F" w:rsidRPr="004F30BD" w:rsidRDefault="00381D3F" w:rsidP="00A06284">
      <w:pPr>
        <w:pStyle w:val="ListParagraph"/>
        <w:numPr>
          <w:ilvl w:val="1"/>
          <w:numId w:val="16"/>
        </w:numPr>
        <w:spacing w:before="60"/>
        <w:ind w:right="1080"/>
        <w:contextualSpacing w:val="0"/>
      </w:pPr>
      <w:r w:rsidRPr="004F30BD">
        <w:t xml:space="preserve">Advice </w:t>
      </w:r>
      <w:r w:rsidR="003B51A9" w:rsidRPr="004F30BD">
        <w:t xml:space="preserve">provided </w:t>
      </w:r>
      <w:r w:rsidRPr="004F30BD">
        <w:t>to improve governance / policies protecting students and provider</w:t>
      </w:r>
    </w:p>
    <w:p w14:paraId="1B773035" w14:textId="77777777" w:rsidR="00381D3F" w:rsidRPr="004F30BD" w:rsidRDefault="00381D3F" w:rsidP="00A06284">
      <w:pPr>
        <w:pStyle w:val="ListParagraph"/>
        <w:numPr>
          <w:ilvl w:val="1"/>
          <w:numId w:val="16"/>
        </w:numPr>
        <w:spacing w:before="60"/>
        <w:ind w:right="1080"/>
        <w:contextualSpacing w:val="0"/>
      </w:pPr>
      <w:r w:rsidRPr="004F30BD">
        <w:t>Willingness to listen and engage</w:t>
      </w:r>
      <w:r w:rsidR="00A84F1D" w:rsidRPr="004F30BD">
        <w:t xml:space="preserve">, offer </w:t>
      </w:r>
      <w:r w:rsidRPr="004F30BD">
        <w:t>constructive advice and guidance</w:t>
      </w:r>
      <w:r w:rsidR="003B51A9" w:rsidRPr="004F30BD">
        <w:t>, r</w:t>
      </w:r>
      <w:r w:rsidRPr="004F30BD">
        <w:t>esponsiveness to questions</w:t>
      </w:r>
    </w:p>
    <w:p w14:paraId="4681212B" w14:textId="77777777" w:rsidR="00381D3F" w:rsidRPr="004F30BD" w:rsidRDefault="00381D3F" w:rsidP="00A06284">
      <w:pPr>
        <w:pStyle w:val="ListParagraph"/>
        <w:numPr>
          <w:ilvl w:val="1"/>
          <w:numId w:val="16"/>
        </w:numPr>
        <w:spacing w:before="60"/>
        <w:ind w:right="1080"/>
        <w:contextualSpacing w:val="0"/>
      </w:pPr>
      <w:r w:rsidRPr="004F30BD">
        <w:t>Help and assistance provided to new entrants.</w:t>
      </w:r>
    </w:p>
    <w:p w14:paraId="62E24623" w14:textId="77777777" w:rsidR="00381D3F" w:rsidRPr="004F30BD" w:rsidRDefault="00381D3F" w:rsidP="00A06284">
      <w:pPr>
        <w:pStyle w:val="ListParagraph"/>
        <w:numPr>
          <w:ilvl w:val="0"/>
          <w:numId w:val="16"/>
        </w:numPr>
      </w:pPr>
      <w:r w:rsidRPr="004F30BD">
        <w:t xml:space="preserve">While improvements over the last 12 months have been noted, </w:t>
      </w:r>
      <w:r w:rsidR="003B51A9" w:rsidRPr="004F30BD">
        <w:t xml:space="preserve">further </w:t>
      </w:r>
      <w:r w:rsidRPr="004F30BD">
        <w:t xml:space="preserve">opportunities to improve </w:t>
      </w:r>
      <w:r w:rsidR="003B51A9" w:rsidRPr="004F30BD">
        <w:t>that were mentioned included</w:t>
      </w:r>
      <w:r w:rsidRPr="004F30BD">
        <w:t>:</w:t>
      </w:r>
    </w:p>
    <w:p w14:paraId="1DA98C8D" w14:textId="77777777" w:rsidR="00E564F5" w:rsidRPr="004F30BD" w:rsidRDefault="003B51A9" w:rsidP="00A06284">
      <w:pPr>
        <w:pStyle w:val="ListParagraph"/>
        <w:numPr>
          <w:ilvl w:val="1"/>
          <w:numId w:val="16"/>
        </w:numPr>
        <w:spacing w:before="60"/>
        <w:ind w:right="1080"/>
        <w:contextualSpacing w:val="0"/>
      </w:pPr>
      <w:r w:rsidRPr="004F30BD">
        <w:t>Improve t</w:t>
      </w:r>
      <w:r w:rsidR="00E564F5" w:rsidRPr="004F30BD">
        <w:t xml:space="preserve">imeliness </w:t>
      </w:r>
      <w:r w:rsidR="00A84F1D" w:rsidRPr="004F30BD">
        <w:t>of response</w:t>
      </w:r>
      <w:r w:rsidR="00E564F5" w:rsidRPr="004F30BD">
        <w:t xml:space="preserve"> / delays to CRICOS </w:t>
      </w:r>
      <w:r w:rsidR="00381D3F" w:rsidRPr="004F30BD">
        <w:t>and</w:t>
      </w:r>
      <w:r w:rsidR="00E564F5" w:rsidRPr="004F30BD">
        <w:t xml:space="preserve"> accreditation </w:t>
      </w:r>
      <w:r w:rsidR="00381D3F" w:rsidRPr="004F30BD">
        <w:t xml:space="preserve">having </w:t>
      </w:r>
      <w:r w:rsidR="00E564F5" w:rsidRPr="004F30BD">
        <w:t xml:space="preserve">negative impact </w:t>
      </w:r>
      <w:r w:rsidRPr="004F30BD">
        <w:t xml:space="preserve">on provider operations </w:t>
      </w:r>
    </w:p>
    <w:p w14:paraId="0C81BCEA" w14:textId="77777777" w:rsidR="00A84F1D" w:rsidRPr="004F30BD" w:rsidRDefault="00A84F1D" w:rsidP="00A06284">
      <w:pPr>
        <w:pStyle w:val="ListParagraph"/>
        <w:numPr>
          <w:ilvl w:val="1"/>
          <w:numId w:val="16"/>
        </w:numPr>
        <w:spacing w:before="60"/>
        <w:ind w:right="1080"/>
        <w:contextualSpacing w:val="0"/>
      </w:pPr>
      <w:r w:rsidRPr="004F30BD">
        <w:t xml:space="preserve">Ensure </w:t>
      </w:r>
      <w:r w:rsidR="003B51A9" w:rsidRPr="004F30BD">
        <w:t xml:space="preserve">availability of </w:t>
      </w:r>
      <w:r w:rsidRPr="004F30BD">
        <w:t>sufficient staff to process requests promptly</w:t>
      </w:r>
    </w:p>
    <w:p w14:paraId="68391F9E" w14:textId="77777777" w:rsidR="00E564F5" w:rsidRPr="004F30BD" w:rsidRDefault="00E564F5" w:rsidP="00A06284">
      <w:pPr>
        <w:pStyle w:val="ListParagraph"/>
        <w:numPr>
          <w:ilvl w:val="1"/>
          <w:numId w:val="16"/>
        </w:numPr>
        <w:spacing w:before="60"/>
        <w:ind w:right="1080"/>
        <w:contextualSpacing w:val="0"/>
      </w:pPr>
      <w:r w:rsidRPr="004F30BD">
        <w:t>Address staff turnover</w:t>
      </w:r>
      <w:r w:rsidR="00381D3F" w:rsidRPr="004F30BD">
        <w:t xml:space="preserve"> / lack of consiste</w:t>
      </w:r>
      <w:r w:rsidR="003B51A9" w:rsidRPr="004F30BD">
        <w:t>ncy</w:t>
      </w:r>
    </w:p>
    <w:p w14:paraId="727EDC98" w14:textId="77777777" w:rsidR="00E564F5" w:rsidRPr="004F30BD" w:rsidRDefault="00E564F5" w:rsidP="00A06284">
      <w:pPr>
        <w:pStyle w:val="ListParagraph"/>
        <w:numPr>
          <w:ilvl w:val="1"/>
          <w:numId w:val="16"/>
        </w:numPr>
        <w:spacing w:before="60"/>
        <w:ind w:right="1080"/>
        <w:contextualSpacing w:val="0"/>
      </w:pPr>
      <w:r w:rsidRPr="004F30BD">
        <w:t>Be more transparent, proactive</w:t>
      </w:r>
      <w:r w:rsidR="00586D7A" w:rsidRPr="004F30BD">
        <w:t>,</w:t>
      </w:r>
      <w:r w:rsidR="009C3146" w:rsidRPr="004F30BD">
        <w:t xml:space="preserve"> cooperative, flexible,</w:t>
      </w:r>
      <w:r w:rsidR="00586D7A" w:rsidRPr="004F30BD">
        <w:t xml:space="preserve"> </w:t>
      </w:r>
      <w:r w:rsidRPr="004F30BD">
        <w:t>forward thinking in dealing with the private sector</w:t>
      </w:r>
      <w:r w:rsidR="00381D3F" w:rsidRPr="004F30BD">
        <w:t>:</w:t>
      </w:r>
    </w:p>
    <w:p w14:paraId="07E19827" w14:textId="77777777" w:rsidR="00E564F5" w:rsidRPr="004F30BD" w:rsidRDefault="009C3146" w:rsidP="00A06284">
      <w:pPr>
        <w:pStyle w:val="ListParagraph"/>
        <w:numPr>
          <w:ilvl w:val="1"/>
          <w:numId w:val="16"/>
        </w:numPr>
        <w:spacing w:before="60"/>
        <w:ind w:right="1080"/>
        <w:contextualSpacing w:val="0"/>
      </w:pPr>
      <w:r w:rsidRPr="004F30BD">
        <w:t>D</w:t>
      </w:r>
      <w:r w:rsidR="003B51A9" w:rsidRPr="004F30BD">
        <w:t>o</w:t>
      </w:r>
      <w:r w:rsidR="00E564F5" w:rsidRPr="004F30BD">
        <w:t xml:space="preserve"> more to simplify the </w:t>
      </w:r>
      <w:r w:rsidRPr="004F30BD">
        <w:t>regulation</w:t>
      </w:r>
      <w:r w:rsidR="003B51A9" w:rsidRPr="004F30BD">
        <w:t xml:space="preserve"> and</w:t>
      </w:r>
      <w:r w:rsidR="00E564F5" w:rsidRPr="004F30BD">
        <w:t xml:space="preserve"> reduce compliance burden</w:t>
      </w:r>
    </w:p>
    <w:p w14:paraId="7496B70E" w14:textId="77777777" w:rsidR="00E564F5" w:rsidRPr="004F30BD" w:rsidRDefault="003B51A9" w:rsidP="00A06284">
      <w:pPr>
        <w:pStyle w:val="ListParagraph"/>
        <w:numPr>
          <w:ilvl w:val="1"/>
          <w:numId w:val="16"/>
        </w:numPr>
        <w:spacing w:before="60"/>
        <w:ind w:right="1080"/>
        <w:contextualSpacing w:val="0"/>
      </w:pPr>
      <w:r w:rsidRPr="004F30BD">
        <w:t>Do</w:t>
      </w:r>
      <w:r w:rsidR="00E564F5" w:rsidRPr="004F30BD">
        <w:t xml:space="preserve"> more to encourage innovation and appropriate risk-taking</w:t>
      </w:r>
    </w:p>
    <w:p w14:paraId="54F97857" w14:textId="77777777" w:rsidR="00E564F5" w:rsidRPr="004F30BD" w:rsidRDefault="00E564F5" w:rsidP="00A06284">
      <w:pPr>
        <w:pStyle w:val="ListParagraph"/>
        <w:numPr>
          <w:ilvl w:val="1"/>
          <w:numId w:val="16"/>
        </w:numPr>
        <w:spacing w:before="60"/>
        <w:ind w:right="1080"/>
        <w:contextualSpacing w:val="0"/>
      </w:pPr>
      <w:r w:rsidRPr="004F30BD">
        <w:t>Be</w:t>
      </w:r>
      <w:r w:rsidR="003B51A9" w:rsidRPr="004F30BD">
        <w:t xml:space="preserve"> </w:t>
      </w:r>
      <w:r w:rsidRPr="004F30BD">
        <w:t>more transparent about re</w:t>
      </w:r>
      <w:r w:rsidR="003B51A9" w:rsidRPr="004F30BD">
        <w:t>/</w:t>
      </w:r>
      <w:r w:rsidRPr="004F30BD">
        <w:t>registration</w:t>
      </w:r>
      <w:r w:rsidR="00381D3F" w:rsidRPr="004F30BD">
        <w:t xml:space="preserve"> / compliance.</w:t>
      </w:r>
    </w:p>
    <w:p w14:paraId="018A7CF2" w14:textId="77777777" w:rsidR="00DA4285" w:rsidRPr="004F30BD" w:rsidRDefault="00DA4285" w:rsidP="002268F6">
      <w:pPr>
        <w:spacing w:before="240"/>
      </w:pPr>
      <w:r w:rsidRPr="004F30BD">
        <w:t xml:space="preserve">Again, so as not to lose the value of individual and </w:t>
      </w:r>
      <w:r w:rsidR="00922260" w:rsidRPr="004F30BD">
        <w:t>detailed comments</w:t>
      </w:r>
      <w:r w:rsidRPr="004F30BD">
        <w:t xml:space="preserve">, </w:t>
      </w:r>
      <w:r w:rsidR="00063A20" w:rsidRPr="004F30BD">
        <w:t>ASR</w:t>
      </w:r>
      <w:r w:rsidRPr="004F30BD">
        <w:t xml:space="preserve"> strongly recommend</w:t>
      </w:r>
      <w:r w:rsidR="00063A20" w:rsidRPr="004F30BD">
        <w:t>s</w:t>
      </w:r>
      <w:r w:rsidRPr="004F30BD">
        <w:t xml:space="preserve"> that </w:t>
      </w:r>
      <w:r w:rsidR="00063A20" w:rsidRPr="004F30BD">
        <w:t xml:space="preserve">relevant TEQSA staff read the </w:t>
      </w:r>
      <w:r w:rsidRPr="004F30BD">
        <w:t>de-identified verbatim comments</w:t>
      </w:r>
      <w:r w:rsidR="00063A20" w:rsidRPr="004F30BD">
        <w:t xml:space="preserve"> from this survey</w:t>
      </w:r>
      <w:r w:rsidRPr="004F30BD">
        <w:t>.</w:t>
      </w:r>
    </w:p>
    <w:p w14:paraId="38E81380" w14:textId="77777777" w:rsidR="004E5AFB" w:rsidRPr="004F30BD" w:rsidRDefault="004E5AFB">
      <w:pPr>
        <w:spacing w:before="0" w:line="240" w:lineRule="auto"/>
        <w:ind w:right="0"/>
        <w:rPr>
          <w:rFonts w:ascii="Trebuchet MS" w:hAnsi="Trebuchet MS"/>
          <w:color w:val="00376E"/>
          <w:kern w:val="32"/>
          <w:sz w:val="36"/>
        </w:rPr>
      </w:pPr>
      <w:bookmarkStart w:id="32" w:name="_Toc430080006"/>
      <w:r w:rsidRPr="004F30BD">
        <w:br w:type="page"/>
      </w:r>
    </w:p>
    <w:p w14:paraId="3A40E932" w14:textId="77777777" w:rsidR="002546E8" w:rsidRPr="004F30BD" w:rsidRDefault="008A5E67" w:rsidP="00361C44">
      <w:pPr>
        <w:pStyle w:val="Heading1"/>
      </w:pPr>
      <w:bookmarkStart w:id="33" w:name="_Toc22298034"/>
      <w:r w:rsidRPr="004F30BD">
        <w:lastRenderedPageBreak/>
        <w:t>Principal contact year</w:t>
      </w:r>
      <w:r w:rsidR="00361C44" w:rsidRPr="004F30BD">
        <w:t xml:space="preserve"> comparison</w:t>
      </w:r>
      <w:bookmarkEnd w:id="33"/>
    </w:p>
    <w:p w14:paraId="673F0458" w14:textId="62FABA8B" w:rsidR="00104F44" w:rsidRPr="004F30BD" w:rsidRDefault="008A5E67" w:rsidP="00A03CA2">
      <w:r w:rsidRPr="004F30BD">
        <w:t>For this year’s principal contact survey</w:t>
      </w:r>
      <w:r w:rsidR="00B067BB" w:rsidRPr="004F30BD">
        <w:t xml:space="preserve">, </w:t>
      </w:r>
      <w:r w:rsidR="00104F44" w:rsidRPr="004F30BD">
        <w:t>some questions were added, some deleted and some edited</w:t>
      </w:r>
      <w:r w:rsidRPr="004F30BD">
        <w:t xml:space="preserve">, as noted previously. With previous years’ survey </w:t>
      </w:r>
      <w:r w:rsidR="00104F44" w:rsidRPr="004F30BD">
        <w:t xml:space="preserve">results, </w:t>
      </w:r>
      <w:r w:rsidR="00725EED">
        <w:t>a</w:t>
      </w:r>
      <w:r w:rsidR="00B257C5">
        <w:t xml:space="preserve"> </w:t>
      </w:r>
      <w:r w:rsidR="00104F44" w:rsidRPr="004F30BD">
        <w:t>KPI average score w</w:t>
      </w:r>
      <w:r w:rsidR="00B257C5">
        <w:t>as</w:t>
      </w:r>
      <w:r w:rsidR="00104F44" w:rsidRPr="004F30BD">
        <w:t xml:space="preserve"> generated from a number of individual items related to each KPI. In 2019, a single question was asked about each KPI. The previous year’</w:t>
      </w:r>
      <w:r w:rsidR="00050102" w:rsidRPr="004F30BD">
        <w:t>s</w:t>
      </w:r>
      <w:r w:rsidR="00104F44" w:rsidRPr="004F30BD">
        <w:t xml:space="preserve"> KPI scores </w:t>
      </w:r>
      <w:r w:rsidRPr="004F30BD">
        <w:t>were</w:t>
      </w:r>
      <w:r w:rsidR="00104F44" w:rsidRPr="004F30BD">
        <w:t xml:space="preserve"> based on an average.</w:t>
      </w:r>
      <w:r w:rsidRPr="004F30BD">
        <w:t xml:space="preserve"> Because of the difference in calculation method, significance difference testing has not been conducted on the KPI items.</w:t>
      </w:r>
    </w:p>
    <w:p w14:paraId="7796945C" w14:textId="77777777" w:rsidR="00104F44" w:rsidRPr="004F30BD" w:rsidRDefault="00104F44" w:rsidP="00A03CA2">
      <w:r w:rsidRPr="004F30BD">
        <w:t xml:space="preserve">Apart from the KPI questions, only those questions that were considered equivalent between periods were compared, so </w:t>
      </w:r>
      <w:r w:rsidR="008A5E67" w:rsidRPr="004F30BD">
        <w:t>the comparative</w:t>
      </w:r>
      <w:r w:rsidRPr="004F30BD">
        <w:t xml:space="preserve"> table</w:t>
      </w:r>
      <w:r w:rsidR="008A5E67" w:rsidRPr="004F30BD">
        <w:t xml:space="preserve"> below</w:t>
      </w:r>
      <w:r w:rsidRPr="004F30BD">
        <w:t xml:space="preserve"> does not include all survey items. Only two items in 2019 were statistically significantly different between 2019 and 2018</w:t>
      </w:r>
      <w:r w:rsidR="008A5E67" w:rsidRPr="004F30BD">
        <w:t>—one higher than the previous year and one lower. The table is presented by topic.</w:t>
      </w:r>
    </w:p>
    <w:p w14:paraId="66C678F1" w14:textId="5AF76992" w:rsidR="00050102" w:rsidRPr="004F30BD" w:rsidRDefault="00050102" w:rsidP="00050102">
      <w:r w:rsidRPr="004F30BD">
        <w:t>IMPORTANT NOTE: The percentage change between years must be read with the survey’s confidence interval (±5.2%) in mind. This plus / minus percentage is the margin of error in this year’s survey. All measuring processes, irrespective of how the measuring is conducted, have a margin of error. It means that any change within this margin could be considered a measuring error. If exactly the same survey was run again with the same people, scores could realistically change within this interval and still be considered an accurate or true result.</w:t>
      </w:r>
    </w:p>
    <w:p w14:paraId="671AA890" w14:textId="77777777" w:rsidR="00050102" w:rsidRPr="004F30BD" w:rsidRDefault="00050102" w:rsidP="00050102">
      <w:pPr>
        <w:spacing w:after="120"/>
        <w:rPr>
          <w:i/>
        </w:rPr>
      </w:pPr>
      <w:r w:rsidRPr="004F30BD">
        <w:rPr>
          <w:i/>
        </w:rPr>
        <w:t xml:space="preserve">Statistically significantly different (p&lt;0.05) results between 2019 and 2018 highlighted </w:t>
      </w:r>
      <w:r w:rsidRPr="004F30BD">
        <w:rPr>
          <w:i/>
          <w:highlight w:val="yellow"/>
        </w:rPr>
        <w:t>in yellow</w:t>
      </w:r>
      <w:r w:rsidRPr="004F30BD">
        <w:rPr>
          <w:i/>
        </w:rPr>
        <w:t xml:space="preserve">. </w:t>
      </w:r>
    </w:p>
    <w:tbl>
      <w:tblPr>
        <w:tblW w:w="8640" w:type="dxa"/>
        <w:tblCellMar>
          <w:left w:w="0" w:type="dxa"/>
          <w:right w:w="0" w:type="dxa"/>
        </w:tblCellMar>
        <w:tblLook w:val="04A0" w:firstRow="1" w:lastRow="0" w:firstColumn="1" w:lastColumn="0" w:noHBand="0" w:noVBand="1"/>
      </w:tblPr>
      <w:tblGrid>
        <w:gridCol w:w="4680"/>
        <w:gridCol w:w="990"/>
        <w:gridCol w:w="990"/>
        <w:gridCol w:w="990"/>
        <w:gridCol w:w="990"/>
      </w:tblGrid>
      <w:tr w:rsidR="00D32A97" w:rsidRPr="004F30BD" w14:paraId="0C1C7CEA" w14:textId="77777777" w:rsidTr="00C269B9">
        <w:trPr>
          <w:divId w:val="692800237"/>
          <w:trHeight w:val="614"/>
          <w:tblHeader/>
        </w:trPr>
        <w:tc>
          <w:tcPr>
            <w:tcW w:w="4680" w:type="dxa"/>
            <w:tcBorders>
              <w:top w:val="nil"/>
              <w:left w:val="nil"/>
              <w:bottom w:val="nil"/>
              <w:right w:val="nil"/>
            </w:tcBorders>
            <w:shd w:val="clear" w:color="auto" w:fill="00386E"/>
            <w:tcMar>
              <w:top w:w="15" w:type="dxa"/>
              <w:left w:w="15" w:type="dxa"/>
              <w:bottom w:w="0" w:type="dxa"/>
              <w:right w:w="15" w:type="dxa"/>
            </w:tcMar>
            <w:vAlign w:val="center"/>
            <w:hideMark/>
          </w:tcPr>
          <w:p w14:paraId="04C1958D" w14:textId="77777777" w:rsidR="00D32A97" w:rsidRPr="004F30BD" w:rsidRDefault="00D32A97" w:rsidP="008A5E67">
            <w:pPr>
              <w:spacing w:before="40" w:after="40" w:line="240" w:lineRule="auto"/>
              <w:ind w:right="0"/>
              <w:rPr>
                <w:rFonts w:eastAsia="Times New Roman" w:cs="Calibri"/>
                <w:color w:val="FFFFFF"/>
                <w:szCs w:val="18"/>
                <w:lang w:eastAsia="en-AU"/>
              </w:rPr>
            </w:pPr>
            <w:r w:rsidRPr="004F30BD">
              <w:rPr>
                <w:rFonts w:eastAsia="Times New Roman" w:cs="Calibri"/>
                <w:color w:val="FFFFFF"/>
                <w:szCs w:val="18"/>
                <w:lang w:eastAsia="en-AU"/>
              </w:rPr>
              <w:t>TOPIC / ITEM</w:t>
            </w:r>
          </w:p>
        </w:tc>
        <w:tc>
          <w:tcPr>
            <w:tcW w:w="990" w:type="dxa"/>
            <w:tcBorders>
              <w:top w:val="nil"/>
              <w:left w:val="nil"/>
              <w:bottom w:val="nil"/>
              <w:right w:val="nil"/>
            </w:tcBorders>
            <w:shd w:val="clear" w:color="auto" w:fill="00386E"/>
            <w:tcMar>
              <w:top w:w="15" w:type="dxa"/>
              <w:left w:w="15" w:type="dxa"/>
              <w:bottom w:w="0" w:type="dxa"/>
              <w:right w:w="15" w:type="dxa"/>
            </w:tcMar>
            <w:vAlign w:val="center"/>
            <w:hideMark/>
          </w:tcPr>
          <w:p w14:paraId="1192F1A8" w14:textId="77777777" w:rsidR="00D32A97" w:rsidRPr="004F30BD" w:rsidRDefault="00D32A97" w:rsidP="008A5E67">
            <w:pPr>
              <w:spacing w:before="40" w:after="40" w:line="240" w:lineRule="auto"/>
              <w:ind w:right="0"/>
              <w:jc w:val="center"/>
              <w:rPr>
                <w:rFonts w:eastAsia="Times New Roman" w:cs="Calibri"/>
                <w:color w:val="FFFFFF"/>
                <w:szCs w:val="18"/>
                <w:lang w:eastAsia="en-AU"/>
              </w:rPr>
            </w:pPr>
            <w:r w:rsidRPr="004F30BD">
              <w:rPr>
                <w:rFonts w:eastAsia="Times New Roman" w:cs="Calibri"/>
                <w:color w:val="FFFFFF"/>
                <w:szCs w:val="18"/>
                <w:lang w:eastAsia="en-AU"/>
              </w:rPr>
              <w:t xml:space="preserve">2019 </w:t>
            </w:r>
            <w:r w:rsidRPr="004F30BD">
              <w:rPr>
                <w:rFonts w:eastAsia="Times New Roman" w:cs="Calibri"/>
                <w:color w:val="FFFFFF"/>
                <w:szCs w:val="18"/>
                <w:lang w:eastAsia="en-AU"/>
              </w:rPr>
              <w:br/>
              <w:t>n</w:t>
            </w:r>
          </w:p>
        </w:tc>
        <w:tc>
          <w:tcPr>
            <w:tcW w:w="990" w:type="dxa"/>
            <w:tcBorders>
              <w:top w:val="nil"/>
              <w:left w:val="nil"/>
              <w:bottom w:val="nil"/>
              <w:right w:val="nil"/>
            </w:tcBorders>
            <w:shd w:val="clear" w:color="auto" w:fill="00386E"/>
            <w:tcMar>
              <w:top w:w="15" w:type="dxa"/>
              <w:left w:w="15" w:type="dxa"/>
              <w:bottom w:w="0" w:type="dxa"/>
              <w:right w:w="15" w:type="dxa"/>
            </w:tcMar>
            <w:vAlign w:val="center"/>
            <w:hideMark/>
          </w:tcPr>
          <w:p w14:paraId="4D4D6CAF" w14:textId="77777777" w:rsidR="00D32A97" w:rsidRPr="004F30BD" w:rsidRDefault="00D32A97" w:rsidP="008A5E67">
            <w:pPr>
              <w:spacing w:before="40" w:after="40" w:line="240" w:lineRule="auto"/>
              <w:ind w:right="0"/>
              <w:jc w:val="center"/>
              <w:rPr>
                <w:rFonts w:eastAsia="Times New Roman" w:cs="Calibri"/>
                <w:color w:val="FFFFFF"/>
                <w:szCs w:val="18"/>
                <w:lang w:eastAsia="en-AU"/>
              </w:rPr>
            </w:pPr>
            <w:r w:rsidRPr="004F30BD">
              <w:rPr>
                <w:rFonts w:eastAsia="Times New Roman" w:cs="Calibri"/>
                <w:color w:val="FFFFFF"/>
                <w:szCs w:val="18"/>
                <w:lang w:eastAsia="en-AU"/>
              </w:rPr>
              <w:t xml:space="preserve">2019 </w:t>
            </w:r>
            <w:r w:rsidRPr="004F30BD">
              <w:rPr>
                <w:rFonts w:eastAsia="Times New Roman" w:cs="Calibri"/>
                <w:color w:val="FFFFFF"/>
                <w:szCs w:val="18"/>
                <w:lang w:eastAsia="en-AU"/>
              </w:rPr>
              <w:br/>
            </w:r>
            <w:r w:rsidR="00670410" w:rsidRPr="004F30BD">
              <w:rPr>
                <w:rFonts w:eastAsia="Times New Roman" w:cs="Calibri"/>
                <w:color w:val="FFFFFF"/>
                <w:szCs w:val="18"/>
                <w:lang w:eastAsia="en-AU"/>
              </w:rPr>
              <w:t>Top 2</w:t>
            </w:r>
            <w:r w:rsidR="00670410" w:rsidRPr="004F30BD">
              <w:rPr>
                <w:rFonts w:eastAsia="Times New Roman" w:cs="Calibri"/>
                <w:color w:val="FFFFFF"/>
                <w:szCs w:val="18"/>
                <w:lang w:eastAsia="en-AU"/>
              </w:rPr>
              <w:br/>
              <w:t>score</w:t>
            </w:r>
          </w:p>
        </w:tc>
        <w:tc>
          <w:tcPr>
            <w:tcW w:w="990" w:type="dxa"/>
            <w:tcBorders>
              <w:top w:val="nil"/>
              <w:left w:val="nil"/>
              <w:bottom w:val="nil"/>
              <w:right w:val="nil"/>
            </w:tcBorders>
            <w:shd w:val="clear" w:color="auto" w:fill="00386E"/>
            <w:tcMar>
              <w:top w:w="15" w:type="dxa"/>
              <w:left w:w="15" w:type="dxa"/>
              <w:bottom w:w="0" w:type="dxa"/>
              <w:right w:w="15" w:type="dxa"/>
            </w:tcMar>
            <w:vAlign w:val="center"/>
            <w:hideMark/>
          </w:tcPr>
          <w:p w14:paraId="2E4F4753" w14:textId="77777777" w:rsidR="00D32A97" w:rsidRPr="004F30BD" w:rsidRDefault="00D32A97" w:rsidP="008A5E67">
            <w:pPr>
              <w:spacing w:before="40" w:after="40" w:line="240" w:lineRule="auto"/>
              <w:ind w:right="0"/>
              <w:jc w:val="center"/>
              <w:rPr>
                <w:rFonts w:eastAsia="Times New Roman" w:cs="Calibri"/>
                <w:color w:val="FFFFFF"/>
                <w:szCs w:val="18"/>
                <w:lang w:eastAsia="en-AU"/>
              </w:rPr>
            </w:pPr>
            <w:r w:rsidRPr="004F30BD">
              <w:rPr>
                <w:rFonts w:eastAsia="Times New Roman" w:cs="Calibri"/>
                <w:color w:val="FFFFFF"/>
                <w:szCs w:val="18"/>
                <w:lang w:eastAsia="en-AU"/>
              </w:rPr>
              <w:t xml:space="preserve">2018 </w:t>
            </w:r>
            <w:r w:rsidRPr="004F30BD">
              <w:rPr>
                <w:rFonts w:eastAsia="Times New Roman" w:cs="Calibri"/>
                <w:color w:val="FFFFFF"/>
                <w:szCs w:val="18"/>
                <w:lang w:eastAsia="en-AU"/>
              </w:rPr>
              <w:br/>
            </w:r>
            <w:r w:rsidR="00670410" w:rsidRPr="004F30BD">
              <w:rPr>
                <w:rFonts w:eastAsia="Times New Roman" w:cs="Calibri"/>
                <w:color w:val="FFFFFF"/>
                <w:szCs w:val="18"/>
                <w:lang w:eastAsia="en-AU"/>
              </w:rPr>
              <w:t>Top 2</w:t>
            </w:r>
            <w:r w:rsidR="00670410" w:rsidRPr="004F30BD">
              <w:rPr>
                <w:rFonts w:eastAsia="Times New Roman" w:cs="Calibri"/>
                <w:color w:val="FFFFFF"/>
                <w:szCs w:val="18"/>
                <w:lang w:eastAsia="en-AU"/>
              </w:rPr>
              <w:br/>
              <w:t>score</w:t>
            </w:r>
          </w:p>
        </w:tc>
        <w:tc>
          <w:tcPr>
            <w:tcW w:w="990" w:type="dxa"/>
            <w:tcBorders>
              <w:top w:val="nil"/>
              <w:left w:val="nil"/>
              <w:bottom w:val="nil"/>
              <w:right w:val="nil"/>
            </w:tcBorders>
            <w:shd w:val="clear" w:color="auto" w:fill="00386E"/>
            <w:tcMar>
              <w:top w:w="15" w:type="dxa"/>
              <w:left w:w="15" w:type="dxa"/>
              <w:bottom w:w="0" w:type="dxa"/>
              <w:right w:w="15" w:type="dxa"/>
            </w:tcMar>
            <w:vAlign w:val="center"/>
            <w:hideMark/>
          </w:tcPr>
          <w:p w14:paraId="326FF526" w14:textId="77777777" w:rsidR="00D32A97" w:rsidRPr="004F30BD" w:rsidRDefault="00D32A97" w:rsidP="008A5E67">
            <w:pPr>
              <w:spacing w:before="40" w:after="40" w:line="240" w:lineRule="auto"/>
              <w:ind w:right="0"/>
              <w:jc w:val="center"/>
              <w:rPr>
                <w:rFonts w:eastAsia="Times New Roman" w:cs="Calibri"/>
                <w:color w:val="FFFFFF"/>
                <w:szCs w:val="18"/>
                <w:lang w:eastAsia="en-AU"/>
              </w:rPr>
            </w:pPr>
            <w:r w:rsidRPr="004F30BD">
              <w:rPr>
                <w:rFonts w:eastAsia="Times New Roman" w:cs="Calibri"/>
                <w:color w:val="FFFFFF"/>
                <w:szCs w:val="18"/>
                <w:lang w:eastAsia="en-AU"/>
              </w:rPr>
              <w:t xml:space="preserve">Change </w:t>
            </w:r>
            <w:r w:rsidRPr="004F30BD">
              <w:rPr>
                <w:rFonts w:eastAsia="Times New Roman" w:cs="Calibri"/>
                <w:color w:val="FFFFFF"/>
                <w:szCs w:val="18"/>
                <w:lang w:eastAsia="en-AU"/>
              </w:rPr>
              <w:br/>
              <w:t>± %</w:t>
            </w:r>
          </w:p>
        </w:tc>
      </w:tr>
      <w:tr w:rsidR="00C269B9" w:rsidRPr="004F30BD" w14:paraId="239633ED" w14:textId="77777777" w:rsidTr="00C269B9">
        <w:trPr>
          <w:divId w:val="692800237"/>
          <w:trHeight w:val="675"/>
        </w:trPr>
        <w:tc>
          <w:tcPr>
            <w:tcW w:w="4680" w:type="dxa"/>
            <w:tcBorders>
              <w:top w:val="nil"/>
              <w:left w:val="nil"/>
              <w:bottom w:val="nil"/>
              <w:right w:val="nil"/>
            </w:tcBorders>
            <w:shd w:val="clear" w:color="auto" w:fill="auto"/>
            <w:tcMar>
              <w:top w:w="15" w:type="dxa"/>
              <w:left w:w="15" w:type="dxa"/>
              <w:bottom w:w="0" w:type="dxa"/>
              <w:right w:w="15" w:type="dxa"/>
            </w:tcMar>
            <w:vAlign w:val="center"/>
            <w:hideMark/>
          </w:tcPr>
          <w:p w14:paraId="3BF0C2C6" w14:textId="77777777" w:rsidR="00C269B9" w:rsidRPr="004F30BD" w:rsidRDefault="00C269B9" w:rsidP="00C269B9">
            <w:pPr>
              <w:spacing w:before="40" w:after="40" w:line="240" w:lineRule="auto"/>
              <w:ind w:right="0"/>
              <w:rPr>
                <w:rFonts w:eastAsia="Times New Roman" w:cs="Calibri"/>
                <w:color w:val="000000"/>
                <w:szCs w:val="18"/>
                <w:lang w:eastAsia="en-AU"/>
              </w:rPr>
            </w:pPr>
            <w:r w:rsidRPr="004F30BD">
              <w:rPr>
                <w:rFonts w:eastAsia="Times New Roman" w:cs="Calibri"/>
                <w:color w:val="000000"/>
                <w:szCs w:val="18"/>
                <w:lang w:eastAsia="en-AU"/>
              </w:rPr>
              <w:t>KPI 1: Regulation by TEQSA does not unnecessarily impede the efficient operation of higher education providers</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1E6CEE63"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eastAsia="Times New Roman" w:cs="Calibri"/>
                <w:color w:val="000000"/>
                <w:szCs w:val="18"/>
                <w:lang w:eastAsia="en-AU"/>
              </w:rPr>
              <w:t>134</w:t>
            </w:r>
          </w:p>
        </w:tc>
        <w:tc>
          <w:tcPr>
            <w:tcW w:w="990" w:type="dxa"/>
            <w:tcBorders>
              <w:top w:val="nil"/>
              <w:left w:val="nil"/>
              <w:bottom w:val="nil"/>
              <w:right w:val="nil"/>
            </w:tcBorders>
            <w:shd w:val="clear" w:color="auto" w:fill="auto"/>
            <w:noWrap/>
            <w:tcMar>
              <w:top w:w="15" w:type="dxa"/>
              <w:left w:w="15" w:type="dxa"/>
              <w:bottom w:w="0" w:type="dxa"/>
              <w:right w:w="15" w:type="dxa"/>
            </w:tcMar>
            <w:vAlign w:val="center"/>
            <w:hideMark/>
          </w:tcPr>
          <w:p w14:paraId="5402183E"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59</w:t>
            </w:r>
          </w:p>
        </w:tc>
        <w:tc>
          <w:tcPr>
            <w:tcW w:w="990" w:type="dxa"/>
            <w:tcBorders>
              <w:top w:val="nil"/>
              <w:left w:val="nil"/>
              <w:bottom w:val="nil"/>
              <w:right w:val="nil"/>
            </w:tcBorders>
            <w:shd w:val="clear" w:color="auto" w:fill="auto"/>
            <w:noWrap/>
            <w:tcMar>
              <w:top w:w="15" w:type="dxa"/>
              <w:left w:w="15" w:type="dxa"/>
              <w:bottom w:w="0" w:type="dxa"/>
              <w:right w:w="15" w:type="dxa"/>
            </w:tcMar>
            <w:vAlign w:val="center"/>
            <w:hideMark/>
          </w:tcPr>
          <w:p w14:paraId="6F68D8EA"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56</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24567368"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3</w:t>
            </w:r>
          </w:p>
        </w:tc>
      </w:tr>
      <w:tr w:rsidR="00C269B9" w:rsidRPr="004F30BD" w14:paraId="778F8836" w14:textId="77777777" w:rsidTr="00C269B9">
        <w:trPr>
          <w:divId w:val="692800237"/>
          <w:trHeight w:val="450"/>
        </w:trPr>
        <w:tc>
          <w:tcPr>
            <w:tcW w:w="4680" w:type="dxa"/>
            <w:tcBorders>
              <w:top w:val="nil"/>
              <w:left w:val="nil"/>
              <w:bottom w:val="nil"/>
              <w:right w:val="nil"/>
            </w:tcBorders>
            <w:shd w:val="clear" w:color="000000" w:fill="D9D9D9"/>
            <w:tcMar>
              <w:top w:w="15" w:type="dxa"/>
              <w:left w:w="15" w:type="dxa"/>
              <w:bottom w:w="0" w:type="dxa"/>
              <w:right w:w="15" w:type="dxa"/>
            </w:tcMar>
            <w:vAlign w:val="center"/>
            <w:hideMark/>
          </w:tcPr>
          <w:p w14:paraId="5452C817" w14:textId="77777777" w:rsidR="00C269B9" w:rsidRPr="004F30BD" w:rsidRDefault="00C269B9" w:rsidP="00C269B9">
            <w:pPr>
              <w:spacing w:before="40" w:after="40" w:line="240" w:lineRule="auto"/>
              <w:ind w:right="0"/>
              <w:rPr>
                <w:rFonts w:eastAsia="Times New Roman" w:cs="Calibri"/>
                <w:color w:val="000000"/>
                <w:szCs w:val="18"/>
                <w:lang w:eastAsia="en-AU"/>
              </w:rPr>
            </w:pPr>
            <w:r w:rsidRPr="004F30BD">
              <w:rPr>
                <w:rFonts w:eastAsia="Times New Roman" w:cs="Calibri"/>
                <w:color w:val="000000"/>
                <w:szCs w:val="18"/>
                <w:lang w:eastAsia="en-AU"/>
              </w:rPr>
              <w:t>KPI 2: TEQSA’s communication with organisation is clear, targeted and effective</w:t>
            </w:r>
          </w:p>
        </w:tc>
        <w:tc>
          <w:tcPr>
            <w:tcW w:w="990" w:type="dxa"/>
            <w:tcBorders>
              <w:top w:val="nil"/>
              <w:left w:val="nil"/>
              <w:bottom w:val="nil"/>
              <w:right w:val="nil"/>
            </w:tcBorders>
            <w:shd w:val="clear" w:color="000000" w:fill="D9D9D9"/>
            <w:tcMar>
              <w:top w:w="15" w:type="dxa"/>
              <w:left w:w="15" w:type="dxa"/>
              <w:bottom w:w="0" w:type="dxa"/>
              <w:right w:w="15" w:type="dxa"/>
            </w:tcMar>
            <w:vAlign w:val="center"/>
            <w:hideMark/>
          </w:tcPr>
          <w:p w14:paraId="06D2EEA7"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eastAsia="Times New Roman" w:cs="Calibri"/>
                <w:color w:val="000000"/>
                <w:szCs w:val="18"/>
                <w:lang w:eastAsia="en-AU"/>
              </w:rPr>
              <w:t>139</w:t>
            </w:r>
          </w:p>
        </w:tc>
        <w:tc>
          <w:tcPr>
            <w:tcW w:w="990" w:type="dxa"/>
            <w:tcBorders>
              <w:top w:val="nil"/>
              <w:left w:val="nil"/>
              <w:bottom w:val="nil"/>
              <w:right w:val="nil"/>
            </w:tcBorders>
            <w:shd w:val="clear" w:color="000000" w:fill="D9D9D9"/>
            <w:noWrap/>
            <w:tcMar>
              <w:top w:w="15" w:type="dxa"/>
              <w:left w:w="15" w:type="dxa"/>
              <w:bottom w:w="0" w:type="dxa"/>
              <w:right w:w="15" w:type="dxa"/>
            </w:tcMar>
            <w:vAlign w:val="center"/>
            <w:hideMark/>
          </w:tcPr>
          <w:p w14:paraId="651A3D67"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65</w:t>
            </w:r>
          </w:p>
        </w:tc>
        <w:tc>
          <w:tcPr>
            <w:tcW w:w="990" w:type="dxa"/>
            <w:tcBorders>
              <w:top w:val="nil"/>
              <w:left w:val="nil"/>
              <w:bottom w:val="nil"/>
              <w:right w:val="nil"/>
            </w:tcBorders>
            <w:shd w:val="clear" w:color="000000" w:fill="D9D9D9"/>
            <w:noWrap/>
            <w:tcMar>
              <w:top w:w="15" w:type="dxa"/>
              <w:left w:w="15" w:type="dxa"/>
              <w:bottom w:w="0" w:type="dxa"/>
              <w:right w:w="15" w:type="dxa"/>
            </w:tcMar>
            <w:vAlign w:val="center"/>
            <w:hideMark/>
          </w:tcPr>
          <w:p w14:paraId="3AB29639"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64</w:t>
            </w:r>
          </w:p>
        </w:tc>
        <w:tc>
          <w:tcPr>
            <w:tcW w:w="990" w:type="dxa"/>
            <w:tcBorders>
              <w:top w:val="nil"/>
              <w:left w:val="nil"/>
              <w:bottom w:val="nil"/>
              <w:right w:val="nil"/>
            </w:tcBorders>
            <w:shd w:val="clear" w:color="000000" w:fill="D9D9D9"/>
            <w:tcMar>
              <w:top w:w="15" w:type="dxa"/>
              <w:left w:w="15" w:type="dxa"/>
              <w:bottom w:w="0" w:type="dxa"/>
              <w:right w:w="15" w:type="dxa"/>
            </w:tcMar>
            <w:vAlign w:val="center"/>
            <w:hideMark/>
          </w:tcPr>
          <w:p w14:paraId="7039E192" w14:textId="6099DC81"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1</w:t>
            </w:r>
          </w:p>
        </w:tc>
      </w:tr>
      <w:tr w:rsidR="00C269B9" w:rsidRPr="004F30BD" w14:paraId="1CD4492B" w14:textId="77777777" w:rsidTr="00C269B9">
        <w:trPr>
          <w:divId w:val="692800237"/>
          <w:trHeight w:val="450"/>
        </w:trPr>
        <w:tc>
          <w:tcPr>
            <w:tcW w:w="4680" w:type="dxa"/>
            <w:tcBorders>
              <w:top w:val="nil"/>
              <w:left w:val="nil"/>
              <w:bottom w:val="nil"/>
              <w:right w:val="nil"/>
            </w:tcBorders>
            <w:shd w:val="clear" w:color="auto" w:fill="auto"/>
            <w:tcMar>
              <w:top w:w="15" w:type="dxa"/>
              <w:left w:w="15" w:type="dxa"/>
              <w:bottom w:w="0" w:type="dxa"/>
              <w:right w:w="15" w:type="dxa"/>
            </w:tcMar>
            <w:vAlign w:val="center"/>
            <w:hideMark/>
          </w:tcPr>
          <w:p w14:paraId="5869684A" w14:textId="77777777" w:rsidR="00C269B9" w:rsidRPr="004F30BD" w:rsidRDefault="00C269B9" w:rsidP="00C269B9">
            <w:pPr>
              <w:spacing w:before="40" w:after="40" w:line="240" w:lineRule="auto"/>
              <w:ind w:right="0"/>
              <w:rPr>
                <w:rFonts w:eastAsia="Times New Roman" w:cs="Calibri"/>
                <w:color w:val="000000"/>
                <w:szCs w:val="18"/>
                <w:lang w:eastAsia="en-AU"/>
              </w:rPr>
            </w:pPr>
            <w:r w:rsidRPr="004F30BD">
              <w:rPr>
                <w:rFonts w:eastAsia="Times New Roman" w:cs="Calibri"/>
                <w:color w:val="000000"/>
                <w:szCs w:val="18"/>
                <w:lang w:eastAsia="en-AU"/>
              </w:rPr>
              <w:t>KPI 3: Regulatory actions undertaken by TEQSA are proportionate to the risks being managed</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5ED2D5A5"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eastAsia="Times New Roman" w:cs="Calibri"/>
                <w:color w:val="000000"/>
                <w:szCs w:val="18"/>
                <w:lang w:eastAsia="en-AU"/>
              </w:rPr>
              <w:t>132</w:t>
            </w:r>
          </w:p>
        </w:tc>
        <w:tc>
          <w:tcPr>
            <w:tcW w:w="990" w:type="dxa"/>
            <w:tcBorders>
              <w:top w:val="nil"/>
              <w:left w:val="nil"/>
              <w:bottom w:val="nil"/>
              <w:right w:val="nil"/>
            </w:tcBorders>
            <w:shd w:val="clear" w:color="auto" w:fill="auto"/>
            <w:noWrap/>
            <w:tcMar>
              <w:top w:w="15" w:type="dxa"/>
              <w:left w:w="15" w:type="dxa"/>
              <w:bottom w:w="0" w:type="dxa"/>
              <w:right w:w="15" w:type="dxa"/>
            </w:tcMar>
            <w:vAlign w:val="center"/>
            <w:hideMark/>
          </w:tcPr>
          <w:p w14:paraId="595AF0F5"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63</w:t>
            </w:r>
          </w:p>
        </w:tc>
        <w:tc>
          <w:tcPr>
            <w:tcW w:w="990" w:type="dxa"/>
            <w:tcBorders>
              <w:top w:val="nil"/>
              <w:left w:val="nil"/>
              <w:bottom w:val="nil"/>
              <w:right w:val="nil"/>
            </w:tcBorders>
            <w:shd w:val="clear" w:color="auto" w:fill="auto"/>
            <w:noWrap/>
            <w:tcMar>
              <w:top w:w="15" w:type="dxa"/>
              <w:left w:w="15" w:type="dxa"/>
              <w:bottom w:w="0" w:type="dxa"/>
              <w:right w:w="15" w:type="dxa"/>
            </w:tcMar>
            <w:vAlign w:val="center"/>
            <w:hideMark/>
          </w:tcPr>
          <w:p w14:paraId="10DAD4ED"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52</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36274D7B"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11</w:t>
            </w:r>
          </w:p>
        </w:tc>
      </w:tr>
      <w:tr w:rsidR="00C269B9" w:rsidRPr="004F30BD" w14:paraId="4EACDE16" w14:textId="77777777" w:rsidTr="00C269B9">
        <w:trPr>
          <w:divId w:val="692800237"/>
          <w:trHeight w:val="675"/>
        </w:trPr>
        <w:tc>
          <w:tcPr>
            <w:tcW w:w="4680" w:type="dxa"/>
            <w:tcBorders>
              <w:top w:val="nil"/>
              <w:left w:val="nil"/>
              <w:bottom w:val="nil"/>
              <w:right w:val="nil"/>
            </w:tcBorders>
            <w:shd w:val="clear" w:color="000000" w:fill="D9D9D9"/>
            <w:tcMar>
              <w:top w:w="15" w:type="dxa"/>
              <w:left w:w="15" w:type="dxa"/>
              <w:bottom w:w="0" w:type="dxa"/>
              <w:right w:w="15" w:type="dxa"/>
            </w:tcMar>
            <w:vAlign w:val="center"/>
            <w:hideMark/>
          </w:tcPr>
          <w:p w14:paraId="1707B62A" w14:textId="77777777" w:rsidR="00C269B9" w:rsidRPr="004F30BD" w:rsidRDefault="00C269B9" w:rsidP="00C269B9">
            <w:pPr>
              <w:spacing w:before="40" w:after="40" w:line="240" w:lineRule="auto"/>
              <w:ind w:right="0"/>
              <w:rPr>
                <w:rFonts w:eastAsia="Times New Roman" w:cs="Calibri"/>
                <w:color w:val="000000"/>
                <w:szCs w:val="18"/>
                <w:lang w:eastAsia="en-AU"/>
              </w:rPr>
            </w:pPr>
            <w:r w:rsidRPr="004F30BD">
              <w:rPr>
                <w:rFonts w:eastAsia="Times New Roman" w:cs="Calibri"/>
                <w:color w:val="000000"/>
                <w:szCs w:val="18"/>
                <w:lang w:eastAsia="en-AU"/>
              </w:rPr>
              <w:t>KPI 4: TEQSA’s compliance and monitoring approaches for higher education providers are streamlined and co-ordinated</w:t>
            </w:r>
          </w:p>
        </w:tc>
        <w:tc>
          <w:tcPr>
            <w:tcW w:w="990" w:type="dxa"/>
            <w:tcBorders>
              <w:top w:val="nil"/>
              <w:left w:val="nil"/>
              <w:bottom w:val="nil"/>
              <w:right w:val="nil"/>
            </w:tcBorders>
            <w:shd w:val="clear" w:color="000000" w:fill="D9D9D9"/>
            <w:tcMar>
              <w:top w:w="15" w:type="dxa"/>
              <w:left w:w="15" w:type="dxa"/>
              <w:bottom w:w="0" w:type="dxa"/>
              <w:right w:w="15" w:type="dxa"/>
            </w:tcMar>
            <w:vAlign w:val="center"/>
            <w:hideMark/>
          </w:tcPr>
          <w:p w14:paraId="1DE41DEF"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eastAsia="Times New Roman" w:cs="Calibri"/>
                <w:color w:val="000000"/>
                <w:szCs w:val="18"/>
                <w:lang w:eastAsia="en-AU"/>
              </w:rPr>
              <w:t>132</w:t>
            </w:r>
          </w:p>
        </w:tc>
        <w:tc>
          <w:tcPr>
            <w:tcW w:w="990" w:type="dxa"/>
            <w:tcBorders>
              <w:top w:val="nil"/>
              <w:left w:val="nil"/>
              <w:bottom w:val="nil"/>
              <w:right w:val="nil"/>
            </w:tcBorders>
            <w:shd w:val="clear" w:color="000000" w:fill="D9D9D9"/>
            <w:noWrap/>
            <w:tcMar>
              <w:top w:w="15" w:type="dxa"/>
              <w:left w:w="15" w:type="dxa"/>
              <w:bottom w:w="0" w:type="dxa"/>
              <w:right w:w="15" w:type="dxa"/>
            </w:tcMar>
            <w:vAlign w:val="center"/>
            <w:hideMark/>
          </w:tcPr>
          <w:p w14:paraId="535D27E6"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54</w:t>
            </w:r>
          </w:p>
        </w:tc>
        <w:tc>
          <w:tcPr>
            <w:tcW w:w="990" w:type="dxa"/>
            <w:tcBorders>
              <w:top w:val="nil"/>
              <w:left w:val="nil"/>
              <w:bottom w:val="nil"/>
              <w:right w:val="nil"/>
            </w:tcBorders>
            <w:shd w:val="clear" w:color="000000" w:fill="D9D9D9"/>
            <w:noWrap/>
            <w:tcMar>
              <w:top w:w="15" w:type="dxa"/>
              <w:left w:w="15" w:type="dxa"/>
              <w:bottom w:w="0" w:type="dxa"/>
              <w:right w:w="15" w:type="dxa"/>
            </w:tcMar>
            <w:vAlign w:val="center"/>
            <w:hideMark/>
          </w:tcPr>
          <w:p w14:paraId="37D086BC"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52</w:t>
            </w:r>
          </w:p>
        </w:tc>
        <w:tc>
          <w:tcPr>
            <w:tcW w:w="990" w:type="dxa"/>
            <w:tcBorders>
              <w:top w:val="nil"/>
              <w:left w:val="nil"/>
              <w:bottom w:val="nil"/>
              <w:right w:val="nil"/>
            </w:tcBorders>
            <w:shd w:val="clear" w:color="000000" w:fill="D9D9D9"/>
            <w:tcMar>
              <w:top w:w="15" w:type="dxa"/>
              <w:left w:w="15" w:type="dxa"/>
              <w:bottom w:w="0" w:type="dxa"/>
              <w:right w:w="15" w:type="dxa"/>
            </w:tcMar>
            <w:vAlign w:val="center"/>
            <w:hideMark/>
          </w:tcPr>
          <w:p w14:paraId="55CDAE84"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2</w:t>
            </w:r>
          </w:p>
        </w:tc>
      </w:tr>
      <w:tr w:rsidR="00C269B9" w:rsidRPr="004F30BD" w14:paraId="0D4F1833" w14:textId="77777777" w:rsidTr="00C269B9">
        <w:trPr>
          <w:divId w:val="692800237"/>
          <w:trHeight w:val="450"/>
        </w:trPr>
        <w:tc>
          <w:tcPr>
            <w:tcW w:w="4680" w:type="dxa"/>
            <w:tcBorders>
              <w:top w:val="nil"/>
              <w:left w:val="nil"/>
              <w:bottom w:val="nil"/>
              <w:right w:val="nil"/>
            </w:tcBorders>
            <w:shd w:val="clear" w:color="auto" w:fill="auto"/>
            <w:tcMar>
              <w:top w:w="15" w:type="dxa"/>
              <w:left w:w="15" w:type="dxa"/>
              <w:bottom w:w="0" w:type="dxa"/>
              <w:right w:w="15" w:type="dxa"/>
            </w:tcMar>
            <w:vAlign w:val="center"/>
            <w:hideMark/>
          </w:tcPr>
          <w:p w14:paraId="58D0CD8E" w14:textId="77777777" w:rsidR="00C269B9" w:rsidRPr="004F30BD" w:rsidRDefault="00C269B9" w:rsidP="00C269B9">
            <w:pPr>
              <w:spacing w:before="40" w:after="40" w:line="240" w:lineRule="auto"/>
              <w:ind w:right="0"/>
              <w:rPr>
                <w:rFonts w:eastAsia="Times New Roman" w:cs="Calibri"/>
                <w:color w:val="000000"/>
                <w:szCs w:val="18"/>
                <w:lang w:eastAsia="en-AU"/>
              </w:rPr>
            </w:pPr>
            <w:r w:rsidRPr="004F30BD">
              <w:rPr>
                <w:rFonts w:eastAsia="Times New Roman" w:cs="Calibri"/>
                <w:color w:val="000000"/>
                <w:szCs w:val="18"/>
                <w:lang w:eastAsia="en-AU"/>
              </w:rPr>
              <w:t>KPI 5: TEQSA is open, transparent and consistent in its dealings with organisation</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5D6A9913"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eastAsia="Times New Roman" w:cs="Calibri"/>
                <w:color w:val="000000"/>
                <w:szCs w:val="18"/>
                <w:lang w:eastAsia="en-AU"/>
              </w:rPr>
              <w:t>139</w:t>
            </w:r>
          </w:p>
        </w:tc>
        <w:tc>
          <w:tcPr>
            <w:tcW w:w="990" w:type="dxa"/>
            <w:tcBorders>
              <w:top w:val="nil"/>
              <w:left w:val="nil"/>
              <w:bottom w:val="nil"/>
              <w:right w:val="nil"/>
            </w:tcBorders>
            <w:shd w:val="clear" w:color="auto" w:fill="auto"/>
            <w:noWrap/>
            <w:tcMar>
              <w:top w:w="15" w:type="dxa"/>
              <w:left w:w="15" w:type="dxa"/>
              <w:bottom w:w="0" w:type="dxa"/>
              <w:right w:w="15" w:type="dxa"/>
            </w:tcMar>
            <w:vAlign w:val="center"/>
            <w:hideMark/>
          </w:tcPr>
          <w:p w14:paraId="5D7F5B99"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73</w:t>
            </w:r>
          </w:p>
        </w:tc>
        <w:tc>
          <w:tcPr>
            <w:tcW w:w="990" w:type="dxa"/>
            <w:tcBorders>
              <w:top w:val="nil"/>
              <w:left w:val="nil"/>
              <w:bottom w:val="nil"/>
              <w:right w:val="nil"/>
            </w:tcBorders>
            <w:shd w:val="clear" w:color="auto" w:fill="auto"/>
            <w:noWrap/>
            <w:tcMar>
              <w:top w:w="15" w:type="dxa"/>
              <w:left w:w="15" w:type="dxa"/>
              <w:bottom w:w="0" w:type="dxa"/>
              <w:right w:w="15" w:type="dxa"/>
            </w:tcMar>
            <w:vAlign w:val="center"/>
            <w:hideMark/>
          </w:tcPr>
          <w:p w14:paraId="79E9D36C"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62</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1A60C415"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11</w:t>
            </w:r>
          </w:p>
        </w:tc>
      </w:tr>
      <w:tr w:rsidR="00C269B9" w:rsidRPr="004F30BD" w14:paraId="2E3756BE" w14:textId="77777777" w:rsidTr="00C269B9">
        <w:trPr>
          <w:divId w:val="692800237"/>
          <w:trHeight w:val="450"/>
        </w:trPr>
        <w:tc>
          <w:tcPr>
            <w:tcW w:w="4680" w:type="dxa"/>
            <w:tcBorders>
              <w:top w:val="nil"/>
              <w:left w:val="nil"/>
              <w:bottom w:val="nil"/>
              <w:right w:val="nil"/>
            </w:tcBorders>
            <w:shd w:val="clear" w:color="000000" w:fill="D9D9D9"/>
            <w:tcMar>
              <w:top w:w="15" w:type="dxa"/>
              <w:left w:w="15" w:type="dxa"/>
              <w:bottom w:w="0" w:type="dxa"/>
              <w:right w:w="15" w:type="dxa"/>
            </w:tcMar>
            <w:vAlign w:val="center"/>
            <w:hideMark/>
          </w:tcPr>
          <w:p w14:paraId="2E600357" w14:textId="77777777" w:rsidR="00C269B9" w:rsidRPr="004F30BD" w:rsidRDefault="00C269B9" w:rsidP="00C269B9">
            <w:pPr>
              <w:spacing w:before="40" w:after="40" w:line="240" w:lineRule="auto"/>
              <w:ind w:right="0"/>
              <w:rPr>
                <w:rFonts w:eastAsia="Times New Roman" w:cs="Calibri"/>
                <w:color w:val="000000"/>
                <w:szCs w:val="18"/>
                <w:lang w:eastAsia="en-AU"/>
              </w:rPr>
            </w:pPr>
            <w:r w:rsidRPr="004F30BD">
              <w:rPr>
                <w:rFonts w:eastAsia="Times New Roman" w:cs="Calibri"/>
                <w:color w:val="000000"/>
                <w:szCs w:val="18"/>
                <w:lang w:eastAsia="en-AU"/>
              </w:rPr>
              <w:t>KPI 6: TEQSA continues to improve its regulatory framework in consultation with organisation</w:t>
            </w:r>
          </w:p>
        </w:tc>
        <w:tc>
          <w:tcPr>
            <w:tcW w:w="990" w:type="dxa"/>
            <w:tcBorders>
              <w:top w:val="nil"/>
              <w:left w:val="nil"/>
              <w:bottom w:val="nil"/>
              <w:right w:val="nil"/>
            </w:tcBorders>
            <w:shd w:val="clear" w:color="000000" w:fill="D9D9D9"/>
            <w:tcMar>
              <w:top w:w="15" w:type="dxa"/>
              <w:left w:w="15" w:type="dxa"/>
              <w:bottom w:w="0" w:type="dxa"/>
              <w:right w:w="15" w:type="dxa"/>
            </w:tcMar>
            <w:vAlign w:val="center"/>
            <w:hideMark/>
          </w:tcPr>
          <w:p w14:paraId="346CFDE4"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eastAsia="Times New Roman" w:cs="Calibri"/>
                <w:color w:val="000000"/>
                <w:szCs w:val="18"/>
                <w:lang w:eastAsia="en-AU"/>
              </w:rPr>
              <w:t>123</w:t>
            </w:r>
          </w:p>
        </w:tc>
        <w:tc>
          <w:tcPr>
            <w:tcW w:w="990" w:type="dxa"/>
            <w:tcBorders>
              <w:top w:val="nil"/>
              <w:left w:val="nil"/>
              <w:bottom w:val="nil"/>
              <w:right w:val="nil"/>
            </w:tcBorders>
            <w:shd w:val="clear" w:color="000000" w:fill="D9D9D9"/>
            <w:noWrap/>
            <w:tcMar>
              <w:top w:w="15" w:type="dxa"/>
              <w:left w:w="15" w:type="dxa"/>
              <w:bottom w:w="0" w:type="dxa"/>
              <w:right w:w="15" w:type="dxa"/>
            </w:tcMar>
            <w:vAlign w:val="center"/>
            <w:hideMark/>
          </w:tcPr>
          <w:p w14:paraId="5454F323"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67</w:t>
            </w:r>
          </w:p>
        </w:tc>
        <w:tc>
          <w:tcPr>
            <w:tcW w:w="990" w:type="dxa"/>
            <w:tcBorders>
              <w:top w:val="nil"/>
              <w:left w:val="nil"/>
              <w:bottom w:val="nil"/>
              <w:right w:val="nil"/>
            </w:tcBorders>
            <w:shd w:val="clear" w:color="000000" w:fill="D9D9D9"/>
            <w:noWrap/>
            <w:tcMar>
              <w:top w:w="15" w:type="dxa"/>
              <w:left w:w="15" w:type="dxa"/>
              <w:bottom w:w="0" w:type="dxa"/>
              <w:right w:w="15" w:type="dxa"/>
            </w:tcMar>
            <w:vAlign w:val="center"/>
            <w:hideMark/>
          </w:tcPr>
          <w:p w14:paraId="5A00615A"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57</w:t>
            </w:r>
          </w:p>
        </w:tc>
        <w:tc>
          <w:tcPr>
            <w:tcW w:w="990" w:type="dxa"/>
            <w:tcBorders>
              <w:top w:val="nil"/>
              <w:left w:val="nil"/>
              <w:bottom w:val="nil"/>
              <w:right w:val="nil"/>
            </w:tcBorders>
            <w:shd w:val="clear" w:color="000000" w:fill="D9D9D9"/>
            <w:tcMar>
              <w:top w:w="15" w:type="dxa"/>
              <w:left w:w="15" w:type="dxa"/>
              <w:bottom w:w="0" w:type="dxa"/>
              <w:right w:w="15" w:type="dxa"/>
            </w:tcMar>
            <w:vAlign w:val="center"/>
            <w:hideMark/>
          </w:tcPr>
          <w:p w14:paraId="5BA39927" w14:textId="3E0FE7C2" w:rsidR="00C269B9" w:rsidRPr="004F30BD" w:rsidRDefault="00183FF4" w:rsidP="00C269B9">
            <w:pPr>
              <w:spacing w:before="40" w:after="40" w:line="240" w:lineRule="auto"/>
              <w:ind w:right="0"/>
              <w:jc w:val="center"/>
              <w:rPr>
                <w:rFonts w:eastAsia="Times New Roman" w:cs="Calibri"/>
                <w:color w:val="000000"/>
                <w:szCs w:val="18"/>
                <w:lang w:eastAsia="en-AU"/>
              </w:rPr>
            </w:pPr>
            <w:r>
              <w:rPr>
                <w:rFonts w:cs="Calibri"/>
                <w:color w:val="000000"/>
                <w:szCs w:val="18"/>
              </w:rPr>
              <w:t>9</w:t>
            </w:r>
          </w:p>
        </w:tc>
      </w:tr>
      <w:tr w:rsidR="00C269B9" w:rsidRPr="004F30BD" w14:paraId="0BFA37E1" w14:textId="77777777" w:rsidTr="00C269B9">
        <w:trPr>
          <w:divId w:val="692800237"/>
          <w:trHeight w:val="285"/>
        </w:trPr>
        <w:tc>
          <w:tcPr>
            <w:tcW w:w="4680" w:type="dxa"/>
            <w:tcBorders>
              <w:top w:val="nil"/>
              <w:left w:val="nil"/>
              <w:bottom w:val="nil"/>
              <w:right w:val="nil"/>
            </w:tcBorders>
            <w:shd w:val="clear" w:color="auto" w:fill="auto"/>
            <w:tcMar>
              <w:top w:w="15" w:type="dxa"/>
              <w:left w:w="15" w:type="dxa"/>
              <w:bottom w:w="0" w:type="dxa"/>
              <w:right w:w="15" w:type="dxa"/>
            </w:tcMar>
            <w:vAlign w:val="center"/>
            <w:hideMark/>
          </w:tcPr>
          <w:p w14:paraId="1C078E3E" w14:textId="77777777" w:rsidR="00C269B9" w:rsidRPr="004F30BD" w:rsidRDefault="00C269B9" w:rsidP="00C269B9">
            <w:pPr>
              <w:spacing w:before="40" w:after="40" w:line="240" w:lineRule="auto"/>
              <w:ind w:right="0"/>
              <w:rPr>
                <w:rFonts w:eastAsia="Times New Roman" w:cs="Calibri"/>
                <w:color w:val="000000"/>
                <w:szCs w:val="18"/>
                <w:lang w:eastAsia="en-AU"/>
              </w:rPr>
            </w:pPr>
            <w:r w:rsidRPr="004F30BD">
              <w:rPr>
                <w:rFonts w:eastAsia="Times New Roman" w:cs="Calibri"/>
                <w:color w:val="000000"/>
                <w:szCs w:val="18"/>
                <w:lang w:eastAsia="en-AU"/>
              </w:rPr>
              <w:t>Communication: Usefulness of regulatory information</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68E8A47B"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eastAsia="Times New Roman" w:cs="Calibri"/>
                <w:color w:val="000000"/>
                <w:szCs w:val="18"/>
                <w:lang w:eastAsia="en-AU"/>
              </w:rPr>
              <w:t>140</w:t>
            </w:r>
          </w:p>
        </w:tc>
        <w:tc>
          <w:tcPr>
            <w:tcW w:w="990" w:type="dxa"/>
            <w:tcBorders>
              <w:top w:val="nil"/>
              <w:left w:val="nil"/>
              <w:bottom w:val="nil"/>
              <w:right w:val="nil"/>
            </w:tcBorders>
            <w:shd w:val="clear" w:color="auto" w:fill="auto"/>
            <w:noWrap/>
            <w:tcMar>
              <w:top w:w="15" w:type="dxa"/>
              <w:left w:w="15" w:type="dxa"/>
              <w:bottom w:w="0" w:type="dxa"/>
              <w:right w:w="15" w:type="dxa"/>
            </w:tcMar>
            <w:vAlign w:val="center"/>
            <w:hideMark/>
          </w:tcPr>
          <w:p w14:paraId="3FFAF938"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89</w:t>
            </w:r>
          </w:p>
        </w:tc>
        <w:tc>
          <w:tcPr>
            <w:tcW w:w="990" w:type="dxa"/>
            <w:tcBorders>
              <w:top w:val="nil"/>
              <w:left w:val="nil"/>
              <w:bottom w:val="nil"/>
              <w:right w:val="nil"/>
            </w:tcBorders>
            <w:shd w:val="clear" w:color="auto" w:fill="auto"/>
            <w:noWrap/>
            <w:tcMar>
              <w:top w:w="15" w:type="dxa"/>
              <w:left w:w="15" w:type="dxa"/>
              <w:bottom w:w="0" w:type="dxa"/>
              <w:right w:w="15" w:type="dxa"/>
            </w:tcMar>
            <w:vAlign w:val="center"/>
            <w:hideMark/>
          </w:tcPr>
          <w:p w14:paraId="1A37C0D3" w14:textId="56C158A1"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8</w:t>
            </w:r>
            <w:r w:rsidR="00183FF4">
              <w:rPr>
                <w:rFonts w:cs="Calibri"/>
                <w:color w:val="000000"/>
                <w:szCs w:val="18"/>
              </w:rPr>
              <w:t>3</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67ED0C35"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7</w:t>
            </w:r>
          </w:p>
        </w:tc>
      </w:tr>
      <w:tr w:rsidR="00C269B9" w:rsidRPr="004F30BD" w14:paraId="38A47C30" w14:textId="77777777" w:rsidTr="00C269B9">
        <w:trPr>
          <w:divId w:val="692800237"/>
          <w:trHeight w:val="450"/>
        </w:trPr>
        <w:tc>
          <w:tcPr>
            <w:tcW w:w="4680" w:type="dxa"/>
            <w:tcBorders>
              <w:top w:val="nil"/>
              <w:left w:val="nil"/>
              <w:bottom w:val="nil"/>
              <w:right w:val="nil"/>
            </w:tcBorders>
            <w:shd w:val="clear" w:color="000000" w:fill="D9D9D9"/>
            <w:tcMar>
              <w:top w:w="15" w:type="dxa"/>
              <w:left w:w="15" w:type="dxa"/>
              <w:bottom w:w="0" w:type="dxa"/>
              <w:right w:w="15" w:type="dxa"/>
            </w:tcMar>
            <w:vAlign w:val="center"/>
            <w:hideMark/>
          </w:tcPr>
          <w:p w14:paraId="193E786D" w14:textId="77777777" w:rsidR="00C269B9" w:rsidRPr="004F30BD" w:rsidRDefault="00C269B9" w:rsidP="00C269B9">
            <w:pPr>
              <w:spacing w:before="40" w:after="40" w:line="240" w:lineRule="auto"/>
              <w:ind w:right="0"/>
              <w:rPr>
                <w:rFonts w:eastAsia="Times New Roman" w:cs="Calibri"/>
                <w:color w:val="000000"/>
                <w:szCs w:val="18"/>
                <w:lang w:eastAsia="en-AU"/>
              </w:rPr>
            </w:pPr>
            <w:r w:rsidRPr="004F30BD">
              <w:rPr>
                <w:rFonts w:eastAsia="Times New Roman" w:cs="Calibri"/>
                <w:color w:val="000000"/>
                <w:szCs w:val="18"/>
                <w:lang w:eastAsia="en-AU"/>
              </w:rPr>
              <w:t>Communication: Usefulness of information provided on National Register</w:t>
            </w:r>
          </w:p>
        </w:tc>
        <w:tc>
          <w:tcPr>
            <w:tcW w:w="990" w:type="dxa"/>
            <w:tcBorders>
              <w:top w:val="nil"/>
              <w:left w:val="nil"/>
              <w:bottom w:val="nil"/>
              <w:right w:val="nil"/>
            </w:tcBorders>
            <w:shd w:val="clear" w:color="000000" w:fill="D9D9D9"/>
            <w:tcMar>
              <w:top w:w="15" w:type="dxa"/>
              <w:left w:w="15" w:type="dxa"/>
              <w:bottom w:w="0" w:type="dxa"/>
              <w:right w:w="15" w:type="dxa"/>
            </w:tcMar>
            <w:vAlign w:val="center"/>
            <w:hideMark/>
          </w:tcPr>
          <w:p w14:paraId="0C9E9E3B"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eastAsia="Times New Roman" w:cs="Calibri"/>
                <w:color w:val="000000"/>
                <w:szCs w:val="18"/>
                <w:lang w:eastAsia="en-AU"/>
              </w:rPr>
              <w:t>134</w:t>
            </w:r>
          </w:p>
        </w:tc>
        <w:tc>
          <w:tcPr>
            <w:tcW w:w="990" w:type="dxa"/>
            <w:tcBorders>
              <w:top w:val="nil"/>
              <w:left w:val="nil"/>
              <w:bottom w:val="nil"/>
              <w:right w:val="nil"/>
            </w:tcBorders>
            <w:shd w:val="clear" w:color="000000" w:fill="D9D9D9"/>
            <w:noWrap/>
            <w:tcMar>
              <w:top w:w="15" w:type="dxa"/>
              <w:left w:w="15" w:type="dxa"/>
              <w:bottom w:w="0" w:type="dxa"/>
              <w:right w:w="15" w:type="dxa"/>
            </w:tcMar>
            <w:vAlign w:val="center"/>
            <w:hideMark/>
          </w:tcPr>
          <w:p w14:paraId="3C28EC7D"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71</w:t>
            </w:r>
          </w:p>
        </w:tc>
        <w:tc>
          <w:tcPr>
            <w:tcW w:w="990" w:type="dxa"/>
            <w:tcBorders>
              <w:top w:val="nil"/>
              <w:left w:val="nil"/>
              <w:bottom w:val="nil"/>
              <w:right w:val="nil"/>
            </w:tcBorders>
            <w:shd w:val="clear" w:color="000000" w:fill="D9D9D9"/>
            <w:noWrap/>
            <w:tcMar>
              <w:top w:w="15" w:type="dxa"/>
              <w:left w:w="15" w:type="dxa"/>
              <w:bottom w:w="0" w:type="dxa"/>
              <w:right w:w="15" w:type="dxa"/>
            </w:tcMar>
            <w:vAlign w:val="center"/>
            <w:hideMark/>
          </w:tcPr>
          <w:p w14:paraId="090553F3"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74</w:t>
            </w:r>
          </w:p>
        </w:tc>
        <w:tc>
          <w:tcPr>
            <w:tcW w:w="990" w:type="dxa"/>
            <w:tcBorders>
              <w:top w:val="nil"/>
              <w:left w:val="nil"/>
              <w:bottom w:val="nil"/>
              <w:right w:val="nil"/>
            </w:tcBorders>
            <w:shd w:val="clear" w:color="000000" w:fill="D9D9D9"/>
            <w:tcMar>
              <w:top w:w="15" w:type="dxa"/>
              <w:left w:w="15" w:type="dxa"/>
              <w:bottom w:w="0" w:type="dxa"/>
              <w:right w:w="15" w:type="dxa"/>
            </w:tcMar>
            <w:vAlign w:val="center"/>
            <w:hideMark/>
          </w:tcPr>
          <w:p w14:paraId="2C725145"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-3</w:t>
            </w:r>
          </w:p>
        </w:tc>
      </w:tr>
      <w:tr w:rsidR="00C269B9" w:rsidRPr="004F30BD" w14:paraId="03412E66" w14:textId="77777777" w:rsidTr="00C269B9">
        <w:trPr>
          <w:divId w:val="692800237"/>
          <w:trHeight w:val="450"/>
        </w:trPr>
        <w:tc>
          <w:tcPr>
            <w:tcW w:w="4680" w:type="dxa"/>
            <w:tcBorders>
              <w:top w:val="nil"/>
              <w:left w:val="nil"/>
              <w:bottom w:val="nil"/>
              <w:right w:val="nil"/>
            </w:tcBorders>
            <w:shd w:val="clear" w:color="auto" w:fill="auto"/>
            <w:tcMar>
              <w:top w:w="15" w:type="dxa"/>
              <w:left w:w="15" w:type="dxa"/>
              <w:bottom w:w="0" w:type="dxa"/>
              <w:right w:w="15" w:type="dxa"/>
            </w:tcMar>
            <w:vAlign w:val="center"/>
            <w:hideMark/>
          </w:tcPr>
          <w:p w14:paraId="193D1927" w14:textId="77777777" w:rsidR="00C269B9" w:rsidRPr="004F30BD" w:rsidRDefault="00C269B9" w:rsidP="00C269B9">
            <w:pPr>
              <w:spacing w:before="40" w:after="40" w:line="240" w:lineRule="auto"/>
              <w:ind w:right="0"/>
              <w:rPr>
                <w:rFonts w:eastAsia="Times New Roman" w:cs="Calibri"/>
                <w:color w:val="000000"/>
                <w:szCs w:val="18"/>
                <w:lang w:eastAsia="en-AU"/>
              </w:rPr>
            </w:pPr>
            <w:r w:rsidRPr="004F30BD">
              <w:rPr>
                <w:rFonts w:eastAsia="Times New Roman" w:cs="Calibri"/>
                <w:color w:val="000000"/>
                <w:szCs w:val="18"/>
                <w:lang w:eastAsia="en-AU"/>
              </w:rPr>
              <w:t>Communication: Using a variety of media and channels to communicate sector-wide updates</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57FAAD3B"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eastAsia="Times New Roman" w:cs="Calibri"/>
                <w:color w:val="000000"/>
                <w:szCs w:val="18"/>
                <w:lang w:eastAsia="en-AU"/>
              </w:rPr>
              <w:t>136</w:t>
            </w:r>
          </w:p>
        </w:tc>
        <w:tc>
          <w:tcPr>
            <w:tcW w:w="990" w:type="dxa"/>
            <w:tcBorders>
              <w:top w:val="nil"/>
              <w:left w:val="nil"/>
              <w:bottom w:val="nil"/>
              <w:right w:val="nil"/>
            </w:tcBorders>
            <w:shd w:val="clear" w:color="auto" w:fill="auto"/>
            <w:noWrap/>
            <w:tcMar>
              <w:top w:w="15" w:type="dxa"/>
              <w:left w:w="15" w:type="dxa"/>
              <w:bottom w:w="0" w:type="dxa"/>
              <w:right w:w="15" w:type="dxa"/>
            </w:tcMar>
            <w:vAlign w:val="center"/>
            <w:hideMark/>
          </w:tcPr>
          <w:p w14:paraId="46D495E3"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71</w:t>
            </w:r>
          </w:p>
        </w:tc>
        <w:tc>
          <w:tcPr>
            <w:tcW w:w="990" w:type="dxa"/>
            <w:tcBorders>
              <w:top w:val="nil"/>
              <w:left w:val="nil"/>
              <w:bottom w:val="nil"/>
              <w:right w:val="nil"/>
            </w:tcBorders>
            <w:shd w:val="clear" w:color="auto" w:fill="auto"/>
            <w:noWrap/>
            <w:tcMar>
              <w:top w:w="15" w:type="dxa"/>
              <w:left w:w="15" w:type="dxa"/>
              <w:bottom w:w="0" w:type="dxa"/>
              <w:right w:w="15" w:type="dxa"/>
            </w:tcMar>
            <w:vAlign w:val="center"/>
            <w:hideMark/>
          </w:tcPr>
          <w:p w14:paraId="6486FD0E"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66</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29A6E8E4"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5</w:t>
            </w:r>
          </w:p>
        </w:tc>
      </w:tr>
      <w:tr w:rsidR="00C269B9" w:rsidRPr="004F30BD" w14:paraId="5C202489" w14:textId="77777777" w:rsidTr="00C269B9">
        <w:trPr>
          <w:divId w:val="692800237"/>
          <w:trHeight w:val="450"/>
        </w:trPr>
        <w:tc>
          <w:tcPr>
            <w:tcW w:w="4680" w:type="dxa"/>
            <w:tcBorders>
              <w:top w:val="nil"/>
              <w:left w:val="nil"/>
              <w:bottom w:val="nil"/>
              <w:right w:val="nil"/>
            </w:tcBorders>
            <w:shd w:val="clear" w:color="000000" w:fill="D9D9D9"/>
            <w:tcMar>
              <w:top w:w="15" w:type="dxa"/>
              <w:left w:w="15" w:type="dxa"/>
              <w:bottom w:w="0" w:type="dxa"/>
              <w:right w:w="15" w:type="dxa"/>
            </w:tcMar>
            <w:vAlign w:val="center"/>
            <w:hideMark/>
          </w:tcPr>
          <w:p w14:paraId="769DC20A" w14:textId="77777777" w:rsidR="00C269B9" w:rsidRPr="004F30BD" w:rsidRDefault="00C269B9" w:rsidP="00C269B9">
            <w:pPr>
              <w:spacing w:before="40" w:after="40" w:line="240" w:lineRule="auto"/>
              <w:ind w:right="0"/>
              <w:rPr>
                <w:rFonts w:eastAsia="Times New Roman" w:cs="Calibri"/>
                <w:color w:val="000000"/>
                <w:szCs w:val="18"/>
                <w:lang w:eastAsia="en-AU"/>
              </w:rPr>
            </w:pPr>
            <w:r w:rsidRPr="004F30BD">
              <w:rPr>
                <w:rFonts w:eastAsia="Times New Roman" w:cs="Calibri"/>
                <w:color w:val="000000"/>
                <w:szCs w:val="18"/>
                <w:lang w:eastAsia="en-AU"/>
              </w:rPr>
              <w:t>Communication: Usefulness of the information on the HES Framework (Threshold Standards) 2015</w:t>
            </w:r>
          </w:p>
        </w:tc>
        <w:tc>
          <w:tcPr>
            <w:tcW w:w="990" w:type="dxa"/>
            <w:tcBorders>
              <w:top w:val="nil"/>
              <w:left w:val="nil"/>
              <w:bottom w:val="nil"/>
              <w:right w:val="nil"/>
            </w:tcBorders>
            <w:shd w:val="clear" w:color="000000" w:fill="D9D9D9"/>
            <w:tcMar>
              <w:top w:w="15" w:type="dxa"/>
              <w:left w:w="15" w:type="dxa"/>
              <w:bottom w:w="0" w:type="dxa"/>
              <w:right w:w="15" w:type="dxa"/>
            </w:tcMar>
            <w:vAlign w:val="center"/>
            <w:hideMark/>
          </w:tcPr>
          <w:p w14:paraId="1D29E250"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eastAsia="Times New Roman" w:cs="Calibri"/>
                <w:color w:val="000000"/>
                <w:szCs w:val="18"/>
                <w:lang w:eastAsia="en-AU"/>
              </w:rPr>
              <w:t>111</w:t>
            </w:r>
          </w:p>
        </w:tc>
        <w:tc>
          <w:tcPr>
            <w:tcW w:w="990" w:type="dxa"/>
            <w:tcBorders>
              <w:top w:val="nil"/>
              <w:left w:val="nil"/>
              <w:bottom w:val="nil"/>
              <w:right w:val="nil"/>
            </w:tcBorders>
            <w:shd w:val="clear" w:color="000000" w:fill="D9D9D9"/>
            <w:noWrap/>
            <w:tcMar>
              <w:top w:w="15" w:type="dxa"/>
              <w:left w:w="15" w:type="dxa"/>
              <w:bottom w:w="0" w:type="dxa"/>
              <w:right w:w="15" w:type="dxa"/>
            </w:tcMar>
            <w:vAlign w:val="center"/>
            <w:hideMark/>
          </w:tcPr>
          <w:p w14:paraId="6ADBD806"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88</w:t>
            </w:r>
          </w:p>
        </w:tc>
        <w:tc>
          <w:tcPr>
            <w:tcW w:w="990" w:type="dxa"/>
            <w:tcBorders>
              <w:top w:val="nil"/>
              <w:left w:val="nil"/>
              <w:bottom w:val="nil"/>
              <w:right w:val="nil"/>
            </w:tcBorders>
            <w:shd w:val="clear" w:color="000000" w:fill="D9D9D9"/>
            <w:noWrap/>
            <w:tcMar>
              <w:top w:w="15" w:type="dxa"/>
              <w:left w:w="15" w:type="dxa"/>
              <w:bottom w:w="0" w:type="dxa"/>
              <w:right w:w="15" w:type="dxa"/>
            </w:tcMar>
            <w:vAlign w:val="center"/>
            <w:hideMark/>
          </w:tcPr>
          <w:p w14:paraId="0EFB4A88"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86</w:t>
            </w:r>
          </w:p>
        </w:tc>
        <w:tc>
          <w:tcPr>
            <w:tcW w:w="990" w:type="dxa"/>
            <w:tcBorders>
              <w:top w:val="nil"/>
              <w:left w:val="nil"/>
              <w:bottom w:val="nil"/>
              <w:right w:val="nil"/>
            </w:tcBorders>
            <w:shd w:val="clear" w:color="000000" w:fill="D9D9D9"/>
            <w:tcMar>
              <w:top w:w="15" w:type="dxa"/>
              <w:left w:w="15" w:type="dxa"/>
              <w:bottom w:w="0" w:type="dxa"/>
              <w:right w:w="15" w:type="dxa"/>
            </w:tcMar>
            <w:vAlign w:val="center"/>
            <w:hideMark/>
          </w:tcPr>
          <w:p w14:paraId="5966E9B2"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1</w:t>
            </w:r>
          </w:p>
        </w:tc>
      </w:tr>
      <w:tr w:rsidR="00C269B9" w:rsidRPr="004F30BD" w14:paraId="7DD10937" w14:textId="77777777" w:rsidTr="00C269B9">
        <w:trPr>
          <w:divId w:val="692800237"/>
          <w:trHeight w:val="480"/>
        </w:trPr>
        <w:tc>
          <w:tcPr>
            <w:tcW w:w="4680" w:type="dxa"/>
            <w:tcBorders>
              <w:top w:val="nil"/>
              <w:left w:val="nil"/>
              <w:bottom w:val="nil"/>
              <w:right w:val="nil"/>
            </w:tcBorders>
            <w:shd w:val="clear" w:color="auto" w:fill="auto"/>
            <w:tcMar>
              <w:top w:w="15" w:type="dxa"/>
              <w:left w:w="15" w:type="dxa"/>
              <w:bottom w:w="0" w:type="dxa"/>
              <w:right w:w="15" w:type="dxa"/>
            </w:tcMar>
            <w:vAlign w:val="center"/>
            <w:hideMark/>
          </w:tcPr>
          <w:p w14:paraId="58267190" w14:textId="77777777" w:rsidR="00C269B9" w:rsidRPr="004F30BD" w:rsidRDefault="00C269B9" w:rsidP="00C269B9">
            <w:pPr>
              <w:spacing w:before="40" w:after="40" w:line="240" w:lineRule="auto"/>
              <w:ind w:right="0"/>
              <w:rPr>
                <w:rFonts w:eastAsia="Times New Roman" w:cs="Calibri"/>
                <w:color w:val="000000"/>
                <w:szCs w:val="18"/>
                <w:lang w:eastAsia="en-AU"/>
              </w:rPr>
            </w:pPr>
            <w:r w:rsidRPr="004F30BD">
              <w:rPr>
                <w:rFonts w:eastAsia="Times New Roman" w:cs="Calibri"/>
                <w:color w:val="000000"/>
                <w:szCs w:val="18"/>
                <w:lang w:eastAsia="en-AU"/>
              </w:rPr>
              <w:t>Communication: Usefulness of the TEQSA conference</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55DF7A54"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eastAsia="Times New Roman" w:cs="Calibri"/>
                <w:color w:val="000000"/>
                <w:szCs w:val="18"/>
                <w:lang w:eastAsia="en-AU"/>
              </w:rPr>
              <w:t>126</w:t>
            </w:r>
          </w:p>
        </w:tc>
        <w:tc>
          <w:tcPr>
            <w:tcW w:w="990" w:type="dxa"/>
            <w:tcBorders>
              <w:top w:val="nil"/>
              <w:left w:val="nil"/>
              <w:bottom w:val="nil"/>
              <w:right w:val="nil"/>
            </w:tcBorders>
            <w:shd w:val="clear" w:color="000000" w:fill="FFFF00"/>
            <w:noWrap/>
            <w:tcMar>
              <w:top w:w="15" w:type="dxa"/>
              <w:left w:w="15" w:type="dxa"/>
              <w:bottom w:w="0" w:type="dxa"/>
              <w:right w:w="15" w:type="dxa"/>
            </w:tcMar>
            <w:vAlign w:val="center"/>
            <w:hideMark/>
          </w:tcPr>
          <w:p w14:paraId="7964BA42"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65</w:t>
            </w:r>
          </w:p>
        </w:tc>
        <w:tc>
          <w:tcPr>
            <w:tcW w:w="990" w:type="dxa"/>
            <w:tcBorders>
              <w:top w:val="nil"/>
              <w:left w:val="nil"/>
              <w:bottom w:val="nil"/>
              <w:right w:val="nil"/>
            </w:tcBorders>
            <w:shd w:val="clear" w:color="000000" w:fill="FFFF00"/>
            <w:noWrap/>
            <w:tcMar>
              <w:top w:w="15" w:type="dxa"/>
              <w:left w:w="15" w:type="dxa"/>
              <w:bottom w:w="0" w:type="dxa"/>
              <w:right w:w="15" w:type="dxa"/>
            </w:tcMar>
            <w:vAlign w:val="center"/>
            <w:hideMark/>
          </w:tcPr>
          <w:p w14:paraId="284A7CB3" w14:textId="794D67F8"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8</w:t>
            </w:r>
            <w:r w:rsidR="00183FF4">
              <w:rPr>
                <w:rFonts w:cs="Calibri"/>
                <w:color w:val="000000"/>
                <w:szCs w:val="18"/>
              </w:rPr>
              <w:t>3</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4C9EA948" w14:textId="01E7A12C"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-1</w:t>
            </w:r>
            <w:r w:rsidR="00183FF4">
              <w:rPr>
                <w:rFonts w:cs="Calibri"/>
                <w:color w:val="000000"/>
                <w:szCs w:val="18"/>
              </w:rPr>
              <w:t>8</w:t>
            </w:r>
          </w:p>
        </w:tc>
      </w:tr>
      <w:tr w:rsidR="00C269B9" w:rsidRPr="004F30BD" w14:paraId="24E6480F" w14:textId="77777777" w:rsidTr="00C269B9">
        <w:trPr>
          <w:divId w:val="692800237"/>
          <w:trHeight w:val="450"/>
        </w:trPr>
        <w:tc>
          <w:tcPr>
            <w:tcW w:w="4680" w:type="dxa"/>
            <w:tcBorders>
              <w:top w:val="nil"/>
              <w:left w:val="nil"/>
              <w:bottom w:val="nil"/>
              <w:right w:val="nil"/>
            </w:tcBorders>
            <w:shd w:val="clear" w:color="000000" w:fill="D9D9D9"/>
            <w:tcMar>
              <w:top w:w="15" w:type="dxa"/>
              <w:left w:w="15" w:type="dxa"/>
              <w:bottom w:w="0" w:type="dxa"/>
              <w:right w:w="15" w:type="dxa"/>
            </w:tcMar>
            <w:vAlign w:val="center"/>
            <w:hideMark/>
          </w:tcPr>
          <w:p w14:paraId="575B8FEB" w14:textId="77777777" w:rsidR="00C269B9" w:rsidRPr="004F30BD" w:rsidRDefault="00C269B9" w:rsidP="00C269B9">
            <w:pPr>
              <w:spacing w:before="40" w:after="40" w:line="240" w:lineRule="auto"/>
              <w:ind w:right="0"/>
              <w:rPr>
                <w:rFonts w:eastAsia="Times New Roman" w:cs="Calibri"/>
                <w:color w:val="000000"/>
                <w:szCs w:val="18"/>
                <w:lang w:eastAsia="en-AU"/>
              </w:rPr>
            </w:pPr>
            <w:r w:rsidRPr="004F30BD">
              <w:rPr>
                <w:rFonts w:eastAsia="Times New Roman" w:cs="Calibri"/>
                <w:color w:val="000000"/>
                <w:szCs w:val="18"/>
                <w:lang w:eastAsia="en-AU"/>
              </w:rPr>
              <w:t>Consultation: Providing organisation with opportunity to give feedback on application processes</w:t>
            </w:r>
          </w:p>
        </w:tc>
        <w:tc>
          <w:tcPr>
            <w:tcW w:w="990" w:type="dxa"/>
            <w:tcBorders>
              <w:top w:val="nil"/>
              <w:left w:val="nil"/>
              <w:bottom w:val="nil"/>
              <w:right w:val="nil"/>
            </w:tcBorders>
            <w:shd w:val="clear" w:color="000000" w:fill="D9D9D9"/>
            <w:tcMar>
              <w:top w:w="15" w:type="dxa"/>
              <w:left w:w="15" w:type="dxa"/>
              <w:bottom w:w="0" w:type="dxa"/>
              <w:right w:w="15" w:type="dxa"/>
            </w:tcMar>
            <w:vAlign w:val="center"/>
            <w:hideMark/>
          </w:tcPr>
          <w:p w14:paraId="6EAD1DD5"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eastAsia="Times New Roman" w:cs="Calibri"/>
                <w:color w:val="000000"/>
                <w:szCs w:val="18"/>
                <w:lang w:eastAsia="en-AU"/>
              </w:rPr>
              <w:t>78</w:t>
            </w:r>
          </w:p>
        </w:tc>
        <w:tc>
          <w:tcPr>
            <w:tcW w:w="990" w:type="dxa"/>
            <w:tcBorders>
              <w:top w:val="nil"/>
              <w:left w:val="nil"/>
              <w:bottom w:val="nil"/>
              <w:right w:val="nil"/>
            </w:tcBorders>
            <w:shd w:val="clear" w:color="000000" w:fill="D9D9D9"/>
            <w:noWrap/>
            <w:tcMar>
              <w:top w:w="15" w:type="dxa"/>
              <w:left w:w="15" w:type="dxa"/>
              <w:bottom w:w="0" w:type="dxa"/>
              <w:right w:w="15" w:type="dxa"/>
            </w:tcMar>
            <w:vAlign w:val="center"/>
            <w:hideMark/>
          </w:tcPr>
          <w:p w14:paraId="025E7110"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61</w:t>
            </w:r>
          </w:p>
        </w:tc>
        <w:tc>
          <w:tcPr>
            <w:tcW w:w="990" w:type="dxa"/>
            <w:tcBorders>
              <w:top w:val="nil"/>
              <w:left w:val="nil"/>
              <w:bottom w:val="nil"/>
              <w:right w:val="nil"/>
            </w:tcBorders>
            <w:shd w:val="clear" w:color="000000" w:fill="D9D9D9"/>
            <w:noWrap/>
            <w:tcMar>
              <w:top w:w="15" w:type="dxa"/>
              <w:left w:w="15" w:type="dxa"/>
              <w:bottom w:w="0" w:type="dxa"/>
              <w:right w:w="15" w:type="dxa"/>
            </w:tcMar>
            <w:vAlign w:val="center"/>
            <w:hideMark/>
          </w:tcPr>
          <w:p w14:paraId="7C242FE0"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65</w:t>
            </w:r>
          </w:p>
        </w:tc>
        <w:tc>
          <w:tcPr>
            <w:tcW w:w="990" w:type="dxa"/>
            <w:tcBorders>
              <w:top w:val="nil"/>
              <w:left w:val="nil"/>
              <w:bottom w:val="nil"/>
              <w:right w:val="nil"/>
            </w:tcBorders>
            <w:shd w:val="clear" w:color="000000" w:fill="D9D9D9"/>
            <w:tcMar>
              <w:top w:w="15" w:type="dxa"/>
              <w:left w:w="15" w:type="dxa"/>
              <w:bottom w:w="0" w:type="dxa"/>
              <w:right w:w="15" w:type="dxa"/>
            </w:tcMar>
            <w:vAlign w:val="center"/>
            <w:hideMark/>
          </w:tcPr>
          <w:p w14:paraId="134DA602"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-3</w:t>
            </w:r>
          </w:p>
        </w:tc>
      </w:tr>
      <w:tr w:rsidR="00C269B9" w:rsidRPr="004F30BD" w14:paraId="0A395EA9" w14:textId="77777777" w:rsidTr="00C269B9">
        <w:trPr>
          <w:divId w:val="692800237"/>
          <w:trHeight w:val="450"/>
        </w:trPr>
        <w:tc>
          <w:tcPr>
            <w:tcW w:w="4680" w:type="dxa"/>
            <w:tcBorders>
              <w:top w:val="nil"/>
              <w:left w:val="nil"/>
              <w:bottom w:val="nil"/>
              <w:right w:val="nil"/>
            </w:tcBorders>
            <w:shd w:val="clear" w:color="auto" w:fill="auto"/>
            <w:tcMar>
              <w:top w:w="15" w:type="dxa"/>
              <w:left w:w="15" w:type="dxa"/>
              <w:bottom w:w="0" w:type="dxa"/>
              <w:right w:w="15" w:type="dxa"/>
            </w:tcMar>
            <w:vAlign w:val="center"/>
            <w:hideMark/>
          </w:tcPr>
          <w:p w14:paraId="31673D2B" w14:textId="77777777" w:rsidR="00C269B9" w:rsidRPr="004F30BD" w:rsidRDefault="00C269B9" w:rsidP="00C269B9">
            <w:pPr>
              <w:spacing w:before="40" w:after="40" w:line="240" w:lineRule="auto"/>
              <w:ind w:right="0"/>
              <w:rPr>
                <w:rFonts w:eastAsia="Times New Roman" w:cs="Calibri"/>
                <w:color w:val="000000"/>
                <w:szCs w:val="18"/>
                <w:lang w:eastAsia="en-AU"/>
              </w:rPr>
            </w:pPr>
            <w:r w:rsidRPr="004F30BD">
              <w:rPr>
                <w:rFonts w:eastAsia="Times New Roman" w:cs="Calibri"/>
                <w:color w:val="000000"/>
                <w:szCs w:val="18"/>
                <w:lang w:eastAsia="en-AU"/>
              </w:rPr>
              <w:t>Consultation: Providing organisation with opportunity to give feedback on annual risk assessment process</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60A26CAA"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eastAsia="Times New Roman" w:cs="Calibri"/>
                <w:color w:val="000000"/>
                <w:szCs w:val="18"/>
                <w:lang w:eastAsia="en-AU"/>
              </w:rPr>
              <w:t>50</w:t>
            </w:r>
          </w:p>
        </w:tc>
        <w:tc>
          <w:tcPr>
            <w:tcW w:w="990" w:type="dxa"/>
            <w:tcBorders>
              <w:top w:val="nil"/>
              <w:left w:val="nil"/>
              <w:bottom w:val="nil"/>
              <w:right w:val="nil"/>
            </w:tcBorders>
            <w:shd w:val="clear" w:color="auto" w:fill="auto"/>
            <w:noWrap/>
            <w:tcMar>
              <w:top w:w="15" w:type="dxa"/>
              <w:left w:w="15" w:type="dxa"/>
              <w:bottom w:w="0" w:type="dxa"/>
              <w:right w:w="15" w:type="dxa"/>
            </w:tcMar>
            <w:vAlign w:val="center"/>
            <w:hideMark/>
          </w:tcPr>
          <w:p w14:paraId="522FB1FD"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65</w:t>
            </w:r>
          </w:p>
        </w:tc>
        <w:tc>
          <w:tcPr>
            <w:tcW w:w="990" w:type="dxa"/>
            <w:tcBorders>
              <w:top w:val="nil"/>
              <w:left w:val="nil"/>
              <w:bottom w:val="nil"/>
              <w:right w:val="nil"/>
            </w:tcBorders>
            <w:shd w:val="clear" w:color="auto" w:fill="auto"/>
            <w:noWrap/>
            <w:tcMar>
              <w:top w:w="15" w:type="dxa"/>
              <w:left w:w="15" w:type="dxa"/>
              <w:bottom w:w="0" w:type="dxa"/>
              <w:right w:w="15" w:type="dxa"/>
            </w:tcMar>
            <w:vAlign w:val="center"/>
            <w:hideMark/>
          </w:tcPr>
          <w:p w14:paraId="0ACC16E6"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56</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52971CD1"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9</w:t>
            </w:r>
          </w:p>
        </w:tc>
      </w:tr>
      <w:tr w:rsidR="00C269B9" w:rsidRPr="004F30BD" w14:paraId="4704E899" w14:textId="77777777" w:rsidTr="00C269B9">
        <w:trPr>
          <w:divId w:val="692800237"/>
          <w:trHeight w:val="480"/>
        </w:trPr>
        <w:tc>
          <w:tcPr>
            <w:tcW w:w="4680" w:type="dxa"/>
            <w:tcBorders>
              <w:top w:val="nil"/>
              <w:left w:val="nil"/>
              <w:bottom w:val="nil"/>
              <w:right w:val="nil"/>
            </w:tcBorders>
            <w:shd w:val="clear" w:color="000000" w:fill="D9D9D9"/>
            <w:tcMar>
              <w:top w:w="15" w:type="dxa"/>
              <w:left w:w="15" w:type="dxa"/>
              <w:bottom w:w="0" w:type="dxa"/>
              <w:right w:w="15" w:type="dxa"/>
            </w:tcMar>
            <w:vAlign w:val="center"/>
            <w:hideMark/>
          </w:tcPr>
          <w:p w14:paraId="55F13FFA" w14:textId="77777777" w:rsidR="00C269B9" w:rsidRPr="004F30BD" w:rsidRDefault="00C269B9" w:rsidP="00C269B9">
            <w:pPr>
              <w:spacing w:before="40" w:after="40" w:line="240" w:lineRule="auto"/>
              <w:ind w:right="0"/>
              <w:rPr>
                <w:rFonts w:eastAsia="Times New Roman" w:cs="Calibri"/>
                <w:color w:val="000000"/>
                <w:szCs w:val="18"/>
                <w:lang w:eastAsia="en-AU"/>
              </w:rPr>
            </w:pPr>
            <w:r w:rsidRPr="004F30BD">
              <w:rPr>
                <w:rFonts w:eastAsia="Times New Roman" w:cs="Calibri"/>
                <w:color w:val="000000"/>
                <w:szCs w:val="18"/>
                <w:lang w:eastAsia="en-AU"/>
              </w:rPr>
              <w:t>Application process: Clarity of the application guide</w:t>
            </w:r>
          </w:p>
        </w:tc>
        <w:tc>
          <w:tcPr>
            <w:tcW w:w="990" w:type="dxa"/>
            <w:tcBorders>
              <w:top w:val="nil"/>
              <w:left w:val="nil"/>
              <w:bottom w:val="nil"/>
              <w:right w:val="nil"/>
            </w:tcBorders>
            <w:shd w:val="clear" w:color="000000" w:fill="D9D9D9"/>
            <w:tcMar>
              <w:top w:w="15" w:type="dxa"/>
              <w:left w:w="15" w:type="dxa"/>
              <w:bottom w:w="0" w:type="dxa"/>
              <w:right w:w="15" w:type="dxa"/>
            </w:tcMar>
            <w:vAlign w:val="center"/>
            <w:hideMark/>
          </w:tcPr>
          <w:p w14:paraId="233037B5"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eastAsia="Times New Roman" w:cs="Calibri"/>
                <w:color w:val="000000"/>
                <w:szCs w:val="18"/>
                <w:lang w:eastAsia="en-AU"/>
              </w:rPr>
              <w:t>72</w:t>
            </w:r>
          </w:p>
        </w:tc>
        <w:tc>
          <w:tcPr>
            <w:tcW w:w="990" w:type="dxa"/>
            <w:tcBorders>
              <w:top w:val="nil"/>
              <w:left w:val="nil"/>
              <w:bottom w:val="nil"/>
              <w:right w:val="nil"/>
            </w:tcBorders>
            <w:shd w:val="clear" w:color="000000" w:fill="D9D9D9"/>
            <w:noWrap/>
            <w:tcMar>
              <w:top w:w="15" w:type="dxa"/>
              <w:left w:w="15" w:type="dxa"/>
              <w:bottom w:w="0" w:type="dxa"/>
              <w:right w:w="15" w:type="dxa"/>
            </w:tcMar>
            <w:vAlign w:val="center"/>
            <w:hideMark/>
          </w:tcPr>
          <w:p w14:paraId="0BD5E516"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80</w:t>
            </w:r>
          </w:p>
        </w:tc>
        <w:tc>
          <w:tcPr>
            <w:tcW w:w="990" w:type="dxa"/>
            <w:tcBorders>
              <w:top w:val="nil"/>
              <w:left w:val="nil"/>
              <w:bottom w:val="nil"/>
              <w:right w:val="nil"/>
            </w:tcBorders>
            <w:shd w:val="clear" w:color="000000" w:fill="D9D9D9"/>
            <w:noWrap/>
            <w:tcMar>
              <w:top w:w="15" w:type="dxa"/>
              <w:left w:w="15" w:type="dxa"/>
              <w:bottom w:w="0" w:type="dxa"/>
              <w:right w:w="15" w:type="dxa"/>
            </w:tcMar>
            <w:vAlign w:val="center"/>
            <w:hideMark/>
          </w:tcPr>
          <w:p w14:paraId="27C237AA"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70</w:t>
            </w:r>
          </w:p>
        </w:tc>
        <w:tc>
          <w:tcPr>
            <w:tcW w:w="990" w:type="dxa"/>
            <w:tcBorders>
              <w:top w:val="nil"/>
              <w:left w:val="nil"/>
              <w:bottom w:val="nil"/>
              <w:right w:val="nil"/>
            </w:tcBorders>
            <w:shd w:val="clear" w:color="000000" w:fill="D9D9D9"/>
            <w:tcMar>
              <w:top w:w="15" w:type="dxa"/>
              <w:left w:w="15" w:type="dxa"/>
              <w:bottom w:w="0" w:type="dxa"/>
              <w:right w:w="15" w:type="dxa"/>
            </w:tcMar>
            <w:vAlign w:val="center"/>
            <w:hideMark/>
          </w:tcPr>
          <w:p w14:paraId="60DE30D9"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10</w:t>
            </w:r>
          </w:p>
        </w:tc>
      </w:tr>
      <w:tr w:rsidR="00C269B9" w:rsidRPr="004F30BD" w14:paraId="4C9EAC7C" w14:textId="77777777" w:rsidTr="00C269B9">
        <w:trPr>
          <w:divId w:val="692800237"/>
          <w:trHeight w:val="450"/>
        </w:trPr>
        <w:tc>
          <w:tcPr>
            <w:tcW w:w="4680" w:type="dxa"/>
            <w:tcBorders>
              <w:top w:val="nil"/>
              <w:left w:val="nil"/>
              <w:bottom w:val="nil"/>
              <w:right w:val="nil"/>
            </w:tcBorders>
            <w:shd w:val="clear" w:color="auto" w:fill="auto"/>
            <w:tcMar>
              <w:top w:w="15" w:type="dxa"/>
              <w:left w:w="15" w:type="dxa"/>
              <w:bottom w:w="0" w:type="dxa"/>
              <w:right w:w="15" w:type="dxa"/>
            </w:tcMar>
            <w:vAlign w:val="center"/>
            <w:hideMark/>
          </w:tcPr>
          <w:p w14:paraId="225C0169" w14:textId="77777777" w:rsidR="00C269B9" w:rsidRPr="004F30BD" w:rsidRDefault="00C269B9" w:rsidP="00C269B9">
            <w:pPr>
              <w:spacing w:before="40" w:after="40" w:line="240" w:lineRule="auto"/>
              <w:ind w:right="0"/>
              <w:rPr>
                <w:rFonts w:eastAsia="Times New Roman" w:cs="Calibri"/>
                <w:color w:val="000000"/>
                <w:szCs w:val="18"/>
                <w:lang w:eastAsia="en-AU"/>
              </w:rPr>
            </w:pPr>
            <w:r w:rsidRPr="004F30BD">
              <w:rPr>
                <w:rFonts w:eastAsia="Times New Roman" w:cs="Calibri"/>
                <w:color w:val="000000"/>
                <w:szCs w:val="18"/>
                <w:lang w:eastAsia="en-AU"/>
              </w:rPr>
              <w:t>Application process: Clarity of assessment scope and evidence requirements</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3EAEEC17"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eastAsia="Times New Roman" w:cs="Calibri"/>
                <w:color w:val="000000"/>
                <w:szCs w:val="18"/>
                <w:lang w:eastAsia="en-AU"/>
              </w:rPr>
              <w:t>68</w:t>
            </w:r>
          </w:p>
        </w:tc>
        <w:tc>
          <w:tcPr>
            <w:tcW w:w="990" w:type="dxa"/>
            <w:tcBorders>
              <w:top w:val="nil"/>
              <w:left w:val="nil"/>
              <w:bottom w:val="nil"/>
              <w:right w:val="nil"/>
            </w:tcBorders>
            <w:shd w:val="clear" w:color="auto" w:fill="auto"/>
            <w:noWrap/>
            <w:tcMar>
              <w:top w:w="15" w:type="dxa"/>
              <w:left w:w="15" w:type="dxa"/>
              <w:bottom w:w="0" w:type="dxa"/>
              <w:right w:w="15" w:type="dxa"/>
            </w:tcMar>
            <w:vAlign w:val="center"/>
            <w:hideMark/>
          </w:tcPr>
          <w:p w14:paraId="57A40B1E"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74</w:t>
            </w:r>
          </w:p>
        </w:tc>
        <w:tc>
          <w:tcPr>
            <w:tcW w:w="990" w:type="dxa"/>
            <w:tcBorders>
              <w:top w:val="nil"/>
              <w:left w:val="nil"/>
              <w:bottom w:val="nil"/>
              <w:right w:val="nil"/>
            </w:tcBorders>
            <w:shd w:val="clear" w:color="auto" w:fill="auto"/>
            <w:noWrap/>
            <w:tcMar>
              <w:top w:w="15" w:type="dxa"/>
              <w:left w:w="15" w:type="dxa"/>
              <w:bottom w:w="0" w:type="dxa"/>
              <w:right w:w="15" w:type="dxa"/>
            </w:tcMar>
            <w:vAlign w:val="center"/>
            <w:hideMark/>
          </w:tcPr>
          <w:p w14:paraId="4B4B52CB"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65</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23B407DF"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9</w:t>
            </w:r>
          </w:p>
        </w:tc>
      </w:tr>
      <w:tr w:rsidR="00C269B9" w:rsidRPr="004F30BD" w14:paraId="79827BD5" w14:textId="77777777" w:rsidTr="00C269B9">
        <w:trPr>
          <w:divId w:val="692800237"/>
          <w:trHeight w:val="450"/>
        </w:trPr>
        <w:tc>
          <w:tcPr>
            <w:tcW w:w="4680" w:type="dxa"/>
            <w:tcBorders>
              <w:top w:val="nil"/>
              <w:left w:val="nil"/>
              <w:bottom w:val="nil"/>
              <w:right w:val="nil"/>
            </w:tcBorders>
            <w:shd w:val="clear" w:color="000000" w:fill="D9D9D9"/>
            <w:tcMar>
              <w:top w:w="15" w:type="dxa"/>
              <w:left w:w="15" w:type="dxa"/>
              <w:bottom w:w="0" w:type="dxa"/>
              <w:right w:w="15" w:type="dxa"/>
            </w:tcMar>
            <w:vAlign w:val="center"/>
            <w:hideMark/>
          </w:tcPr>
          <w:p w14:paraId="7E4BECE8" w14:textId="77777777" w:rsidR="00C269B9" w:rsidRPr="004F30BD" w:rsidRDefault="00C269B9" w:rsidP="00C269B9">
            <w:pPr>
              <w:spacing w:before="40" w:after="40" w:line="240" w:lineRule="auto"/>
              <w:ind w:right="0"/>
              <w:rPr>
                <w:rFonts w:eastAsia="Times New Roman" w:cs="Calibri"/>
                <w:color w:val="000000"/>
                <w:szCs w:val="18"/>
                <w:lang w:eastAsia="en-AU"/>
              </w:rPr>
            </w:pPr>
            <w:r w:rsidRPr="004F30BD">
              <w:rPr>
                <w:rFonts w:eastAsia="Times New Roman" w:cs="Calibri"/>
                <w:color w:val="000000"/>
                <w:szCs w:val="18"/>
                <w:lang w:eastAsia="en-AU"/>
              </w:rPr>
              <w:t>Application process: Usefulness of information about how to prepare an application</w:t>
            </w:r>
          </w:p>
        </w:tc>
        <w:tc>
          <w:tcPr>
            <w:tcW w:w="990" w:type="dxa"/>
            <w:tcBorders>
              <w:top w:val="nil"/>
              <w:left w:val="nil"/>
              <w:bottom w:val="nil"/>
              <w:right w:val="nil"/>
            </w:tcBorders>
            <w:shd w:val="clear" w:color="000000" w:fill="D9D9D9"/>
            <w:tcMar>
              <w:top w:w="15" w:type="dxa"/>
              <w:left w:w="15" w:type="dxa"/>
              <w:bottom w:w="0" w:type="dxa"/>
              <w:right w:w="15" w:type="dxa"/>
            </w:tcMar>
            <w:vAlign w:val="center"/>
            <w:hideMark/>
          </w:tcPr>
          <w:p w14:paraId="41CC74A5"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eastAsia="Times New Roman" w:cs="Calibri"/>
                <w:color w:val="000000"/>
                <w:szCs w:val="18"/>
                <w:lang w:eastAsia="en-AU"/>
              </w:rPr>
              <w:t>49</w:t>
            </w:r>
          </w:p>
        </w:tc>
        <w:tc>
          <w:tcPr>
            <w:tcW w:w="990" w:type="dxa"/>
            <w:tcBorders>
              <w:top w:val="nil"/>
              <w:left w:val="nil"/>
              <w:bottom w:val="nil"/>
              <w:right w:val="nil"/>
            </w:tcBorders>
            <w:shd w:val="clear" w:color="000000" w:fill="D9D9D9"/>
            <w:noWrap/>
            <w:tcMar>
              <w:top w:w="15" w:type="dxa"/>
              <w:left w:w="15" w:type="dxa"/>
              <w:bottom w:w="0" w:type="dxa"/>
              <w:right w:w="15" w:type="dxa"/>
            </w:tcMar>
            <w:vAlign w:val="center"/>
            <w:hideMark/>
          </w:tcPr>
          <w:p w14:paraId="5BA3BB3A"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74</w:t>
            </w:r>
          </w:p>
        </w:tc>
        <w:tc>
          <w:tcPr>
            <w:tcW w:w="990" w:type="dxa"/>
            <w:tcBorders>
              <w:top w:val="nil"/>
              <w:left w:val="nil"/>
              <w:bottom w:val="nil"/>
              <w:right w:val="nil"/>
            </w:tcBorders>
            <w:shd w:val="clear" w:color="000000" w:fill="D9D9D9"/>
            <w:noWrap/>
            <w:tcMar>
              <w:top w:w="15" w:type="dxa"/>
              <w:left w:w="15" w:type="dxa"/>
              <w:bottom w:w="0" w:type="dxa"/>
              <w:right w:w="15" w:type="dxa"/>
            </w:tcMar>
            <w:vAlign w:val="center"/>
            <w:hideMark/>
          </w:tcPr>
          <w:p w14:paraId="33527F61"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66</w:t>
            </w:r>
          </w:p>
        </w:tc>
        <w:tc>
          <w:tcPr>
            <w:tcW w:w="990" w:type="dxa"/>
            <w:tcBorders>
              <w:top w:val="nil"/>
              <w:left w:val="nil"/>
              <w:bottom w:val="nil"/>
              <w:right w:val="nil"/>
            </w:tcBorders>
            <w:shd w:val="clear" w:color="000000" w:fill="D9D9D9"/>
            <w:tcMar>
              <w:top w:w="15" w:type="dxa"/>
              <w:left w:w="15" w:type="dxa"/>
              <w:bottom w:w="0" w:type="dxa"/>
              <w:right w:w="15" w:type="dxa"/>
            </w:tcMar>
            <w:vAlign w:val="center"/>
            <w:hideMark/>
          </w:tcPr>
          <w:p w14:paraId="7EED87DF"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8</w:t>
            </w:r>
          </w:p>
        </w:tc>
      </w:tr>
      <w:tr w:rsidR="00C269B9" w:rsidRPr="004F30BD" w14:paraId="6EB4CC40" w14:textId="77777777" w:rsidTr="00C269B9">
        <w:trPr>
          <w:divId w:val="692800237"/>
          <w:trHeight w:val="450"/>
        </w:trPr>
        <w:tc>
          <w:tcPr>
            <w:tcW w:w="4680" w:type="dxa"/>
            <w:tcBorders>
              <w:top w:val="nil"/>
              <w:left w:val="nil"/>
              <w:bottom w:val="nil"/>
              <w:right w:val="nil"/>
            </w:tcBorders>
            <w:shd w:val="clear" w:color="auto" w:fill="auto"/>
            <w:tcMar>
              <w:top w:w="15" w:type="dxa"/>
              <w:left w:w="15" w:type="dxa"/>
              <w:bottom w:w="0" w:type="dxa"/>
              <w:right w:w="15" w:type="dxa"/>
            </w:tcMar>
            <w:vAlign w:val="center"/>
            <w:hideMark/>
          </w:tcPr>
          <w:p w14:paraId="1DD5841B" w14:textId="77777777" w:rsidR="00C269B9" w:rsidRPr="004F30BD" w:rsidRDefault="00C269B9" w:rsidP="00C269B9">
            <w:pPr>
              <w:spacing w:before="40" w:after="40" w:line="240" w:lineRule="auto"/>
              <w:ind w:right="0"/>
              <w:rPr>
                <w:rFonts w:eastAsia="Times New Roman" w:cs="Calibri"/>
                <w:color w:val="000000"/>
                <w:szCs w:val="18"/>
                <w:lang w:eastAsia="en-AU"/>
              </w:rPr>
            </w:pPr>
            <w:r w:rsidRPr="004F30BD">
              <w:rPr>
                <w:rFonts w:eastAsia="Times New Roman" w:cs="Calibri"/>
                <w:color w:val="000000"/>
                <w:szCs w:val="18"/>
                <w:lang w:eastAsia="en-AU"/>
              </w:rPr>
              <w:lastRenderedPageBreak/>
              <w:t>Application process: Timeliness of feedback from TEQSA about application, including those unlikely successful</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2339BEAD"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eastAsia="Times New Roman" w:cs="Calibri"/>
                <w:color w:val="000000"/>
                <w:szCs w:val="18"/>
                <w:lang w:eastAsia="en-AU"/>
              </w:rPr>
              <w:t>84</w:t>
            </w:r>
          </w:p>
        </w:tc>
        <w:tc>
          <w:tcPr>
            <w:tcW w:w="990" w:type="dxa"/>
            <w:tcBorders>
              <w:top w:val="nil"/>
              <w:left w:val="nil"/>
              <w:bottom w:val="nil"/>
              <w:right w:val="nil"/>
            </w:tcBorders>
            <w:shd w:val="clear" w:color="auto" w:fill="auto"/>
            <w:noWrap/>
            <w:tcMar>
              <w:top w:w="15" w:type="dxa"/>
              <w:left w:w="15" w:type="dxa"/>
              <w:bottom w:w="0" w:type="dxa"/>
              <w:right w:w="15" w:type="dxa"/>
            </w:tcMar>
            <w:vAlign w:val="center"/>
            <w:hideMark/>
          </w:tcPr>
          <w:p w14:paraId="7954B588"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43</w:t>
            </w:r>
          </w:p>
        </w:tc>
        <w:tc>
          <w:tcPr>
            <w:tcW w:w="990" w:type="dxa"/>
            <w:tcBorders>
              <w:top w:val="nil"/>
              <w:left w:val="nil"/>
              <w:bottom w:val="nil"/>
              <w:right w:val="nil"/>
            </w:tcBorders>
            <w:shd w:val="clear" w:color="auto" w:fill="auto"/>
            <w:noWrap/>
            <w:tcMar>
              <w:top w:w="15" w:type="dxa"/>
              <w:left w:w="15" w:type="dxa"/>
              <w:bottom w:w="0" w:type="dxa"/>
              <w:right w:w="15" w:type="dxa"/>
            </w:tcMar>
            <w:vAlign w:val="center"/>
            <w:hideMark/>
          </w:tcPr>
          <w:p w14:paraId="41C51592"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52</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40D962EC"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-9</w:t>
            </w:r>
          </w:p>
        </w:tc>
      </w:tr>
      <w:tr w:rsidR="00C269B9" w:rsidRPr="004F30BD" w14:paraId="4F045BE0" w14:textId="77777777" w:rsidTr="00C269B9">
        <w:trPr>
          <w:divId w:val="692800237"/>
          <w:trHeight w:val="450"/>
        </w:trPr>
        <w:tc>
          <w:tcPr>
            <w:tcW w:w="4680" w:type="dxa"/>
            <w:tcBorders>
              <w:top w:val="nil"/>
              <w:left w:val="nil"/>
              <w:bottom w:val="nil"/>
              <w:right w:val="nil"/>
            </w:tcBorders>
            <w:shd w:val="clear" w:color="000000" w:fill="D9D9D9"/>
            <w:tcMar>
              <w:top w:w="15" w:type="dxa"/>
              <w:left w:w="15" w:type="dxa"/>
              <w:bottom w:w="0" w:type="dxa"/>
              <w:right w:w="15" w:type="dxa"/>
            </w:tcMar>
            <w:vAlign w:val="center"/>
            <w:hideMark/>
          </w:tcPr>
          <w:p w14:paraId="290CAF42" w14:textId="77777777" w:rsidR="00C269B9" w:rsidRPr="004F30BD" w:rsidRDefault="00C269B9" w:rsidP="00C269B9">
            <w:pPr>
              <w:spacing w:before="40" w:after="40" w:line="240" w:lineRule="auto"/>
              <w:ind w:right="0"/>
              <w:rPr>
                <w:rFonts w:eastAsia="Times New Roman" w:cs="Calibri"/>
                <w:color w:val="000000"/>
                <w:szCs w:val="18"/>
                <w:lang w:eastAsia="en-AU"/>
              </w:rPr>
            </w:pPr>
            <w:r w:rsidRPr="004F30BD">
              <w:rPr>
                <w:rFonts w:eastAsia="Times New Roman" w:cs="Calibri"/>
                <w:color w:val="000000"/>
                <w:szCs w:val="18"/>
                <w:lang w:eastAsia="en-AU"/>
              </w:rPr>
              <w:t>CRICOS Application process: Clarity of the application guide</w:t>
            </w:r>
          </w:p>
        </w:tc>
        <w:tc>
          <w:tcPr>
            <w:tcW w:w="990" w:type="dxa"/>
            <w:tcBorders>
              <w:top w:val="nil"/>
              <w:left w:val="nil"/>
              <w:bottom w:val="nil"/>
              <w:right w:val="nil"/>
            </w:tcBorders>
            <w:shd w:val="clear" w:color="000000" w:fill="D9D9D9"/>
            <w:tcMar>
              <w:top w:w="15" w:type="dxa"/>
              <w:left w:w="15" w:type="dxa"/>
              <w:bottom w:w="0" w:type="dxa"/>
              <w:right w:w="15" w:type="dxa"/>
            </w:tcMar>
            <w:vAlign w:val="center"/>
            <w:hideMark/>
          </w:tcPr>
          <w:p w14:paraId="66AC4221"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eastAsia="Times New Roman" w:cs="Calibri"/>
                <w:color w:val="000000"/>
                <w:szCs w:val="18"/>
                <w:lang w:eastAsia="en-AU"/>
              </w:rPr>
              <w:t>81</w:t>
            </w:r>
          </w:p>
        </w:tc>
        <w:tc>
          <w:tcPr>
            <w:tcW w:w="990" w:type="dxa"/>
            <w:tcBorders>
              <w:top w:val="nil"/>
              <w:left w:val="nil"/>
              <w:bottom w:val="nil"/>
              <w:right w:val="nil"/>
            </w:tcBorders>
            <w:shd w:val="clear" w:color="000000" w:fill="D9D9D9"/>
            <w:noWrap/>
            <w:tcMar>
              <w:top w:w="15" w:type="dxa"/>
              <w:left w:w="15" w:type="dxa"/>
              <w:bottom w:w="0" w:type="dxa"/>
              <w:right w:w="15" w:type="dxa"/>
            </w:tcMar>
            <w:vAlign w:val="center"/>
            <w:hideMark/>
          </w:tcPr>
          <w:p w14:paraId="7971CCF1"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65</w:t>
            </w:r>
          </w:p>
        </w:tc>
        <w:tc>
          <w:tcPr>
            <w:tcW w:w="990" w:type="dxa"/>
            <w:tcBorders>
              <w:top w:val="nil"/>
              <w:left w:val="nil"/>
              <w:bottom w:val="nil"/>
              <w:right w:val="nil"/>
            </w:tcBorders>
            <w:shd w:val="clear" w:color="000000" w:fill="D9D9D9"/>
            <w:noWrap/>
            <w:tcMar>
              <w:top w:w="15" w:type="dxa"/>
              <w:left w:w="15" w:type="dxa"/>
              <w:bottom w:w="0" w:type="dxa"/>
              <w:right w:w="15" w:type="dxa"/>
            </w:tcMar>
            <w:vAlign w:val="center"/>
            <w:hideMark/>
          </w:tcPr>
          <w:p w14:paraId="1DD03B67"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68</w:t>
            </w:r>
          </w:p>
        </w:tc>
        <w:tc>
          <w:tcPr>
            <w:tcW w:w="990" w:type="dxa"/>
            <w:tcBorders>
              <w:top w:val="nil"/>
              <w:left w:val="nil"/>
              <w:bottom w:val="nil"/>
              <w:right w:val="nil"/>
            </w:tcBorders>
            <w:shd w:val="clear" w:color="000000" w:fill="D9D9D9"/>
            <w:tcMar>
              <w:top w:w="15" w:type="dxa"/>
              <w:left w:w="15" w:type="dxa"/>
              <w:bottom w:w="0" w:type="dxa"/>
              <w:right w:w="15" w:type="dxa"/>
            </w:tcMar>
            <w:vAlign w:val="center"/>
            <w:hideMark/>
          </w:tcPr>
          <w:p w14:paraId="5883B004"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-2</w:t>
            </w:r>
          </w:p>
        </w:tc>
      </w:tr>
      <w:tr w:rsidR="00C269B9" w:rsidRPr="004F30BD" w14:paraId="3B76FBC2" w14:textId="77777777" w:rsidTr="00C269B9">
        <w:trPr>
          <w:divId w:val="692800237"/>
          <w:trHeight w:val="450"/>
        </w:trPr>
        <w:tc>
          <w:tcPr>
            <w:tcW w:w="4680" w:type="dxa"/>
            <w:tcBorders>
              <w:top w:val="nil"/>
              <w:left w:val="nil"/>
              <w:bottom w:val="nil"/>
              <w:right w:val="nil"/>
            </w:tcBorders>
            <w:shd w:val="clear" w:color="auto" w:fill="auto"/>
            <w:tcMar>
              <w:top w:w="15" w:type="dxa"/>
              <w:left w:w="15" w:type="dxa"/>
              <w:bottom w:w="0" w:type="dxa"/>
              <w:right w:w="15" w:type="dxa"/>
            </w:tcMar>
            <w:vAlign w:val="center"/>
            <w:hideMark/>
          </w:tcPr>
          <w:p w14:paraId="754572B8" w14:textId="77777777" w:rsidR="00C269B9" w:rsidRPr="004F30BD" w:rsidRDefault="00C269B9" w:rsidP="00C269B9">
            <w:pPr>
              <w:spacing w:before="40" w:after="40" w:line="240" w:lineRule="auto"/>
              <w:ind w:right="0"/>
              <w:rPr>
                <w:rFonts w:eastAsia="Times New Roman" w:cs="Calibri"/>
                <w:color w:val="000000"/>
                <w:szCs w:val="18"/>
                <w:lang w:eastAsia="en-AU"/>
              </w:rPr>
            </w:pPr>
            <w:r w:rsidRPr="004F30BD">
              <w:rPr>
                <w:rFonts w:eastAsia="Times New Roman" w:cs="Calibri"/>
                <w:color w:val="000000"/>
                <w:szCs w:val="18"/>
                <w:lang w:eastAsia="en-AU"/>
              </w:rPr>
              <w:t>CRICOS Application process: Clarity of assessment scope and evidence requirements</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044EEE97"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eastAsia="Times New Roman" w:cs="Calibri"/>
                <w:color w:val="000000"/>
                <w:szCs w:val="18"/>
                <w:lang w:eastAsia="en-AU"/>
              </w:rPr>
              <w:t>80</w:t>
            </w:r>
          </w:p>
        </w:tc>
        <w:tc>
          <w:tcPr>
            <w:tcW w:w="990" w:type="dxa"/>
            <w:tcBorders>
              <w:top w:val="nil"/>
              <w:left w:val="nil"/>
              <w:bottom w:val="nil"/>
              <w:right w:val="nil"/>
            </w:tcBorders>
            <w:shd w:val="clear" w:color="auto" w:fill="auto"/>
            <w:noWrap/>
            <w:tcMar>
              <w:top w:w="15" w:type="dxa"/>
              <w:left w:w="15" w:type="dxa"/>
              <w:bottom w:w="0" w:type="dxa"/>
              <w:right w:w="15" w:type="dxa"/>
            </w:tcMar>
            <w:vAlign w:val="center"/>
            <w:hideMark/>
          </w:tcPr>
          <w:p w14:paraId="6323C024"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71</w:t>
            </w:r>
          </w:p>
        </w:tc>
        <w:tc>
          <w:tcPr>
            <w:tcW w:w="990" w:type="dxa"/>
            <w:tcBorders>
              <w:top w:val="nil"/>
              <w:left w:val="nil"/>
              <w:bottom w:val="nil"/>
              <w:right w:val="nil"/>
            </w:tcBorders>
            <w:shd w:val="clear" w:color="auto" w:fill="auto"/>
            <w:noWrap/>
            <w:tcMar>
              <w:top w:w="15" w:type="dxa"/>
              <w:left w:w="15" w:type="dxa"/>
              <w:bottom w:w="0" w:type="dxa"/>
              <w:right w:w="15" w:type="dxa"/>
            </w:tcMar>
            <w:vAlign w:val="center"/>
            <w:hideMark/>
          </w:tcPr>
          <w:p w14:paraId="6D8F0223"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67</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2251E97C"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5</w:t>
            </w:r>
          </w:p>
        </w:tc>
      </w:tr>
      <w:tr w:rsidR="00C269B9" w:rsidRPr="004F30BD" w14:paraId="252983F8" w14:textId="77777777" w:rsidTr="00C269B9">
        <w:trPr>
          <w:divId w:val="692800237"/>
          <w:trHeight w:val="450"/>
        </w:trPr>
        <w:tc>
          <w:tcPr>
            <w:tcW w:w="4680" w:type="dxa"/>
            <w:tcBorders>
              <w:top w:val="nil"/>
              <w:left w:val="nil"/>
              <w:bottom w:val="nil"/>
              <w:right w:val="nil"/>
            </w:tcBorders>
            <w:shd w:val="clear" w:color="000000" w:fill="D9D9D9"/>
            <w:tcMar>
              <w:top w:w="15" w:type="dxa"/>
              <w:left w:w="15" w:type="dxa"/>
              <w:bottom w:w="0" w:type="dxa"/>
              <w:right w:w="15" w:type="dxa"/>
            </w:tcMar>
            <w:vAlign w:val="center"/>
            <w:hideMark/>
          </w:tcPr>
          <w:p w14:paraId="5EA526C7" w14:textId="77777777" w:rsidR="00C269B9" w:rsidRPr="004F30BD" w:rsidRDefault="00C269B9" w:rsidP="00C269B9">
            <w:pPr>
              <w:spacing w:before="40" w:after="40" w:line="240" w:lineRule="auto"/>
              <w:ind w:right="0"/>
              <w:rPr>
                <w:rFonts w:eastAsia="Times New Roman" w:cs="Calibri"/>
                <w:color w:val="000000"/>
                <w:szCs w:val="18"/>
                <w:lang w:eastAsia="en-AU"/>
              </w:rPr>
            </w:pPr>
            <w:r w:rsidRPr="004F30BD">
              <w:rPr>
                <w:rFonts w:eastAsia="Times New Roman" w:cs="Calibri"/>
                <w:color w:val="000000"/>
                <w:szCs w:val="18"/>
                <w:lang w:eastAsia="en-AU"/>
              </w:rPr>
              <w:t>CRICOS Application process: Usefulness of information about how to prepare an application</w:t>
            </w:r>
          </w:p>
        </w:tc>
        <w:tc>
          <w:tcPr>
            <w:tcW w:w="990" w:type="dxa"/>
            <w:tcBorders>
              <w:top w:val="nil"/>
              <w:left w:val="nil"/>
              <w:bottom w:val="nil"/>
              <w:right w:val="nil"/>
            </w:tcBorders>
            <w:shd w:val="clear" w:color="000000" w:fill="D9D9D9"/>
            <w:tcMar>
              <w:top w:w="15" w:type="dxa"/>
              <w:left w:w="15" w:type="dxa"/>
              <w:bottom w:w="0" w:type="dxa"/>
              <w:right w:w="15" w:type="dxa"/>
            </w:tcMar>
            <w:vAlign w:val="center"/>
            <w:hideMark/>
          </w:tcPr>
          <w:p w14:paraId="00CD9051"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eastAsia="Times New Roman" w:cs="Calibri"/>
                <w:color w:val="000000"/>
                <w:szCs w:val="18"/>
                <w:lang w:eastAsia="en-AU"/>
              </w:rPr>
              <w:t>72</w:t>
            </w:r>
          </w:p>
        </w:tc>
        <w:tc>
          <w:tcPr>
            <w:tcW w:w="990" w:type="dxa"/>
            <w:tcBorders>
              <w:top w:val="nil"/>
              <w:left w:val="nil"/>
              <w:bottom w:val="nil"/>
              <w:right w:val="nil"/>
            </w:tcBorders>
            <w:shd w:val="clear" w:color="000000" w:fill="D9D9D9"/>
            <w:noWrap/>
            <w:tcMar>
              <w:top w:w="15" w:type="dxa"/>
              <w:left w:w="15" w:type="dxa"/>
              <w:bottom w:w="0" w:type="dxa"/>
              <w:right w:w="15" w:type="dxa"/>
            </w:tcMar>
            <w:vAlign w:val="center"/>
            <w:hideMark/>
          </w:tcPr>
          <w:p w14:paraId="692615BE"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63</w:t>
            </w:r>
          </w:p>
        </w:tc>
        <w:tc>
          <w:tcPr>
            <w:tcW w:w="990" w:type="dxa"/>
            <w:tcBorders>
              <w:top w:val="nil"/>
              <w:left w:val="nil"/>
              <w:bottom w:val="nil"/>
              <w:right w:val="nil"/>
            </w:tcBorders>
            <w:shd w:val="clear" w:color="000000" w:fill="D9D9D9"/>
            <w:noWrap/>
            <w:tcMar>
              <w:top w:w="15" w:type="dxa"/>
              <w:left w:w="15" w:type="dxa"/>
              <w:bottom w:w="0" w:type="dxa"/>
              <w:right w:w="15" w:type="dxa"/>
            </w:tcMar>
            <w:vAlign w:val="center"/>
            <w:hideMark/>
          </w:tcPr>
          <w:p w14:paraId="751CFB34"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64</w:t>
            </w:r>
          </w:p>
        </w:tc>
        <w:tc>
          <w:tcPr>
            <w:tcW w:w="990" w:type="dxa"/>
            <w:tcBorders>
              <w:top w:val="nil"/>
              <w:left w:val="nil"/>
              <w:bottom w:val="nil"/>
              <w:right w:val="nil"/>
            </w:tcBorders>
            <w:shd w:val="clear" w:color="000000" w:fill="D9D9D9"/>
            <w:tcMar>
              <w:top w:w="15" w:type="dxa"/>
              <w:left w:w="15" w:type="dxa"/>
              <w:bottom w:w="0" w:type="dxa"/>
              <w:right w:w="15" w:type="dxa"/>
            </w:tcMar>
            <w:vAlign w:val="center"/>
            <w:hideMark/>
          </w:tcPr>
          <w:p w14:paraId="73DDF5BF"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-1</w:t>
            </w:r>
          </w:p>
        </w:tc>
      </w:tr>
      <w:tr w:rsidR="00C269B9" w:rsidRPr="004F30BD" w14:paraId="6F8758C9" w14:textId="77777777" w:rsidTr="00C269B9">
        <w:trPr>
          <w:divId w:val="692800237"/>
          <w:trHeight w:val="450"/>
        </w:trPr>
        <w:tc>
          <w:tcPr>
            <w:tcW w:w="4680" w:type="dxa"/>
            <w:tcBorders>
              <w:top w:val="nil"/>
              <w:left w:val="nil"/>
              <w:bottom w:val="nil"/>
              <w:right w:val="nil"/>
            </w:tcBorders>
            <w:shd w:val="clear" w:color="auto" w:fill="auto"/>
            <w:tcMar>
              <w:top w:w="15" w:type="dxa"/>
              <w:left w:w="15" w:type="dxa"/>
              <w:bottom w:w="0" w:type="dxa"/>
              <w:right w:w="15" w:type="dxa"/>
            </w:tcMar>
            <w:vAlign w:val="center"/>
            <w:hideMark/>
          </w:tcPr>
          <w:p w14:paraId="44B88401" w14:textId="77777777" w:rsidR="00C269B9" w:rsidRPr="004F30BD" w:rsidRDefault="00C269B9" w:rsidP="00C269B9">
            <w:pPr>
              <w:spacing w:before="40" w:after="40" w:line="240" w:lineRule="auto"/>
              <w:ind w:right="0"/>
              <w:rPr>
                <w:rFonts w:eastAsia="Times New Roman" w:cs="Calibri"/>
                <w:color w:val="000000"/>
                <w:szCs w:val="18"/>
                <w:lang w:eastAsia="en-AU"/>
              </w:rPr>
            </w:pPr>
            <w:r w:rsidRPr="004F30BD">
              <w:rPr>
                <w:rFonts w:eastAsia="Times New Roman" w:cs="Calibri"/>
                <w:color w:val="000000"/>
                <w:szCs w:val="18"/>
                <w:lang w:eastAsia="en-AU"/>
              </w:rPr>
              <w:t>CRICOS Application process: Usefulness of information on how to use the provider portal</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75ACFC11"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eastAsia="Times New Roman" w:cs="Calibri"/>
                <w:color w:val="000000"/>
                <w:szCs w:val="18"/>
                <w:lang w:eastAsia="en-AU"/>
              </w:rPr>
              <w:t>72</w:t>
            </w:r>
          </w:p>
        </w:tc>
        <w:tc>
          <w:tcPr>
            <w:tcW w:w="990" w:type="dxa"/>
            <w:tcBorders>
              <w:top w:val="nil"/>
              <w:left w:val="nil"/>
              <w:bottom w:val="nil"/>
              <w:right w:val="nil"/>
            </w:tcBorders>
            <w:shd w:val="clear" w:color="auto" w:fill="auto"/>
            <w:noWrap/>
            <w:tcMar>
              <w:top w:w="15" w:type="dxa"/>
              <w:left w:w="15" w:type="dxa"/>
              <w:bottom w:w="0" w:type="dxa"/>
              <w:right w:w="15" w:type="dxa"/>
            </w:tcMar>
            <w:vAlign w:val="center"/>
            <w:hideMark/>
          </w:tcPr>
          <w:p w14:paraId="084F12FD"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75</w:t>
            </w:r>
          </w:p>
        </w:tc>
        <w:tc>
          <w:tcPr>
            <w:tcW w:w="990" w:type="dxa"/>
            <w:tcBorders>
              <w:top w:val="nil"/>
              <w:left w:val="nil"/>
              <w:bottom w:val="nil"/>
              <w:right w:val="nil"/>
            </w:tcBorders>
            <w:shd w:val="clear" w:color="auto" w:fill="auto"/>
            <w:noWrap/>
            <w:tcMar>
              <w:top w:w="15" w:type="dxa"/>
              <w:left w:w="15" w:type="dxa"/>
              <w:bottom w:w="0" w:type="dxa"/>
              <w:right w:w="15" w:type="dxa"/>
            </w:tcMar>
            <w:vAlign w:val="center"/>
            <w:hideMark/>
          </w:tcPr>
          <w:p w14:paraId="5C981C4C" w14:textId="27FD676E" w:rsidR="00C269B9" w:rsidRPr="004F30BD" w:rsidRDefault="00183FF4" w:rsidP="00C269B9">
            <w:pPr>
              <w:spacing w:before="40" w:after="40" w:line="240" w:lineRule="auto"/>
              <w:ind w:right="0"/>
              <w:jc w:val="center"/>
              <w:rPr>
                <w:rFonts w:eastAsia="Times New Roman" w:cs="Calibri"/>
                <w:color w:val="000000"/>
                <w:szCs w:val="18"/>
                <w:lang w:eastAsia="en-AU"/>
              </w:rPr>
            </w:pPr>
            <w:r>
              <w:rPr>
                <w:rFonts w:eastAsia="Times New Roman" w:cs="Calibri"/>
                <w:color w:val="000000"/>
                <w:szCs w:val="18"/>
              </w:rPr>
              <w:t>66</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528265C7" w14:textId="686738B5" w:rsidR="00C269B9" w:rsidRPr="004F30BD" w:rsidRDefault="009B4514" w:rsidP="00C269B9">
            <w:pPr>
              <w:spacing w:before="40" w:after="40" w:line="240" w:lineRule="auto"/>
              <w:ind w:right="0"/>
              <w:jc w:val="center"/>
              <w:rPr>
                <w:rFonts w:eastAsia="Times New Roman" w:cs="Calibri"/>
                <w:color w:val="000000"/>
                <w:szCs w:val="18"/>
                <w:lang w:eastAsia="en-AU"/>
              </w:rPr>
            </w:pPr>
            <w:r>
              <w:rPr>
                <w:rFonts w:eastAsia="Times New Roman" w:cs="Calibri"/>
                <w:color w:val="000000"/>
                <w:szCs w:val="18"/>
              </w:rPr>
              <w:t>9</w:t>
            </w:r>
          </w:p>
        </w:tc>
      </w:tr>
      <w:tr w:rsidR="00C269B9" w:rsidRPr="004F30BD" w14:paraId="256503D3" w14:textId="77777777" w:rsidTr="00C269B9">
        <w:trPr>
          <w:divId w:val="692800237"/>
          <w:trHeight w:val="675"/>
        </w:trPr>
        <w:tc>
          <w:tcPr>
            <w:tcW w:w="4680" w:type="dxa"/>
            <w:tcBorders>
              <w:top w:val="nil"/>
              <w:left w:val="nil"/>
              <w:bottom w:val="nil"/>
              <w:right w:val="nil"/>
            </w:tcBorders>
            <w:shd w:val="clear" w:color="000000" w:fill="D9D9D9"/>
            <w:tcMar>
              <w:top w:w="15" w:type="dxa"/>
              <w:left w:w="15" w:type="dxa"/>
              <w:bottom w:w="0" w:type="dxa"/>
              <w:right w:w="15" w:type="dxa"/>
            </w:tcMar>
            <w:vAlign w:val="center"/>
            <w:hideMark/>
          </w:tcPr>
          <w:p w14:paraId="3665FA86" w14:textId="77777777" w:rsidR="00C269B9" w:rsidRPr="004F30BD" w:rsidRDefault="00C269B9" w:rsidP="00C269B9">
            <w:pPr>
              <w:spacing w:before="40" w:after="40" w:line="240" w:lineRule="auto"/>
              <w:ind w:right="0"/>
              <w:rPr>
                <w:rFonts w:eastAsia="Times New Roman" w:cs="Calibri"/>
                <w:color w:val="000000"/>
                <w:szCs w:val="18"/>
                <w:lang w:eastAsia="en-AU"/>
              </w:rPr>
            </w:pPr>
            <w:r w:rsidRPr="004F30BD">
              <w:rPr>
                <w:rFonts w:eastAsia="Times New Roman" w:cs="Calibri"/>
                <w:color w:val="000000"/>
                <w:szCs w:val="18"/>
                <w:lang w:eastAsia="en-AU"/>
              </w:rPr>
              <w:t>CRICOS Application process: Timeliness of feedback from TEQSA about application, including those unlikely successful</w:t>
            </w:r>
          </w:p>
        </w:tc>
        <w:tc>
          <w:tcPr>
            <w:tcW w:w="990" w:type="dxa"/>
            <w:tcBorders>
              <w:top w:val="nil"/>
              <w:left w:val="nil"/>
              <w:bottom w:val="nil"/>
              <w:right w:val="nil"/>
            </w:tcBorders>
            <w:shd w:val="clear" w:color="000000" w:fill="D9D9D9"/>
            <w:tcMar>
              <w:top w:w="15" w:type="dxa"/>
              <w:left w:w="15" w:type="dxa"/>
              <w:bottom w:w="0" w:type="dxa"/>
              <w:right w:w="15" w:type="dxa"/>
            </w:tcMar>
            <w:vAlign w:val="center"/>
            <w:hideMark/>
          </w:tcPr>
          <w:p w14:paraId="0148C8EA"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eastAsia="Times New Roman" w:cs="Calibri"/>
                <w:color w:val="000000"/>
                <w:szCs w:val="18"/>
                <w:lang w:eastAsia="en-AU"/>
              </w:rPr>
              <w:t>73</w:t>
            </w:r>
          </w:p>
        </w:tc>
        <w:tc>
          <w:tcPr>
            <w:tcW w:w="990" w:type="dxa"/>
            <w:tcBorders>
              <w:top w:val="nil"/>
              <w:left w:val="nil"/>
              <w:bottom w:val="nil"/>
              <w:right w:val="nil"/>
            </w:tcBorders>
            <w:shd w:val="clear" w:color="000000" w:fill="D9D9D9"/>
            <w:noWrap/>
            <w:tcMar>
              <w:top w:w="15" w:type="dxa"/>
              <w:left w:w="15" w:type="dxa"/>
              <w:bottom w:w="0" w:type="dxa"/>
              <w:right w:w="15" w:type="dxa"/>
            </w:tcMar>
            <w:vAlign w:val="center"/>
            <w:hideMark/>
          </w:tcPr>
          <w:p w14:paraId="60507181"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41</w:t>
            </w:r>
          </w:p>
        </w:tc>
        <w:tc>
          <w:tcPr>
            <w:tcW w:w="990" w:type="dxa"/>
            <w:tcBorders>
              <w:top w:val="nil"/>
              <w:left w:val="nil"/>
              <w:bottom w:val="nil"/>
              <w:right w:val="nil"/>
            </w:tcBorders>
            <w:shd w:val="clear" w:color="000000" w:fill="D9D9D9"/>
            <w:noWrap/>
            <w:tcMar>
              <w:top w:w="15" w:type="dxa"/>
              <w:left w:w="15" w:type="dxa"/>
              <w:bottom w:w="0" w:type="dxa"/>
              <w:right w:w="15" w:type="dxa"/>
            </w:tcMar>
            <w:vAlign w:val="center"/>
            <w:hideMark/>
          </w:tcPr>
          <w:p w14:paraId="091F3A0F"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52</w:t>
            </w:r>
          </w:p>
        </w:tc>
        <w:tc>
          <w:tcPr>
            <w:tcW w:w="990" w:type="dxa"/>
            <w:tcBorders>
              <w:top w:val="nil"/>
              <w:left w:val="nil"/>
              <w:bottom w:val="nil"/>
              <w:right w:val="nil"/>
            </w:tcBorders>
            <w:shd w:val="clear" w:color="000000" w:fill="D9D9D9"/>
            <w:tcMar>
              <w:top w:w="15" w:type="dxa"/>
              <w:left w:w="15" w:type="dxa"/>
              <w:bottom w:w="0" w:type="dxa"/>
              <w:right w:w="15" w:type="dxa"/>
            </w:tcMar>
            <w:vAlign w:val="center"/>
            <w:hideMark/>
          </w:tcPr>
          <w:p w14:paraId="0E030860"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-11</w:t>
            </w:r>
          </w:p>
        </w:tc>
      </w:tr>
      <w:tr w:rsidR="00C269B9" w:rsidRPr="004F30BD" w14:paraId="5705CA4F" w14:textId="77777777" w:rsidTr="00C269B9">
        <w:trPr>
          <w:divId w:val="692800237"/>
          <w:trHeight w:val="675"/>
        </w:trPr>
        <w:tc>
          <w:tcPr>
            <w:tcW w:w="4680" w:type="dxa"/>
            <w:tcBorders>
              <w:top w:val="nil"/>
              <w:left w:val="nil"/>
              <w:bottom w:val="nil"/>
              <w:right w:val="nil"/>
            </w:tcBorders>
            <w:shd w:val="clear" w:color="auto" w:fill="auto"/>
            <w:tcMar>
              <w:top w:w="15" w:type="dxa"/>
              <w:left w:w="15" w:type="dxa"/>
              <w:bottom w:w="0" w:type="dxa"/>
              <w:right w:w="15" w:type="dxa"/>
            </w:tcMar>
            <w:vAlign w:val="center"/>
            <w:hideMark/>
          </w:tcPr>
          <w:p w14:paraId="2F506AED" w14:textId="77777777" w:rsidR="00C269B9" w:rsidRPr="004F30BD" w:rsidRDefault="00C269B9" w:rsidP="00C269B9">
            <w:pPr>
              <w:spacing w:before="40" w:after="40" w:line="240" w:lineRule="auto"/>
              <w:ind w:right="0"/>
              <w:rPr>
                <w:rFonts w:eastAsia="Times New Roman" w:cs="Calibri"/>
                <w:color w:val="000000"/>
                <w:szCs w:val="18"/>
                <w:lang w:eastAsia="en-AU"/>
              </w:rPr>
            </w:pPr>
            <w:r w:rsidRPr="004F30BD">
              <w:rPr>
                <w:rFonts w:eastAsia="Times New Roman" w:cs="Calibri"/>
                <w:color w:val="000000"/>
                <w:szCs w:val="18"/>
                <w:lang w:eastAsia="en-AU"/>
              </w:rPr>
              <w:t>Regulatory decisions: Providing opportunities to address matters relevant to regulatory decision, prior to final decision</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3B22E58F"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eastAsia="Times New Roman" w:cs="Calibri"/>
                <w:color w:val="000000"/>
                <w:szCs w:val="18"/>
                <w:lang w:eastAsia="en-AU"/>
              </w:rPr>
              <w:t>72</w:t>
            </w:r>
          </w:p>
        </w:tc>
        <w:tc>
          <w:tcPr>
            <w:tcW w:w="990" w:type="dxa"/>
            <w:tcBorders>
              <w:top w:val="nil"/>
              <w:left w:val="nil"/>
              <w:bottom w:val="nil"/>
              <w:right w:val="nil"/>
            </w:tcBorders>
            <w:shd w:val="clear" w:color="auto" w:fill="auto"/>
            <w:noWrap/>
            <w:tcMar>
              <w:top w:w="15" w:type="dxa"/>
              <w:left w:w="15" w:type="dxa"/>
              <w:bottom w:w="0" w:type="dxa"/>
              <w:right w:w="15" w:type="dxa"/>
            </w:tcMar>
            <w:vAlign w:val="center"/>
            <w:hideMark/>
          </w:tcPr>
          <w:p w14:paraId="44CD6229"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74</w:t>
            </w:r>
          </w:p>
        </w:tc>
        <w:tc>
          <w:tcPr>
            <w:tcW w:w="990" w:type="dxa"/>
            <w:tcBorders>
              <w:top w:val="nil"/>
              <w:left w:val="nil"/>
              <w:bottom w:val="nil"/>
              <w:right w:val="nil"/>
            </w:tcBorders>
            <w:shd w:val="clear" w:color="auto" w:fill="auto"/>
            <w:noWrap/>
            <w:tcMar>
              <w:top w:w="15" w:type="dxa"/>
              <w:left w:w="15" w:type="dxa"/>
              <w:bottom w:w="0" w:type="dxa"/>
              <w:right w:w="15" w:type="dxa"/>
            </w:tcMar>
            <w:vAlign w:val="center"/>
            <w:hideMark/>
          </w:tcPr>
          <w:p w14:paraId="163B961D"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64</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06FA9A80"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10</w:t>
            </w:r>
          </w:p>
        </w:tc>
      </w:tr>
      <w:tr w:rsidR="00C269B9" w:rsidRPr="004F30BD" w14:paraId="295371A1" w14:textId="77777777" w:rsidTr="00C269B9">
        <w:trPr>
          <w:divId w:val="692800237"/>
          <w:trHeight w:val="450"/>
        </w:trPr>
        <w:tc>
          <w:tcPr>
            <w:tcW w:w="4680" w:type="dxa"/>
            <w:tcBorders>
              <w:top w:val="nil"/>
              <w:left w:val="nil"/>
              <w:bottom w:val="nil"/>
              <w:right w:val="nil"/>
            </w:tcBorders>
            <w:shd w:val="clear" w:color="000000" w:fill="D9D9D9"/>
            <w:tcMar>
              <w:top w:w="15" w:type="dxa"/>
              <w:left w:w="15" w:type="dxa"/>
              <w:bottom w:w="0" w:type="dxa"/>
              <w:right w:w="15" w:type="dxa"/>
            </w:tcMar>
            <w:vAlign w:val="center"/>
            <w:hideMark/>
          </w:tcPr>
          <w:p w14:paraId="142F202E" w14:textId="77777777" w:rsidR="00C269B9" w:rsidRPr="004F30BD" w:rsidRDefault="00C269B9" w:rsidP="00C269B9">
            <w:pPr>
              <w:spacing w:before="40" w:after="40" w:line="240" w:lineRule="auto"/>
              <w:ind w:right="0"/>
              <w:rPr>
                <w:rFonts w:eastAsia="Times New Roman" w:cs="Calibri"/>
                <w:color w:val="000000"/>
                <w:szCs w:val="18"/>
                <w:lang w:eastAsia="en-AU"/>
              </w:rPr>
            </w:pPr>
            <w:r w:rsidRPr="004F30BD">
              <w:rPr>
                <w:rFonts w:eastAsia="Times New Roman" w:cs="Calibri"/>
                <w:color w:val="000000"/>
                <w:szCs w:val="18"/>
                <w:lang w:eastAsia="en-AU"/>
              </w:rPr>
              <w:t>Regulatory decisions: Explaining clearly and constructively why a decision was made</w:t>
            </w:r>
          </w:p>
        </w:tc>
        <w:tc>
          <w:tcPr>
            <w:tcW w:w="990" w:type="dxa"/>
            <w:tcBorders>
              <w:top w:val="nil"/>
              <w:left w:val="nil"/>
              <w:bottom w:val="nil"/>
              <w:right w:val="nil"/>
            </w:tcBorders>
            <w:shd w:val="clear" w:color="000000" w:fill="D9D9D9"/>
            <w:tcMar>
              <w:top w:w="15" w:type="dxa"/>
              <w:left w:w="15" w:type="dxa"/>
              <w:bottom w:w="0" w:type="dxa"/>
              <w:right w:w="15" w:type="dxa"/>
            </w:tcMar>
            <w:vAlign w:val="center"/>
            <w:hideMark/>
          </w:tcPr>
          <w:p w14:paraId="6EF23244"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eastAsia="Times New Roman" w:cs="Calibri"/>
                <w:color w:val="000000"/>
                <w:szCs w:val="18"/>
                <w:lang w:eastAsia="en-AU"/>
              </w:rPr>
              <w:t>126</w:t>
            </w:r>
          </w:p>
        </w:tc>
        <w:tc>
          <w:tcPr>
            <w:tcW w:w="990" w:type="dxa"/>
            <w:tcBorders>
              <w:top w:val="nil"/>
              <w:left w:val="nil"/>
              <w:bottom w:val="nil"/>
              <w:right w:val="nil"/>
            </w:tcBorders>
            <w:shd w:val="clear" w:color="000000" w:fill="D9D9D9"/>
            <w:noWrap/>
            <w:tcMar>
              <w:top w:w="15" w:type="dxa"/>
              <w:left w:w="15" w:type="dxa"/>
              <w:bottom w:w="0" w:type="dxa"/>
              <w:right w:w="15" w:type="dxa"/>
            </w:tcMar>
            <w:vAlign w:val="center"/>
            <w:hideMark/>
          </w:tcPr>
          <w:p w14:paraId="5C7F4553"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65</w:t>
            </w:r>
          </w:p>
        </w:tc>
        <w:tc>
          <w:tcPr>
            <w:tcW w:w="990" w:type="dxa"/>
            <w:tcBorders>
              <w:top w:val="nil"/>
              <w:left w:val="nil"/>
              <w:bottom w:val="nil"/>
              <w:right w:val="nil"/>
            </w:tcBorders>
            <w:shd w:val="clear" w:color="000000" w:fill="D9D9D9"/>
            <w:noWrap/>
            <w:tcMar>
              <w:top w:w="15" w:type="dxa"/>
              <w:left w:w="15" w:type="dxa"/>
              <w:bottom w:w="0" w:type="dxa"/>
              <w:right w:w="15" w:type="dxa"/>
            </w:tcMar>
            <w:vAlign w:val="center"/>
            <w:hideMark/>
          </w:tcPr>
          <w:p w14:paraId="19936D47"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61</w:t>
            </w:r>
          </w:p>
        </w:tc>
        <w:tc>
          <w:tcPr>
            <w:tcW w:w="990" w:type="dxa"/>
            <w:tcBorders>
              <w:top w:val="nil"/>
              <w:left w:val="nil"/>
              <w:bottom w:val="nil"/>
              <w:right w:val="nil"/>
            </w:tcBorders>
            <w:shd w:val="clear" w:color="000000" w:fill="D9D9D9"/>
            <w:tcMar>
              <w:top w:w="15" w:type="dxa"/>
              <w:left w:w="15" w:type="dxa"/>
              <w:bottom w:w="0" w:type="dxa"/>
              <w:right w:w="15" w:type="dxa"/>
            </w:tcMar>
            <w:vAlign w:val="center"/>
            <w:hideMark/>
          </w:tcPr>
          <w:p w14:paraId="47D3F464"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5</w:t>
            </w:r>
          </w:p>
        </w:tc>
      </w:tr>
      <w:tr w:rsidR="00C269B9" w:rsidRPr="004F30BD" w14:paraId="5D6B9E1B" w14:textId="77777777" w:rsidTr="00C269B9">
        <w:trPr>
          <w:divId w:val="692800237"/>
          <w:trHeight w:val="450"/>
        </w:trPr>
        <w:tc>
          <w:tcPr>
            <w:tcW w:w="4680" w:type="dxa"/>
            <w:tcBorders>
              <w:top w:val="nil"/>
              <w:left w:val="nil"/>
              <w:bottom w:val="nil"/>
              <w:right w:val="nil"/>
            </w:tcBorders>
            <w:shd w:val="clear" w:color="auto" w:fill="auto"/>
            <w:tcMar>
              <w:top w:w="15" w:type="dxa"/>
              <w:left w:w="15" w:type="dxa"/>
              <w:bottom w:w="0" w:type="dxa"/>
              <w:right w:w="15" w:type="dxa"/>
            </w:tcMar>
            <w:vAlign w:val="center"/>
            <w:hideMark/>
          </w:tcPr>
          <w:p w14:paraId="013AE40A" w14:textId="77777777" w:rsidR="00C269B9" w:rsidRPr="004F30BD" w:rsidRDefault="00C269B9" w:rsidP="00C269B9">
            <w:pPr>
              <w:spacing w:before="40" w:after="40" w:line="240" w:lineRule="auto"/>
              <w:ind w:right="0"/>
              <w:rPr>
                <w:rFonts w:eastAsia="Times New Roman" w:cs="Calibri"/>
                <w:color w:val="000000"/>
                <w:szCs w:val="18"/>
                <w:lang w:eastAsia="en-AU"/>
              </w:rPr>
            </w:pPr>
            <w:r w:rsidRPr="004F30BD">
              <w:rPr>
                <w:rFonts w:eastAsia="Times New Roman" w:cs="Calibri"/>
                <w:color w:val="000000"/>
                <w:szCs w:val="18"/>
                <w:lang w:eastAsia="en-AU"/>
              </w:rPr>
              <w:t>Interaction with TEQSA staff: Demonstrating an understanding of organisation’s specific needs</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4B4B1019"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eastAsia="Times New Roman" w:cs="Calibri"/>
                <w:color w:val="000000"/>
                <w:szCs w:val="18"/>
                <w:lang w:eastAsia="en-AU"/>
              </w:rPr>
              <w:t>125</w:t>
            </w:r>
          </w:p>
        </w:tc>
        <w:tc>
          <w:tcPr>
            <w:tcW w:w="990" w:type="dxa"/>
            <w:tcBorders>
              <w:top w:val="nil"/>
              <w:left w:val="nil"/>
              <w:bottom w:val="nil"/>
              <w:right w:val="nil"/>
            </w:tcBorders>
            <w:shd w:val="clear" w:color="auto" w:fill="auto"/>
            <w:noWrap/>
            <w:tcMar>
              <w:top w:w="15" w:type="dxa"/>
              <w:left w:w="15" w:type="dxa"/>
              <w:bottom w:w="0" w:type="dxa"/>
              <w:right w:w="15" w:type="dxa"/>
            </w:tcMar>
            <w:vAlign w:val="center"/>
            <w:hideMark/>
          </w:tcPr>
          <w:p w14:paraId="19B57F54"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55</w:t>
            </w:r>
          </w:p>
        </w:tc>
        <w:tc>
          <w:tcPr>
            <w:tcW w:w="990" w:type="dxa"/>
            <w:tcBorders>
              <w:top w:val="nil"/>
              <w:left w:val="nil"/>
              <w:bottom w:val="nil"/>
              <w:right w:val="nil"/>
            </w:tcBorders>
            <w:shd w:val="clear" w:color="auto" w:fill="auto"/>
            <w:noWrap/>
            <w:tcMar>
              <w:top w:w="15" w:type="dxa"/>
              <w:left w:w="15" w:type="dxa"/>
              <w:bottom w:w="0" w:type="dxa"/>
              <w:right w:w="15" w:type="dxa"/>
            </w:tcMar>
            <w:vAlign w:val="center"/>
            <w:hideMark/>
          </w:tcPr>
          <w:p w14:paraId="62E27C33"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51</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25C3A3B2"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3</w:t>
            </w:r>
          </w:p>
        </w:tc>
      </w:tr>
      <w:tr w:rsidR="00C269B9" w:rsidRPr="004F30BD" w14:paraId="225FD934" w14:textId="77777777" w:rsidTr="00C269B9">
        <w:trPr>
          <w:divId w:val="692800237"/>
          <w:trHeight w:val="450"/>
        </w:trPr>
        <w:tc>
          <w:tcPr>
            <w:tcW w:w="4680" w:type="dxa"/>
            <w:tcBorders>
              <w:top w:val="nil"/>
              <w:left w:val="nil"/>
              <w:bottom w:val="nil"/>
              <w:right w:val="nil"/>
            </w:tcBorders>
            <w:shd w:val="clear" w:color="000000" w:fill="D9D9D9"/>
            <w:tcMar>
              <w:top w:w="15" w:type="dxa"/>
              <w:left w:w="15" w:type="dxa"/>
              <w:bottom w:w="0" w:type="dxa"/>
              <w:right w:w="15" w:type="dxa"/>
            </w:tcMar>
            <w:vAlign w:val="center"/>
            <w:hideMark/>
          </w:tcPr>
          <w:p w14:paraId="049D65BA" w14:textId="77777777" w:rsidR="00C269B9" w:rsidRPr="004F30BD" w:rsidRDefault="00C269B9" w:rsidP="00C269B9">
            <w:pPr>
              <w:spacing w:before="40" w:after="40" w:line="240" w:lineRule="auto"/>
              <w:ind w:right="0"/>
              <w:rPr>
                <w:rFonts w:eastAsia="Times New Roman" w:cs="Calibri"/>
                <w:color w:val="000000"/>
                <w:szCs w:val="18"/>
                <w:lang w:eastAsia="en-AU"/>
              </w:rPr>
            </w:pPr>
            <w:r w:rsidRPr="004F30BD">
              <w:rPr>
                <w:rFonts w:eastAsia="Times New Roman" w:cs="Calibri"/>
                <w:color w:val="000000"/>
                <w:szCs w:val="18"/>
                <w:lang w:eastAsia="en-AU"/>
              </w:rPr>
              <w:t>Interaction with TEQSA staff: Being responsive to organisation’s needs</w:t>
            </w:r>
          </w:p>
        </w:tc>
        <w:tc>
          <w:tcPr>
            <w:tcW w:w="990" w:type="dxa"/>
            <w:tcBorders>
              <w:top w:val="nil"/>
              <w:left w:val="nil"/>
              <w:bottom w:val="nil"/>
              <w:right w:val="nil"/>
            </w:tcBorders>
            <w:shd w:val="clear" w:color="000000" w:fill="D9D9D9"/>
            <w:tcMar>
              <w:top w:w="15" w:type="dxa"/>
              <w:left w:w="15" w:type="dxa"/>
              <w:bottom w:w="0" w:type="dxa"/>
              <w:right w:w="15" w:type="dxa"/>
            </w:tcMar>
            <w:vAlign w:val="center"/>
            <w:hideMark/>
          </w:tcPr>
          <w:p w14:paraId="255443F9"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eastAsia="Times New Roman" w:cs="Calibri"/>
                <w:color w:val="000000"/>
                <w:szCs w:val="18"/>
                <w:lang w:eastAsia="en-AU"/>
              </w:rPr>
              <w:t>126</w:t>
            </w:r>
          </w:p>
        </w:tc>
        <w:tc>
          <w:tcPr>
            <w:tcW w:w="990" w:type="dxa"/>
            <w:tcBorders>
              <w:top w:val="nil"/>
              <w:left w:val="nil"/>
              <w:bottom w:val="nil"/>
              <w:right w:val="nil"/>
            </w:tcBorders>
            <w:shd w:val="clear" w:color="000000" w:fill="D9D9D9"/>
            <w:noWrap/>
            <w:tcMar>
              <w:top w:w="15" w:type="dxa"/>
              <w:left w:w="15" w:type="dxa"/>
              <w:bottom w:w="0" w:type="dxa"/>
              <w:right w:w="15" w:type="dxa"/>
            </w:tcMar>
            <w:vAlign w:val="center"/>
            <w:hideMark/>
          </w:tcPr>
          <w:p w14:paraId="2CC07229"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59</w:t>
            </w:r>
          </w:p>
        </w:tc>
        <w:tc>
          <w:tcPr>
            <w:tcW w:w="990" w:type="dxa"/>
            <w:tcBorders>
              <w:top w:val="nil"/>
              <w:left w:val="nil"/>
              <w:bottom w:val="nil"/>
              <w:right w:val="nil"/>
            </w:tcBorders>
            <w:shd w:val="clear" w:color="000000" w:fill="D9D9D9"/>
            <w:noWrap/>
            <w:tcMar>
              <w:top w:w="15" w:type="dxa"/>
              <w:left w:w="15" w:type="dxa"/>
              <w:bottom w:w="0" w:type="dxa"/>
              <w:right w:w="15" w:type="dxa"/>
            </w:tcMar>
            <w:vAlign w:val="center"/>
            <w:hideMark/>
          </w:tcPr>
          <w:p w14:paraId="6DE86C67"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60</w:t>
            </w:r>
          </w:p>
        </w:tc>
        <w:tc>
          <w:tcPr>
            <w:tcW w:w="990" w:type="dxa"/>
            <w:tcBorders>
              <w:top w:val="nil"/>
              <w:left w:val="nil"/>
              <w:bottom w:val="nil"/>
              <w:right w:val="nil"/>
            </w:tcBorders>
            <w:shd w:val="clear" w:color="000000" w:fill="D9D9D9"/>
            <w:tcMar>
              <w:top w:w="15" w:type="dxa"/>
              <w:left w:w="15" w:type="dxa"/>
              <w:bottom w:w="0" w:type="dxa"/>
              <w:right w:w="15" w:type="dxa"/>
            </w:tcMar>
            <w:vAlign w:val="center"/>
            <w:hideMark/>
          </w:tcPr>
          <w:p w14:paraId="08939FA3"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-1</w:t>
            </w:r>
          </w:p>
        </w:tc>
      </w:tr>
      <w:tr w:rsidR="00C269B9" w:rsidRPr="004F30BD" w14:paraId="77CBFEE7" w14:textId="77777777" w:rsidTr="00C269B9">
        <w:trPr>
          <w:divId w:val="692800237"/>
          <w:trHeight w:val="675"/>
        </w:trPr>
        <w:tc>
          <w:tcPr>
            <w:tcW w:w="4680" w:type="dxa"/>
            <w:tcBorders>
              <w:top w:val="nil"/>
              <w:left w:val="nil"/>
              <w:bottom w:val="nil"/>
              <w:right w:val="nil"/>
            </w:tcBorders>
            <w:shd w:val="clear" w:color="auto" w:fill="auto"/>
            <w:tcMar>
              <w:top w:w="15" w:type="dxa"/>
              <w:left w:w="15" w:type="dxa"/>
              <w:bottom w:w="0" w:type="dxa"/>
              <w:right w:w="15" w:type="dxa"/>
            </w:tcMar>
            <w:vAlign w:val="center"/>
            <w:hideMark/>
          </w:tcPr>
          <w:p w14:paraId="521C6114" w14:textId="77777777" w:rsidR="00C269B9" w:rsidRPr="004F30BD" w:rsidRDefault="00C269B9" w:rsidP="00C269B9">
            <w:pPr>
              <w:spacing w:before="40" w:after="40" w:line="240" w:lineRule="auto"/>
              <w:ind w:right="0"/>
              <w:rPr>
                <w:rFonts w:eastAsia="Times New Roman" w:cs="Calibri"/>
                <w:color w:val="000000"/>
                <w:szCs w:val="18"/>
                <w:lang w:eastAsia="en-AU"/>
              </w:rPr>
            </w:pPr>
            <w:r w:rsidRPr="004F30BD">
              <w:rPr>
                <w:rFonts w:eastAsia="Times New Roman" w:cs="Calibri"/>
                <w:color w:val="000000"/>
                <w:szCs w:val="18"/>
                <w:lang w:eastAsia="en-AU"/>
              </w:rPr>
              <w:t>Interaction with TEQSA staff: Demonstrating an understanding of organisation’s business or operating environment</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25C51728"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eastAsia="Times New Roman" w:cs="Calibri"/>
                <w:color w:val="000000"/>
                <w:szCs w:val="18"/>
                <w:lang w:eastAsia="en-AU"/>
              </w:rPr>
              <w:t>120</w:t>
            </w:r>
          </w:p>
        </w:tc>
        <w:tc>
          <w:tcPr>
            <w:tcW w:w="990" w:type="dxa"/>
            <w:tcBorders>
              <w:top w:val="nil"/>
              <w:left w:val="nil"/>
              <w:bottom w:val="nil"/>
              <w:right w:val="nil"/>
            </w:tcBorders>
            <w:shd w:val="clear" w:color="auto" w:fill="auto"/>
            <w:noWrap/>
            <w:tcMar>
              <w:top w:w="15" w:type="dxa"/>
              <w:left w:w="15" w:type="dxa"/>
              <w:bottom w:w="0" w:type="dxa"/>
              <w:right w:w="15" w:type="dxa"/>
            </w:tcMar>
            <w:vAlign w:val="center"/>
            <w:hideMark/>
          </w:tcPr>
          <w:p w14:paraId="151619AC"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54</w:t>
            </w:r>
          </w:p>
        </w:tc>
        <w:tc>
          <w:tcPr>
            <w:tcW w:w="990" w:type="dxa"/>
            <w:tcBorders>
              <w:top w:val="nil"/>
              <w:left w:val="nil"/>
              <w:bottom w:val="nil"/>
              <w:right w:val="nil"/>
            </w:tcBorders>
            <w:shd w:val="clear" w:color="auto" w:fill="auto"/>
            <w:noWrap/>
            <w:tcMar>
              <w:top w:w="15" w:type="dxa"/>
              <w:left w:w="15" w:type="dxa"/>
              <w:bottom w:w="0" w:type="dxa"/>
              <w:right w:w="15" w:type="dxa"/>
            </w:tcMar>
            <w:vAlign w:val="center"/>
            <w:hideMark/>
          </w:tcPr>
          <w:p w14:paraId="0BE3A18C"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48</w:t>
            </w:r>
          </w:p>
        </w:tc>
        <w:tc>
          <w:tcPr>
            <w:tcW w:w="990" w:type="dxa"/>
            <w:tcBorders>
              <w:top w:val="nil"/>
              <w:left w:val="nil"/>
              <w:bottom w:val="nil"/>
              <w:right w:val="nil"/>
            </w:tcBorders>
            <w:shd w:val="clear" w:color="auto" w:fill="auto"/>
            <w:tcMar>
              <w:top w:w="15" w:type="dxa"/>
              <w:left w:w="15" w:type="dxa"/>
              <w:bottom w:w="0" w:type="dxa"/>
              <w:right w:w="15" w:type="dxa"/>
            </w:tcMar>
            <w:vAlign w:val="center"/>
            <w:hideMark/>
          </w:tcPr>
          <w:p w14:paraId="36B924F8"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5</w:t>
            </w:r>
          </w:p>
        </w:tc>
      </w:tr>
      <w:tr w:rsidR="00C269B9" w:rsidRPr="004F30BD" w14:paraId="004BDB00" w14:textId="77777777" w:rsidTr="00C269B9">
        <w:trPr>
          <w:divId w:val="692800237"/>
          <w:trHeight w:val="480"/>
        </w:trPr>
        <w:tc>
          <w:tcPr>
            <w:tcW w:w="4680" w:type="dxa"/>
            <w:tcBorders>
              <w:top w:val="nil"/>
              <w:left w:val="nil"/>
              <w:bottom w:val="nil"/>
              <w:right w:val="nil"/>
            </w:tcBorders>
            <w:shd w:val="clear" w:color="000000" w:fill="D9D9D9"/>
            <w:tcMar>
              <w:top w:w="15" w:type="dxa"/>
              <w:left w:w="15" w:type="dxa"/>
              <w:bottom w:w="0" w:type="dxa"/>
              <w:right w:w="15" w:type="dxa"/>
            </w:tcMar>
            <w:vAlign w:val="center"/>
            <w:hideMark/>
          </w:tcPr>
          <w:p w14:paraId="67FEE8B0" w14:textId="77777777" w:rsidR="00C269B9" w:rsidRPr="004F30BD" w:rsidRDefault="00C269B9" w:rsidP="00C269B9">
            <w:pPr>
              <w:spacing w:before="40" w:after="40" w:line="240" w:lineRule="auto"/>
              <w:ind w:right="0"/>
              <w:rPr>
                <w:rFonts w:eastAsia="Times New Roman" w:cs="Calibri"/>
                <w:color w:val="000000"/>
                <w:szCs w:val="18"/>
                <w:lang w:eastAsia="en-AU"/>
              </w:rPr>
            </w:pPr>
            <w:r w:rsidRPr="004F30BD">
              <w:rPr>
                <w:rFonts w:eastAsia="Times New Roman" w:cs="Calibri"/>
                <w:color w:val="000000"/>
                <w:szCs w:val="18"/>
                <w:lang w:eastAsia="en-AU"/>
              </w:rPr>
              <w:t>Interaction with TEQSA staff: Usefulness of meeting face-to-face with case management teams</w:t>
            </w:r>
          </w:p>
        </w:tc>
        <w:tc>
          <w:tcPr>
            <w:tcW w:w="990" w:type="dxa"/>
            <w:tcBorders>
              <w:top w:val="nil"/>
              <w:left w:val="nil"/>
              <w:bottom w:val="nil"/>
              <w:right w:val="nil"/>
            </w:tcBorders>
            <w:shd w:val="clear" w:color="000000" w:fill="D9D9D9"/>
            <w:tcMar>
              <w:top w:w="15" w:type="dxa"/>
              <w:left w:w="15" w:type="dxa"/>
              <w:bottom w:w="0" w:type="dxa"/>
              <w:right w:w="15" w:type="dxa"/>
            </w:tcMar>
            <w:vAlign w:val="center"/>
            <w:hideMark/>
          </w:tcPr>
          <w:p w14:paraId="3931A30C"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eastAsia="Times New Roman" w:cs="Calibri"/>
                <w:color w:val="000000"/>
                <w:szCs w:val="18"/>
                <w:lang w:eastAsia="en-AU"/>
              </w:rPr>
              <w:t>138</w:t>
            </w:r>
          </w:p>
        </w:tc>
        <w:tc>
          <w:tcPr>
            <w:tcW w:w="990" w:type="dxa"/>
            <w:tcBorders>
              <w:top w:val="nil"/>
              <w:left w:val="nil"/>
              <w:bottom w:val="nil"/>
              <w:right w:val="nil"/>
            </w:tcBorders>
            <w:shd w:val="clear" w:color="000000" w:fill="FFFF00"/>
            <w:noWrap/>
            <w:tcMar>
              <w:top w:w="15" w:type="dxa"/>
              <w:left w:w="15" w:type="dxa"/>
              <w:bottom w:w="0" w:type="dxa"/>
              <w:right w:w="15" w:type="dxa"/>
            </w:tcMar>
            <w:vAlign w:val="center"/>
            <w:hideMark/>
          </w:tcPr>
          <w:p w14:paraId="4048C78B"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78</w:t>
            </w:r>
          </w:p>
        </w:tc>
        <w:tc>
          <w:tcPr>
            <w:tcW w:w="990" w:type="dxa"/>
            <w:tcBorders>
              <w:top w:val="nil"/>
              <w:left w:val="nil"/>
              <w:bottom w:val="nil"/>
              <w:right w:val="nil"/>
            </w:tcBorders>
            <w:shd w:val="clear" w:color="000000" w:fill="FFFF00"/>
            <w:noWrap/>
            <w:tcMar>
              <w:top w:w="15" w:type="dxa"/>
              <w:left w:w="15" w:type="dxa"/>
              <w:bottom w:w="0" w:type="dxa"/>
              <w:right w:w="15" w:type="dxa"/>
            </w:tcMar>
            <w:vAlign w:val="center"/>
            <w:hideMark/>
          </w:tcPr>
          <w:p w14:paraId="431C0493"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54</w:t>
            </w:r>
          </w:p>
        </w:tc>
        <w:tc>
          <w:tcPr>
            <w:tcW w:w="990" w:type="dxa"/>
            <w:tcBorders>
              <w:top w:val="nil"/>
              <w:left w:val="nil"/>
              <w:bottom w:val="nil"/>
              <w:right w:val="nil"/>
            </w:tcBorders>
            <w:shd w:val="clear" w:color="000000" w:fill="D9D9D9"/>
            <w:tcMar>
              <w:top w:w="15" w:type="dxa"/>
              <w:left w:w="15" w:type="dxa"/>
              <w:bottom w:w="0" w:type="dxa"/>
              <w:right w:w="15" w:type="dxa"/>
            </w:tcMar>
            <w:vAlign w:val="center"/>
            <w:hideMark/>
          </w:tcPr>
          <w:p w14:paraId="24E85684"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24</w:t>
            </w:r>
          </w:p>
        </w:tc>
      </w:tr>
      <w:tr w:rsidR="00C269B9" w:rsidRPr="004F30BD" w14:paraId="0726AA37" w14:textId="77777777" w:rsidTr="00C269B9">
        <w:trPr>
          <w:divId w:val="692800237"/>
          <w:trHeight w:val="480"/>
        </w:trPr>
        <w:tc>
          <w:tcPr>
            <w:tcW w:w="468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91D48B1" w14:textId="77777777" w:rsidR="00C269B9" w:rsidRPr="004F30BD" w:rsidRDefault="00C269B9" w:rsidP="00C269B9">
            <w:pPr>
              <w:spacing w:before="40" w:after="40" w:line="240" w:lineRule="auto"/>
              <w:ind w:right="0"/>
              <w:rPr>
                <w:rFonts w:eastAsia="Times New Roman" w:cs="Calibri"/>
                <w:color w:val="000000"/>
                <w:szCs w:val="18"/>
                <w:lang w:eastAsia="en-AU"/>
              </w:rPr>
            </w:pPr>
            <w:r w:rsidRPr="004F30BD">
              <w:rPr>
                <w:rFonts w:eastAsia="Times New Roman" w:cs="Calibri"/>
                <w:color w:val="000000"/>
                <w:szCs w:val="18"/>
                <w:lang w:eastAsia="en-AU"/>
              </w:rPr>
              <w:t>Overall: TEQSA's performance as a regulator</w:t>
            </w:r>
          </w:p>
        </w:tc>
        <w:tc>
          <w:tcPr>
            <w:tcW w:w="99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37AA942"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eastAsia="Times New Roman" w:cs="Calibri"/>
                <w:color w:val="000000"/>
                <w:szCs w:val="18"/>
                <w:lang w:eastAsia="en-AU"/>
              </w:rPr>
              <w:t>136</w:t>
            </w:r>
          </w:p>
        </w:tc>
        <w:tc>
          <w:tcPr>
            <w:tcW w:w="99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3BC340D"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76</w:t>
            </w:r>
          </w:p>
        </w:tc>
        <w:tc>
          <w:tcPr>
            <w:tcW w:w="99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6259FEE"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71</w:t>
            </w:r>
          </w:p>
        </w:tc>
        <w:tc>
          <w:tcPr>
            <w:tcW w:w="99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0C7532B3" w14:textId="77777777" w:rsidR="00C269B9" w:rsidRPr="004F30BD" w:rsidRDefault="00C269B9" w:rsidP="00C269B9">
            <w:pPr>
              <w:spacing w:before="40" w:after="40" w:line="240" w:lineRule="auto"/>
              <w:ind w:right="0"/>
              <w:jc w:val="center"/>
              <w:rPr>
                <w:rFonts w:eastAsia="Times New Roman" w:cs="Calibri"/>
                <w:color w:val="000000"/>
                <w:szCs w:val="18"/>
                <w:lang w:eastAsia="en-AU"/>
              </w:rPr>
            </w:pPr>
            <w:r w:rsidRPr="004F30BD">
              <w:rPr>
                <w:rFonts w:cs="Calibri"/>
                <w:color w:val="000000"/>
                <w:szCs w:val="18"/>
              </w:rPr>
              <w:t>5</w:t>
            </w:r>
          </w:p>
        </w:tc>
      </w:tr>
    </w:tbl>
    <w:p w14:paraId="715CA165" w14:textId="77777777" w:rsidR="008A5E67" w:rsidRPr="004F30BD" w:rsidRDefault="008A5E67" w:rsidP="008A5E67"/>
    <w:p w14:paraId="09A8A059" w14:textId="77777777" w:rsidR="008A5E67" w:rsidRPr="004F30BD" w:rsidRDefault="008A5E67" w:rsidP="008A5E67">
      <w:r w:rsidRPr="004F30BD">
        <w:br w:type="page"/>
      </w:r>
    </w:p>
    <w:p w14:paraId="251C252A" w14:textId="77777777" w:rsidR="00072DEA" w:rsidRPr="004F30BD" w:rsidRDefault="00C16173" w:rsidP="00072DEA">
      <w:pPr>
        <w:pStyle w:val="Heading1"/>
      </w:pPr>
      <w:bookmarkStart w:id="34" w:name="_Toc22298035"/>
      <w:r w:rsidRPr="004F30BD">
        <w:lastRenderedPageBreak/>
        <w:t>Provider</w:t>
      </w:r>
      <w:r w:rsidR="00072DEA" w:rsidRPr="004F30BD">
        <w:t xml:space="preserve"> attribute analysis</w:t>
      </w:r>
      <w:bookmarkEnd w:id="32"/>
      <w:bookmarkEnd w:id="34"/>
    </w:p>
    <w:p w14:paraId="43CA83E4" w14:textId="77777777" w:rsidR="00AB5C9A" w:rsidRPr="004F30BD" w:rsidRDefault="00AB5C9A" w:rsidP="00AB5C9A">
      <w:r w:rsidRPr="004F30BD">
        <w:t>Attribute analysis is conducted to identify where there are similarities and differences between providers. It provides insight that overall or aggregated analysis cannot. It helps answer the questions “Do some groups perceive that they are treated differently?</w:t>
      </w:r>
      <w:r w:rsidR="00436DC8" w:rsidRPr="004F30BD">
        <w:t>”</w:t>
      </w:r>
      <w:r w:rsidRPr="004F30BD">
        <w:t xml:space="preserve"> </w:t>
      </w:r>
      <w:r w:rsidR="008621CF" w:rsidRPr="004F30BD">
        <w:t>and</w:t>
      </w:r>
      <w:r w:rsidRPr="004F30BD">
        <w:t xml:space="preserve"> “Do sub-groups have similar </w:t>
      </w:r>
      <w:r w:rsidR="004E5AFB" w:rsidRPr="004F30BD">
        <w:t xml:space="preserve">or different </w:t>
      </w:r>
      <w:r w:rsidRPr="004F30BD">
        <w:t xml:space="preserve">views?” Essentially this analysis is used to </w:t>
      </w:r>
      <w:r w:rsidR="004E5AFB" w:rsidRPr="004F30BD">
        <w:t xml:space="preserve">discover </w:t>
      </w:r>
      <w:r w:rsidRPr="004F30BD">
        <w:t xml:space="preserve">whether or not TEQSA has </w:t>
      </w:r>
      <w:r w:rsidR="00850668" w:rsidRPr="004F30BD">
        <w:t>the same or different interactions with various sub-groups and conversely if these sub-groups have the same or different perceptions of TEQSA</w:t>
      </w:r>
      <w:r w:rsidRPr="004F30BD">
        <w:t xml:space="preserve">. </w:t>
      </w:r>
    </w:p>
    <w:p w14:paraId="4B328E2E" w14:textId="77777777" w:rsidR="00860E6A" w:rsidRPr="004F30BD" w:rsidRDefault="00860E6A" w:rsidP="00860E6A">
      <w:r w:rsidRPr="004F30BD">
        <w:t>For 2019, there were many fewer significant differences between provider sub-groups than in previous years of surveying. This, in itself, is a notable result for this year of surveying.</w:t>
      </w:r>
    </w:p>
    <w:p w14:paraId="6D855812" w14:textId="77777777" w:rsidR="00850668" w:rsidRPr="004F30BD" w:rsidRDefault="00072DEA" w:rsidP="00850668">
      <w:r w:rsidRPr="004F30BD">
        <w:t xml:space="preserve">The following section </w:t>
      </w:r>
      <w:r w:rsidR="00AB5C9A" w:rsidRPr="004F30BD">
        <w:t>presents</w:t>
      </w:r>
      <w:r w:rsidRPr="004F30BD">
        <w:t xml:space="preserve"> the results of principal contact </w:t>
      </w:r>
      <w:r w:rsidR="00AB5C9A" w:rsidRPr="004F30BD">
        <w:t>responses</w:t>
      </w:r>
      <w:r w:rsidRPr="004F30BD">
        <w:t xml:space="preserve"> </w:t>
      </w:r>
      <w:r w:rsidR="004A6075" w:rsidRPr="004F30BD">
        <w:t>across seven</w:t>
      </w:r>
      <w:r w:rsidRPr="004F30BD">
        <w:t xml:space="preserve"> </w:t>
      </w:r>
      <w:r w:rsidR="00AB5C9A" w:rsidRPr="004F30BD">
        <w:t>provider</w:t>
      </w:r>
      <w:r w:rsidRPr="004F30BD">
        <w:t xml:space="preserve"> attributes</w:t>
      </w:r>
      <w:r w:rsidR="00AB5C9A" w:rsidRPr="004F30BD">
        <w:t>:</w:t>
      </w:r>
      <w:r w:rsidRPr="004F30BD">
        <w:t xml:space="preserve"> </w:t>
      </w:r>
    </w:p>
    <w:p w14:paraId="2F9090D1" w14:textId="77777777" w:rsidR="00850668" w:rsidRPr="004F30BD" w:rsidRDefault="008C2CD0" w:rsidP="00A06284">
      <w:pPr>
        <w:pStyle w:val="ListParagraph"/>
        <w:numPr>
          <w:ilvl w:val="0"/>
          <w:numId w:val="17"/>
        </w:numPr>
        <w:spacing w:before="60"/>
        <w:ind w:right="1080"/>
        <w:contextualSpacing w:val="0"/>
      </w:pPr>
      <w:r w:rsidRPr="004F30BD">
        <w:t>S</w:t>
      </w:r>
      <w:r w:rsidR="00A8170D" w:rsidRPr="004F30BD">
        <w:t>elf-accrediting authority</w:t>
      </w:r>
    </w:p>
    <w:p w14:paraId="58107984" w14:textId="77777777" w:rsidR="00850668" w:rsidRPr="004F30BD" w:rsidRDefault="00A8170D" w:rsidP="00A06284">
      <w:pPr>
        <w:pStyle w:val="ListParagraph"/>
        <w:numPr>
          <w:ilvl w:val="0"/>
          <w:numId w:val="17"/>
        </w:numPr>
        <w:spacing w:before="60"/>
        <w:ind w:right="1080"/>
        <w:contextualSpacing w:val="0"/>
      </w:pPr>
      <w:r w:rsidRPr="004F30BD">
        <w:t>201</w:t>
      </w:r>
      <w:r w:rsidR="00BA069F" w:rsidRPr="004F30BD">
        <w:t>8</w:t>
      </w:r>
      <w:r w:rsidRPr="004F30BD">
        <w:t xml:space="preserve"> risk to financial position</w:t>
      </w:r>
    </w:p>
    <w:p w14:paraId="0B12A3C2" w14:textId="77777777" w:rsidR="00850668" w:rsidRPr="004F30BD" w:rsidRDefault="0031108B" w:rsidP="00A06284">
      <w:pPr>
        <w:pStyle w:val="ListParagraph"/>
        <w:numPr>
          <w:ilvl w:val="0"/>
          <w:numId w:val="17"/>
        </w:numPr>
        <w:spacing w:before="60"/>
        <w:ind w:right="1080"/>
        <w:contextualSpacing w:val="0"/>
      </w:pPr>
      <w:r w:rsidRPr="004F30BD">
        <w:t>201</w:t>
      </w:r>
      <w:r w:rsidR="00BA069F" w:rsidRPr="004F30BD">
        <w:t>8</w:t>
      </w:r>
      <w:r w:rsidR="00D40A0B" w:rsidRPr="004F30BD">
        <w:t xml:space="preserve"> risk to students</w:t>
      </w:r>
    </w:p>
    <w:p w14:paraId="6521050B" w14:textId="77777777" w:rsidR="00850668" w:rsidRPr="004F30BD" w:rsidRDefault="00850668" w:rsidP="00A06284">
      <w:pPr>
        <w:pStyle w:val="ListParagraph"/>
        <w:numPr>
          <w:ilvl w:val="0"/>
          <w:numId w:val="17"/>
        </w:numPr>
        <w:spacing w:before="60"/>
        <w:ind w:right="1080"/>
        <w:contextualSpacing w:val="0"/>
      </w:pPr>
      <w:r w:rsidRPr="004F30BD">
        <w:t>C</w:t>
      </w:r>
      <w:r w:rsidR="00D40A0B" w:rsidRPr="004F30BD">
        <w:t>ategory</w:t>
      </w:r>
    </w:p>
    <w:p w14:paraId="3ECB6058" w14:textId="77777777" w:rsidR="00850668" w:rsidRPr="004F30BD" w:rsidRDefault="00D27F3C" w:rsidP="00A06284">
      <w:pPr>
        <w:pStyle w:val="ListParagraph"/>
        <w:numPr>
          <w:ilvl w:val="0"/>
          <w:numId w:val="17"/>
        </w:numPr>
        <w:spacing w:before="60"/>
        <w:ind w:right="1080"/>
        <w:contextualSpacing w:val="0"/>
      </w:pPr>
      <w:r w:rsidRPr="004F30BD">
        <w:t>Registered Training Organisation (</w:t>
      </w:r>
      <w:r w:rsidR="0029565D" w:rsidRPr="004F30BD">
        <w:t>RTO</w:t>
      </w:r>
      <w:r w:rsidRPr="004F30BD">
        <w:t>) activity</w:t>
      </w:r>
    </w:p>
    <w:p w14:paraId="1B3BF8A5" w14:textId="77777777" w:rsidR="00850668" w:rsidRPr="004F30BD" w:rsidRDefault="0029565D" w:rsidP="00A06284">
      <w:pPr>
        <w:pStyle w:val="ListParagraph"/>
        <w:numPr>
          <w:ilvl w:val="0"/>
          <w:numId w:val="17"/>
        </w:numPr>
        <w:spacing w:before="60"/>
        <w:ind w:right="1080"/>
        <w:contextualSpacing w:val="0"/>
      </w:pPr>
      <w:r w:rsidRPr="004F30BD">
        <w:t>CRICOS registration</w:t>
      </w:r>
      <w:r w:rsidR="006430B7" w:rsidRPr="004F30BD">
        <w:t xml:space="preserve"> and </w:t>
      </w:r>
    </w:p>
    <w:p w14:paraId="66BEA243" w14:textId="77777777" w:rsidR="00850668" w:rsidRPr="004F30BD" w:rsidRDefault="008B117B" w:rsidP="00A06284">
      <w:pPr>
        <w:pStyle w:val="ListParagraph"/>
        <w:numPr>
          <w:ilvl w:val="0"/>
          <w:numId w:val="17"/>
        </w:numPr>
        <w:spacing w:before="60"/>
        <w:ind w:right="1080"/>
        <w:contextualSpacing w:val="0"/>
      </w:pPr>
      <w:r w:rsidRPr="004F30BD">
        <w:t>M</w:t>
      </w:r>
      <w:r w:rsidR="006430B7" w:rsidRPr="004F30BD">
        <w:t>arket groupings</w:t>
      </w:r>
      <w:r w:rsidR="00026AA4" w:rsidRPr="004F30BD">
        <w:t xml:space="preserve">. </w:t>
      </w:r>
    </w:p>
    <w:p w14:paraId="3A63D9C1" w14:textId="77777777" w:rsidR="004A6075" w:rsidRPr="004F30BD" w:rsidRDefault="004A6075" w:rsidP="004A6075">
      <w:pPr>
        <w:spacing w:before="240"/>
      </w:pPr>
      <w:r w:rsidRPr="004F30BD">
        <w:t xml:space="preserve">There were no significant differences across provider size and state (location) so there </w:t>
      </w:r>
      <w:r w:rsidR="00860E6A" w:rsidRPr="004F30BD">
        <w:t>is no discussion of data</w:t>
      </w:r>
      <w:r w:rsidRPr="004F30BD">
        <w:t xml:space="preserve"> for these two attributes.</w:t>
      </w:r>
    </w:p>
    <w:p w14:paraId="23A58CCB" w14:textId="77777777" w:rsidR="00B209EA" w:rsidRPr="004F30BD" w:rsidRDefault="00E765AC" w:rsidP="004A6075">
      <w:pPr>
        <w:spacing w:after="240"/>
      </w:pPr>
      <w:r w:rsidRPr="004F30BD">
        <w:t>T</w:t>
      </w:r>
      <w:r w:rsidR="00AB5C9A" w:rsidRPr="004F30BD">
        <w:t>he table</w:t>
      </w:r>
      <w:r w:rsidR="00860E6A" w:rsidRPr="004F30BD">
        <w:t xml:space="preserve"> immediately</w:t>
      </w:r>
      <w:r w:rsidR="00AB5C9A" w:rsidRPr="004F30BD">
        <w:t xml:space="preserve"> below shows the sub-sets used in the analysis of each attribute.</w:t>
      </w:r>
      <w:r w:rsidR="00B209EA" w:rsidRPr="004F30BD">
        <w:t xml:space="preserve"> </w:t>
      </w:r>
    </w:p>
    <w:tbl>
      <w:tblPr>
        <w:tblW w:w="8495" w:type="dxa"/>
        <w:tblLayout w:type="fixed"/>
        <w:tblCellMar>
          <w:left w:w="0" w:type="dxa"/>
          <w:right w:w="0" w:type="dxa"/>
        </w:tblCellMar>
        <w:tblLook w:val="04A0" w:firstRow="1" w:lastRow="0" w:firstColumn="1" w:lastColumn="0" w:noHBand="0" w:noVBand="1"/>
      </w:tblPr>
      <w:tblGrid>
        <w:gridCol w:w="2250"/>
        <w:gridCol w:w="3178"/>
        <w:gridCol w:w="692"/>
        <w:gridCol w:w="2375"/>
      </w:tblGrid>
      <w:tr w:rsidR="00265B60" w:rsidRPr="004F30BD" w14:paraId="4DD03394" w14:textId="77777777" w:rsidTr="00192CF4">
        <w:trPr>
          <w:divId w:val="579755685"/>
          <w:trHeight w:val="524"/>
          <w:tblHeader/>
        </w:trPr>
        <w:tc>
          <w:tcPr>
            <w:tcW w:w="2250" w:type="dxa"/>
            <w:tcBorders>
              <w:top w:val="nil"/>
              <w:left w:val="nil"/>
              <w:bottom w:val="nil"/>
              <w:right w:val="nil"/>
            </w:tcBorders>
            <w:shd w:val="clear" w:color="auto" w:fill="00386E"/>
            <w:tcMar>
              <w:top w:w="15" w:type="dxa"/>
              <w:left w:w="15" w:type="dxa"/>
              <w:bottom w:w="0" w:type="dxa"/>
              <w:right w:w="15" w:type="dxa"/>
            </w:tcMar>
            <w:vAlign w:val="center"/>
            <w:hideMark/>
          </w:tcPr>
          <w:p w14:paraId="21170CC2" w14:textId="77777777" w:rsidR="00265B60" w:rsidRPr="004F30BD" w:rsidRDefault="00265B60" w:rsidP="00265B60">
            <w:pPr>
              <w:spacing w:before="0" w:line="240" w:lineRule="auto"/>
              <w:ind w:right="0"/>
              <w:rPr>
                <w:rFonts w:eastAsia="Times New Roman" w:cs="Calibri"/>
                <w:color w:val="FFFFFF"/>
                <w:szCs w:val="18"/>
                <w:lang w:eastAsia="en-AU"/>
              </w:rPr>
            </w:pPr>
            <w:r w:rsidRPr="004F30BD">
              <w:rPr>
                <w:rFonts w:eastAsia="Times New Roman" w:cs="Calibri"/>
                <w:color w:val="FFFFFF"/>
                <w:szCs w:val="18"/>
                <w:lang w:eastAsia="en-AU"/>
              </w:rPr>
              <w:t>ATTRIBUTE</w:t>
            </w:r>
          </w:p>
        </w:tc>
        <w:tc>
          <w:tcPr>
            <w:tcW w:w="3178" w:type="dxa"/>
            <w:tcBorders>
              <w:top w:val="nil"/>
              <w:left w:val="nil"/>
              <w:bottom w:val="nil"/>
              <w:right w:val="nil"/>
            </w:tcBorders>
            <w:shd w:val="clear" w:color="auto" w:fill="00386E"/>
            <w:tcMar>
              <w:top w:w="15" w:type="dxa"/>
              <w:left w:w="15" w:type="dxa"/>
              <w:bottom w:w="0" w:type="dxa"/>
              <w:right w:w="15" w:type="dxa"/>
            </w:tcMar>
            <w:vAlign w:val="center"/>
            <w:hideMark/>
          </w:tcPr>
          <w:p w14:paraId="0C512D1F" w14:textId="77777777" w:rsidR="00265B60" w:rsidRPr="004F30BD" w:rsidRDefault="00265B60" w:rsidP="00265B60">
            <w:pPr>
              <w:spacing w:before="0" w:line="240" w:lineRule="auto"/>
              <w:ind w:right="0"/>
              <w:rPr>
                <w:rFonts w:eastAsia="Times New Roman" w:cs="Calibri"/>
                <w:color w:val="FFFFFF"/>
                <w:szCs w:val="18"/>
                <w:lang w:eastAsia="en-AU"/>
              </w:rPr>
            </w:pPr>
            <w:r w:rsidRPr="004F30BD">
              <w:rPr>
                <w:rFonts w:eastAsia="Times New Roman" w:cs="Calibri"/>
                <w:color w:val="FFFFFF"/>
                <w:szCs w:val="18"/>
                <w:lang w:eastAsia="en-AU"/>
              </w:rPr>
              <w:t>SUB-GROUPS</w:t>
            </w:r>
          </w:p>
        </w:tc>
        <w:tc>
          <w:tcPr>
            <w:tcW w:w="692" w:type="dxa"/>
            <w:tcBorders>
              <w:top w:val="nil"/>
              <w:left w:val="nil"/>
              <w:bottom w:val="nil"/>
              <w:right w:val="nil"/>
            </w:tcBorders>
            <w:shd w:val="clear" w:color="auto" w:fill="00386E"/>
            <w:tcMar>
              <w:top w:w="15" w:type="dxa"/>
              <w:left w:w="15" w:type="dxa"/>
              <w:bottom w:w="0" w:type="dxa"/>
              <w:right w:w="15" w:type="dxa"/>
            </w:tcMar>
            <w:vAlign w:val="center"/>
            <w:hideMark/>
          </w:tcPr>
          <w:p w14:paraId="213CAC0C" w14:textId="77777777" w:rsidR="00265B60" w:rsidRPr="004F30BD" w:rsidRDefault="00265B60" w:rsidP="00265B60">
            <w:pPr>
              <w:spacing w:before="0" w:line="240" w:lineRule="auto"/>
              <w:ind w:right="0"/>
              <w:jc w:val="center"/>
              <w:rPr>
                <w:rFonts w:eastAsia="Times New Roman" w:cs="Calibri"/>
                <w:color w:val="FFFFFF"/>
                <w:szCs w:val="18"/>
                <w:lang w:eastAsia="en-AU"/>
              </w:rPr>
            </w:pPr>
            <w:r w:rsidRPr="004F30BD">
              <w:rPr>
                <w:rFonts w:eastAsia="Times New Roman" w:cs="Calibri"/>
                <w:color w:val="FFFFFF"/>
                <w:szCs w:val="18"/>
                <w:lang w:eastAsia="en-AU"/>
              </w:rPr>
              <w:t>n</w:t>
            </w:r>
          </w:p>
        </w:tc>
        <w:tc>
          <w:tcPr>
            <w:tcW w:w="2375" w:type="dxa"/>
            <w:tcBorders>
              <w:top w:val="nil"/>
              <w:left w:val="nil"/>
              <w:bottom w:val="nil"/>
              <w:right w:val="nil"/>
            </w:tcBorders>
            <w:shd w:val="clear" w:color="auto" w:fill="00386E"/>
            <w:tcMar>
              <w:top w:w="15" w:type="dxa"/>
              <w:left w:w="15" w:type="dxa"/>
              <w:bottom w:w="0" w:type="dxa"/>
              <w:right w:w="15" w:type="dxa"/>
            </w:tcMar>
            <w:vAlign w:val="center"/>
            <w:hideMark/>
          </w:tcPr>
          <w:p w14:paraId="2FA0FB29" w14:textId="77777777" w:rsidR="00265B60" w:rsidRPr="004F30BD" w:rsidRDefault="00C269B9" w:rsidP="004A6075">
            <w:pPr>
              <w:spacing w:before="0" w:line="240" w:lineRule="auto"/>
              <w:ind w:right="0"/>
              <w:jc w:val="center"/>
              <w:rPr>
                <w:rFonts w:eastAsia="Times New Roman" w:cs="Calibri"/>
                <w:color w:val="FFFFFF"/>
                <w:szCs w:val="18"/>
                <w:lang w:eastAsia="en-AU"/>
              </w:rPr>
            </w:pPr>
            <w:r w:rsidRPr="004F30BD">
              <w:rPr>
                <w:rFonts w:eastAsia="Times New Roman" w:cs="Calibri"/>
                <w:color w:val="FFFFFF"/>
                <w:szCs w:val="18"/>
                <w:lang w:eastAsia="en-AU"/>
              </w:rPr>
              <w:t>POPORTION OF</w:t>
            </w:r>
            <w:r w:rsidR="004A6075" w:rsidRPr="004F30BD">
              <w:rPr>
                <w:rFonts w:eastAsia="Times New Roman" w:cs="Calibri"/>
                <w:color w:val="FFFFFF"/>
                <w:szCs w:val="18"/>
                <w:lang w:eastAsia="en-AU"/>
              </w:rPr>
              <w:br/>
            </w:r>
            <w:r w:rsidR="00265B60" w:rsidRPr="004F30BD">
              <w:rPr>
                <w:rFonts w:eastAsia="Times New Roman" w:cs="Calibri"/>
                <w:color w:val="FFFFFF"/>
                <w:szCs w:val="18"/>
                <w:lang w:eastAsia="en-AU"/>
              </w:rPr>
              <w:t>RESPONSE SAMPLE</w:t>
            </w:r>
            <w:r w:rsidRPr="004F30BD">
              <w:rPr>
                <w:rFonts w:eastAsia="Times New Roman" w:cs="Calibri"/>
                <w:color w:val="FFFFFF"/>
                <w:szCs w:val="18"/>
                <w:lang w:eastAsia="en-AU"/>
              </w:rPr>
              <w:t xml:space="preserve"> %</w:t>
            </w:r>
          </w:p>
        </w:tc>
      </w:tr>
      <w:tr w:rsidR="00C833CB" w:rsidRPr="004F30BD" w14:paraId="299CBEC2" w14:textId="77777777" w:rsidTr="00192CF4">
        <w:trPr>
          <w:divId w:val="579755685"/>
          <w:trHeight w:val="288"/>
        </w:trPr>
        <w:tc>
          <w:tcPr>
            <w:tcW w:w="2250" w:type="dxa"/>
            <w:vMerge w:val="restart"/>
            <w:tcBorders>
              <w:top w:val="nil"/>
              <w:left w:val="nil"/>
              <w:right w:val="nil"/>
            </w:tcBorders>
            <w:shd w:val="clear" w:color="auto" w:fill="FFFFFF" w:themeFill="background1"/>
            <w:tcMar>
              <w:top w:w="0" w:type="dxa"/>
              <w:left w:w="15" w:type="dxa"/>
              <w:bottom w:w="0" w:type="dxa"/>
              <w:right w:w="15" w:type="dxa"/>
            </w:tcMar>
            <w:hideMark/>
          </w:tcPr>
          <w:p w14:paraId="47578CE2" w14:textId="77777777" w:rsidR="00C833CB" w:rsidRPr="004F30BD" w:rsidRDefault="00C833CB" w:rsidP="00192CF4">
            <w:pPr>
              <w:spacing w:before="0" w:line="240" w:lineRule="auto"/>
              <w:ind w:right="0"/>
              <w:rPr>
                <w:rFonts w:eastAsia="Times New Roman" w:cs="Calibri"/>
                <w:color w:val="000000"/>
                <w:szCs w:val="16"/>
                <w:lang w:eastAsia="en-AU"/>
              </w:rPr>
            </w:pPr>
            <w:r w:rsidRPr="004F30BD">
              <w:rPr>
                <w:rFonts w:eastAsia="Times New Roman" w:cs="Calibri"/>
                <w:color w:val="000000"/>
                <w:szCs w:val="16"/>
                <w:lang w:eastAsia="en-AU"/>
              </w:rPr>
              <w:t>Self-accrediting authorit</w:t>
            </w:r>
            <w:r w:rsidR="00192CF4" w:rsidRPr="004F30BD">
              <w:rPr>
                <w:rFonts w:eastAsia="Times New Roman" w:cs="Calibri"/>
                <w:color w:val="000000"/>
                <w:szCs w:val="16"/>
                <w:lang w:eastAsia="en-AU"/>
              </w:rPr>
              <w:t>y</w:t>
            </w:r>
          </w:p>
        </w:tc>
        <w:tc>
          <w:tcPr>
            <w:tcW w:w="3178" w:type="dxa"/>
            <w:tcBorders>
              <w:top w:val="nil"/>
              <w:left w:val="nil"/>
              <w:bottom w:val="nil"/>
              <w:right w:val="nil"/>
            </w:tcBorders>
            <w:shd w:val="clear" w:color="auto" w:fill="auto"/>
            <w:tcMar>
              <w:top w:w="15" w:type="dxa"/>
              <w:left w:w="15" w:type="dxa"/>
              <w:bottom w:w="0" w:type="dxa"/>
              <w:right w:w="15" w:type="dxa"/>
            </w:tcMar>
            <w:vAlign w:val="center"/>
            <w:hideMark/>
          </w:tcPr>
          <w:p w14:paraId="04C484F5" w14:textId="77777777" w:rsidR="00C833CB" w:rsidRPr="004F30BD" w:rsidRDefault="00C833CB" w:rsidP="00265B60">
            <w:pPr>
              <w:spacing w:before="0" w:line="240" w:lineRule="auto"/>
              <w:ind w:right="0"/>
              <w:rPr>
                <w:rFonts w:eastAsia="Times New Roman" w:cs="Calibri"/>
                <w:color w:val="000000"/>
                <w:szCs w:val="16"/>
                <w:lang w:eastAsia="en-AU"/>
              </w:rPr>
            </w:pPr>
            <w:r w:rsidRPr="004F30BD">
              <w:rPr>
                <w:rFonts w:eastAsia="Times New Roman" w:cs="Calibri"/>
                <w:color w:val="000000"/>
                <w:szCs w:val="16"/>
                <w:lang w:eastAsia="en-AU"/>
              </w:rPr>
              <w:t>No</w:t>
            </w:r>
          </w:p>
        </w:tc>
        <w:tc>
          <w:tcPr>
            <w:tcW w:w="692" w:type="dxa"/>
            <w:tcBorders>
              <w:top w:val="nil"/>
              <w:left w:val="nil"/>
              <w:bottom w:val="nil"/>
              <w:right w:val="nil"/>
            </w:tcBorders>
            <w:shd w:val="clear" w:color="auto" w:fill="auto"/>
            <w:noWrap/>
            <w:tcMar>
              <w:top w:w="15" w:type="dxa"/>
              <w:left w:w="15" w:type="dxa"/>
              <w:bottom w:w="0" w:type="dxa"/>
              <w:right w:w="15" w:type="dxa"/>
            </w:tcMar>
            <w:vAlign w:val="center"/>
            <w:hideMark/>
          </w:tcPr>
          <w:p w14:paraId="022D7018"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101</w:t>
            </w:r>
          </w:p>
        </w:tc>
        <w:tc>
          <w:tcPr>
            <w:tcW w:w="2375" w:type="dxa"/>
            <w:tcBorders>
              <w:top w:val="nil"/>
              <w:left w:val="nil"/>
              <w:bottom w:val="nil"/>
              <w:right w:val="nil"/>
            </w:tcBorders>
            <w:shd w:val="clear" w:color="auto" w:fill="auto"/>
            <w:noWrap/>
            <w:tcMar>
              <w:top w:w="15" w:type="dxa"/>
              <w:left w:w="15" w:type="dxa"/>
              <w:bottom w:w="0" w:type="dxa"/>
              <w:right w:w="15" w:type="dxa"/>
            </w:tcMar>
            <w:vAlign w:val="center"/>
            <w:hideMark/>
          </w:tcPr>
          <w:p w14:paraId="2431E7F7"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71</w:t>
            </w:r>
          </w:p>
        </w:tc>
      </w:tr>
      <w:tr w:rsidR="00C833CB" w:rsidRPr="004F30BD" w14:paraId="40DD4F99" w14:textId="77777777" w:rsidTr="00192CF4">
        <w:trPr>
          <w:divId w:val="579755685"/>
          <w:trHeight w:val="288"/>
        </w:trPr>
        <w:tc>
          <w:tcPr>
            <w:tcW w:w="2250" w:type="dxa"/>
            <w:vMerge/>
            <w:tcBorders>
              <w:left w:val="nil"/>
              <w:bottom w:val="single" w:sz="8" w:space="0" w:color="auto"/>
              <w:right w:val="nil"/>
            </w:tcBorders>
            <w:shd w:val="clear" w:color="auto" w:fill="FFFFFF" w:themeFill="background1"/>
            <w:tcMar>
              <w:top w:w="0" w:type="dxa"/>
              <w:left w:w="15" w:type="dxa"/>
              <w:bottom w:w="0" w:type="dxa"/>
              <w:right w:w="15" w:type="dxa"/>
            </w:tcMar>
            <w:hideMark/>
          </w:tcPr>
          <w:p w14:paraId="7D4EE2A7" w14:textId="77777777" w:rsidR="00C833CB" w:rsidRPr="004F30BD" w:rsidRDefault="00C833CB" w:rsidP="00001851">
            <w:pPr>
              <w:spacing w:before="0" w:line="240" w:lineRule="auto"/>
              <w:ind w:right="0"/>
              <w:rPr>
                <w:rFonts w:eastAsia="Times New Roman" w:cs="Calibri"/>
                <w:color w:val="000000"/>
                <w:szCs w:val="16"/>
                <w:lang w:eastAsia="en-AU"/>
              </w:rPr>
            </w:pPr>
          </w:p>
        </w:tc>
        <w:tc>
          <w:tcPr>
            <w:tcW w:w="3178" w:type="dxa"/>
            <w:tcBorders>
              <w:top w:val="nil"/>
              <w:left w:val="nil"/>
              <w:bottom w:val="single" w:sz="8" w:space="0" w:color="auto"/>
              <w:right w:val="nil"/>
            </w:tcBorders>
            <w:shd w:val="clear" w:color="000000" w:fill="E6E6E6"/>
            <w:tcMar>
              <w:top w:w="15" w:type="dxa"/>
              <w:left w:w="15" w:type="dxa"/>
              <w:bottom w:w="0" w:type="dxa"/>
              <w:right w:w="15" w:type="dxa"/>
            </w:tcMar>
            <w:vAlign w:val="center"/>
            <w:hideMark/>
          </w:tcPr>
          <w:p w14:paraId="565A1A20" w14:textId="77777777" w:rsidR="00C833CB" w:rsidRPr="004F30BD" w:rsidRDefault="00C833CB" w:rsidP="00265B60">
            <w:pPr>
              <w:spacing w:before="0" w:line="240" w:lineRule="auto"/>
              <w:ind w:right="0"/>
              <w:rPr>
                <w:rFonts w:eastAsia="Times New Roman" w:cs="Calibri"/>
                <w:color w:val="000000"/>
                <w:szCs w:val="16"/>
                <w:lang w:eastAsia="en-AU"/>
              </w:rPr>
            </w:pPr>
            <w:r w:rsidRPr="004F30BD">
              <w:rPr>
                <w:rFonts w:eastAsia="Times New Roman" w:cs="Calibri"/>
                <w:color w:val="000000"/>
                <w:szCs w:val="16"/>
                <w:lang w:eastAsia="en-AU"/>
              </w:rPr>
              <w:t>Yes / Part yes</w:t>
            </w:r>
          </w:p>
        </w:tc>
        <w:tc>
          <w:tcPr>
            <w:tcW w:w="692" w:type="dxa"/>
            <w:tcBorders>
              <w:top w:val="nil"/>
              <w:left w:val="nil"/>
              <w:bottom w:val="single" w:sz="8" w:space="0" w:color="auto"/>
              <w:right w:val="nil"/>
            </w:tcBorders>
            <w:shd w:val="clear" w:color="000000" w:fill="E6E6E6"/>
            <w:noWrap/>
            <w:tcMar>
              <w:top w:w="15" w:type="dxa"/>
              <w:left w:w="15" w:type="dxa"/>
              <w:bottom w:w="0" w:type="dxa"/>
              <w:right w:w="15" w:type="dxa"/>
            </w:tcMar>
            <w:vAlign w:val="center"/>
            <w:hideMark/>
          </w:tcPr>
          <w:p w14:paraId="59A92866"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41</w:t>
            </w:r>
          </w:p>
        </w:tc>
        <w:tc>
          <w:tcPr>
            <w:tcW w:w="2375" w:type="dxa"/>
            <w:tcBorders>
              <w:top w:val="nil"/>
              <w:left w:val="nil"/>
              <w:bottom w:val="single" w:sz="8" w:space="0" w:color="auto"/>
              <w:right w:val="nil"/>
            </w:tcBorders>
            <w:shd w:val="clear" w:color="000000" w:fill="E6E6E6"/>
            <w:noWrap/>
            <w:tcMar>
              <w:top w:w="15" w:type="dxa"/>
              <w:left w:w="15" w:type="dxa"/>
              <w:bottom w:w="0" w:type="dxa"/>
              <w:right w:w="15" w:type="dxa"/>
            </w:tcMar>
            <w:vAlign w:val="center"/>
            <w:hideMark/>
          </w:tcPr>
          <w:p w14:paraId="497FA4AD"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29</w:t>
            </w:r>
          </w:p>
        </w:tc>
      </w:tr>
      <w:tr w:rsidR="00C833CB" w:rsidRPr="004F30BD" w14:paraId="71637BC9" w14:textId="77777777" w:rsidTr="00192CF4">
        <w:trPr>
          <w:divId w:val="579755685"/>
          <w:trHeight w:val="288"/>
        </w:trPr>
        <w:tc>
          <w:tcPr>
            <w:tcW w:w="2250" w:type="dxa"/>
            <w:vMerge w:val="restart"/>
            <w:tcBorders>
              <w:top w:val="nil"/>
              <w:left w:val="nil"/>
              <w:right w:val="nil"/>
            </w:tcBorders>
            <w:shd w:val="clear" w:color="auto" w:fill="FFFFFF" w:themeFill="background1"/>
            <w:tcMar>
              <w:top w:w="15" w:type="dxa"/>
              <w:left w:w="15" w:type="dxa"/>
              <w:bottom w:w="0" w:type="dxa"/>
              <w:right w:w="15" w:type="dxa"/>
            </w:tcMar>
            <w:hideMark/>
          </w:tcPr>
          <w:p w14:paraId="054376C1" w14:textId="77777777" w:rsidR="00C833CB" w:rsidRPr="004F30BD" w:rsidRDefault="00C833CB" w:rsidP="00192CF4">
            <w:pPr>
              <w:spacing w:before="0" w:line="240" w:lineRule="auto"/>
              <w:ind w:right="0"/>
              <w:rPr>
                <w:rFonts w:eastAsia="Times New Roman" w:cs="Calibri"/>
                <w:color w:val="000000"/>
                <w:szCs w:val="16"/>
                <w:lang w:eastAsia="en-AU"/>
              </w:rPr>
            </w:pPr>
            <w:r w:rsidRPr="004F30BD">
              <w:rPr>
                <w:rFonts w:eastAsia="Times New Roman" w:cs="Calibri"/>
                <w:color w:val="000000"/>
                <w:szCs w:val="16"/>
                <w:lang w:eastAsia="en-AU"/>
              </w:rPr>
              <w:t>2018 Risk to financial position </w:t>
            </w:r>
          </w:p>
        </w:tc>
        <w:tc>
          <w:tcPr>
            <w:tcW w:w="3178" w:type="dxa"/>
            <w:tcBorders>
              <w:top w:val="nil"/>
              <w:left w:val="nil"/>
              <w:bottom w:val="nil"/>
              <w:right w:val="nil"/>
            </w:tcBorders>
            <w:shd w:val="clear" w:color="auto" w:fill="auto"/>
            <w:tcMar>
              <w:top w:w="15" w:type="dxa"/>
              <w:left w:w="15" w:type="dxa"/>
              <w:bottom w:w="0" w:type="dxa"/>
              <w:right w:w="15" w:type="dxa"/>
            </w:tcMar>
            <w:vAlign w:val="center"/>
            <w:hideMark/>
          </w:tcPr>
          <w:p w14:paraId="082F793F" w14:textId="77777777" w:rsidR="00C833CB" w:rsidRPr="004F30BD" w:rsidRDefault="00C833CB" w:rsidP="00265B60">
            <w:pPr>
              <w:spacing w:before="0" w:line="240" w:lineRule="auto"/>
              <w:ind w:right="0"/>
              <w:rPr>
                <w:rFonts w:eastAsia="Times New Roman" w:cs="Calibri"/>
                <w:color w:val="000000"/>
                <w:szCs w:val="16"/>
                <w:lang w:eastAsia="en-AU"/>
              </w:rPr>
            </w:pPr>
            <w:r w:rsidRPr="004F30BD">
              <w:rPr>
                <w:rFonts w:eastAsia="Times New Roman" w:cs="Calibri"/>
                <w:color w:val="000000"/>
                <w:szCs w:val="16"/>
                <w:lang w:eastAsia="en-AU"/>
              </w:rPr>
              <w:t>High / moderate</w:t>
            </w:r>
          </w:p>
        </w:tc>
        <w:tc>
          <w:tcPr>
            <w:tcW w:w="692" w:type="dxa"/>
            <w:tcBorders>
              <w:top w:val="nil"/>
              <w:left w:val="nil"/>
              <w:bottom w:val="nil"/>
              <w:right w:val="nil"/>
            </w:tcBorders>
            <w:shd w:val="clear" w:color="auto" w:fill="auto"/>
            <w:noWrap/>
            <w:tcMar>
              <w:top w:w="15" w:type="dxa"/>
              <w:left w:w="15" w:type="dxa"/>
              <w:bottom w:w="0" w:type="dxa"/>
              <w:right w:w="15" w:type="dxa"/>
            </w:tcMar>
            <w:vAlign w:val="center"/>
            <w:hideMark/>
          </w:tcPr>
          <w:p w14:paraId="204B2308"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41</w:t>
            </w:r>
          </w:p>
        </w:tc>
        <w:tc>
          <w:tcPr>
            <w:tcW w:w="2375" w:type="dxa"/>
            <w:tcBorders>
              <w:top w:val="nil"/>
              <w:left w:val="nil"/>
              <w:bottom w:val="nil"/>
              <w:right w:val="nil"/>
            </w:tcBorders>
            <w:shd w:val="clear" w:color="auto" w:fill="auto"/>
            <w:noWrap/>
            <w:tcMar>
              <w:top w:w="15" w:type="dxa"/>
              <w:left w:w="15" w:type="dxa"/>
              <w:bottom w:w="0" w:type="dxa"/>
              <w:right w:w="15" w:type="dxa"/>
            </w:tcMar>
            <w:vAlign w:val="center"/>
            <w:hideMark/>
          </w:tcPr>
          <w:p w14:paraId="7D8BA5C5"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32</w:t>
            </w:r>
          </w:p>
        </w:tc>
      </w:tr>
      <w:tr w:rsidR="00C833CB" w:rsidRPr="004F30BD" w14:paraId="23E1170F" w14:textId="77777777" w:rsidTr="00192CF4">
        <w:trPr>
          <w:divId w:val="579755685"/>
          <w:trHeight w:val="288"/>
        </w:trPr>
        <w:tc>
          <w:tcPr>
            <w:tcW w:w="2250" w:type="dxa"/>
            <w:vMerge/>
            <w:tcBorders>
              <w:left w:val="nil"/>
              <w:right w:val="nil"/>
            </w:tcBorders>
            <w:shd w:val="clear" w:color="auto" w:fill="FFFFFF" w:themeFill="background1"/>
            <w:tcMar>
              <w:top w:w="0" w:type="dxa"/>
              <w:left w:w="15" w:type="dxa"/>
              <w:bottom w:w="0" w:type="dxa"/>
              <w:right w:w="15" w:type="dxa"/>
            </w:tcMar>
            <w:hideMark/>
          </w:tcPr>
          <w:p w14:paraId="1090CCBA" w14:textId="77777777" w:rsidR="00C833CB" w:rsidRPr="004F30BD" w:rsidRDefault="00C833CB" w:rsidP="00001851">
            <w:pPr>
              <w:spacing w:before="0" w:line="240" w:lineRule="auto"/>
              <w:ind w:right="0"/>
              <w:rPr>
                <w:rFonts w:eastAsia="Times New Roman" w:cs="Calibri"/>
                <w:color w:val="000000"/>
                <w:szCs w:val="16"/>
                <w:lang w:eastAsia="en-AU"/>
              </w:rPr>
            </w:pPr>
          </w:p>
        </w:tc>
        <w:tc>
          <w:tcPr>
            <w:tcW w:w="3178" w:type="dxa"/>
            <w:tcBorders>
              <w:top w:val="nil"/>
              <w:left w:val="nil"/>
              <w:bottom w:val="nil"/>
              <w:right w:val="nil"/>
            </w:tcBorders>
            <w:shd w:val="clear" w:color="000000" w:fill="E6E6E6"/>
            <w:tcMar>
              <w:top w:w="15" w:type="dxa"/>
              <w:left w:w="15" w:type="dxa"/>
              <w:bottom w:w="0" w:type="dxa"/>
              <w:right w:w="15" w:type="dxa"/>
            </w:tcMar>
            <w:vAlign w:val="center"/>
            <w:hideMark/>
          </w:tcPr>
          <w:p w14:paraId="1E0AB50B" w14:textId="77777777" w:rsidR="00C833CB" w:rsidRPr="004F30BD" w:rsidRDefault="00C833CB" w:rsidP="00265B60">
            <w:pPr>
              <w:spacing w:before="0" w:line="240" w:lineRule="auto"/>
              <w:ind w:right="0"/>
              <w:rPr>
                <w:rFonts w:eastAsia="Times New Roman" w:cs="Calibri"/>
                <w:color w:val="000000"/>
                <w:szCs w:val="16"/>
                <w:lang w:eastAsia="en-AU"/>
              </w:rPr>
            </w:pPr>
            <w:r w:rsidRPr="004F30BD">
              <w:rPr>
                <w:rFonts w:eastAsia="Times New Roman" w:cs="Calibri"/>
                <w:color w:val="000000"/>
                <w:szCs w:val="16"/>
                <w:lang w:eastAsia="en-AU"/>
              </w:rPr>
              <w:t>Low</w:t>
            </w:r>
          </w:p>
        </w:tc>
        <w:tc>
          <w:tcPr>
            <w:tcW w:w="692" w:type="dxa"/>
            <w:tcBorders>
              <w:top w:val="nil"/>
              <w:left w:val="nil"/>
              <w:bottom w:val="nil"/>
              <w:right w:val="nil"/>
            </w:tcBorders>
            <w:shd w:val="clear" w:color="000000" w:fill="E6E6E6"/>
            <w:noWrap/>
            <w:tcMar>
              <w:top w:w="15" w:type="dxa"/>
              <w:left w:w="15" w:type="dxa"/>
              <w:bottom w:w="0" w:type="dxa"/>
              <w:right w:w="15" w:type="dxa"/>
            </w:tcMar>
            <w:vAlign w:val="center"/>
            <w:hideMark/>
          </w:tcPr>
          <w:p w14:paraId="1BD026B0"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64</w:t>
            </w:r>
          </w:p>
        </w:tc>
        <w:tc>
          <w:tcPr>
            <w:tcW w:w="2375" w:type="dxa"/>
            <w:tcBorders>
              <w:top w:val="nil"/>
              <w:left w:val="nil"/>
              <w:bottom w:val="nil"/>
              <w:right w:val="nil"/>
            </w:tcBorders>
            <w:shd w:val="clear" w:color="000000" w:fill="E6E6E6"/>
            <w:noWrap/>
            <w:tcMar>
              <w:top w:w="15" w:type="dxa"/>
              <w:left w:w="15" w:type="dxa"/>
              <w:bottom w:w="0" w:type="dxa"/>
              <w:right w:w="15" w:type="dxa"/>
            </w:tcMar>
            <w:vAlign w:val="center"/>
            <w:hideMark/>
          </w:tcPr>
          <w:p w14:paraId="1B68F08D"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50</w:t>
            </w:r>
          </w:p>
        </w:tc>
      </w:tr>
      <w:tr w:rsidR="00C833CB" w:rsidRPr="004F30BD" w14:paraId="42A8CACC" w14:textId="77777777" w:rsidTr="00192CF4">
        <w:trPr>
          <w:divId w:val="579755685"/>
          <w:trHeight w:val="288"/>
        </w:trPr>
        <w:tc>
          <w:tcPr>
            <w:tcW w:w="2250" w:type="dxa"/>
            <w:vMerge/>
            <w:tcBorders>
              <w:left w:val="nil"/>
              <w:bottom w:val="single" w:sz="8" w:space="0" w:color="auto"/>
              <w:right w:val="nil"/>
            </w:tcBorders>
            <w:shd w:val="clear" w:color="auto" w:fill="FFFFFF" w:themeFill="background1"/>
            <w:tcMar>
              <w:top w:w="0" w:type="dxa"/>
              <w:left w:w="15" w:type="dxa"/>
              <w:bottom w:w="0" w:type="dxa"/>
              <w:right w:w="15" w:type="dxa"/>
            </w:tcMar>
            <w:hideMark/>
          </w:tcPr>
          <w:p w14:paraId="0D3E5905" w14:textId="77777777" w:rsidR="00C833CB" w:rsidRPr="004F30BD" w:rsidRDefault="00C833CB" w:rsidP="00001851">
            <w:pPr>
              <w:spacing w:before="0" w:line="240" w:lineRule="auto"/>
              <w:ind w:right="0"/>
              <w:rPr>
                <w:rFonts w:eastAsia="Times New Roman" w:cs="Calibri"/>
                <w:color w:val="000000"/>
                <w:szCs w:val="16"/>
                <w:lang w:eastAsia="en-AU"/>
              </w:rPr>
            </w:pPr>
          </w:p>
        </w:tc>
        <w:tc>
          <w:tcPr>
            <w:tcW w:w="3178"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2BE9BBA1" w14:textId="77777777" w:rsidR="00C833CB" w:rsidRPr="004F30BD" w:rsidRDefault="00C833CB" w:rsidP="00265B60">
            <w:pPr>
              <w:spacing w:before="0" w:line="240" w:lineRule="auto"/>
              <w:ind w:right="0"/>
              <w:rPr>
                <w:rFonts w:eastAsia="Times New Roman" w:cs="Calibri"/>
                <w:color w:val="000000"/>
                <w:szCs w:val="16"/>
                <w:lang w:eastAsia="en-AU"/>
              </w:rPr>
            </w:pPr>
            <w:r w:rsidRPr="004F30BD">
              <w:rPr>
                <w:rFonts w:eastAsia="Times New Roman" w:cs="Calibri"/>
                <w:color w:val="000000"/>
                <w:szCs w:val="16"/>
                <w:lang w:eastAsia="en-AU"/>
              </w:rPr>
              <w:t>Other</w:t>
            </w:r>
          </w:p>
        </w:tc>
        <w:tc>
          <w:tcPr>
            <w:tcW w:w="692"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40CFECC6"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23</w:t>
            </w:r>
          </w:p>
        </w:tc>
        <w:tc>
          <w:tcPr>
            <w:tcW w:w="2375"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03BB473E"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18</w:t>
            </w:r>
          </w:p>
        </w:tc>
      </w:tr>
      <w:tr w:rsidR="00C833CB" w:rsidRPr="004F30BD" w14:paraId="6ED04FD5" w14:textId="77777777" w:rsidTr="00192CF4">
        <w:trPr>
          <w:divId w:val="579755685"/>
          <w:trHeight w:val="288"/>
        </w:trPr>
        <w:tc>
          <w:tcPr>
            <w:tcW w:w="2250" w:type="dxa"/>
            <w:vMerge w:val="restart"/>
            <w:tcBorders>
              <w:top w:val="nil"/>
              <w:left w:val="nil"/>
              <w:right w:val="nil"/>
            </w:tcBorders>
            <w:shd w:val="clear" w:color="auto" w:fill="FFFFFF" w:themeFill="background1"/>
            <w:tcMar>
              <w:top w:w="15" w:type="dxa"/>
              <w:left w:w="15" w:type="dxa"/>
              <w:bottom w:w="0" w:type="dxa"/>
              <w:right w:w="15" w:type="dxa"/>
            </w:tcMar>
            <w:hideMark/>
          </w:tcPr>
          <w:p w14:paraId="6078D391" w14:textId="77777777" w:rsidR="00C833CB" w:rsidRPr="004F30BD" w:rsidRDefault="00C833CB" w:rsidP="00192CF4">
            <w:pPr>
              <w:spacing w:before="0" w:line="240" w:lineRule="auto"/>
              <w:ind w:right="0"/>
              <w:rPr>
                <w:rFonts w:eastAsia="Times New Roman" w:cs="Calibri"/>
                <w:color w:val="000000"/>
                <w:szCs w:val="16"/>
                <w:lang w:eastAsia="en-AU"/>
              </w:rPr>
            </w:pPr>
            <w:r w:rsidRPr="004F30BD">
              <w:rPr>
                <w:rFonts w:eastAsia="Times New Roman" w:cs="Calibri"/>
                <w:color w:val="000000"/>
                <w:szCs w:val="16"/>
                <w:lang w:eastAsia="en-AU"/>
              </w:rPr>
              <w:t>2018 Risk to students </w:t>
            </w:r>
          </w:p>
        </w:tc>
        <w:tc>
          <w:tcPr>
            <w:tcW w:w="3178" w:type="dxa"/>
            <w:tcBorders>
              <w:top w:val="nil"/>
              <w:left w:val="nil"/>
              <w:bottom w:val="nil"/>
              <w:right w:val="nil"/>
            </w:tcBorders>
            <w:shd w:val="clear" w:color="000000" w:fill="E6E6E6"/>
            <w:tcMar>
              <w:top w:w="15" w:type="dxa"/>
              <w:left w:w="15" w:type="dxa"/>
              <w:bottom w:w="0" w:type="dxa"/>
              <w:right w:w="15" w:type="dxa"/>
            </w:tcMar>
            <w:vAlign w:val="center"/>
            <w:hideMark/>
          </w:tcPr>
          <w:p w14:paraId="16594B41" w14:textId="77777777" w:rsidR="00C833CB" w:rsidRPr="004F30BD" w:rsidRDefault="00C833CB" w:rsidP="00265B60">
            <w:pPr>
              <w:spacing w:before="0" w:line="240" w:lineRule="auto"/>
              <w:ind w:right="0"/>
              <w:rPr>
                <w:rFonts w:eastAsia="Times New Roman" w:cs="Calibri"/>
                <w:color w:val="000000"/>
                <w:szCs w:val="16"/>
                <w:lang w:eastAsia="en-AU"/>
              </w:rPr>
            </w:pPr>
            <w:r w:rsidRPr="004F30BD">
              <w:rPr>
                <w:rFonts w:eastAsia="Times New Roman" w:cs="Calibri"/>
                <w:color w:val="000000"/>
                <w:szCs w:val="16"/>
                <w:lang w:eastAsia="en-AU"/>
              </w:rPr>
              <w:t>High / Moderate</w:t>
            </w:r>
          </w:p>
        </w:tc>
        <w:tc>
          <w:tcPr>
            <w:tcW w:w="692" w:type="dxa"/>
            <w:tcBorders>
              <w:top w:val="nil"/>
              <w:left w:val="nil"/>
              <w:bottom w:val="nil"/>
              <w:right w:val="nil"/>
            </w:tcBorders>
            <w:shd w:val="clear" w:color="000000" w:fill="E6E6E6"/>
            <w:noWrap/>
            <w:tcMar>
              <w:top w:w="15" w:type="dxa"/>
              <w:left w:w="15" w:type="dxa"/>
              <w:bottom w:w="0" w:type="dxa"/>
              <w:right w:w="15" w:type="dxa"/>
            </w:tcMar>
            <w:vAlign w:val="center"/>
            <w:hideMark/>
          </w:tcPr>
          <w:p w14:paraId="7AA8AD77"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45</w:t>
            </w:r>
          </w:p>
        </w:tc>
        <w:tc>
          <w:tcPr>
            <w:tcW w:w="2375" w:type="dxa"/>
            <w:tcBorders>
              <w:top w:val="nil"/>
              <w:left w:val="nil"/>
              <w:bottom w:val="nil"/>
              <w:right w:val="nil"/>
            </w:tcBorders>
            <w:shd w:val="clear" w:color="000000" w:fill="E6E6E6"/>
            <w:noWrap/>
            <w:tcMar>
              <w:top w:w="15" w:type="dxa"/>
              <w:left w:w="15" w:type="dxa"/>
              <w:bottom w:w="0" w:type="dxa"/>
              <w:right w:w="15" w:type="dxa"/>
            </w:tcMar>
            <w:vAlign w:val="center"/>
            <w:hideMark/>
          </w:tcPr>
          <w:p w14:paraId="3413988E"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35</w:t>
            </w:r>
          </w:p>
        </w:tc>
      </w:tr>
      <w:tr w:rsidR="00C833CB" w:rsidRPr="004F30BD" w14:paraId="3E77F75F" w14:textId="77777777" w:rsidTr="00192CF4">
        <w:trPr>
          <w:divId w:val="579755685"/>
          <w:trHeight w:val="288"/>
        </w:trPr>
        <w:tc>
          <w:tcPr>
            <w:tcW w:w="2250" w:type="dxa"/>
            <w:vMerge/>
            <w:tcBorders>
              <w:left w:val="nil"/>
              <w:right w:val="nil"/>
            </w:tcBorders>
            <w:shd w:val="clear" w:color="auto" w:fill="FFFFFF" w:themeFill="background1"/>
            <w:tcMar>
              <w:top w:w="0" w:type="dxa"/>
              <w:left w:w="15" w:type="dxa"/>
              <w:bottom w:w="0" w:type="dxa"/>
              <w:right w:w="15" w:type="dxa"/>
            </w:tcMar>
            <w:hideMark/>
          </w:tcPr>
          <w:p w14:paraId="48938CD3" w14:textId="77777777" w:rsidR="00C833CB" w:rsidRPr="004F30BD" w:rsidRDefault="00C833CB" w:rsidP="00001851">
            <w:pPr>
              <w:spacing w:before="0" w:line="240" w:lineRule="auto"/>
              <w:ind w:right="0"/>
              <w:rPr>
                <w:rFonts w:eastAsia="Times New Roman" w:cs="Calibri"/>
                <w:color w:val="000000"/>
                <w:szCs w:val="16"/>
                <w:lang w:eastAsia="en-AU"/>
              </w:rPr>
            </w:pPr>
          </w:p>
        </w:tc>
        <w:tc>
          <w:tcPr>
            <w:tcW w:w="3178" w:type="dxa"/>
            <w:tcBorders>
              <w:top w:val="nil"/>
              <w:left w:val="nil"/>
              <w:bottom w:val="nil"/>
              <w:right w:val="nil"/>
            </w:tcBorders>
            <w:shd w:val="clear" w:color="auto" w:fill="auto"/>
            <w:tcMar>
              <w:top w:w="15" w:type="dxa"/>
              <w:left w:w="15" w:type="dxa"/>
              <w:bottom w:w="0" w:type="dxa"/>
              <w:right w:w="15" w:type="dxa"/>
            </w:tcMar>
            <w:vAlign w:val="center"/>
            <w:hideMark/>
          </w:tcPr>
          <w:p w14:paraId="5F8E4A99" w14:textId="77777777" w:rsidR="00C833CB" w:rsidRPr="004F30BD" w:rsidRDefault="00C833CB" w:rsidP="00265B60">
            <w:pPr>
              <w:spacing w:before="0" w:line="240" w:lineRule="auto"/>
              <w:ind w:right="0"/>
              <w:rPr>
                <w:rFonts w:eastAsia="Times New Roman" w:cs="Calibri"/>
                <w:color w:val="000000"/>
                <w:szCs w:val="16"/>
                <w:lang w:eastAsia="en-AU"/>
              </w:rPr>
            </w:pPr>
            <w:r w:rsidRPr="004F30BD">
              <w:rPr>
                <w:rFonts w:eastAsia="Times New Roman" w:cs="Calibri"/>
                <w:color w:val="000000"/>
                <w:szCs w:val="16"/>
                <w:lang w:eastAsia="en-AU"/>
              </w:rPr>
              <w:t>Low</w:t>
            </w:r>
          </w:p>
        </w:tc>
        <w:tc>
          <w:tcPr>
            <w:tcW w:w="692" w:type="dxa"/>
            <w:tcBorders>
              <w:top w:val="nil"/>
              <w:left w:val="nil"/>
              <w:bottom w:val="nil"/>
              <w:right w:val="nil"/>
            </w:tcBorders>
            <w:shd w:val="clear" w:color="auto" w:fill="auto"/>
            <w:noWrap/>
            <w:tcMar>
              <w:top w:w="15" w:type="dxa"/>
              <w:left w:w="15" w:type="dxa"/>
              <w:bottom w:w="0" w:type="dxa"/>
              <w:right w:w="15" w:type="dxa"/>
            </w:tcMar>
            <w:vAlign w:val="center"/>
            <w:hideMark/>
          </w:tcPr>
          <w:p w14:paraId="70D0C883"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63</w:t>
            </w:r>
          </w:p>
        </w:tc>
        <w:tc>
          <w:tcPr>
            <w:tcW w:w="2375" w:type="dxa"/>
            <w:tcBorders>
              <w:top w:val="nil"/>
              <w:left w:val="nil"/>
              <w:bottom w:val="nil"/>
              <w:right w:val="nil"/>
            </w:tcBorders>
            <w:shd w:val="clear" w:color="auto" w:fill="auto"/>
            <w:noWrap/>
            <w:tcMar>
              <w:top w:w="15" w:type="dxa"/>
              <w:left w:w="15" w:type="dxa"/>
              <w:bottom w:w="0" w:type="dxa"/>
              <w:right w:w="15" w:type="dxa"/>
            </w:tcMar>
            <w:vAlign w:val="center"/>
            <w:hideMark/>
          </w:tcPr>
          <w:p w14:paraId="14A9503D"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49</w:t>
            </w:r>
          </w:p>
        </w:tc>
      </w:tr>
      <w:tr w:rsidR="00C833CB" w:rsidRPr="004F30BD" w14:paraId="7825FD55" w14:textId="77777777" w:rsidTr="00192CF4">
        <w:trPr>
          <w:divId w:val="579755685"/>
          <w:trHeight w:val="288"/>
        </w:trPr>
        <w:tc>
          <w:tcPr>
            <w:tcW w:w="2250" w:type="dxa"/>
            <w:vMerge/>
            <w:tcBorders>
              <w:left w:val="nil"/>
              <w:bottom w:val="single" w:sz="8" w:space="0" w:color="auto"/>
              <w:right w:val="nil"/>
            </w:tcBorders>
            <w:shd w:val="clear" w:color="auto" w:fill="FFFFFF" w:themeFill="background1"/>
            <w:tcMar>
              <w:top w:w="0" w:type="dxa"/>
              <w:left w:w="15" w:type="dxa"/>
              <w:bottom w:w="0" w:type="dxa"/>
              <w:right w:w="15" w:type="dxa"/>
            </w:tcMar>
            <w:hideMark/>
          </w:tcPr>
          <w:p w14:paraId="1B59CEBB" w14:textId="77777777" w:rsidR="00C833CB" w:rsidRPr="004F30BD" w:rsidRDefault="00C833CB" w:rsidP="00001851">
            <w:pPr>
              <w:spacing w:before="0" w:line="240" w:lineRule="auto"/>
              <w:ind w:right="0"/>
              <w:rPr>
                <w:rFonts w:eastAsia="Times New Roman" w:cs="Calibri"/>
                <w:color w:val="000000"/>
                <w:szCs w:val="16"/>
                <w:lang w:eastAsia="en-AU"/>
              </w:rPr>
            </w:pPr>
          </w:p>
        </w:tc>
        <w:tc>
          <w:tcPr>
            <w:tcW w:w="3178" w:type="dxa"/>
            <w:tcBorders>
              <w:top w:val="nil"/>
              <w:left w:val="nil"/>
              <w:bottom w:val="single" w:sz="8" w:space="0" w:color="auto"/>
              <w:right w:val="nil"/>
            </w:tcBorders>
            <w:shd w:val="clear" w:color="000000" w:fill="E6E6E6"/>
            <w:tcMar>
              <w:top w:w="15" w:type="dxa"/>
              <w:left w:w="15" w:type="dxa"/>
              <w:bottom w:w="0" w:type="dxa"/>
              <w:right w:w="15" w:type="dxa"/>
            </w:tcMar>
            <w:vAlign w:val="center"/>
            <w:hideMark/>
          </w:tcPr>
          <w:p w14:paraId="5F5C9FE4" w14:textId="77777777" w:rsidR="00C833CB" w:rsidRPr="004F30BD" w:rsidRDefault="00C833CB" w:rsidP="00265B60">
            <w:pPr>
              <w:spacing w:before="0" w:line="240" w:lineRule="auto"/>
              <w:ind w:right="0"/>
              <w:rPr>
                <w:rFonts w:eastAsia="Times New Roman" w:cs="Calibri"/>
                <w:color w:val="000000"/>
                <w:szCs w:val="16"/>
                <w:lang w:eastAsia="en-AU"/>
              </w:rPr>
            </w:pPr>
            <w:r w:rsidRPr="004F30BD">
              <w:rPr>
                <w:rFonts w:eastAsia="Times New Roman" w:cs="Calibri"/>
                <w:color w:val="000000"/>
                <w:szCs w:val="16"/>
                <w:lang w:eastAsia="en-AU"/>
              </w:rPr>
              <w:t>Other</w:t>
            </w:r>
          </w:p>
        </w:tc>
        <w:tc>
          <w:tcPr>
            <w:tcW w:w="692" w:type="dxa"/>
            <w:tcBorders>
              <w:top w:val="nil"/>
              <w:left w:val="nil"/>
              <w:bottom w:val="single" w:sz="8" w:space="0" w:color="auto"/>
              <w:right w:val="nil"/>
            </w:tcBorders>
            <w:shd w:val="clear" w:color="000000" w:fill="E6E6E6"/>
            <w:noWrap/>
            <w:tcMar>
              <w:top w:w="15" w:type="dxa"/>
              <w:left w:w="15" w:type="dxa"/>
              <w:bottom w:w="0" w:type="dxa"/>
              <w:right w:w="15" w:type="dxa"/>
            </w:tcMar>
            <w:vAlign w:val="center"/>
            <w:hideMark/>
          </w:tcPr>
          <w:p w14:paraId="7F6EE45C"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20</w:t>
            </w:r>
          </w:p>
        </w:tc>
        <w:tc>
          <w:tcPr>
            <w:tcW w:w="2375" w:type="dxa"/>
            <w:tcBorders>
              <w:top w:val="nil"/>
              <w:left w:val="nil"/>
              <w:bottom w:val="single" w:sz="8" w:space="0" w:color="auto"/>
              <w:right w:val="nil"/>
            </w:tcBorders>
            <w:shd w:val="clear" w:color="000000" w:fill="E6E6E6"/>
            <w:noWrap/>
            <w:tcMar>
              <w:top w:w="15" w:type="dxa"/>
              <w:left w:w="15" w:type="dxa"/>
              <w:bottom w:w="0" w:type="dxa"/>
              <w:right w:w="15" w:type="dxa"/>
            </w:tcMar>
            <w:vAlign w:val="center"/>
            <w:hideMark/>
          </w:tcPr>
          <w:p w14:paraId="5C3BAB42"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16</w:t>
            </w:r>
          </w:p>
        </w:tc>
      </w:tr>
      <w:tr w:rsidR="00C833CB" w:rsidRPr="004F30BD" w14:paraId="4AFE4BE3" w14:textId="77777777" w:rsidTr="00192CF4">
        <w:trPr>
          <w:divId w:val="579755685"/>
          <w:trHeight w:val="288"/>
        </w:trPr>
        <w:tc>
          <w:tcPr>
            <w:tcW w:w="2250" w:type="dxa"/>
            <w:vMerge w:val="restart"/>
            <w:tcBorders>
              <w:top w:val="nil"/>
              <w:left w:val="nil"/>
              <w:right w:val="nil"/>
            </w:tcBorders>
            <w:shd w:val="clear" w:color="auto" w:fill="FFFFFF" w:themeFill="background1"/>
            <w:tcMar>
              <w:top w:w="15" w:type="dxa"/>
              <w:left w:w="15" w:type="dxa"/>
              <w:bottom w:w="0" w:type="dxa"/>
              <w:right w:w="15" w:type="dxa"/>
            </w:tcMar>
            <w:hideMark/>
          </w:tcPr>
          <w:p w14:paraId="64749778" w14:textId="77777777" w:rsidR="00C833CB" w:rsidRPr="004F30BD" w:rsidRDefault="00C833CB" w:rsidP="00192CF4">
            <w:pPr>
              <w:spacing w:before="0" w:line="240" w:lineRule="auto"/>
              <w:ind w:right="0"/>
              <w:rPr>
                <w:rFonts w:eastAsia="Times New Roman" w:cs="Calibri"/>
                <w:color w:val="000000"/>
                <w:szCs w:val="16"/>
                <w:lang w:eastAsia="en-AU"/>
              </w:rPr>
            </w:pPr>
            <w:r w:rsidRPr="004F30BD">
              <w:rPr>
                <w:rFonts w:eastAsia="Times New Roman" w:cs="Calibri"/>
                <w:color w:val="000000"/>
                <w:szCs w:val="16"/>
                <w:lang w:eastAsia="en-AU"/>
              </w:rPr>
              <w:t>Category </w:t>
            </w:r>
          </w:p>
        </w:tc>
        <w:tc>
          <w:tcPr>
            <w:tcW w:w="3178" w:type="dxa"/>
            <w:tcBorders>
              <w:top w:val="nil"/>
              <w:left w:val="nil"/>
              <w:bottom w:val="nil"/>
              <w:right w:val="nil"/>
            </w:tcBorders>
            <w:shd w:val="clear" w:color="auto" w:fill="auto"/>
            <w:tcMar>
              <w:top w:w="15" w:type="dxa"/>
              <w:left w:w="15" w:type="dxa"/>
              <w:bottom w:w="0" w:type="dxa"/>
              <w:right w:w="15" w:type="dxa"/>
            </w:tcMar>
            <w:vAlign w:val="center"/>
            <w:hideMark/>
          </w:tcPr>
          <w:p w14:paraId="67E3BE84" w14:textId="77777777" w:rsidR="00C833CB" w:rsidRPr="004F30BD" w:rsidRDefault="00C833CB" w:rsidP="00265B60">
            <w:pPr>
              <w:spacing w:before="0" w:line="240" w:lineRule="auto"/>
              <w:ind w:right="0"/>
              <w:rPr>
                <w:rFonts w:eastAsia="Times New Roman" w:cs="Calibri"/>
                <w:color w:val="000000"/>
                <w:szCs w:val="16"/>
                <w:lang w:eastAsia="en-AU"/>
              </w:rPr>
            </w:pPr>
            <w:r w:rsidRPr="004F30BD">
              <w:rPr>
                <w:rFonts w:eastAsia="Times New Roman" w:cs="Calibri"/>
                <w:color w:val="000000"/>
                <w:szCs w:val="16"/>
                <w:lang w:eastAsia="en-AU"/>
              </w:rPr>
              <w:t>University*</w:t>
            </w:r>
          </w:p>
        </w:tc>
        <w:tc>
          <w:tcPr>
            <w:tcW w:w="692" w:type="dxa"/>
            <w:tcBorders>
              <w:top w:val="nil"/>
              <w:left w:val="nil"/>
              <w:bottom w:val="nil"/>
              <w:right w:val="nil"/>
            </w:tcBorders>
            <w:shd w:val="clear" w:color="auto" w:fill="auto"/>
            <w:noWrap/>
            <w:tcMar>
              <w:top w:w="15" w:type="dxa"/>
              <w:left w:w="15" w:type="dxa"/>
              <w:bottom w:w="0" w:type="dxa"/>
              <w:right w:w="15" w:type="dxa"/>
            </w:tcMar>
            <w:vAlign w:val="center"/>
            <w:hideMark/>
          </w:tcPr>
          <w:p w14:paraId="2710CBAF"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35</w:t>
            </w:r>
          </w:p>
        </w:tc>
        <w:tc>
          <w:tcPr>
            <w:tcW w:w="2375" w:type="dxa"/>
            <w:tcBorders>
              <w:top w:val="nil"/>
              <w:left w:val="nil"/>
              <w:bottom w:val="nil"/>
              <w:right w:val="nil"/>
            </w:tcBorders>
            <w:shd w:val="clear" w:color="auto" w:fill="auto"/>
            <w:noWrap/>
            <w:tcMar>
              <w:top w:w="15" w:type="dxa"/>
              <w:left w:w="15" w:type="dxa"/>
              <w:bottom w:w="0" w:type="dxa"/>
              <w:right w:w="15" w:type="dxa"/>
            </w:tcMar>
            <w:vAlign w:val="center"/>
            <w:hideMark/>
          </w:tcPr>
          <w:p w14:paraId="4A62CA78"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25</w:t>
            </w:r>
          </w:p>
        </w:tc>
      </w:tr>
      <w:tr w:rsidR="00C833CB" w:rsidRPr="004F30BD" w14:paraId="0CEA243A" w14:textId="77777777" w:rsidTr="00192CF4">
        <w:trPr>
          <w:divId w:val="579755685"/>
          <w:trHeight w:val="288"/>
        </w:trPr>
        <w:tc>
          <w:tcPr>
            <w:tcW w:w="2250" w:type="dxa"/>
            <w:vMerge/>
            <w:tcBorders>
              <w:left w:val="nil"/>
              <w:right w:val="nil"/>
            </w:tcBorders>
            <w:shd w:val="clear" w:color="auto" w:fill="FFFFFF" w:themeFill="background1"/>
            <w:tcMar>
              <w:top w:w="0" w:type="dxa"/>
              <w:left w:w="15" w:type="dxa"/>
              <w:bottom w:w="0" w:type="dxa"/>
              <w:right w:w="15" w:type="dxa"/>
            </w:tcMar>
            <w:hideMark/>
          </w:tcPr>
          <w:p w14:paraId="18B22BB1" w14:textId="77777777" w:rsidR="00C833CB" w:rsidRPr="004F30BD" w:rsidRDefault="00C833CB" w:rsidP="00001851">
            <w:pPr>
              <w:spacing w:before="0" w:line="240" w:lineRule="auto"/>
              <w:ind w:right="0"/>
              <w:rPr>
                <w:rFonts w:eastAsia="Times New Roman" w:cs="Calibri"/>
                <w:color w:val="000000"/>
                <w:szCs w:val="16"/>
                <w:lang w:eastAsia="en-AU"/>
              </w:rPr>
            </w:pPr>
          </w:p>
        </w:tc>
        <w:tc>
          <w:tcPr>
            <w:tcW w:w="3178" w:type="dxa"/>
            <w:tcBorders>
              <w:top w:val="nil"/>
              <w:left w:val="nil"/>
              <w:bottom w:val="nil"/>
              <w:right w:val="nil"/>
            </w:tcBorders>
            <w:shd w:val="clear" w:color="000000" w:fill="E6E6E6"/>
            <w:tcMar>
              <w:top w:w="15" w:type="dxa"/>
              <w:left w:w="15" w:type="dxa"/>
              <w:bottom w:w="0" w:type="dxa"/>
              <w:right w:w="15" w:type="dxa"/>
            </w:tcMar>
            <w:vAlign w:val="center"/>
            <w:hideMark/>
          </w:tcPr>
          <w:p w14:paraId="0642F22E" w14:textId="77777777" w:rsidR="00C833CB" w:rsidRPr="004F30BD" w:rsidRDefault="00C833CB" w:rsidP="00265B60">
            <w:pPr>
              <w:spacing w:before="0" w:line="240" w:lineRule="auto"/>
              <w:ind w:right="0"/>
              <w:rPr>
                <w:rFonts w:eastAsia="Times New Roman" w:cs="Calibri"/>
                <w:color w:val="000000"/>
                <w:szCs w:val="16"/>
                <w:lang w:eastAsia="en-AU"/>
              </w:rPr>
            </w:pPr>
            <w:r w:rsidRPr="004F30BD">
              <w:rPr>
                <w:rFonts w:eastAsia="Times New Roman" w:cs="Calibri"/>
                <w:color w:val="000000"/>
                <w:szCs w:val="16"/>
                <w:lang w:eastAsia="en-AU"/>
              </w:rPr>
              <w:t>Higher Education Provider (HEP)</w:t>
            </w:r>
          </w:p>
        </w:tc>
        <w:tc>
          <w:tcPr>
            <w:tcW w:w="692" w:type="dxa"/>
            <w:tcBorders>
              <w:top w:val="nil"/>
              <w:left w:val="nil"/>
              <w:bottom w:val="nil"/>
              <w:right w:val="nil"/>
            </w:tcBorders>
            <w:shd w:val="clear" w:color="000000" w:fill="E6E6E6"/>
            <w:noWrap/>
            <w:tcMar>
              <w:top w:w="15" w:type="dxa"/>
              <w:left w:w="15" w:type="dxa"/>
              <w:bottom w:w="0" w:type="dxa"/>
              <w:right w:w="15" w:type="dxa"/>
            </w:tcMar>
            <w:vAlign w:val="center"/>
            <w:hideMark/>
          </w:tcPr>
          <w:p w14:paraId="5151901F"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89</w:t>
            </w:r>
          </w:p>
        </w:tc>
        <w:tc>
          <w:tcPr>
            <w:tcW w:w="2375" w:type="dxa"/>
            <w:tcBorders>
              <w:top w:val="nil"/>
              <w:left w:val="nil"/>
              <w:bottom w:val="nil"/>
              <w:right w:val="nil"/>
            </w:tcBorders>
            <w:shd w:val="clear" w:color="000000" w:fill="E6E6E6"/>
            <w:noWrap/>
            <w:tcMar>
              <w:top w:w="15" w:type="dxa"/>
              <w:left w:w="15" w:type="dxa"/>
              <w:bottom w:w="0" w:type="dxa"/>
              <w:right w:w="15" w:type="dxa"/>
            </w:tcMar>
            <w:vAlign w:val="center"/>
            <w:hideMark/>
          </w:tcPr>
          <w:p w14:paraId="4112E50E"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63</w:t>
            </w:r>
          </w:p>
        </w:tc>
      </w:tr>
      <w:tr w:rsidR="00C833CB" w:rsidRPr="004F30BD" w14:paraId="7E304F09" w14:textId="77777777" w:rsidTr="00192CF4">
        <w:trPr>
          <w:divId w:val="579755685"/>
          <w:trHeight w:val="288"/>
        </w:trPr>
        <w:tc>
          <w:tcPr>
            <w:tcW w:w="2250" w:type="dxa"/>
            <w:vMerge/>
            <w:tcBorders>
              <w:left w:val="nil"/>
              <w:right w:val="nil"/>
            </w:tcBorders>
            <w:shd w:val="clear" w:color="auto" w:fill="FFFFFF" w:themeFill="background1"/>
            <w:tcMar>
              <w:top w:w="0" w:type="dxa"/>
              <w:left w:w="15" w:type="dxa"/>
              <w:bottom w:w="0" w:type="dxa"/>
              <w:right w:w="15" w:type="dxa"/>
            </w:tcMar>
            <w:hideMark/>
          </w:tcPr>
          <w:p w14:paraId="0D7C8C41" w14:textId="77777777" w:rsidR="00C833CB" w:rsidRPr="004F30BD" w:rsidRDefault="00C833CB" w:rsidP="00001851">
            <w:pPr>
              <w:spacing w:before="0" w:line="240" w:lineRule="auto"/>
              <w:ind w:right="0"/>
              <w:rPr>
                <w:rFonts w:eastAsia="Times New Roman" w:cs="Calibri"/>
                <w:color w:val="000000"/>
                <w:szCs w:val="16"/>
                <w:lang w:eastAsia="en-AU"/>
              </w:rPr>
            </w:pPr>
          </w:p>
        </w:tc>
        <w:tc>
          <w:tcPr>
            <w:tcW w:w="3178" w:type="dxa"/>
            <w:tcBorders>
              <w:top w:val="nil"/>
              <w:left w:val="nil"/>
              <w:bottom w:val="nil"/>
              <w:right w:val="nil"/>
            </w:tcBorders>
            <w:shd w:val="clear" w:color="auto" w:fill="auto"/>
            <w:tcMar>
              <w:top w:w="15" w:type="dxa"/>
              <w:left w:w="15" w:type="dxa"/>
              <w:bottom w:w="0" w:type="dxa"/>
              <w:right w:w="15" w:type="dxa"/>
            </w:tcMar>
            <w:vAlign w:val="center"/>
            <w:hideMark/>
          </w:tcPr>
          <w:p w14:paraId="7E1D6284" w14:textId="77777777" w:rsidR="00C833CB" w:rsidRPr="004F30BD" w:rsidRDefault="00C833CB" w:rsidP="00265B60">
            <w:pPr>
              <w:spacing w:before="0" w:line="240" w:lineRule="auto"/>
              <w:ind w:right="0"/>
              <w:rPr>
                <w:rFonts w:eastAsia="Times New Roman" w:cs="Calibri"/>
                <w:color w:val="000000"/>
                <w:szCs w:val="16"/>
                <w:lang w:eastAsia="en-AU"/>
              </w:rPr>
            </w:pPr>
            <w:r w:rsidRPr="004F30BD">
              <w:rPr>
                <w:rFonts w:eastAsia="Times New Roman" w:cs="Calibri"/>
                <w:color w:val="000000"/>
                <w:szCs w:val="16"/>
                <w:lang w:eastAsia="en-AU"/>
              </w:rPr>
              <w:t>Prospective HEP</w:t>
            </w:r>
          </w:p>
        </w:tc>
        <w:tc>
          <w:tcPr>
            <w:tcW w:w="692" w:type="dxa"/>
            <w:tcBorders>
              <w:top w:val="nil"/>
              <w:left w:val="nil"/>
              <w:bottom w:val="nil"/>
              <w:right w:val="nil"/>
            </w:tcBorders>
            <w:shd w:val="clear" w:color="auto" w:fill="auto"/>
            <w:noWrap/>
            <w:tcMar>
              <w:top w:w="15" w:type="dxa"/>
              <w:left w:w="15" w:type="dxa"/>
              <w:bottom w:w="0" w:type="dxa"/>
              <w:right w:w="15" w:type="dxa"/>
            </w:tcMar>
            <w:vAlign w:val="center"/>
            <w:hideMark/>
          </w:tcPr>
          <w:p w14:paraId="4859580A"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15</w:t>
            </w:r>
          </w:p>
        </w:tc>
        <w:tc>
          <w:tcPr>
            <w:tcW w:w="2375" w:type="dxa"/>
            <w:tcBorders>
              <w:top w:val="nil"/>
              <w:left w:val="nil"/>
              <w:bottom w:val="nil"/>
              <w:right w:val="nil"/>
            </w:tcBorders>
            <w:shd w:val="clear" w:color="auto" w:fill="auto"/>
            <w:noWrap/>
            <w:tcMar>
              <w:top w:w="15" w:type="dxa"/>
              <w:left w:w="15" w:type="dxa"/>
              <w:bottom w:w="0" w:type="dxa"/>
              <w:right w:w="15" w:type="dxa"/>
            </w:tcMar>
            <w:vAlign w:val="center"/>
            <w:hideMark/>
          </w:tcPr>
          <w:p w14:paraId="26935BAA"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11</w:t>
            </w:r>
          </w:p>
        </w:tc>
      </w:tr>
      <w:tr w:rsidR="00C833CB" w:rsidRPr="004F30BD" w14:paraId="4897B245" w14:textId="77777777" w:rsidTr="00192CF4">
        <w:trPr>
          <w:divId w:val="579755685"/>
          <w:trHeight w:val="288"/>
        </w:trPr>
        <w:tc>
          <w:tcPr>
            <w:tcW w:w="2250" w:type="dxa"/>
            <w:vMerge/>
            <w:tcBorders>
              <w:left w:val="nil"/>
              <w:bottom w:val="single" w:sz="8" w:space="0" w:color="auto"/>
              <w:right w:val="nil"/>
            </w:tcBorders>
            <w:shd w:val="clear" w:color="auto" w:fill="FFFFFF" w:themeFill="background1"/>
            <w:tcMar>
              <w:top w:w="15" w:type="dxa"/>
              <w:left w:w="15" w:type="dxa"/>
              <w:bottom w:w="0" w:type="dxa"/>
              <w:right w:w="15" w:type="dxa"/>
            </w:tcMar>
            <w:hideMark/>
          </w:tcPr>
          <w:p w14:paraId="1E551B03" w14:textId="77777777" w:rsidR="00C833CB" w:rsidRPr="004F30BD" w:rsidRDefault="00C833CB" w:rsidP="00001851">
            <w:pPr>
              <w:spacing w:before="0" w:line="240" w:lineRule="auto"/>
              <w:ind w:right="0"/>
              <w:rPr>
                <w:rFonts w:eastAsia="Times New Roman" w:cs="Calibri"/>
                <w:color w:val="000000"/>
                <w:szCs w:val="16"/>
                <w:lang w:eastAsia="en-AU"/>
              </w:rPr>
            </w:pPr>
          </w:p>
        </w:tc>
        <w:tc>
          <w:tcPr>
            <w:tcW w:w="3178" w:type="dxa"/>
            <w:tcBorders>
              <w:top w:val="nil"/>
              <w:left w:val="nil"/>
              <w:bottom w:val="single" w:sz="8" w:space="0" w:color="auto"/>
              <w:right w:val="nil"/>
            </w:tcBorders>
            <w:shd w:val="clear" w:color="000000" w:fill="E6E6E6"/>
            <w:tcMar>
              <w:top w:w="15" w:type="dxa"/>
              <w:left w:w="15" w:type="dxa"/>
              <w:bottom w:w="0" w:type="dxa"/>
              <w:right w:w="15" w:type="dxa"/>
            </w:tcMar>
            <w:vAlign w:val="center"/>
            <w:hideMark/>
          </w:tcPr>
          <w:p w14:paraId="41F9F69D" w14:textId="77777777" w:rsidR="00C833CB" w:rsidRPr="004F30BD" w:rsidRDefault="00C833CB" w:rsidP="00265B60">
            <w:pPr>
              <w:spacing w:before="0" w:line="240" w:lineRule="auto"/>
              <w:ind w:right="0"/>
              <w:rPr>
                <w:rFonts w:eastAsia="Times New Roman" w:cs="Calibri"/>
                <w:color w:val="000000"/>
                <w:szCs w:val="16"/>
                <w:lang w:eastAsia="en-AU"/>
              </w:rPr>
            </w:pPr>
            <w:r w:rsidRPr="004F30BD">
              <w:rPr>
                <w:rFonts w:eastAsia="Times New Roman" w:cs="Calibri"/>
                <w:color w:val="000000"/>
                <w:szCs w:val="16"/>
                <w:lang w:eastAsia="en-AU"/>
              </w:rPr>
              <w:t>Non-HEP</w:t>
            </w:r>
          </w:p>
        </w:tc>
        <w:tc>
          <w:tcPr>
            <w:tcW w:w="692" w:type="dxa"/>
            <w:tcBorders>
              <w:top w:val="nil"/>
              <w:left w:val="nil"/>
              <w:bottom w:val="single" w:sz="8" w:space="0" w:color="auto"/>
              <w:right w:val="nil"/>
            </w:tcBorders>
            <w:shd w:val="clear" w:color="000000" w:fill="E6E6E6"/>
            <w:noWrap/>
            <w:tcMar>
              <w:top w:w="15" w:type="dxa"/>
              <w:left w:w="15" w:type="dxa"/>
              <w:bottom w:w="0" w:type="dxa"/>
              <w:right w:w="15" w:type="dxa"/>
            </w:tcMar>
            <w:vAlign w:val="center"/>
            <w:hideMark/>
          </w:tcPr>
          <w:p w14:paraId="2D76CB8A"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3</w:t>
            </w:r>
          </w:p>
        </w:tc>
        <w:tc>
          <w:tcPr>
            <w:tcW w:w="2375" w:type="dxa"/>
            <w:tcBorders>
              <w:top w:val="nil"/>
              <w:left w:val="nil"/>
              <w:bottom w:val="single" w:sz="8" w:space="0" w:color="auto"/>
              <w:right w:val="nil"/>
            </w:tcBorders>
            <w:shd w:val="clear" w:color="000000" w:fill="E6E6E6"/>
            <w:noWrap/>
            <w:tcMar>
              <w:top w:w="15" w:type="dxa"/>
              <w:left w:w="15" w:type="dxa"/>
              <w:bottom w:w="0" w:type="dxa"/>
              <w:right w:w="15" w:type="dxa"/>
            </w:tcMar>
            <w:vAlign w:val="center"/>
            <w:hideMark/>
          </w:tcPr>
          <w:p w14:paraId="416B3331"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2</w:t>
            </w:r>
          </w:p>
        </w:tc>
      </w:tr>
      <w:tr w:rsidR="00C833CB" w:rsidRPr="004F30BD" w14:paraId="16EE1DCA" w14:textId="77777777" w:rsidTr="00192CF4">
        <w:trPr>
          <w:divId w:val="579755685"/>
          <w:trHeight w:val="288"/>
        </w:trPr>
        <w:tc>
          <w:tcPr>
            <w:tcW w:w="2250" w:type="dxa"/>
            <w:vMerge w:val="restart"/>
            <w:tcBorders>
              <w:top w:val="nil"/>
              <w:left w:val="nil"/>
              <w:right w:val="nil"/>
            </w:tcBorders>
            <w:shd w:val="clear" w:color="auto" w:fill="FFFFFF" w:themeFill="background1"/>
            <w:tcMar>
              <w:top w:w="15" w:type="dxa"/>
              <w:left w:w="15" w:type="dxa"/>
              <w:bottom w:w="0" w:type="dxa"/>
              <w:right w:w="15" w:type="dxa"/>
            </w:tcMar>
            <w:hideMark/>
          </w:tcPr>
          <w:p w14:paraId="7E9EE83D" w14:textId="77777777" w:rsidR="00C833CB" w:rsidRPr="004F30BD" w:rsidRDefault="00C833CB" w:rsidP="00192CF4">
            <w:pPr>
              <w:spacing w:before="0" w:line="240" w:lineRule="auto"/>
              <w:ind w:right="0"/>
              <w:rPr>
                <w:rFonts w:eastAsia="Times New Roman" w:cs="Calibri"/>
                <w:color w:val="000000"/>
                <w:szCs w:val="16"/>
                <w:lang w:eastAsia="en-AU"/>
              </w:rPr>
            </w:pPr>
            <w:r w:rsidRPr="004F30BD">
              <w:rPr>
                <w:rFonts w:eastAsia="Times New Roman" w:cs="Calibri"/>
                <w:color w:val="000000"/>
                <w:szCs w:val="16"/>
                <w:lang w:eastAsia="en-AU"/>
              </w:rPr>
              <w:t>State </w:t>
            </w:r>
          </w:p>
        </w:tc>
        <w:tc>
          <w:tcPr>
            <w:tcW w:w="3178" w:type="dxa"/>
            <w:tcBorders>
              <w:top w:val="nil"/>
              <w:left w:val="nil"/>
              <w:bottom w:val="nil"/>
              <w:right w:val="nil"/>
            </w:tcBorders>
            <w:shd w:val="clear" w:color="000000" w:fill="E6E6E6"/>
            <w:tcMar>
              <w:top w:w="15" w:type="dxa"/>
              <w:left w:w="15" w:type="dxa"/>
              <w:bottom w:w="0" w:type="dxa"/>
              <w:right w:w="15" w:type="dxa"/>
            </w:tcMar>
            <w:vAlign w:val="center"/>
            <w:hideMark/>
          </w:tcPr>
          <w:p w14:paraId="314070EF" w14:textId="77777777" w:rsidR="00C833CB" w:rsidRPr="004F30BD" w:rsidRDefault="00C833CB" w:rsidP="00265B60">
            <w:pPr>
              <w:spacing w:before="0" w:line="240" w:lineRule="auto"/>
              <w:ind w:right="0"/>
              <w:rPr>
                <w:rFonts w:eastAsia="Times New Roman" w:cs="Calibri"/>
                <w:color w:val="000000"/>
                <w:szCs w:val="16"/>
                <w:lang w:eastAsia="en-AU"/>
              </w:rPr>
            </w:pPr>
            <w:r w:rsidRPr="004F30BD">
              <w:rPr>
                <w:rFonts w:eastAsia="Times New Roman" w:cs="Calibri"/>
                <w:color w:val="000000"/>
                <w:szCs w:val="16"/>
                <w:lang w:eastAsia="en-AU"/>
              </w:rPr>
              <w:t>NSW</w:t>
            </w:r>
          </w:p>
        </w:tc>
        <w:tc>
          <w:tcPr>
            <w:tcW w:w="692" w:type="dxa"/>
            <w:tcBorders>
              <w:top w:val="nil"/>
              <w:left w:val="nil"/>
              <w:bottom w:val="nil"/>
              <w:right w:val="nil"/>
            </w:tcBorders>
            <w:shd w:val="clear" w:color="000000" w:fill="E6E6E6"/>
            <w:noWrap/>
            <w:tcMar>
              <w:top w:w="15" w:type="dxa"/>
              <w:left w:w="15" w:type="dxa"/>
              <w:bottom w:w="0" w:type="dxa"/>
              <w:right w:w="15" w:type="dxa"/>
            </w:tcMar>
            <w:vAlign w:val="center"/>
            <w:hideMark/>
          </w:tcPr>
          <w:p w14:paraId="10395592"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64</w:t>
            </w:r>
          </w:p>
        </w:tc>
        <w:tc>
          <w:tcPr>
            <w:tcW w:w="2375" w:type="dxa"/>
            <w:tcBorders>
              <w:top w:val="nil"/>
              <w:left w:val="nil"/>
              <w:bottom w:val="nil"/>
              <w:right w:val="nil"/>
            </w:tcBorders>
            <w:shd w:val="clear" w:color="000000" w:fill="E6E6E6"/>
            <w:noWrap/>
            <w:tcMar>
              <w:top w:w="15" w:type="dxa"/>
              <w:left w:w="15" w:type="dxa"/>
              <w:bottom w:w="0" w:type="dxa"/>
              <w:right w:w="15" w:type="dxa"/>
            </w:tcMar>
            <w:vAlign w:val="center"/>
            <w:hideMark/>
          </w:tcPr>
          <w:p w14:paraId="0294863A"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46</w:t>
            </w:r>
          </w:p>
        </w:tc>
      </w:tr>
      <w:tr w:rsidR="00C833CB" w:rsidRPr="004F30BD" w14:paraId="74F952D4" w14:textId="77777777" w:rsidTr="00192CF4">
        <w:trPr>
          <w:divId w:val="579755685"/>
          <w:trHeight w:val="288"/>
        </w:trPr>
        <w:tc>
          <w:tcPr>
            <w:tcW w:w="2250" w:type="dxa"/>
            <w:vMerge/>
            <w:tcBorders>
              <w:left w:val="nil"/>
              <w:right w:val="nil"/>
            </w:tcBorders>
            <w:shd w:val="clear" w:color="auto" w:fill="FFFFFF" w:themeFill="background1"/>
            <w:tcMar>
              <w:top w:w="0" w:type="dxa"/>
              <w:left w:w="15" w:type="dxa"/>
              <w:bottom w:w="0" w:type="dxa"/>
              <w:right w:w="15" w:type="dxa"/>
            </w:tcMar>
            <w:hideMark/>
          </w:tcPr>
          <w:p w14:paraId="47F98322" w14:textId="77777777" w:rsidR="00C833CB" w:rsidRPr="004F30BD" w:rsidRDefault="00C833CB" w:rsidP="00001851">
            <w:pPr>
              <w:spacing w:before="0" w:line="240" w:lineRule="auto"/>
              <w:ind w:right="0"/>
              <w:rPr>
                <w:rFonts w:eastAsia="Times New Roman" w:cs="Calibri"/>
                <w:color w:val="000000"/>
                <w:szCs w:val="16"/>
                <w:lang w:eastAsia="en-AU"/>
              </w:rPr>
            </w:pPr>
          </w:p>
        </w:tc>
        <w:tc>
          <w:tcPr>
            <w:tcW w:w="3178" w:type="dxa"/>
            <w:tcBorders>
              <w:top w:val="nil"/>
              <w:left w:val="nil"/>
              <w:bottom w:val="nil"/>
              <w:right w:val="nil"/>
            </w:tcBorders>
            <w:shd w:val="clear" w:color="auto" w:fill="auto"/>
            <w:tcMar>
              <w:top w:w="15" w:type="dxa"/>
              <w:left w:w="15" w:type="dxa"/>
              <w:bottom w:w="0" w:type="dxa"/>
              <w:right w:w="15" w:type="dxa"/>
            </w:tcMar>
            <w:vAlign w:val="center"/>
            <w:hideMark/>
          </w:tcPr>
          <w:p w14:paraId="4A289B66" w14:textId="77777777" w:rsidR="00C833CB" w:rsidRPr="004F30BD" w:rsidRDefault="00C833CB" w:rsidP="00265B60">
            <w:pPr>
              <w:spacing w:before="0" w:line="240" w:lineRule="auto"/>
              <w:ind w:right="0"/>
              <w:rPr>
                <w:rFonts w:eastAsia="Times New Roman" w:cs="Calibri"/>
                <w:color w:val="000000"/>
                <w:szCs w:val="16"/>
                <w:lang w:eastAsia="en-AU"/>
              </w:rPr>
            </w:pPr>
            <w:r w:rsidRPr="004F30BD">
              <w:rPr>
                <w:rFonts w:eastAsia="Times New Roman" w:cs="Calibri"/>
                <w:color w:val="000000"/>
                <w:szCs w:val="16"/>
                <w:lang w:eastAsia="en-AU"/>
              </w:rPr>
              <w:t>VIC</w:t>
            </w:r>
          </w:p>
        </w:tc>
        <w:tc>
          <w:tcPr>
            <w:tcW w:w="692" w:type="dxa"/>
            <w:tcBorders>
              <w:top w:val="nil"/>
              <w:left w:val="nil"/>
              <w:bottom w:val="nil"/>
              <w:right w:val="nil"/>
            </w:tcBorders>
            <w:shd w:val="clear" w:color="auto" w:fill="auto"/>
            <w:noWrap/>
            <w:tcMar>
              <w:top w:w="15" w:type="dxa"/>
              <w:left w:w="15" w:type="dxa"/>
              <w:bottom w:w="0" w:type="dxa"/>
              <w:right w:w="15" w:type="dxa"/>
            </w:tcMar>
            <w:vAlign w:val="center"/>
            <w:hideMark/>
          </w:tcPr>
          <w:p w14:paraId="12DE6F0D"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34</w:t>
            </w:r>
          </w:p>
        </w:tc>
        <w:tc>
          <w:tcPr>
            <w:tcW w:w="2375" w:type="dxa"/>
            <w:tcBorders>
              <w:top w:val="nil"/>
              <w:left w:val="nil"/>
              <w:bottom w:val="nil"/>
              <w:right w:val="nil"/>
            </w:tcBorders>
            <w:shd w:val="clear" w:color="auto" w:fill="auto"/>
            <w:noWrap/>
            <w:tcMar>
              <w:top w:w="15" w:type="dxa"/>
              <w:left w:w="15" w:type="dxa"/>
              <w:bottom w:w="0" w:type="dxa"/>
              <w:right w:w="15" w:type="dxa"/>
            </w:tcMar>
            <w:vAlign w:val="center"/>
            <w:hideMark/>
          </w:tcPr>
          <w:p w14:paraId="7A56F4C6"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24</w:t>
            </w:r>
          </w:p>
        </w:tc>
      </w:tr>
      <w:tr w:rsidR="00C833CB" w:rsidRPr="004F30BD" w14:paraId="106EACC3" w14:textId="77777777" w:rsidTr="00192CF4">
        <w:trPr>
          <w:divId w:val="579755685"/>
          <w:trHeight w:val="288"/>
        </w:trPr>
        <w:tc>
          <w:tcPr>
            <w:tcW w:w="2250" w:type="dxa"/>
            <w:vMerge/>
            <w:tcBorders>
              <w:left w:val="nil"/>
              <w:right w:val="nil"/>
            </w:tcBorders>
            <w:shd w:val="clear" w:color="auto" w:fill="FFFFFF" w:themeFill="background1"/>
            <w:tcMar>
              <w:top w:w="0" w:type="dxa"/>
              <w:left w:w="15" w:type="dxa"/>
              <w:bottom w:w="0" w:type="dxa"/>
              <w:right w:w="15" w:type="dxa"/>
            </w:tcMar>
            <w:hideMark/>
          </w:tcPr>
          <w:p w14:paraId="1BEB7572" w14:textId="77777777" w:rsidR="00C833CB" w:rsidRPr="004F30BD" w:rsidRDefault="00C833CB" w:rsidP="00001851">
            <w:pPr>
              <w:spacing w:before="0" w:line="240" w:lineRule="auto"/>
              <w:ind w:right="0"/>
              <w:rPr>
                <w:rFonts w:eastAsia="Times New Roman" w:cs="Calibri"/>
                <w:color w:val="000000"/>
                <w:szCs w:val="16"/>
                <w:lang w:eastAsia="en-AU"/>
              </w:rPr>
            </w:pPr>
          </w:p>
        </w:tc>
        <w:tc>
          <w:tcPr>
            <w:tcW w:w="3178" w:type="dxa"/>
            <w:tcBorders>
              <w:top w:val="nil"/>
              <w:left w:val="nil"/>
              <w:bottom w:val="nil"/>
              <w:right w:val="nil"/>
            </w:tcBorders>
            <w:shd w:val="clear" w:color="000000" w:fill="E6E6E6"/>
            <w:tcMar>
              <w:top w:w="15" w:type="dxa"/>
              <w:left w:w="15" w:type="dxa"/>
              <w:bottom w:w="0" w:type="dxa"/>
              <w:right w:w="15" w:type="dxa"/>
            </w:tcMar>
            <w:vAlign w:val="center"/>
            <w:hideMark/>
          </w:tcPr>
          <w:p w14:paraId="33055594" w14:textId="77777777" w:rsidR="00C833CB" w:rsidRPr="004F30BD" w:rsidRDefault="00C833CB" w:rsidP="00265B60">
            <w:pPr>
              <w:spacing w:before="0" w:line="240" w:lineRule="auto"/>
              <w:ind w:right="0"/>
              <w:rPr>
                <w:rFonts w:eastAsia="Times New Roman" w:cs="Calibri"/>
                <w:color w:val="000000"/>
                <w:szCs w:val="16"/>
                <w:lang w:eastAsia="en-AU"/>
              </w:rPr>
            </w:pPr>
            <w:r w:rsidRPr="004F30BD">
              <w:rPr>
                <w:rFonts w:eastAsia="Times New Roman" w:cs="Calibri"/>
                <w:color w:val="000000"/>
                <w:szCs w:val="16"/>
                <w:lang w:eastAsia="en-AU"/>
              </w:rPr>
              <w:t>QLD</w:t>
            </w:r>
          </w:p>
        </w:tc>
        <w:tc>
          <w:tcPr>
            <w:tcW w:w="692" w:type="dxa"/>
            <w:tcBorders>
              <w:top w:val="nil"/>
              <w:left w:val="nil"/>
              <w:bottom w:val="nil"/>
              <w:right w:val="nil"/>
            </w:tcBorders>
            <w:shd w:val="clear" w:color="000000" w:fill="E6E6E6"/>
            <w:noWrap/>
            <w:tcMar>
              <w:top w:w="15" w:type="dxa"/>
              <w:left w:w="15" w:type="dxa"/>
              <w:bottom w:w="0" w:type="dxa"/>
              <w:right w:w="15" w:type="dxa"/>
            </w:tcMar>
            <w:vAlign w:val="center"/>
            <w:hideMark/>
          </w:tcPr>
          <w:p w14:paraId="6EB0ED53"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15</w:t>
            </w:r>
          </w:p>
        </w:tc>
        <w:tc>
          <w:tcPr>
            <w:tcW w:w="2375" w:type="dxa"/>
            <w:tcBorders>
              <w:top w:val="nil"/>
              <w:left w:val="nil"/>
              <w:bottom w:val="nil"/>
              <w:right w:val="nil"/>
            </w:tcBorders>
            <w:shd w:val="clear" w:color="000000" w:fill="E6E6E6"/>
            <w:noWrap/>
            <w:tcMar>
              <w:top w:w="15" w:type="dxa"/>
              <w:left w:w="15" w:type="dxa"/>
              <w:bottom w:w="0" w:type="dxa"/>
              <w:right w:w="15" w:type="dxa"/>
            </w:tcMar>
            <w:vAlign w:val="center"/>
            <w:hideMark/>
          </w:tcPr>
          <w:p w14:paraId="148D6BD6"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11</w:t>
            </w:r>
          </w:p>
        </w:tc>
      </w:tr>
      <w:tr w:rsidR="00C833CB" w:rsidRPr="004F30BD" w14:paraId="69B62454" w14:textId="77777777" w:rsidTr="00192CF4">
        <w:trPr>
          <w:divId w:val="579755685"/>
          <w:trHeight w:val="288"/>
        </w:trPr>
        <w:tc>
          <w:tcPr>
            <w:tcW w:w="2250" w:type="dxa"/>
            <w:vMerge/>
            <w:tcBorders>
              <w:left w:val="nil"/>
              <w:right w:val="nil"/>
            </w:tcBorders>
            <w:shd w:val="clear" w:color="auto" w:fill="FFFFFF" w:themeFill="background1"/>
            <w:tcMar>
              <w:top w:w="0" w:type="dxa"/>
              <w:left w:w="15" w:type="dxa"/>
              <w:bottom w:w="0" w:type="dxa"/>
              <w:right w:w="15" w:type="dxa"/>
            </w:tcMar>
            <w:hideMark/>
          </w:tcPr>
          <w:p w14:paraId="00E67B47" w14:textId="77777777" w:rsidR="00C833CB" w:rsidRPr="004F30BD" w:rsidRDefault="00C833CB" w:rsidP="00001851">
            <w:pPr>
              <w:spacing w:before="0" w:line="240" w:lineRule="auto"/>
              <w:ind w:right="0"/>
              <w:rPr>
                <w:rFonts w:eastAsia="Times New Roman" w:cs="Calibri"/>
                <w:color w:val="000000"/>
                <w:szCs w:val="16"/>
                <w:lang w:eastAsia="en-AU"/>
              </w:rPr>
            </w:pPr>
          </w:p>
        </w:tc>
        <w:tc>
          <w:tcPr>
            <w:tcW w:w="3178" w:type="dxa"/>
            <w:tcBorders>
              <w:top w:val="nil"/>
              <w:left w:val="nil"/>
              <w:bottom w:val="nil"/>
              <w:right w:val="nil"/>
            </w:tcBorders>
            <w:shd w:val="clear" w:color="auto" w:fill="auto"/>
            <w:tcMar>
              <w:top w:w="15" w:type="dxa"/>
              <w:left w:w="15" w:type="dxa"/>
              <w:bottom w:w="0" w:type="dxa"/>
              <w:right w:w="15" w:type="dxa"/>
            </w:tcMar>
            <w:vAlign w:val="center"/>
            <w:hideMark/>
          </w:tcPr>
          <w:p w14:paraId="2513FC61" w14:textId="77777777" w:rsidR="00C833CB" w:rsidRPr="004F30BD" w:rsidRDefault="00C833CB" w:rsidP="00265B60">
            <w:pPr>
              <w:spacing w:before="0" w:line="240" w:lineRule="auto"/>
              <w:ind w:right="0"/>
              <w:rPr>
                <w:rFonts w:eastAsia="Times New Roman" w:cs="Calibri"/>
                <w:color w:val="000000"/>
                <w:szCs w:val="16"/>
                <w:lang w:eastAsia="en-AU"/>
              </w:rPr>
            </w:pPr>
            <w:r w:rsidRPr="004F30BD">
              <w:rPr>
                <w:rFonts w:eastAsia="Times New Roman" w:cs="Calibri"/>
                <w:color w:val="000000"/>
                <w:szCs w:val="16"/>
                <w:lang w:eastAsia="en-AU"/>
              </w:rPr>
              <w:t>WA</w:t>
            </w:r>
          </w:p>
        </w:tc>
        <w:tc>
          <w:tcPr>
            <w:tcW w:w="692" w:type="dxa"/>
            <w:tcBorders>
              <w:top w:val="nil"/>
              <w:left w:val="nil"/>
              <w:bottom w:val="nil"/>
              <w:right w:val="nil"/>
            </w:tcBorders>
            <w:shd w:val="clear" w:color="auto" w:fill="auto"/>
            <w:noWrap/>
            <w:tcMar>
              <w:top w:w="15" w:type="dxa"/>
              <w:left w:w="15" w:type="dxa"/>
              <w:bottom w:w="0" w:type="dxa"/>
              <w:right w:w="15" w:type="dxa"/>
            </w:tcMar>
            <w:vAlign w:val="center"/>
            <w:hideMark/>
          </w:tcPr>
          <w:p w14:paraId="0AC5E7D0"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9</w:t>
            </w:r>
          </w:p>
        </w:tc>
        <w:tc>
          <w:tcPr>
            <w:tcW w:w="2375" w:type="dxa"/>
            <w:tcBorders>
              <w:top w:val="nil"/>
              <w:left w:val="nil"/>
              <w:bottom w:val="nil"/>
              <w:right w:val="nil"/>
            </w:tcBorders>
            <w:shd w:val="clear" w:color="auto" w:fill="auto"/>
            <w:noWrap/>
            <w:tcMar>
              <w:top w:w="15" w:type="dxa"/>
              <w:left w:w="15" w:type="dxa"/>
              <w:bottom w:w="0" w:type="dxa"/>
              <w:right w:w="15" w:type="dxa"/>
            </w:tcMar>
            <w:vAlign w:val="center"/>
            <w:hideMark/>
          </w:tcPr>
          <w:p w14:paraId="655ADBFB"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6</w:t>
            </w:r>
          </w:p>
        </w:tc>
      </w:tr>
      <w:tr w:rsidR="00C833CB" w:rsidRPr="004F30BD" w14:paraId="67A43C87" w14:textId="77777777" w:rsidTr="00192CF4">
        <w:trPr>
          <w:divId w:val="579755685"/>
          <w:trHeight w:val="288"/>
        </w:trPr>
        <w:tc>
          <w:tcPr>
            <w:tcW w:w="2250" w:type="dxa"/>
            <w:vMerge/>
            <w:tcBorders>
              <w:left w:val="nil"/>
              <w:right w:val="nil"/>
            </w:tcBorders>
            <w:shd w:val="clear" w:color="auto" w:fill="FFFFFF" w:themeFill="background1"/>
            <w:tcMar>
              <w:top w:w="0" w:type="dxa"/>
              <w:left w:w="15" w:type="dxa"/>
              <w:bottom w:w="0" w:type="dxa"/>
              <w:right w:w="15" w:type="dxa"/>
            </w:tcMar>
            <w:hideMark/>
          </w:tcPr>
          <w:p w14:paraId="0B9CA181" w14:textId="77777777" w:rsidR="00C833CB" w:rsidRPr="004F30BD" w:rsidRDefault="00C833CB" w:rsidP="00001851">
            <w:pPr>
              <w:spacing w:before="0" w:line="240" w:lineRule="auto"/>
              <w:ind w:right="0"/>
              <w:rPr>
                <w:rFonts w:eastAsia="Times New Roman" w:cs="Calibri"/>
                <w:color w:val="000000"/>
                <w:szCs w:val="16"/>
                <w:lang w:eastAsia="en-AU"/>
              </w:rPr>
            </w:pPr>
          </w:p>
        </w:tc>
        <w:tc>
          <w:tcPr>
            <w:tcW w:w="3178" w:type="dxa"/>
            <w:tcBorders>
              <w:top w:val="nil"/>
              <w:left w:val="nil"/>
              <w:bottom w:val="nil"/>
              <w:right w:val="nil"/>
            </w:tcBorders>
            <w:shd w:val="clear" w:color="000000" w:fill="E6E6E6"/>
            <w:tcMar>
              <w:top w:w="15" w:type="dxa"/>
              <w:left w:w="15" w:type="dxa"/>
              <w:bottom w:w="0" w:type="dxa"/>
              <w:right w:w="15" w:type="dxa"/>
            </w:tcMar>
            <w:vAlign w:val="center"/>
            <w:hideMark/>
          </w:tcPr>
          <w:p w14:paraId="12EC966D" w14:textId="77777777" w:rsidR="00C833CB" w:rsidRPr="004F30BD" w:rsidRDefault="00C833CB" w:rsidP="00265B60">
            <w:pPr>
              <w:spacing w:before="0" w:line="240" w:lineRule="auto"/>
              <w:ind w:right="0"/>
              <w:rPr>
                <w:rFonts w:eastAsia="Times New Roman" w:cs="Calibri"/>
                <w:color w:val="000000"/>
                <w:szCs w:val="16"/>
                <w:lang w:eastAsia="en-AU"/>
              </w:rPr>
            </w:pPr>
            <w:r w:rsidRPr="004F30BD">
              <w:rPr>
                <w:rFonts w:eastAsia="Times New Roman" w:cs="Calibri"/>
                <w:color w:val="000000"/>
                <w:szCs w:val="16"/>
                <w:lang w:eastAsia="en-AU"/>
              </w:rPr>
              <w:t>SA</w:t>
            </w:r>
          </w:p>
        </w:tc>
        <w:tc>
          <w:tcPr>
            <w:tcW w:w="692" w:type="dxa"/>
            <w:tcBorders>
              <w:top w:val="nil"/>
              <w:left w:val="nil"/>
              <w:bottom w:val="nil"/>
              <w:right w:val="nil"/>
            </w:tcBorders>
            <w:shd w:val="clear" w:color="000000" w:fill="E6E6E6"/>
            <w:noWrap/>
            <w:tcMar>
              <w:top w:w="15" w:type="dxa"/>
              <w:left w:w="15" w:type="dxa"/>
              <w:bottom w:w="0" w:type="dxa"/>
              <w:right w:w="15" w:type="dxa"/>
            </w:tcMar>
            <w:vAlign w:val="center"/>
            <w:hideMark/>
          </w:tcPr>
          <w:p w14:paraId="19538ECB"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14</w:t>
            </w:r>
          </w:p>
        </w:tc>
        <w:tc>
          <w:tcPr>
            <w:tcW w:w="2375" w:type="dxa"/>
            <w:tcBorders>
              <w:top w:val="nil"/>
              <w:left w:val="nil"/>
              <w:bottom w:val="nil"/>
              <w:right w:val="nil"/>
            </w:tcBorders>
            <w:shd w:val="clear" w:color="000000" w:fill="E6E6E6"/>
            <w:noWrap/>
            <w:tcMar>
              <w:top w:w="15" w:type="dxa"/>
              <w:left w:w="15" w:type="dxa"/>
              <w:bottom w:w="0" w:type="dxa"/>
              <w:right w:w="15" w:type="dxa"/>
            </w:tcMar>
            <w:vAlign w:val="center"/>
            <w:hideMark/>
          </w:tcPr>
          <w:p w14:paraId="3599C841"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10</w:t>
            </w:r>
          </w:p>
        </w:tc>
      </w:tr>
      <w:tr w:rsidR="00C833CB" w:rsidRPr="004F30BD" w14:paraId="7C47B20A" w14:textId="77777777" w:rsidTr="00192CF4">
        <w:trPr>
          <w:divId w:val="579755685"/>
          <w:trHeight w:val="288"/>
        </w:trPr>
        <w:tc>
          <w:tcPr>
            <w:tcW w:w="2250" w:type="dxa"/>
            <w:vMerge/>
            <w:tcBorders>
              <w:left w:val="nil"/>
              <w:bottom w:val="single" w:sz="8" w:space="0" w:color="auto"/>
              <w:right w:val="nil"/>
            </w:tcBorders>
            <w:shd w:val="clear" w:color="auto" w:fill="FFFFFF" w:themeFill="background1"/>
            <w:tcMar>
              <w:top w:w="0" w:type="dxa"/>
              <w:left w:w="15" w:type="dxa"/>
              <w:bottom w:w="0" w:type="dxa"/>
              <w:right w:w="15" w:type="dxa"/>
            </w:tcMar>
            <w:hideMark/>
          </w:tcPr>
          <w:p w14:paraId="22B2FBDC" w14:textId="77777777" w:rsidR="00C833CB" w:rsidRPr="004F30BD" w:rsidRDefault="00C833CB" w:rsidP="00001851">
            <w:pPr>
              <w:spacing w:before="0" w:line="240" w:lineRule="auto"/>
              <w:ind w:right="0"/>
              <w:rPr>
                <w:rFonts w:eastAsia="Times New Roman" w:cs="Calibri"/>
                <w:color w:val="000000"/>
                <w:szCs w:val="16"/>
                <w:lang w:eastAsia="en-AU"/>
              </w:rPr>
            </w:pPr>
          </w:p>
        </w:tc>
        <w:tc>
          <w:tcPr>
            <w:tcW w:w="3178"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4774E137" w14:textId="77777777" w:rsidR="00C833CB" w:rsidRPr="004F30BD" w:rsidRDefault="00C833CB" w:rsidP="00265B60">
            <w:pPr>
              <w:spacing w:before="0" w:line="240" w:lineRule="auto"/>
              <w:ind w:right="0"/>
              <w:rPr>
                <w:rFonts w:eastAsia="Times New Roman" w:cs="Calibri"/>
                <w:color w:val="000000"/>
                <w:szCs w:val="16"/>
                <w:lang w:eastAsia="en-AU"/>
              </w:rPr>
            </w:pPr>
            <w:r w:rsidRPr="004F30BD">
              <w:rPr>
                <w:rFonts w:eastAsia="Times New Roman" w:cs="Calibri"/>
                <w:color w:val="000000"/>
                <w:szCs w:val="16"/>
                <w:lang w:eastAsia="en-AU"/>
              </w:rPr>
              <w:t>Other</w:t>
            </w:r>
          </w:p>
        </w:tc>
        <w:tc>
          <w:tcPr>
            <w:tcW w:w="692"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69F0E0F5"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4</w:t>
            </w:r>
          </w:p>
        </w:tc>
        <w:tc>
          <w:tcPr>
            <w:tcW w:w="2375"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58F2F902"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3</w:t>
            </w:r>
          </w:p>
        </w:tc>
      </w:tr>
      <w:tr w:rsidR="00C833CB" w:rsidRPr="004F30BD" w14:paraId="6DE27E94" w14:textId="77777777" w:rsidTr="00192CF4">
        <w:trPr>
          <w:divId w:val="579755685"/>
          <w:trHeight w:val="288"/>
        </w:trPr>
        <w:tc>
          <w:tcPr>
            <w:tcW w:w="2250" w:type="dxa"/>
            <w:vMerge w:val="restart"/>
            <w:tcBorders>
              <w:top w:val="nil"/>
              <w:left w:val="nil"/>
              <w:right w:val="nil"/>
            </w:tcBorders>
            <w:shd w:val="clear" w:color="auto" w:fill="FFFFFF" w:themeFill="background1"/>
            <w:tcMar>
              <w:top w:w="15" w:type="dxa"/>
              <w:left w:w="15" w:type="dxa"/>
              <w:bottom w:w="0" w:type="dxa"/>
              <w:right w:w="15" w:type="dxa"/>
            </w:tcMar>
            <w:hideMark/>
          </w:tcPr>
          <w:p w14:paraId="6586348C" w14:textId="77777777" w:rsidR="00C833CB" w:rsidRPr="004F30BD" w:rsidRDefault="00C833CB" w:rsidP="00192CF4">
            <w:pPr>
              <w:spacing w:before="0" w:line="240" w:lineRule="auto"/>
              <w:ind w:right="0"/>
              <w:rPr>
                <w:rFonts w:eastAsia="Times New Roman" w:cs="Calibri"/>
                <w:color w:val="000000"/>
                <w:szCs w:val="16"/>
                <w:lang w:eastAsia="en-AU"/>
              </w:rPr>
            </w:pPr>
            <w:r w:rsidRPr="004F30BD">
              <w:rPr>
                <w:rFonts w:eastAsia="Times New Roman" w:cs="Calibri"/>
                <w:color w:val="000000"/>
                <w:szCs w:val="16"/>
                <w:lang w:eastAsia="en-AU"/>
              </w:rPr>
              <w:t>Active RTO </w:t>
            </w:r>
          </w:p>
        </w:tc>
        <w:tc>
          <w:tcPr>
            <w:tcW w:w="3178" w:type="dxa"/>
            <w:tcBorders>
              <w:top w:val="nil"/>
              <w:left w:val="nil"/>
              <w:bottom w:val="nil"/>
              <w:right w:val="nil"/>
            </w:tcBorders>
            <w:shd w:val="clear" w:color="000000" w:fill="E6E6E6"/>
            <w:tcMar>
              <w:top w:w="15" w:type="dxa"/>
              <w:left w:w="15" w:type="dxa"/>
              <w:bottom w:w="0" w:type="dxa"/>
              <w:right w:w="15" w:type="dxa"/>
            </w:tcMar>
            <w:vAlign w:val="center"/>
            <w:hideMark/>
          </w:tcPr>
          <w:p w14:paraId="689AD611" w14:textId="77777777" w:rsidR="00C833CB" w:rsidRPr="004F30BD" w:rsidRDefault="00C833CB" w:rsidP="00265B60">
            <w:pPr>
              <w:spacing w:before="0" w:line="240" w:lineRule="auto"/>
              <w:ind w:right="0"/>
              <w:rPr>
                <w:rFonts w:eastAsia="Times New Roman" w:cs="Calibri"/>
                <w:color w:val="000000"/>
                <w:szCs w:val="16"/>
                <w:lang w:eastAsia="en-AU"/>
              </w:rPr>
            </w:pPr>
            <w:r w:rsidRPr="004F30BD">
              <w:rPr>
                <w:rFonts w:eastAsia="Times New Roman" w:cs="Calibri"/>
                <w:color w:val="000000"/>
                <w:szCs w:val="16"/>
                <w:lang w:eastAsia="en-AU"/>
              </w:rPr>
              <w:t>No</w:t>
            </w:r>
          </w:p>
        </w:tc>
        <w:tc>
          <w:tcPr>
            <w:tcW w:w="692" w:type="dxa"/>
            <w:tcBorders>
              <w:top w:val="nil"/>
              <w:left w:val="nil"/>
              <w:bottom w:val="nil"/>
              <w:right w:val="nil"/>
            </w:tcBorders>
            <w:shd w:val="clear" w:color="000000" w:fill="E6E6E6"/>
            <w:noWrap/>
            <w:tcMar>
              <w:top w:w="15" w:type="dxa"/>
              <w:left w:w="15" w:type="dxa"/>
              <w:bottom w:w="0" w:type="dxa"/>
              <w:right w:w="15" w:type="dxa"/>
            </w:tcMar>
            <w:vAlign w:val="center"/>
            <w:hideMark/>
          </w:tcPr>
          <w:p w14:paraId="17134A02"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69</w:t>
            </w:r>
          </w:p>
        </w:tc>
        <w:tc>
          <w:tcPr>
            <w:tcW w:w="2375" w:type="dxa"/>
            <w:tcBorders>
              <w:top w:val="nil"/>
              <w:left w:val="nil"/>
              <w:bottom w:val="nil"/>
              <w:right w:val="nil"/>
            </w:tcBorders>
            <w:shd w:val="clear" w:color="000000" w:fill="E6E6E6"/>
            <w:noWrap/>
            <w:tcMar>
              <w:top w:w="15" w:type="dxa"/>
              <w:left w:w="15" w:type="dxa"/>
              <w:bottom w:w="0" w:type="dxa"/>
              <w:right w:w="15" w:type="dxa"/>
            </w:tcMar>
            <w:vAlign w:val="center"/>
            <w:hideMark/>
          </w:tcPr>
          <w:p w14:paraId="5A0ADD8E"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54</w:t>
            </w:r>
          </w:p>
        </w:tc>
      </w:tr>
      <w:tr w:rsidR="00C833CB" w:rsidRPr="004F30BD" w14:paraId="77F725F2" w14:textId="77777777" w:rsidTr="00192CF4">
        <w:trPr>
          <w:divId w:val="579755685"/>
          <w:trHeight w:val="288"/>
        </w:trPr>
        <w:tc>
          <w:tcPr>
            <w:tcW w:w="2250" w:type="dxa"/>
            <w:vMerge/>
            <w:tcBorders>
              <w:left w:val="nil"/>
              <w:bottom w:val="single" w:sz="8" w:space="0" w:color="auto"/>
              <w:right w:val="nil"/>
            </w:tcBorders>
            <w:shd w:val="clear" w:color="auto" w:fill="FFFFFF" w:themeFill="background1"/>
            <w:tcMar>
              <w:top w:w="0" w:type="dxa"/>
              <w:left w:w="15" w:type="dxa"/>
              <w:bottom w:w="0" w:type="dxa"/>
              <w:right w:w="15" w:type="dxa"/>
            </w:tcMar>
            <w:hideMark/>
          </w:tcPr>
          <w:p w14:paraId="251EE67C" w14:textId="77777777" w:rsidR="00C833CB" w:rsidRPr="004F30BD" w:rsidRDefault="00C833CB" w:rsidP="00001851">
            <w:pPr>
              <w:spacing w:before="0" w:line="240" w:lineRule="auto"/>
              <w:ind w:right="0"/>
              <w:rPr>
                <w:rFonts w:eastAsia="Times New Roman" w:cs="Calibri"/>
                <w:color w:val="000000"/>
                <w:szCs w:val="16"/>
                <w:lang w:eastAsia="en-AU"/>
              </w:rPr>
            </w:pPr>
          </w:p>
        </w:tc>
        <w:tc>
          <w:tcPr>
            <w:tcW w:w="3178"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2D7CDA1F" w14:textId="77777777" w:rsidR="00C833CB" w:rsidRPr="004F30BD" w:rsidRDefault="00C833CB" w:rsidP="00265B60">
            <w:pPr>
              <w:spacing w:before="0" w:line="240" w:lineRule="auto"/>
              <w:ind w:right="0"/>
              <w:rPr>
                <w:rFonts w:eastAsia="Times New Roman" w:cs="Calibri"/>
                <w:color w:val="000000"/>
                <w:szCs w:val="16"/>
                <w:lang w:eastAsia="en-AU"/>
              </w:rPr>
            </w:pPr>
            <w:r w:rsidRPr="004F30BD">
              <w:rPr>
                <w:rFonts w:eastAsia="Times New Roman" w:cs="Calibri"/>
                <w:color w:val="000000"/>
                <w:szCs w:val="16"/>
                <w:lang w:eastAsia="en-AU"/>
              </w:rPr>
              <w:t>Yes</w:t>
            </w:r>
          </w:p>
        </w:tc>
        <w:tc>
          <w:tcPr>
            <w:tcW w:w="692"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29C89E25"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59</w:t>
            </w:r>
          </w:p>
        </w:tc>
        <w:tc>
          <w:tcPr>
            <w:tcW w:w="2375"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1067C4D7"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46</w:t>
            </w:r>
          </w:p>
        </w:tc>
      </w:tr>
      <w:tr w:rsidR="00C833CB" w:rsidRPr="004F30BD" w14:paraId="41DC2532" w14:textId="77777777" w:rsidTr="00192CF4">
        <w:trPr>
          <w:divId w:val="579755685"/>
          <w:trHeight w:val="288"/>
        </w:trPr>
        <w:tc>
          <w:tcPr>
            <w:tcW w:w="2250" w:type="dxa"/>
            <w:vMerge w:val="restart"/>
            <w:tcBorders>
              <w:top w:val="nil"/>
              <w:left w:val="nil"/>
              <w:right w:val="nil"/>
            </w:tcBorders>
            <w:shd w:val="clear" w:color="auto" w:fill="FFFFFF" w:themeFill="background1"/>
            <w:tcMar>
              <w:top w:w="15" w:type="dxa"/>
              <w:left w:w="15" w:type="dxa"/>
              <w:bottom w:w="0" w:type="dxa"/>
              <w:right w:w="15" w:type="dxa"/>
            </w:tcMar>
            <w:hideMark/>
          </w:tcPr>
          <w:p w14:paraId="5F77BDCE" w14:textId="77777777" w:rsidR="00C833CB" w:rsidRPr="004F30BD" w:rsidRDefault="00C833CB" w:rsidP="00192CF4">
            <w:pPr>
              <w:spacing w:before="0" w:line="240" w:lineRule="auto"/>
              <w:ind w:right="0"/>
              <w:rPr>
                <w:rFonts w:eastAsia="Times New Roman" w:cs="Calibri"/>
                <w:color w:val="000000"/>
                <w:szCs w:val="16"/>
                <w:lang w:eastAsia="en-AU"/>
              </w:rPr>
            </w:pPr>
            <w:r w:rsidRPr="004F30BD">
              <w:rPr>
                <w:rFonts w:eastAsia="Times New Roman" w:cs="Calibri"/>
                <w:color w:val="000000"/>
                <w:szCs w:val="16"/>
                <w:lang w:eastAsia="en-AU"/>
              </w:rPr>
              <w:t>CRICOS# registered </w:t>
            </w:r>
          </w:p>
        </w:tc>
        <w:tc>
          <w:tcPr>
            <w:tcW w:w="3178" w:type="dxa"/>
            <w:tcBorders>
              <w:top w:val="nil"/>
              <w:left w:val="nil"/>
              <w:bottom w:val="nil"/>
              <w:right w:val="nil"/>
            </w:tcBorders>
            <w:shd w:val="clear" w:color="000000" w:fill="E6E6E6"/>
            <w:tcMar>
              <w:top w:w="15" w:type="dxa"/>
              <w:left w:w="15" w:type="dxa"/>
              <w:bottom w:w="0" w:type="dxa"/>
              <w:right w:w="15" w:type="dxa"/>
            </w:tcMar>
            <w:vAlign w:val="center"/>
            <w:hideMark/>
          </w:tcPr>
          <w:p w14:paraId="0FB982A6" w14:textId="77777777" w:rsidR="00C833CB" w:rsidRPr="004F30BD" w:rsidRDefault="00C833CB" w:rsidP="00265B60">
            <w:pPr>
              <w:spacing w:before="0" w:line="240" w:lineRule="auto"/>
              <w:ind w:right="0"/>
              <w:rPr>
                <w:rFonts w:eastAsia="Times New Roman" w:cs="Calibri"/>
                <w:color w:val="000000"/>
                <w:szCs w:val="16"/>
                <w:lang w:eastAsia="en-AU"/>
              </w:rPr>
            </w:pPr>
            <w:r w:rsidRPr="004F30BD">
              <w:rPr>
                <w:rFonts w:eastAsia="Times New Roman" w:cs="Calibri"/>
                <w:color w:val="000000"/>
                <w:szCs w:val="16"/>
                <w:lang w:eastAsia="en-AU"/>
              </w:rPr>
              <w:t>No</w:t>
            </w:r>
          </w:p>
        </w:tc>
        <w:tc>
          <w:tcPr>
            <w:tcW w:w="692" w:type="dxa"/>
            <w:tcBorders>
              <w:top w:val="nil"/>
              <w:left w:val="nil"/>
              <w:bottom w:val="nil"/>
              <w:right w:val="nil"/>
            </w:tcBorders>
            <w:shd w:val="clear" w:color="000000" w:fill="E6E6E6"/>
            <w:noWrap/>
            <w:tcMar>
              <w:top w:w="15" w:type="dxa"/>
              <w:left w:w="15" w:type="dxa"/>
              <w:bottom w:w="0" w:type="dxa"/>
              <w:right w:w="15" w:type="dxa"/>
            </w:tcMar>
            <w:vAlign w:val="center"/>
            <w:hideMark/>
          </w:tcPr>
          <w:p w14:paraId="5AD5C29D"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58</w:t>
            </w:r>
          </w:p>
        </w:tc>
        <w:tc>
          <w:tcPr>
            <w:tcW w:w="2375" w:type="dxa"/>
            <w:tcBorders>
              <w:top w:val="nil"/>
              <w:left w:val="nil"/>
              <w:bottom w:val="nil"/>
              <w:right w:val="nil"/>
            </w:tcBorders>
            <w:shd w:val="clear" w:color="000000" w:fill="E6E6E6"/>
            <w:noWrap/>
            <w:tcMar>
              <w:top w:w="15" w:type="dxa"/>
              <w:left w:w="15" w:type="dxa"/>
              <w:bottom w:w="0" w:type="dxa"/>
              <w:right w:w="15" w:type="dxa"/>
            </w:tcMar>
            <w:vAlign w:val="center"/>
            <w:hideMark/>
          </w:tcPr>
          <w:p w14:paraId="5597F699"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41</w:t>
            </w:r>
          </w:p>
        </w:tc>
      </w:tr>
      <w:tr w:rsidR="00C833CB" w:rsidRPr="004F30BD" w14:paraId="03DB2146" w14:textId="77777777" w:rsidTr="00192CF4">
        <w:trPr>
          <w:divId w:val="579755685"/>
          <w:trHeight w:val="288"/>
        </w:trPr>
        <w:tc>
          <w:tcPr>
            <w:tcW w:w="2250" w:type="dxa"/>
            <w:vMerge/>
            <w:tcBorders>
              <w:left w:val="nil"/>
              <w:bottom w:val="single" w:sz="8" w:space="0" w:color="auto"/>
              <w:right w:val="nil"/>
            </w:tcBorders>
            <w:shd w:val="clear" w:color="auto" w:fill="FFFFFF" w:themeFill="background1"/>
            <w:tcMar>
              <w:top w:w="0" w:type="dxa"/>
              <w:left w:w="15" w:type="dxa"/>
              <w:bottom w:w="0" w:type="dxa"/>
              <w:right w:w="15" w:type="dxa"/>
            </w:tcMar>
            <w:hideMark/>
          </w:tcPr>
          <w:p w14:paraId="358BD24C" w14:textId="77777777" w:rsidR="00C833CB" w:rsidRPr="004F30BD" w:rsidRDefault="00C833CB" w:rsidP="00001851">
            <w:pPr>
              <w:spacing w:before="0" w:line="240" w:lineRule="auto"/>
              <w:ind w:right="0"/>
              <w:rPr>
                <w:rFonts w:eastAsia="Times New Roman" w:cs="Calibri"/>
                <w:color w:val="000000"/>
                <w:szCs w:val="16"/>
                <w:lang w:eastAsia="en-AU"/>
              </w:rPr>
            </w:pPr>
          </w:p>
        </w:tc>
        <w:tc>
          <w:tcPr>
            <w:tcW w:w="3178"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500F6D00" w14:textId="77777777" w:rsidR="00C833CB" w:rsidRPr="004F30BD" w:rsidRDefault="00C833CB" w:rsidP="00265B60">
            <w:pPr>
              <w:spacing w:before="0" w:line="240" w:lineRule="auto"/>
              <w:ind w:right="0"/>
              <w:rPr>
                <w:rFonts w:eastAsia="Times New Roman" w:cs="Calibri"/>
                <w:color w:val="000000"/>
                <w:szCs w:val="16"/>
                <w:lang w:eastAsia="en-AU"/>
              </w:rPr>
            </w:pPr>
            <w:r w:rsidRPr="004F30BD">
              <w:rPr>
                <w:rFonts w:eastAsia="Times New Roman" w:cs="Calibri"/>
                <w:color w:val="000000"/>
                <w:szCs w:val="16"/>
                <w:lang w:eastAsia="en-AU"/>
              </w:rPr>
              <w:t>Yes</w:t>
            </w:r>
          </w:p>
        </w:tc>
        <w:tc>
          <w:tcPr>
            <w:tcW w:w="692"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7AD56619"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84</w:t>
            </w:r>
          </w:p>
        </w:tc>
        <w:tc>
          <w:tcPr>
            <w:tcW w:w="2375"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67BAC9C3"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59</w:t>
            </w:r>
          </w:p>
        </w:tc>
      </w:tr>
      <w:tr w:rsidR="00C833CB" w:rsidRPr="004F30BD" w14:paraId="4DFA1D1D" w14:textId="77777777" w:rsidTr="00192CF4">
        <w:trPr>
          <w:divId w:val="579755685"/>
          <w:trHeight w:val="288"/>
        </w:trPr>
        <w:tc>
          <w:tcPr>
            <w:tcW w:w="2250" w:type="dxa"/>
            <w:vMerge w:val="restart"/>
            <w:tcBorders>
              <w:top w:val="nil"/>
              <w:left w:val="nil"/>
              <w:right w:val="nil"/>
            </w:tcBorders>
            <w:shd w:val="clear" w:color="auto" w:fill="FFFFFF" w:themeFill="background1"/>
            <w:tcMar>
              <w:top w:w="15" w:type="dxa"/>
              <w:left w:w="15" w:type="dxa"/>
              <w:bottom w:w="0" w:type="dxa"/>
              <w:right w:w="15" w:type="dxa"/>
            </w:tcMar>
            <w:hideMark/>
          </w:tcPr>
          <w:p w14:paraId="08982F55" w14:textId="77777777" w:rsidR="00C833CB" w:rsidRPr="004F30BD" w:rsidRDefault="00C833CB" w:rsidP="00192CF4">
            <w:pPr>
              <w:spacing w:before="0" w:line="240" w:lineRule="auto"/>
              <w:ind w:right="0"/>
              <w:rPr>
                <w:rFonts w:eastAsia="Times New Roman" w:cs="Calibri"/>
                <w:color w:val="000000"/>
                <w:szCs w:val="16"/>
                <w:lang w:eastAsia="en-AU"/>
              </w:rPr>
            </w:pPr>
            <w:r w:rsidRPr="004F30BD">
              <w:rPr>
                <w:rFonts w:eastAsia="Times New Roman" w:cs="Calibri"/>
                <w:color w:val="000000"/>
                <w:szCs w:val="16"/>
                <w:lang w:eastAsia="en-AU"/>
              </w:rPr>
              <w:t>Market groupings </w:t>
            </w:r>
          </w:p>
        </w:tc>
        <w:tc>
          <w:tcPr>
            <w:tcW w:w="3178" w:type="dxa"/>
            <w:tcBorders>
              <w:top w:val="nil"/>
              <w:left w:val="nil"/>
              <w:bottom w:val="nil"/>
              <w:right w:val="nil"/>
            </w:tcBorders>
            <w:shd w:val="clear" w:color="000000" w:fill="E6E6E6"/>
            <w:tcMar>
              <w:top w:w="15" w:type="dxa"/>
              <w:left w:w="15" w:type="dxa"/>
              <w:bottom w:w="0" w:type="dxa"/>
              <w:right w:w="15" w:type="dxa"/>
            </w:tcMar>
            <w:vAlign w:val="center"/>
            <w:hideMark/>
          </w:tcPr>
          <w:p w14:paraId="515C8C7F" w14:textId="77777777" w:rsidR="00C833CB" w:rsidRPr="004F30BD" w:rsidRDefault="00C833CB" w:rsidP="00265B60">
            <w:pPr>
              <w:spacing w:before="0" w:line="240" w:lineRule="auto"/>
              <w:ind w:right="0"/>
              <w:rPr>
                <w:rFonts w:eastAsia="Times New Roman" w:cs="Calibri"/>
                <w:color w:val="000000"/>
                <w:szCs w:val="16"/>
                <w:lang w:eastAsia="en-AU"/>
              </w:rPr>
            </w:pPr>
            <w:r w:rsidRPr="004F30BD">
              <w:rPr>
                <w:rFonts w:eastAsia="Times New Roman" w:cs="Calibri"/>
                <w:color w:val="000000"/>
                <w:szCs w:val="16"/>
                <w:lang w:eastAsia="en-AU"/>
              </w:rPr>
              <w:t>Faith-based</w:t>
            </w:r>
          </w:p>
        </w:tc>
        <w:tc>
          <w:tcPr>
            <w:tcW w:w="692" w:type="dxa"/>
            <w:tcBorders>
              <w:top w:val="nil"/>
              <w:left w:val="nil"/>
              <w:bottom w:val="nil"/>
              <w:right w:val="nil"/>
            </w:tcBorders>
            <w:shd w:val="clear" w:color="000000" w:fill="E6E6E6"/>
            <w:noWrap/>
            <w:tcMar>
              <w:top w:w="15" w:type="dxa"/>
              <w:left w:w="15" w:type="dxa"/>
              <w:bottom w:w="0" w:type="dxa"/>
              <w:right w:w="15" w:type="dxa"/>
            </w:tcMar>
            <w:vAlign w:val="center"/>
            <w:hideMark/>
          </w:tcPr>
          <w:p w14:paraId="6686BBF3"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11</w:t>
            </w:r>
          </w:p>
        </w:tc>
        <w:tc>
          <w:tcPr>
            <w:tcW w:w="2375" w:type="dxa"/>
            <w:tcBorders>
              <w:top w:val="nil"/>
              <w:left w:val="nil"/>
              <w:bottom w:val="nil"/>
              <w:right w:val="nil"/>
            </w:tcBorders>
            <w:shd w:val="clear" w:color="000000" w:fill="E6E6E6"/>
            <w:noWrap/>
            <w:tcMar>
              <w:top w:w="15" w:type="dxa"/>
              <w:left w:w="15" w:type="dxa"/>
              <w:bottom w:w="0" w:type="dxa"/>
              <w:right w:w="15" w:type="dxa"/>
            </w:tcMar>
            <w:vAlign w:val="center"/>
            <w:hideMark/>
          </w:tcPr>
          <w:p w14:paraId="59E554FC" w14:textId="77777777" w:rsidR="00C833CB" w:rsidRPr="004F30BD" w:rsidRDefault="00192CF4"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8</w:t>
            </w:r>
          </w:p>
        </w:tc>
      </w:tr>
      <w:tr w:rsidR="00C833CB" w:rsidRPr="004F30BD" w14:paraId="73F6ABFD" w14:textId="77777777" w:rsidTr="00192CF4">
        <w:trPr>
          <w:divId w:val="579755685"/>
          <w:trHeight w:val="288"/>
        </w:trPr>
        <w:tc>
          <w:tcPr>
            <w:tcW w:w="2250" w:type="dxa"/>
            <w:vMerge/>
            <w:tcBorders>
              <w:left w:val="nil"/>
              <w:right w:val="nil"/>
            </w:tcBorders>
            <w:shd w:val="clear" w:color="auto" w:fill="FFFFFF" w:themeFill="background1"/>
            <w:tcMar>
              <w:top w:w="15" w:type="dxa"/>
              <w:left w:w="15" w:type="dxa"/>
              <w:bottom w:w="0" w:type="dxa"/>
              <w:right w:w="15" w:type="dxa"/>
            </w:tcMar>
            <w:vAlign w:val="center"/>
            <w:hideMark/>
          </w:tcPr>
          <w:p w14:paraId="0F3BCC03" w14:textId="77777777" w:rsidR="00C833CB" w:rsidRPr="004F30BD" w:rsidRDefault="00C833CB" w:rsidP="00265B60">
            <w:pPr>
              <w:spacing w:before="0" w:line="240" w:lineRule="auto"/>
              <w:ind w:right="0"/>
              <w:rPr>
                <w:rFonts w:eastAsia="Times New Roman" w:cs="Calibri"/>
                <w:color w:val="000000"/>
                <w:szCs w:val="16"/>
                <w:lang w:eastAsia="en-AU"/>
              </w:rPr>
            </w:pPr>
          </w:p>
        </w:tc>
        <w:tc>
          <w:tcPr>
            <w:tcW w:w="3178" w:type="dxa"/>
            <w:tcBorders>
              <w:top w:val="nil"/>
              <w:left w:val="nil"/>
              <w:bottom w:val="nil"/>
              <w:right w:val="nil"/>
            </w:tcBorders>
            <w:shd w:val="clear" w:color="auto" w:fill="auto"/>
            <w:tcMar>
              <w:top w:w="15" w:type="dxa"/>
              <w:left w:w="15" w:type="dxa"/>
              <w:bottom w:w="0" w:type="dxa"/>
              <w:right w:w="15" w:type="dxa"/>
            </w:tcMar>
            <w:vAlign w:val="center"/>
            <w:hideMark/>
          </w:tcPr>
          <w:p w14:paraId="040E46D7" w14:textId="77777777" w:rsidR="00C833CB" w:rsidRPr="004F30BD" w:rsidRDefault="00C833CB" w:rsidP="00265B60">
            <w:pPr>
              <w:spacing w:before="0" w:line="240" w:lineRule="auto"/>
              <w:ind w:right="0"/>
              <w:rPr>
                <w:rFonts w:eastAsia="Times New Roman" w:cs="Calibri"/>
                <w:color w:val="000000"/>
                <w:szCs w:val="16"/>
                <w:lang w:eastAsia="en-AU"/>
              </w:rPr>
            </w:pPr>
            <w:r w:rsidRPr="004F30BD">
              <w:rPr>
                <w:rFonts w:eastAsia="Times New Roman" w:cs="Calibri"/>
                <w:color w:val="000000"/>
                <w:szCs w:val="16"/>
                <w:lang w:eastAsia="en-AU"/>
              </w:rPr>
              <w:t>Miscellaneous^</w:t>
            </w:r>
          </w:p>
        </w:tc>
        <w:tc>
          <w:tcPr>
            <w:tcW w:w="692" w:type="dxa"/>
            <w:tcBorders>
              <w:top w:val="nil"/>
              <w:left w:val="nil"/>
              <w:bottom w:val="nil"/>
              <w:right w:val="nil"/>
            </w:tcBorders>
            <w:shd w:val="clear" w:color="auto" w:fill="auto"/>
            <w:noWrap/>
            <w:tcMar>
              <w:top w:w="15" w:type="dxa"/>
              <w:left w:w="15" w:type="dxa"/>
              <w:bottom w:w="0" w:type="dxa"/>
              <w:right w:w="15" w:type="dxa"/>
            </w:tcMar>
            <w:vAlign w:val="center"/>
            <w:hideMark/>
          </w:tcPr>
          <w:p w14:paraId="32C05EFA"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27</w:t>
            </w:r>
          </w:p>
        </w:tc>
        <w:tc>
          <w:tcPr>
            <w:tcW w:w="2375" w:type="dxa"/>
            <w:tcBorders>
              <w:top w:val="nil"/>
              <w:left w:val="nil"/>
              <w:bottom w:val="nil"/>
              <w:right w:val="nil"/>
            </w:tcBorders>
            <w:shd w:val="clear" w:color="auto" w:fill="auto"/>
            <w:noWrap/>
            <w:tcMar>
              <w:top w:w="15" w:type="dxa"/>
              <w:left w:w="15" w:type="dxa"/>
              <w:bottom w:w="0" w:type="dxa"/>
              <w:right w:w="15" w:type="dxa"/>
            </w:tcMar>
            <w:vAlign w:val="center"/>
            <w:hideMark/>
          </w:tcPr>
          <w:p w14:paraId="1908717E"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19</w:t>
            </w:r>
          </w:p>
        </w:tc>
      </w:tr>
      <w:tr w:rsidR="00C833CB" w:rsidRPr="004F30BD" w14:paraId="23452418" w14:textId="77777777" w:rsidTr="00192CF4">
        <w:trPr>
          <w:divId w:val="579755685"/>
          <w:trHeight w:val="288"/>
        </w:trPr>
        <w:tc>
          <w:tcPr>
            <w:tcW w:w="2250" w:type="dxa"/>
            <w:vMerge/>
            <w:tcBorders>
              <w:left w:val="nil"/>
              <w:right w:val="nil"/>
            </w:tcBorders>
            <w:shd w:val="clear" w:color="auto" w:fill="FFFFFF" w:themeFill="background1"/>
            <w:tcMar>
              <w:top w:w="0" w:type="dxa"/>
              <w:left w:w="15" w:type="dxa"/>
              <w:bottom w:w="0" w:type="dxa"/>
              <w:right w:w="15" w:type="dxa"/>
            </w:tcMar>
            <w:vAlign w:val="center"/>
            <w:hideMark/>
          </w:tcPr>
          <w:p w14:paraId="5930F21C" w14:textId="77777777" w:rsidR="00C833CB" w:rsidRPr="004F30BD" w:rsidRDefault="00C833CB" w:rsidP="00265B60">
            <w:pPr>
              <w:spacing w:before="0" w:line="240" w:lineRule="auto"/>
              <w:ind w:right="0"/>
              <w:rPr>
                <w:rFonts w:eastAsia="Times New Roman" w:cs="Calibri"/>
                <w:color w:val="000000"/>
                <w:szCs w:val="16"/>
                <w:lang w:eastAsia="en-AU"/>
              </w:rPr>
            </w:pPr>
          </w:p>
        </w:tc>
        <w:tc>
          <w:tcPr>
            <w:tcW w:w="3178" w:type="dxa"/>
            <w:tcBorders>
              <w:top w:val="nil"/>
              <w:left w:val="nil"/>
              <w:bottom w:val="nil"/>
              <w:right w:val="nil"/>
            </w:tcBorders>
            <w:shd w:val="clear" w:color="000000" w:fill="E6E6E6"/>
            <w:tcMar>
              <w:top w:w="15" w:type="dxa"/>
              <w:left w:w="15" w:type="dxa"/>
              <w:bottom w:w="0" w:type="dxa"/>
              <w:right w:w="15" w:type="dxa"/>
            </w:tcMar>
            <w:vAlign w:val="center"/>
            <w:hideMark/>
          </w:tcPr>
          <w:p w14:paraId="45C4F6E9" w14:textId="1B9445F2" w:rsidR="00C833CB" w:rsidRPr="004F30BD" w:rsidRDefault="00725EED" w:rsidP="00265B60">
            <w:pPr>
              <w:spacing w:before="0" w:line="240" w:lineRule="auto"/>
              <w:ind w:right="0"/>
              <w:rPr>
                <w:rFonts w:eastAsia="Times New Roman" w:cs="Calibri"/>
                <w:color w:val="000000"/>
                <w:szCs w:val="16"/>
                <w:lang w:eastAsia="en-AU"/>
              </w:rPr>
            </w:pPr>
            <w:r>
              <w:rPr>
                <w:rFonts w:eastAsia="Times New Roman" w:cs="Calibri"/>
                <w:color w:val="000000"/>
                <w:szCs w:val="16"/>
                <w:lang w:eastAsia="en-AU"/>
              </w:rPr>
              <w:t>Profit</w:t>
            </w:r>
          </w:p>
        </w:tc>
        <w:tc>
          <w:tcPr>
            <w:tcW w:w="692" w:type="dxa"/>
            <w:tcBorders>
              <w:top w:val="nil"/>
              <w:left w:val="nil"/>
              <w:bottom w:val="nil"/>
              <w:right w:val="nil"/>
            </w:tcBorders>
            <w:shd w:val="clear" w:color="000000" w:fill="E6E6E6"/>
            <w:noWrap/>
            <w:tcMar>
              <w:top w:w="15" w:type="dxa"/>
              <w:left w:w="15" w:type="dxa"/>
              <w:bottom w:w="0" w:type="dxa"/>
              <w:right w:w="15" w:type="dxa"/>
            </w:tcMar>
            <w:vAlign w:val="center"/>
            <w:hideMark/>
          </w:tcPr>
          <w:p w14:paraId="30412136"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38</w:t>
            </w:r>
          </w:p>
        </w:tc>
        <w:tc>
          <w:tcPr>
            <w:tcW w:w="2375" w:type="dxa"/>
            <w:tcBorders>
              <w:top w:val="nil"/>
              <w:left w:val="nil"/>
              <w:bottom w:val="nil"/>
              <w:right w:val="nil"/>
            </w:tcBorders>
            <w:shd w:val="clear" w:color="000000" w:fill="E6E6E6"/>
            <w:noWrap/>
            <w:tcMar>
              <w:top w:w="15" w:type="dxa"/>
              <w:left w:w="15" w:type="dxa"/>
              <w:bottom w:w="0" w:type="dxa"/>
              <w:right w:w="15" w:type="dxa"/>
            </w:tcMar>
            <w:vAlign w:val="center"/>
            <w:hideMark/>
          </w:tcPr>
          <w:p w14:paraId="4DA3E2EB"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2</w:t>
            </w:r>
            <w:r w:rsidR="00192CF4" w:rsidRPr="004F30BD">
              <w:rPr>
                <w:rFonts w:eastAsia="Times New Roman" w:cs="Calibri"/>
                <w:color w:val="000000"/>
                <w:szCs w:val="16"/>
                <w:lang w:eastAsia="en-AU"/>
              </w:rPr>
              <w:t>7</w:t>
            </w:r>
          </w:p>
        </w:tc>
      </w:tr>
      <w:tr w:rsidR="00C833CB" w:rsidRPr="004F30BD" w14:paraId="06E4A9D6" w14:textId="77777777" w:rsidTr="00192CF4">
        <w:trPr>
          <w:divId w:val="579755685"/>
          <w:trHeight w:val="288"/>
        </w:trPr>
        <w:tc>
          <w:tcPr>
            <w:tcW w:w="2250" w:type="dxa"/>
            <w:vMerge/>
            <w:tcBorders>
              <w:left w:val="nil"/>
              <w:right w:val="nil"/>
            </w:tcBorders>
            <w:shd w:val="clear" w:color="auto" w:fill="FFFFFF" w:themeFill="background1"/>
            <w:tcMar>
              <w:top w:w="0" w:type="dxa"/>
              <w:left w:w="15" w:type="dxa"/>
              <w:bottom w:w="0" w:type="dxa"/>
              <w:right w:w="15" w:type="dxa"/>
            </w:tcMar>
            <w:vAlign w:val="center"/>
            <w:hideMark/>
          </w:tcPr>
          <w:p w14:paraId="2E867494" w14:textId="77777777" w:rsidR="00C833CB" w:rsidRPr="004F30BD" w:rsidRDefault="00C833CB" w:rsidP="00265B60">
            <w:pPr>
              <w:spacing w:before="0" w:line="240" w:lineRule="auto"/>
              <w:ind w:right="0"/>
              <w:rPr>
                <w:rFonts w:eastAsia="Times New Roman" w:cs="Calibri"/>
                <w:color w:val="000000"/>
                <w:szCs w:val="16"/>
                <w:lang w:eastAsia="en-AU"/>
              </w:rPr>
            </w:pPr>
          </w:p>
        </w:tc>
        <w:tc>
          <w:tcPr>
            <w:tcW w:w="3178" w:type="dxa"/>
            <w:tcBorders>
              <w:top w:val="nil"/>
              <w:left w:val="nil"/>
              <w:bottom w:val="nil"/>
              <w:right w:val="nil"/>
            </w:tcBorders>
            <w:shd w:val="clear" w:color="auto" w:fill="auto"/>
            <w:tcMar>
              <w:top w:w="15" w:type="dxa"/>
              <w:left w:w="15" w:type="dxa"/>
              <w:bottom w:w="0" w:type="dxa"/>
              <w:right w:w="15" w:type="dxa"/>
            </w:tcMar>
            <w:vAlign w:val="center"/>
            <w:hideMark/>
          </w:tcPr>
          <w:p w14:paraId="77330CA8" w14:textId="77777777" w:rsidR="00C833CB" w:rsidRPr="004F30BD" w:rsidRDefault="00C833CB" w:rsidP="00265B60">
            <w:pPr>
              <w:spacing w:before="0" w:line="240" w:lineRule="auto"/>
              <w:ind w:right="0"/>
              <w:rPr>
                <w:rFonts w:eastAsia="Times New Roman" w:cs="Calibri"/>
                <w:color w:val="000000"/>
                <w:szCs w:val="16"/>
                <w:lang w:eastAsia="en-AU"/>
              </w:rPr>
            </w:pPr>
            <w:r w:rsidRPr="004F30BD">
              <w:rPr>
                <w:rFonts w:eastAsia="Times New Roman" w:cs="Calibri"/>
                <w:color w:val="000000"/>
                <w:szCs w:val="16"/>
                <w:lang w:eastAsia="en-AU"/>
              </w:rPr>
              <w:t>University</w:t>
            </w:r>
          </w:p>
        </w:tc>
        <w:tc>
          <w:tcPr>
            <w:tcW w:w="692" w:type="dxa"/>
            <w:tcBorders>
              <w:top w:val="nil"/>
              <w:left w:val="nil"/>
              <w:bottom w:val="nil"/>
              <w:right w:val="nil"/>
            </w:tcBorders>
            <w:shd w:val="clear" w:color="auto" w:fill="auto"/>
            <w:noWrap/>
            <w:tcMar>
              <w:top w:w="15" w:type="dxa"/>
              <w:left w:w="15" w:type="dxa"/>
              <w:bottom w:w="0" w:type="dxa"/>
              <w:right w:w="15" w:type="dxa"/>
            </w:tcMar>
            <w:vAlign w:val="center"/>
            <w:hideMark/>
          </w:tcPr>
          <w:p w14:paraId="7C798063"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35</w:t>
            </w:r>
          </w:p>
        </w:tc>
        <w:tc>
          <w:tcPr>
            <w:tcW w:w="2375" w:type="dxa"/>
            <w:tcBorders>
              <w:top w:val="nil"/>
              <w:left w:val="nil"/>
              <w:bottom w:val="nil"/>
              <w:right w:val="nil"/>
            </w:tcBorders>
            <w:shd w:val="clear" w:color="auto" w:fill="auto"/>
            <w:noWrap/>
            <w:tcMar>
              <w:top w:w="15" w:type="dxa"/>
              <w:left w:w="15" w:type="dxa"/>
              <w:bottom w:w="0" w:type="dxa"/>
              <w:right w:w="15" w:type="dxa"/>
            </w:tcMar>
            <w:vAlign w:val="center"/>
            <w:hideMark/>
          </w:tcPr>
          <w:p w14:paraId="5C3F63CD"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2</w:t>
            </w:r>
            <w:r w:rsidR="00192CF4" w:rsidRPr="004F30BD">
              <w:rPr>
                <w:rFonts w:eastAsia="Times New Roman" w:cs="Calibri"/>
                <w:color w:val="000000"/>
                <w:szCs w:val="16"/>
                <w:lang w:eastAsia="en-AU"/>
              </w:rPr>
              <w:t>5</w:t>
            </w:r>
          </w:p>
        </w:tc>
      </w:tr>
      <w:tr w:rsidR="00C833CB" w:rsidRPr="004F30BD" w14:paraId="75890133" w14:textId="77777777" w:rsidTr="00192CF4">
        <w:trPr>
          <w:divId w:val="579755685"/>
          <w:trHeight w:val="288"/>
        </w:trPr>
        <w:tc>
          <w:tcPr>
            <w:tcW w:w="2250" w:type="dxa"/>
            <w:vMerge/>
            <w:tcBorders>
              <w:left w:val="nil"/>
              <w:right w:val="nil"/>
            </w:tcBorders>
            <w:shd w:val="clear" w:color="auto" w:fill="FFFFFF" w:themeFill="background1"/>
            <w:tcMar>
              <w:top w:w="0" w:type="dxa"/>
              <w:left w:w="15" w:type="dxa"/>
              <w:bottom w:w="0" w:type="dxa"/>
              <w:right w:w="15" w:type="dxa"/>
            </w:tcMar>
            <w:vAlign w:val="center"/>
            <w:hideMark/>
          </w:tcPr>
          <w:p w14:paraId="0D541B9C" w14:textId="77777777" w:rsidR="00C833CB" w:rsidRPr="004F30BD" w:rsidRDefault="00C833CB" w:rsidP="00265B60">
            <w:pPr>
              <w:spacing w:before="0" w:line="240" w:lineRule="auto"/>
              <w:ind w:right="0"/>
              <w:rPr>
                <w:rFonts w:eastAsia="Times New Roman" w:cs="Calibri"/>
                <w:color w:val="000000"/>
                <w:szCs w:val="16"/>
                <w:lang w:eastAsia="en-AU"/>
              </w:rPr>
            </w:pPr>
          </w:p>
        </w:tc>
        <w:tc>
          <w:tcPr>
            <w:tcW w:w="3178" w:type="dxa"/>
            <w:tcBorders>
              <w:top w:val="nil"/>
              <w:left w:val="nil"/>
              <w:bottom w:val="nil"/>
              <w:right w:val="nil"/>
            </w:tcBorders>
            <w:shd w:val="clear" w:color="000000" w:fill="E6E6E6"/>
            <w:tcMar>
              <w:top w:w="15" w:type="dxa"/>
              <w:left w:w="15" w:type="dxa"/>
              <w:bottom w:w="0" w:type="dxa"/>
              <w:right w:w="15" w:type="dxa"/>
            </w:tcMar>
            <w:vAlign w:val="center"/>
            <w:hideMark/>
          </w:tcPr>
          <w:p w14:paraId="6EB3F13B" w14:textId="77777777" w:rsidR="00C833CB" w:rsidRPr="004F30BD" w:rsidRDefault="00C833CB" w:rsidP="00265B60">
            <w:pPr>
              <w:spacing w:before="0" w:line="240" w:lineRule="auto"/>
              <w:ind w:right="0"/>
              <w:rPr>
                <w:rFonts w:eastAsia="Times New Roman" w:cs="Calibri"/>
                <w:color w:val="000000"/>
                <w:szCs w:val="16"/>
                <w:lang w:eastAsia="en-AU"/>
              </w:rPr>
            </w:pPr>
            <w:r w:rsidRPr="004F30BD">
              <w:rPr>
                <w:rFonts w:eastAsia="Times New Roman" w:cs="Calibri"/>
                <w:color w:val="000000"/>
                <w:szCs w:val="16"/>
                <w:lang w:eastAsia="en-AU"/>
              </w:rPr>
              <w:t>Other</w:t>
            </w:r>
          </w:p>
        </w:tc>
        <w:tc>
          <w:tcPr>
            <w:tcW w:w="692" w:type="dxa"/>
            <w:tcBorders>
              <w:top w:val="nil"/>
              <w:left w:val="nil"/>
              <w:bottom w:val="nil"/>
              <w:right w:val="nil"/>
            </w:tcBorders>
            <w:shd w:val="clear" w:color="000000" w:fill="E6E6E6"/>
            <w:noWrap/>
            <w:tcMar>
              <w:top w:w="15" w:type="dxa"/>
              <w:left w:w="15" w:type="dxa"/>
              <w:bottom w:w="0" w:type="dxa"/>
              <w:right w:w="15" w:type="dxa"/>
            </w:tcMar>
            <w:vAlign w:val="center"/>
            <w:hideMark/>
          </w:tcPr>
          <w:p w14:paraId="083A622B"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16</w:t>
            </w:r>
          </w:p>
        </w:tc>
        <w:tc>
          <w:tcPr>
            <w:tcW w:w="2375" w:type="dxa"/>
            <w:tcBorders>
              <w:top w:val="nil"/>
              <w:left w:val="nil"/>
              <w:bottom w:val="nil"/>
              <w:right w:val="nil"/>
            </w:tcBorders>
            <w:shd w:val="clear" w:color="000000" w:fill="E6E6E6"/>
            <w:noWrap/>
            <w:tcMar>
              <w:top w:w="15" w:type="dxa"/>
              <w:left w:w="15" w:type="dxa"/>
              <w:bottom w:w="0" w:type="dxa"/>
              <w:right w:w="15" w:type="dxa"/>
            </w:tcMar>
            <w:vAlign w:val="center"/>
            <w:hideMark/>
          </w:tcPr>
          <w:p w14:paraId="42D4B74E"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1</w:t>
            </w:r>
            <w:r w:rsidR="00192CF4" w:rsidRPr="004F30BD">
              <w:rPr>
                <w:rFonts w:eastAsia="Times New Roman" w:cs="Calibri"/>
                <w:color w:val="000000"/>
                <w:szCs w:val="16"/>
                <w:lang w:eastAsia="en-AU"/>
              </w:rPr>
              <w:t>1</w:t>
            </w:r>
          </w:p>
        </w:tc>
      </w:tr>
      <w:tr w:rsidR="00C833CB" w:rsidRPr="004F30BD" w14:paraId="44B941D4" w14:textId="77777777" w:rsidTr="00192CF4">
        <w:trPr>
          <w:divId w:val="579755685"/>
          <w:trHeight w:val="288"/>
        </w:trPr>
        <w:tc>
          <w:tcPr>
            <w:tcW w:w="2250" w:type="dxa"/>
            <w:vMerge/>
            <w:tcBorders>
              <w:left w:val="nil"/>
              <w:bottom w:val="single" w:sz="8" w:space="0" w:color="auto"/>
              <w:right w:val="nil"/>
            </w:tcBorders>
            <w:shd w:val="clear" w:color="auto" w:fill="FFFFFF" w:themeFill="background1"/>
            <w:tcMar>
              <w:top w:w="0" w:type="dxa"/>
              <w:left w:w="15" w:type="dxa"/>
              <w:bottom w:w="0" w:type="dxa"/>
              <w:right w:w="15" w:type="dxa"/>
            </w:tcMar>
            <w:vAlign w:val="center"/>
            <w:hideMark/>
          </w:tcPr>
          <w:p w14:paraId="240007E0" w14:textId="77777777" w:rsidR="00C833CB" w:rsidRPr="004F30BD" w:rsidRDefault="00C833CB" w:rsidP="00265B60">
            <w:pPr>
              <w:spacing w:before="0" w:line="240" w:lineRule="auto"/>
              <w:ind w:right="0"/>
              <w:rPr>
                <w:rFonts w:eastAsia="Times New Roman" w:cs="Calibri"/>
                <w:color w:val="000000"/>
                <w:szCs w:val="16"/>
                <w:lang w:eastAsia="en-AU"/>
              </w:rPr>
            </w:pPr>
          </w:p>
        </w:tc>
        <w:tc>
          <w:tcPr>
            <w:tcW w:w="3178"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03AEA14" w14:textId="77777777" w:rsidR="00C833CB" w:rsidRPr="004F30BD" w:rsidRDefault="00C833CB" w:rsidP="00265B60">
            <w:pPr>
              <w:spacing w:before="0" w:line="240" w:lineRule="auto"/>
              <w:ind w:right="0"/>
              <w:rPr>
                <w:rFonts w:eastAsia="Times New Roman" w:cs="Calibri"/>
                <w:color w:val="000000"/>
                <w:szCs w:val="16"/>
                <w:lang w:eastAsia="en-AU"/>
              </w:rPr>
            </w:pPr>
            <w:r w:rsidRPr="004F30BD">
              <w:rPr>
                <w:rFonts w:eastAsia="Times New Roman" w:cs="Calibri"/>
                <w:color w:val="000000"/>
                <w:szCs w:val="16"/>
                <w:lang w:eastAsia="en-AU"/>
              </w:rPr>
              <w:t>N/A as proposed HEPs</w:t>
            </w:r>
          </w:p>
        </w:tc>
        <w:tc>
          <w:tcPr>
            <w:tcW w:w="692"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5F32C29A"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15</w:t>
            </w:r>
          </w:p>
        </w:tc>
        <w:tc>
          <w:tcPr>
            <w:tcW w:w="2375"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396076C5" w14:textId="77777777" w:rsidR="00C833CB" w:rsidRPr="004F30BD" w:rsidRDefault="00C833CB" w:rsidP="00265B60">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1</w:t>
            </w:r>
            <w:r w:rsidR="00192CF4" w:rsidRPr="004F30BD">
              <w:rPr>
                <w:rFonts w:eastAsia="Times New Roman" w:cs="Calibri"/>
                <w:color w:val="000000"/>
                <w:szCs w:val="16"/>
                <w:lang w:eastAsia="en-AU"/>
              </w:rPr>
              <w:t>1</w:t>
            </w:r>
          </w:p>
        </w:tc>
      </w:tr>
    </w:tbl>
    <w:p w14:paraId="121F28D3" w14:textId="77777777" w:rsidR="00291189" w:rsidRPr="004F30BD" w:rsidRDefault="00291189" w:rsidP="00607E16">
      <w:pPr>
        <w:spacing w:before="60" w:line="240" w:lineRule="auto"/>
        <w:ind w:right="0"/>
        <w:rPr>
          <w:i/>
          <w:color w:val="000000" w:themeColor="text1"/>
          <w:kern w:val="32"/>
          <w:szCs w:val="16"/>
        </w:rPr>
      </w:pPr>
      <w:r w:rsidRPr="004F30BD">
        <w:rPr>
          <w:i/>
          <w:color w:val="000000" w:themeColor="text1"/>
          <w:kern w:val="32"/>
          <w:szCs w:val="16"/>
        </w:rPr>
        <w:t xml:space="preserve">*University includes Australian </w:t>
      </w:r>
      <w:r w:rsidR="00AB5C9A" w:rsidRPr="004F30BD">
        <w:rPr>
          <w:i/>
          <w:color w:val="000000" w:themeColor="text1"/>
          <w:kern w:val="32"/>
          <w:szCs w:val="16"/>
        </w:rPr>
        <w:t>university, Australian u</w:t>
      </w:r>
      <w:r w:rsidRPr="004F30BD">
        <w:rPr>
          <w:i/>
          <w:color w:val="000000" w:themeColor="text1"/>
          <w:kern w:val="32"/>
          <w:szCs w:val="16"/>
        </w:rPr>
        <w:t>niversity of specialisation and overseas university</w:t>
      </w:r>
    </w:p>
    <w:p w14:paraId="506DF314" w14:textId="77777777" w:rsidR="008C2CD0" w:rsidRPr="004F30BD" w:rsidRDefault="006C395D" w:rsidP="00192CF4">
      <w:pPr>
        <w:spacing w:before="0" w:line="240" w:lineRule="auto"/>
        <w:ind w:right="0"/>
        <w:rPr>
          <w:i/>
        </w:rPr>
      </w:pPr>
      <w:r w:rsidRPr="004F30BD">
        <w:rPr>
          <w:i/>
          <w:color w:val="000000" w:themeColor="text1"/>
          <w:kern w:val="32"/>
          <w:szCs w:val="16"/>
        </w:rPr>
        <w:t xml:space="preserve">^Includes </w:t>
      </w:r>
      <w:r w:rsidRPr="004F30BD">
        <w:rPr>
          <w:i/>
        </w:rPr>
        <w:t>Government Agencies, Pathways, Professional Bodies and TAFEs</w:t>
      </w:r>
    </w:p>
    <w:p w14:paraId="25132A99" w14:textId="77777777" w:rsidR="00A86F29" w:rsidRPr="004F30BD" w:rsidRDefault="00A86F29" w:rsidP="00670410">
      <w:pPr>
        <w:spacing w:before="240"/>
        <w:rPr>
          <w:i/>
        </w:rPr>
      </w:pPr>
      <w:r w:rsidRPr="004F30BD">
        <w:rPr>
          <w:b/>
        </w:rPr>
        <w:t>Only items which were statistically significantly different</w:t>
      </w:r>
      <w:r w:rsidRPr="004F30BD">
        <w:t xml:space="preserve"> at the 95% confidence level have been </w:t>
      </w:r>
      <w:r w:rsidR="00670410" w:rsidRPr="004F30BD">
        <w:t>included</w:t>
      </w:r>
      <w:r w:rsidRPr="004F30BD">
        <w:t xml:space="preserve"> in the</w:t>
      </w:r>
      <w:r w:rsidR="008C2CD0" w:rsidRPr="004F30BD">
        <w:t xml:space="preserve"> sub-group comparison</w:t>
      </w:r>
      <w:r w:rsidRPr="004F30BD">
        <w:t xml:space="preserve"> </w:t>
      </w:r>
      <w:r w:rsidR="00091990" w:rsidRPr="004F30BD">
        <w:t>tables below</w:t>
      </w:r>
      <w:r w:rsidRPr="004F30BD">
        <w:t xml:space="preserve">. These differences </w:t>
      </w:r>
      <w:r w:rsidR="00607E16" w:rsidRPr="004F30BD">
        <w:t>have been determined</w:t>
      </w:r>
      <w:r w:rsidRPr="004F30BD">
        <w:t xml:space="preserve"> using </w:t>
      </w:r>
      <w:r w:rsidR="004036B2" w:rsidRPr="004F30BD">
        <w:t>t (</w:t>
      </w:r>
      <w:r w:rsidRPr="004F30BD">
        <w:t>% positive</w:t>
      </w:r>
      <w:r w:rsidR="004036B2" w:rsidRPr="004F30BD">
        <w:t>)</w:t>
      </w:r>
      <w:r w:rsidRPr="004F30BD">
        <w:t xml:space="preserve"> scores only and were analysed using </w:t>
      </w:r>
      <w:r w:rsidR="004036B2" w:rsidRPr="004F30BD">
        <w:t xml:space="preserve">a </w:t>
      </w:r>
      <w:r w:rsidR="007076AA" w:rsidRPr="004F30BD">
        <w:t>z</w:t>
      </w:r>
      <w:r w:rsidRPr="004F30BD">
        <w:t xml:space="preserve"> test.</w:t>
      </w:r>
      <w:r w:rsidR="007076AA" w:rsidRPr="004F30BD">
        <w:t xml:space="preserve"> </w:t>
      </w:r>
      <w:r w:rsidR="00670410" w:rsidRPr="004F30BD">
        <w:t>Tope 2</w:t>
      </w:r>
      <w:r w:rsidR="00607E16" w:rsidRPr="004F30BD">
        <w:t xml:space="preserve"> scores </w:t>
      </w:r>
      <w:r w:rsidRPr="004F30BD">
        <w:t xml:space="preserve">were calculated using only the number of respondents who chose a rating point answer. In other </w:t>
      </w:r>
      <w:r w:rsidR="00BF0737" w:rsidRPr="004F30BD">
        <w:t>words,</w:t>
      </w:r>
      <w:r w:rsidRPr="004F30BD">
        <w:t xml:space="preserve"> </w:t>
      </w:r>
      <w:r w:rsidRPr="004F30BD">
        <w:rPr>
          <w:i/>
        </w:rPr>
        <w:t xml:space="preserve">don’t know, not applicable </w:t>
      </w:r>
      <w:r w:rsidRPr="004F30BD">
        <w:t>and</w:t>
      </w:r>
      <w:r w:rsidRPr="004F30BD">
        <w:rPr>
          <w:i/>
        </w:rPr>
        <w:t xml:space="preserve"> no</w:t>
      </w:r>
      <w:r w:rsidRPr="004F30BD">
        <w:t xml:space="preserve"> </w:t>
      </w:r>
      <w:r w:rsidRPr="004F30BD">
        <w:rPr>
          <w:i/>
        </w:rPr>
        <w:t xml:space="preserve">answers </w:t>
      </w:r>
      <w:r w:rsidRPr="004F30BD">
        <w:t>(blank)</w:t>
      </w:r>
      <w:r w:rsidRPr="004F30BD">
        <w:rPr>
          <w:i/>
        </w:rPr>
        <w:t xml:space="preserve"> </w:t>
      </w:r>
      <w:r w:rsidRPr="004F30BD">
        <w:t xml:space="preserve">were excluded from statistical calculations. </w:t>
      </w:r>
      <w:r w:rsidR="00607E16" w:rsidRPr="004F30BD">
        <w:t>A percent positive score</w:t>
      </w:r>
      <w:r w:rsidRPr="004F30BD">
        <w:t xml:space="preserve"> of 100% means</w:t>
      </w:r>
      <w:r w:rsidR="008621CF" w:rsidRPr="004F30BD">
        <w:t xml:space="preserve"> that</w:t>
      </w:r>
      <w:r w:rsidRPr="004F30BD">
        <w:t xml:space="preserve"> all respondents</w:t>
      </w:r>
      <w:r w:rsidR="004036B2" w:rsidRPr="004F30BD">
        <w:t xml:space="preserve"> who answered a question</w:t>
      </w:r>
      <w:r w:rsidRPr="004F30BD">
        <w:t xml:space="preserve"> rated the item </w:t>
      </w:r>
      <w:r w:rsidR="004036B2" w:rsidRPr="004F30BD">
        <w:t xml:space="preserve">as </w:t>
      </w:r>
      <w:r w:rsidRPr="004F30BD">
        <w:rPr>
          <w:i/>
        </w:rPr>
        <w:t xml:space="preserve">good </w:t>
      </w:r>
      <w:r w:rsidRPr="004F30BD">
        <w:t xml:space="preserve">or </w:t>
      </w:r>
      <w:r w:rsidRPr="004F30BD">
        <w:rPr>
          <w:i/>
        </w:rPr>
        <w:t>excellent.</w:t>
      </w:r>
    </w:p>
    <w:p w14:paraId="6B55EB5F" w14:textId="77777777" w:rsidR="00670410" w:rsidRPr="004F30BD" w:rsidRDefault="00670410" w:rsidP="00670410">
      <w:pPr>
        <w:pStyle w:val="Heading2"/>
      </w:pPr>
      <w:bookmarkStart w:id="35" w:name="_Toc22298036"/>
      <w:r w:rsidRPr="004F30BD">
        <w:t>Self-accrediting authority</w:t>
      </w:r>
      <w:bookmarkEnd w:id="35"/>
    </w:p>
    <w:p w14:paraId="5A3399C4" w14:textId="77777777" w:rsidR="00670410" w:rsidRPr="004F30BD" w:rsidRDefault="00670410" w:rsidP="00067750">
      <w:pPr>
        <w:spacing w:before="0" w:after="120"/>
      </w:pPr>
      <w:r w:rsidRPr="004F30BD">
        <w:t xml:space="preserve">For all items in the table below, providers who had self-accreditation status rated most of the items significantly higher than providers who did not have this authority. This should not be a surprise to TEQSA as higher quality providers are likely to have this authority and also have a more positive view of TEQSA as a result of being granted the authority. They also probably have fewer interactions with TEQSA. </w:t>
      </w:r>
    </w:p>
    <w:p w14:paraId="089ED098" w14:textId="77777777" w:rsidR="00670410" w:rsidRPr="004F30BD" w:rsidRDefault="00670410" w:rsidP="00670410">
      <w:pPr>
        <w:spacing w:before="0" w:after="240"/>
      </w:pPr>
      <w:r w:rsidRPr="004F30BD">
        <w:t xml:space="preserve">However, the exceptions were </w:t>
      </w:r>
      <w:r w:rsidRPr="004F30BD">
        <w:rPr>
          <w:i/>
          <w:iCs/>
        </w:rPr>
        <w:t>timeliness of feedback from TEQSA about application</w:t>
      </w:r>
      <w:r w:rsidRPr="004F30BD">
        <w:t xml:space="preserve"> and </w:t>
      </w:r>
      <w:r w:rsidRPr="004F30BD">
        <w:rPr>
          <w:i/>
          <w:iCs/>
        </w:rPr>
        <w:t>minimising time taken between submitting application and first receiving a regulatory decision</w:t>
      </w:r>
      <w:r w:rsidRPr="004F30BD">
        <w:t xml:space="preserve">, where providers who had </w:t>
      </w:r>
      <w:r w:rsidR="00067750" w:rsidRPr="004F30BD">
        <w:t xml:space="preserve">did not have SAA </w:t>
      </w:r>
      <w:r w:rsidRPr="004F30BD">
        <w:t xml:space="preserve">rated these items significantly </w:t>
      </w:r>
      <w:r w:rsidR="00067750" w:rsidRPr="004F30BD">
        <w:t>higher</w:t>
      </w:r>
      <w:r w:rsidRPr="004F30BD">
        <w:t xml:space="preserve"> than providers who </w:t>
      </w:r>
      <w:r w:rsidR="00067750" w:rsidRPr="004F30BD">
        <w:t>had</w:t>
      </w:r>
      <w:r w:rsidRPr="004F30BD">
        <w:t xml:space="preserve"> this authority.</w:t>
      </w:r>
    </w:p>
    <w:p w14:paraId="4FB50945" w14:textId="77777777" w:rsidR="00067750" w:rsidRPr="004F30BD" w:rsidRDefault="00067750" w:rsidP="00067750">
      <w:pPr>
        <w:spacing w:after="120"/>
        <w:rPr>
          <w:highlight w:val="yellow"/>
        </w:rPr>
      </w:pPr>
      <w:r w:rsidRPr="004F30BD">
        <w:rPr>
          <w:i/>
        </w:rPr>
        <w:t xml:space="preserve">Significantly higher results highlighted in </w:t>
      </w:r>
      <w:r w:rsidRPr="004F30BD">
        <w:rPr>
          <w:i/>
          <w:highlight w:val="yellow"/>
        </w:rPr>
        <w:t>yellow.</w:t>
      </w:r>
    </w:p>
    <w:tbl>
      <w:tblPr>
        <w:tblW w:w="8476" w:type="dxa"/>
        <w:tblLook w:val="04A0" w:firstRow="1" w:lastRow="0" w:firstColumn="1" w:lastColumn="0" w:noHBand="0" w:noVBand="1"/>
      </w:tblPr>
      <w:tblGrid>
        <w:gridCol w:w="5490"/>
        <w:gridCol w:w="1493"/>
        <w:gridCol w:w="1493"/>
      </w:tblGrid>
      <w:tr w:rsidR="00670410" w:rsidRPr="004F30BD" w14:paraId="3F1D8D60" w14:textId="77777777" w:rsidTr="00067750">
        <w:trPr>
          <w:trHeight w:val="450"/>
        </w:trPr>
        <w:tc>
          <w:tcPr>
            <w:tcW w:w="5490" w:type="dxa"/>
            <w:vMerge w:val="restart"/>
            <w:tcBorders>
              <w:top w:val="nil"/>
              <w:left w:val="nil"/>
              <w:bottom w:val="nil"/>
              <w:right w:val="nil"/>
            </w:tcBorders>
            <w:shd w:val="clear" w:color="auto" w:fill="00386E"/>
            <w:vAlign w:val="center"/>
            <w:hideMark/>
          </w:tcPr>
          <w:p w14:paraId="6F3182CA" w14:textId="77777777" w:rsidR="00670410" w:rsidRPr="004F30BD" w:rsidRDefault="00670410" w:rsidP="00067750">
            <w:pPr>
              <w:spacing w:before="40" w:after="40" w:line="240" w:lineRule="auto"/>
              <w:ind w:right="0"/>
              <w:rPr>
                <w:rFonts w:eastAsia="Times New Roman" w:cs="Calibri"/>
                <w:color w:val="FFFFFF"/>
                <w:szCs w:val="18"/>
                <w:lang w:eastAsia="en-AU"/>
              </w:rPr>
            </w:pPr>
            <w:r w:rsidRPr="004F30BD">
              <w:rPr>
                <w:rFonts w:eastAsia="Times New Roman" w:cs="Calibri"/>
                <w:color w:val="FFFFFF"/>
                <w:szCs w:val="18"/>
                <w:lang w:eastAsia="en-AU"/>
              </w:rPr>
              <w:t>SIGNIFICANTLY DIFFERENT ITEMS</w:t>
            </w:r>
            <w:r w:rsidRPr="004F30BD">
              <w:rPr>
                <w:rFonts w:eastAsia="Times New Roman" w:cs="Calibri"/>
                <w:color w:val="FFFFFF"/>
                <w:szCs w:val="18"/>
                <w:lang w:eastAsia="en-AU"/>
              </w:rPr>
              <w:br/>
              <w:t>TOPIC / ITEM</w:t>
            </w:r>
          </w:p>
        </w:tc>
        <w:tc>
          <w:tcPr>
            <w:tcW w:w="2986" w:type="dxa"/>
            <w:gridSpan w:val="2"/>
            <w:tcBorders>
              <w:top w:val="nil"/>
              <w:left w:val="nil"/>
              <w:bottom w:val="nil"/>
              <w:right w:val="nil"/>
            </w:tcBorders>
            <w:shd w:val="clear" w:color="auto" w:fill="00386E"/>
            <w:vAlign w:val="center"/>
            <w:hideMark/>
          </w:tcPr>
          <w:p w14:paraId="597380B5" w14:textId="77777777" w:rsidR="00670410" w:rsidRPr="004F30BD" w:rsidRDefault="00670410" w:rsidP="00067750">
            <w:pPr>
              <w:spacing w:before="40" w:after="40" w:line="240" w:lineRule="auto"/>
              <w:ind w:right="0"/>
              <w:jc w:val="center"/>
              <w:rPr>
                <w:rFonts w:eastAsia="Times New Roman" w:cs="Calibri"/>
                <w:color w:val="FFFFFF"/>
                <w:szCs w:val="18"/>
                <w:lang w:eastAsia="en-AU"/>
              </w:rPr>
            </w:pPr>
            <w:r w:rsidRPr="004F30BD">
              <w:rPr>
                <w:rFonts w:eastAsia="Times New Roman" w:cs="Calibri"/>
                <w:color w:val="FFFFFF"/>
                <w:szCs w:val="18"/>
                <w:lang w:eastAsia="en-AU"/>
              </w:rPr>
              <w:t>SELF-ACCREDITING AUTHORITY</w:t>
            </w:r>
            <w:r w:rsidRPr="004F30BD">
              <w:rPr>
                <w:rFonts w:eastAsia="Times New Roman" w:cs="Calibri"/>
                <w:color w:val="FFFFFF"/>
                <w:szCs w:val="18"/>
                <w:lang w:eastAsia="en-AU"/>
              </w:rPr>
              <w:br/>
              <w:t>TOP 2 SCORES (%)</w:t>
            </w:r>
          </w:p>
        </w:tc>
      </w:tr>
      <w:tr w:rsidR="00670410" w:rsidRPr="004F30BD" w14:paraId="1831B514" w14:textId="77777777" w:rsidTr="00067750">
        <w:trPr>
          <w:trHeight w:val="675"/>
        </w:trPr>
        <w:tc>
          <w:tcPr>
            <w:tcW w:w="5490" w:type="dxa"/>
            <w:vMerge/>
            <w:tcBorders>
              <w:top w:val="nil"/>
              <w:left w:val="nil"/>
              <w:bottom w:val="nil"/>
              <w:right w:val="nil"/>
            </w:tcBorders>
            <w:shd w:val="clear" w:color="auto" w:fill="00386E"/>
            <w:vAlign w:val="center"/>
            <w:hideMark/>
          </w:tcPr>
          <w:p w14:paraId="6BC56BBF" w14:textId="77777777" w:rsidR="00670410" w:rsidRPr="004F30BD" w:rsidRDefault="00670410" w:rsidP="00067750">
            <w:pPr>
              <w:spacing w:before="40" w:after="40" w:line="240" w:lineRule="auto"/>
              <w:ind w:right="0"/>
              <w:rPr>
                <w:rFonts w:eastAsia="Times New Roman" w:cs="Calibri"/>
                <w:color w:val="FFFFFF"/>
                <w:szCs w:val="18"/>
                <w:lang w:eastAsia="en-AU"/>
              </w:rPr>
            </w:pPr>
          </w:p>
        </w:tc>
        <w:tc>
          <w:tcPr>
            <w:tcW w:w="1493" w:type="dxa"/>
            <w:tcBorders>
              <w:top w:val="nil"/>
              <w:left w:val="nil"/>
              <w:bottom w:val="nil"/>
              <w:right w:val="nil"/>
            </w:tcBorders>
            <w:shd w:val="clear" w:color="auto" w:fill="00386E"/>
            <w:vAlign w:val="center"/>
            <w:hideMark/>
          </w:tcPr>
          <w:p w14:paraId="0FC3705B" w14:textId="77777777" w:rsidR="00670410" w:rsidRPr="004F30BD" w:rsidRDefault="00670410" w:rsidP="00067750">
            <w:pPr>
              <w:spacing w:before="40" w:after="40" w:line="240" w:lineRule="auto"/>
              <w:ind w:right="0"/>
              <w:jc w:val="center"/>
              <w:rPr>
                <w:rFonts w:eastAsia="Times New Roman" w:cs="Calibri"/>
                <w:color w:val="FFFFFF"/>
                <w:szCs w:val="18"/>
                <w:lang w:eastAsia="en-AU"/>
              </w:rPr>
            </w:pPr>
            <w:r w:rsidRPr="004F30BD">
              <w:rPr>
                <w:rFonts w:eastAsia="Times New Roman" w:cs="Calibri"/>
                <w:color w:val="FFFFFF"/>
                <w:szCs w:val="18"/>
                <w:lang w:eastAsia="en-AU"/>
              </w:rPr>
              <w:t>No</w:t>
            </w:r>
            <w:r w:rsidRPr="004F30BD">
              <w:rPr>
                <w:rFonts w:eastAsia="Times New Roman" w:cs="Calibri"/>
                <w:color w:val="FFFFFF"/>
                <w:szCs w:val="18"/>
                <w:lang w:eastAsia="en-AU"/>
              </w:rPr>
              <w:br/>
              <w:t>max n=101</w:t>
            </w:r>
          </w:p>
        </w:tc>
        <w:tc>
          <w:tcPr>
            <w:tcW w:w="1493" w:type="dxa"/>
            <w:tcBorders>
              <w:top w:val="nil"/>
              <w:left w:val="nil"/>
              <w:bottom w:val="nil"/>
              <w:right w:val="nil"/>
            </w:tcBorders>
            <w:shd w:val="clear" w:color="auto" w:fill="00386E"/>
            <w:vAlign w:val="center"/>
            <w:hideMark/>
          </w:tcPr>
          <w:p w14:paraId="57BA112C" w14:textId="77777777" w:rsidR="00670410" w:rsidRPr="004F30BD" w:rsidRDefault="00670410" w:rsidP="00067750">
            <w:pPr>
              <w:spacing w:before="40" w:after="40" w:line="240" w:lineRule="auto"/>
              <w:ind w:right="0"/>
              <w:jc w:val="center"/>
              <w:rPr>
                <w:rFonts w:eastAsia="Times New Roman" w:cs="Calibri"/>
                <w:color w:val="FFFFFF"/>
                <w:szCs w:val="18"/>
                <w:lang w:eastAsia="en-AU"/>
              </w:rPr>
            </w:pPr>
            <w:r w:rsidRPr="004F30BD">
              <w:rPr>
                <w:rFonts w:eastAsia="Times New Roman" w:cs="Calibri"/>
                <w:color w:val="FFFFFF"/>
                <w:szCs w:val="18"/>
                <w:lang w:eastAsia="en-AU"/>
              </w:rPr>
              <w:t>Yes / Part yes</w:t>
            </w:r>
            <w:r w:rsidRPr="004F30BD">
              <w:rPr>
                <w:rFonts w:eastAsia="Times New Roman" w:cs="Calibri"/>
                <w:color w:val="FFFFFF"/>
                <w:szCs w:val="18"/>
                <w:lang w:eastAsia="en-AU"/>
              </w:rPr>
              <w:br/>
              <w:t>max n=41</w:t>
            </w:r>
          </w:p>
        </w:tc>
      </w:tr>
      <w:tr w:rsidR="00670410" w:rsidRPr="004F30BD" w14:paraId="1437BA8E" w14:textId="77777777" w:rsidTr="00067750">
        <w:trPr>
          <w:trHeight w:val="450"/>
        </w:trPr>
        <w:tc>
          <w:tcPr>
            <w:tcW w:w="5490" w:type="dxa"/>
            <w:tcBorders>
              <w:top w:val="nil"/>
              <w:left w:val="nil"/>
              <w:bottom w:val="nil"/>
              <w:right w:val="nil"/>
            </w:tcBorders>
            <w:shd w:val="clear" w:color="000000" w:fill="FFFFFF"/>
            <w:vAlign w:val="center"/>
            <w:hideMark/>
          </w:tcPr>
          <w:p w14:paraId="45FC8FEA" w14:textId="77777777" w:rsidR="00670410" w:rsidRPr="004F30BD" w:rsidRDefault="00670410" w:rsidP="00067750">
            <w:pPr>
              <w:spacing w:before="40" w:after="40" w:line="240" w:lineRule="auto"/>
              <w:ind w:right="0"/>
              <w:rPr>
                <w:rFonts w:eastAsia="Times New Roman" w:cs="Calibri"/>
                <w:color w:val="000000"/>
                <w:szCs w:val="16"/>
                <w:lang w:eastAsia="en-AU"/>
              </w:rPr>
            </w:pPr>
            <w:r w:rsidRPr="004F30BD">
              <w:rPr>
                <w:rFonts w:eastAsia="Times New Roman" w:cs="Calibri"/>
                <w:color w:val="000000"/>
                <w:szCs w:val="16"/>
                <w:lang w:eastAsia="en-AU"/>
              </w:rPr>
              <w:t>KPI 6: TEQSA continues to improve its regulatory framework in consultation with organisation</w:t>
            </w:r>
          </w:p>
        </w:tc>
        <w:tc>
          <w:tcPr>
            <w:tcW w:w="1493" w:type="dxa"/>
            <w:tcBorders>
              <w:top w:val="nil"/>
              <w:left w:val="nil"/>
              <w:bottom w:val="nil"/>
              <w:right w:val="nil"/>
            </w:tcBorders>
            <w:shd w:val="clear" w:color="000000" w:fill="FFFFFF"/>
            <w:vAlign w:val="center"/>
            <w:hideMark/>
          </w:tcPr>
          <w:p w14:paraId="0529E113" w14:textId="77777777" w:rsidR="00670410" w:rsidRPr="004F30BD" w:rsidRDefault="00670410" w:rsidP="00067750">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59</w:t>
            </w:r>
          </w:p>
        </w:tc>
        <w:tc>
          <w:tcPr>
            <w:tcW w:w="1493" w:type="dxa"/>
            <w:tcBorders>
              <w:top w:val="nil"/>
              <w:left w:val="nil"/>
              <w:bottom w:val="nil"/>
              <w:right w:val="nil"/>
            </w:tcBorders>
            <w:shd w:val="clear" w:color="auto" w:fill="FFFF00"/>
            <w:vAlign w:val="center"/>
            <w:hideMark/>
          </w:tcPr>
          <w:p w14:paraId="32AC39F2" w14:textId="77777777" w:rsidR="00670410" w:rsidRPr="004F30BD" w:rsidRDefault="00670410" w:rsidP="00067750">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84</w:t>
            </w:r>
          </w:p>
        </w:tc>
      </w:tr>
      <w:tr w:rsidR="00670410" w:rsidRPr="004F30BD" w14:paraId="0B634915" w14:textId="77777777" w:rsidTr="00067750">
        <w:trPr>
          <w:trHeight w:val="450"/>
        </w:trPr>
        <w:tc>
          <w:tcPr>
            <w:tcW w:w="5490" w:type="dxa"/>
            <w:tcBorders>
              <w:top w:val="nil"/>
              <w:left w:val="nil"/>
              <w:bottom w:val="nil"/>
              <w:right w:val="nil"/>
            </w:tcBorders>
            <w:shd w:val="clear" w:color="000000" w:fill="D9D9D9"/>
            <w:vAlign w:val="center"/>
            <w:hideMark/>
          </w:tcPr>
          <w:p w14:paraId="38FC918F" w14:textId="77777777" w:rsidR="00670410" w:rsidRPr="004F30BD" w:rsidRDefault="00670410" w:rsidP="00067750">
            <w:pPr>
              <w:spacing w:before="40" w:after="40" w:line="240" w:lineRule="auto"/>
              <w:ind w:right="0"/>
              <w:rPr>
                <w:rFonts w:eastAsia="Times New Roman" w:cs="Calibri"/>
                <w:color w:val="000000"/>
                <w:szCs w:val="16"/>
                <w:lang w:eastAsia="en-AU"/>
              </w:rPr>
            </w:pPr>
            <w:r w:rsidRPr="004F30BD">
              <w:rPr>
                <w:rFonts w:eastAsia="Times New Roman" w:cs="Calibri"/>
                <w:color w:val="000000"/>
                <w:szCs w:val="16"/>
                <w:lang w:eastAsia="en-AU"/>
              </w:rPr>
              <w:t>Regulatory activities: Being encouraging without setting up unrealistic expectations</w:t>
            </w:r>
          </w:p>
        </w:tc>
        <w:tc>
          <w:tcPr>
            <w:tcW w:w="1493" w:type="dxa"/>
            <w:tcBorders>
              <w:top w:val="nil"/>
              <w:left w:val="nil"/>
              <w:bottom w:val="nil"/>
              <w:right w:val="nil"/>
            </w:tcBorders>
            <w:shd w:val="clear" w:color="000000" w:fill="D9D9D9"/>
            <w:vAlign w:val="center"/>
            <w:hideMark/>
          </w:tcPr>
          <w:p w14:paraId="4C68E8B9" w14:textId="77777777" w:rsidR="00670410" w:rsidRPr="004F30BD" w:rsidRDefault="00670410" w:rsidP="00067750">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55</w:t>
            </w:r>
          </w:p>
        </w:tc>
        <w:tc>
          <w:tcPr>
            <w:tcW w:w="1493" w:type="dxa"/>
            <w:tcBorders>
              <w:top w:val="nil"/>
              <w:left w:val="nil"/>
              <w:bottom w:val="nil"/>
              <w:right w:val="nil"/>
            </w:tcBorders>
            <w:shd w:val="clear" w:color="auto" w:fill="FFFF00"/>
            <w:vAlign w:val="center"/>
            <w:hideMark/>
          </w:tcPr>
          <w:p w14:paraId="6FB4EFE0" w14:textId="77777777" w:rsidR="00670410" w:rsidRPr="004F30BD" w:rsidRDefault="00670410" w:rsidP="00067750">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78</w:t>
            </w:r>
          </w:p>
        </w:tc>
      </w:tr>
      <w:tr w:rsidR="00670410" w:rsidRPr="004F30BD" w14:paraId="25E1F6EC" w14:textId="77777777" w:rsidTr="00067750">
        <w:trPr>
          <w:trHeight w:val="450"/>
        </w:trPr>
        <w:tc>
          <w:tcPr>
            <w:tcW w:w="5490" w:type="dxa"/>
            <w:tcBorders>
              <w:top w:val="nil"/>
              <w:left w:val="nil"/>
              <w:bottom w:val="nil"/>
              <w:right w:val="nil"/>
            </w:tcBorders>
            <w:shd w:val="clear" w:color="auto" w:fill="auto"/>
            <w:vAlign w:val="center"/>
            <w:hideMark/>
          </w:tcPr>
          <w:p w14:paraId="7AF762E6" w14:textId="77777777" w:rsidR="00670410" w:rsidRPr="004F30BD" w:rsidRDefault="00670410" w:rsidP="00067750">
            <w:pPr>
              <w:spacing w:before="40" w:after="40" w:line="240" w:lineRule="auto"/>
              <w:ind w:right="0"/>
              <w:rPr>
                <w:rFonts w:eastAsia="Times New Roman" w:cs="Calibri"/>
                <w:color w:val="000000"/>
                <w:szCs w:val="16"/>
                <w:lang w:eastAsia="en-AU"/>
              </w:rPr>
            </w:pPr>
            <w:r w:rsidRPr="004F30BD">
              <w:rPr>
                <w:rFonts w:eastAsia="Times New Roman" w:cs="Calibri"/>
                <w:color w:val="000000"/>
                <w:szCs w:val="16"/>
                <w:lang w:eastAsia="en-AU"/>
              </w:rPr>
              <w:t>Application process: Timeliness of feedback from TEQSA about application, including those unlikely successful</w:t>
            </w:r>
          </w:p>
        </w:tc>
        <w:tc>
          <w:tcPr>
            <w:tcW w:w="1493" w:type="dxa"/>
            <w:tcBorders>
              <w:top w:val="nil"/>
              <w:left w:val="nil"/>
              <w:bottom w:val="nil"/>
              <w:right w:val="nil"/>
            </w:tcBorders>
            <w:shd w:val="clear" w:color="auto" w:fill="FFFF00"/>
            <w:vAlign w:val="center"/>
            <w:hideMark/>
          </w:tcPr>
          <w:p w14:paraId="7F99FB33" w14:textId="77777777" w:rsidR="00670410" w:rsidRPr="004F30BD" w:rsidRDefault="00670410" w:rsidP="00067750">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50</w:t>
            </w:r>
          </w:p>
        </w:tc>
        <w:tc>
          <w:tcPr>
            <w:tcW w:w="1493" w:type="dxa"/>
            <w:tcBorders>
              <w:top w:val="nil"/>
              <w:left w:val="nil"/>
              <w:bottom w:val="nil"/>
              <w:right w:val="nil"/>
            </w:tcBorders>
            <w:shd w:val="clear" w:color="auto" w:fill="auto"/>
            <w:vAlign w:val="center"/>
            <w:hideMark/>
          </w:tcPr>
          <w:p w14:paraId="5146D83A" w14:textId="77777777" w:rsidR="00670410" w:rsidRPr="004F30BD" w:rsidRDefault="00670410" w:rsidP="00067750">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13</w:t>
            </w:r>
          </w:p>
        </w:tc>
      </w:tr>
      <w:tr w:rsidR="00670410" w:rsidRPr="004F30BD" w14:paraId="021DD2E3" w14:textId="77777777" w:rsidTr="00067750">
        <w:trPr>
          <w:trHeight w:val="450"/>
        </w:trPr>
        <w:tc>
          <w:tcPr>
            <w:tcW w:w="5490" w:type="dxa"/>
            <w:tcBorders>
              <w:top w:val="nil"/>
              <w:left w:val="nil"/>
              <w:bottom w:val="nil"/>
              <w:right w:val="nil"/>
            </w:tcBorders>
            <w:shd w:val="clear" w:color="000000" w:fill="D9D9D9"/>
            <w:vAlign w:val="center"/>
            <w:hideMark/>
          </w:tcPr>
          <w:p w14:paraId="68CA8B02" w14:textId="77777777" w:rsidR="00670410" w:rsidRPr="004F30BD" w:rsidRDefault="00670410" w:rsidP="00067750">
            <w:pPr>
              <w:spacing w:before="40" w:after="40" w:line="240" w:lineRule="auto"/>
              <w:ind w:right="0"/>
              <w:rPr>
                <w:rFonts w:eastAsia="Times New Roman" w:cs="Calibri"/>
                <w:color w:val="000000"/>
                <w:szCs w:val="16"/>
                <w:lang w:eastAsia="en-AU"/>
              </w:rPr>
            </w:pPr>
            <w:r w:rsidRPr="004F30BD">
              <w:rPr>
                <w:rFonts w:eastAsia="Times New Roman" w:cs="Calibri"/>
                <w:color w:val="000000"/>
                <w:szCs w:val="16"/>
                <w:lang w:eastAsia="en-AU"/>
              </w:rPr>
              <w:t>Application process: Minimising time taken between submitting application and first receiving a regulatory decision</w:t>
            </w:r>
          </w:p>
        </w:tc>
        <w:tc>
          <w:tcPr>
            <w:tcW w:w="1493" w:type="dxa"/>
            <w:tcBorders>
              <w:top w:val="nil"/>
              <w:left w:val="nil"/>
              <w:bottom w:val="nil"/>
              <w:right w:val="nil"/>
            </w:tcBorders>
            <w:shd w:val="clear" w:color="auto" w:fill="FFFF00"/>
            <w:vAlign w:val="center"/>
            <w:hideMark/>
          </w:tcPr>
          <w:p w14:paraId="3D43AC4F" w14:textId="77777777" w:rsidR="00670410" w:rsidRPr="004F30BD" w:rsidRDefault="00670410" w:rsidP="00067750">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43</w:t>
            </w:r>
          </w:p>
        </w:tc>
        <w:tc>
          <w:tcPr>
            <w:tcW w:w="1493" w:type="dxa"/>
            <w:tcBorders>
              <w:top w:val="nil"/>
              <w:left w:val="nil"/>
              <w:bottom w:val="nil"/>
              <w:right w:val="nil"/>
            </w:tcBorders>
            <w:shd w:val="clear" w:color="000000" w:fill="D9D9D9"/>
            <w:vAlign w:val="center"/>
            <w:hideMark/>
          </w:tcPr>
          <w:p w14:paraId="683631B5" w14:textId="77777777" w:rsidR="00670410" w:rsidRPr="004F30BD" w:rsidRDefault="00670410" w:rsidP="00067750">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8</w:t>
            </w:r>
          </w:p>
        </w:tc>
      </w:tr>
      <w:tr w:rsidR="00670410" w:rsidRPr="004F30BD" w14:paraId="7707099A" w14:textId="77777777" w:rsidTr="00067750">
        <w:trPr>
          <w:trHeight w:val="450"/>
        </w:trPr>
        <w:tc>
          <w:tcPr>
            <w:tcW w:w="5490" w:type="dxa"/>
            <w:tcBorders>
              <w:top w:val="nil"/>
              <w:left w:val="nil"/>
              <w:bottom w:val="nil"/>
              <w:right w:val="nil"/>
            </w:tcBorders>
            <w:shd w:val="clear" w:color="auto" w:fill="auto"/>
            <w:vAlign w:val="center"/>
            <w:hideMark/>
          </w:tcPr>
          <w:p w14:paraId="4D2FF1AE" w14:textId="77777777" w:rsidR="00670410" w:rsidRPr="004F30BD" w:rsidRDefault="00670410" w:rsidP="00067750">
            <w:pPr>
              <w:spacing w:before="40" w:after="40" w:line="240" w:lineRule="auto"/>
              <w:ind w:right="0"/>
              <w:rPr>
                <w:rFonts w:eastAsia="Times New Roman" w:cs="Calibri"/>
                <w:color w:val="000000"/>
                <w:szCs w:val="16"/>
                <w:lang w:eastAsia="en-AU"/>
              </w:rPr>
            </w:pPr>
            <w:r w:rsidRPr="004F30BD">
              <w:rPr>
                <w:rFonts w:eastAsia="Times New Roman" w:cs="Calibri"/>
                <w:color w:val="000000"/>
                <w:szCs w:val="16"/>
                <w:lang w:eastAsia="en-AU"/>
              </w:rPr>
              <w:t>CRICOS Application process: Tailoring application process to meet needs</w:t>
            </w:r>
          </w:p>
        </w:tc>
        <w:tc>
          <w:tcPr>
            <w:tcW w:w="1493" w:type="dxa"/>
            <w:tcBorders>
              <w:top w:val="nil"/>
              <w:left w:val="nil"/>
              <w:bottom w:val="nil"/>
              <w:right w:val="nil"/>
            </w:tcBorders>
            <w:shd w:val="clear" w:color="auto" w:fill="auto"/>
            <w:vAlign w:val="center"/>
            <w:hideMark/>
          </w:tcPr>
          <w:p w14:paraId="4357884A" w14:textId="77777777" w:rsidR="00670410" w:rsidRPr="004F30BD" w:rsidRDefault="00670410" w:rsidP="00067750">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39</w:t>
            </w:r>
          </w:p>
        </w:tc>
        <w:tc>
          <w:tcPr>
            <w:tcW w:w="1493" w:type="dxa"/>
            <w:tcBorders>
              <w:top w:val="nil"/>
              <w:left w:val="nil"/>
              <w:bottom w:val="nil"/>
              <w:right w:val="nil"/>
            </w:tcBorders>
            <w:shd w:val="clear" w:color="auto" w:fill="FFFF00"/>
            <w:vAlign w:val="center"/>
            <w:hideMark/>
          </w:tcPr>
          <w:p w14:paraId="101454D4" w14:textId="77777777" w:rsidR="00670410" w:rsidRPr="004F30BD" w:rsidRDefault="00670410" w:rsidP="00067750">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64</w:t>
            </w:r>
          </w:p>
        </w:tc>
      </w:tr>
      <w:tr w:rsidR="00670410" w:rsidRPr="004F30BD" w14:paraId="3198C708" w14:textId="77777777" w:rsidTr="00067750">
        <w:trPr>
          <w:trHeight w:val="300"/>
        </w:trPr>
        <w:tc>
          <w:tcPr>
            <w:tcW w:w="5490" w:type="dxa"/>
            <w:tcBorders>
              <w:top w:val="nil"/>
              <w:left w:val="nil"/>
              <w:bottom w:val="single" w:sz="4" w:space="0" w:color="auto"/>
              <w:right w:val="nil"/>
            </w:tcBorders>
            <w:shd w:val="clear" w:color="000000" w:fill="D9D9D9"/>
            <w:vAlign w:val="center"/>
            <w:hideMark/>
          </w:tcPr>
          <w:p w14:paraId="640848D0" w14:textId="77777777" w:rsidR="00670410" w:rsidRPr="004F30BD" w:rsidRDefault="00670410" w:rsidP="00067750">
            <w:pPr>
              <w:spacing w:before="40" w:after="40" w:line="240" w:lineRule="auto"/>
              <w:ind w:right="0"/>
              <w:rPr>
                <w:rFonts w:eastAsia="Times New Roman" w:cs="Calibri"/>
                <w:color w:val="000000"/>
                <w:szCs w:val="16"/>
                <w:lang w:eastAsia="en-AU"/>
              </w:rPr>
            </w:pPr>
            <w:r w:rsidRPr="004F30BD">
              <w:rPr>
                <w:rFonts w:eastAsia="Times New Roman" w:cs="Calibri"/>
                <w:color w:val="000000"/>
                <w:szCs w:val="16"/>
                <w:lang w:eastAsia="en-AU"/>
              </w:rPr>
              <w:t>Overall: TEQSA's performance as a regulator</w:t>
            </w:r>
          </w:p>
        </w:tc>
        <w:tc>
          <w:tcPr>
            <w:tcW w:w="1493" w:type="dxa"/>
            <w:tcBorders>
              <w:top w:val="nil"/>
              <w:left w:val="nil"/>
              <w:bottom w:val="single" w:sz="4" w:space="0" w:color="auto"/>
              <w:right w:val="nil"/>
            </w:tcBorders>
            <w:shd w:val="clear" w:color="000000" w:fill="D9D9D9"/>
            <w:vAlign w:val="center"/>
            <w:hideMark/>
          </w:tcPr>
          <w:p w14:paraId="2CDE34BF" w14:textId="77777777" w:rsidR="00670410" w:rsidRPr="004F30BD" w:rsidRDefault="00670410" w:rsidP="00067750">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72</w:t>
            </w:r>
          </w:p>
        </w:tc>
        <w:tc>
          <w:tcPr>
            <w:tcW w:w="1493" w:type="dxa"/>
            <w:tcBorders>
              <w:top w:val="nil"/>
              <w:left w:val="nil"/>
              <w:bottom w:val="single" w:sz="4" w:space="0" w:color="auto"/>
              <w:right w:val="nil"/>
            </w:tcBorders>
            <w:shd w:val="clear" w:color="auto" w:fill="FFFF00"/>
            <w:vAlign w:val="center"/>
            <w:hideMark/>
          </w:tcPr>
          <w:p w14:paraId="639A4D6A" w14:textId="77777777" w:rsidR="00670410" w:rsidRPr="004F30BD" w:rsidRDefault="00670410" w:rsidP="00067750">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88</w:t>
            </w:r>
          </w:p>
        </w:tc>
      </w:tr>
    </w:tbl>
    <w:p w14:paraId="4D184A7C" w14:textId="77777777" w:rsidR="00670410" w:rsidRPr="004F30BD" w:rsidRDefault="00670410" w:rsidP="00670410">
      <w:pPr>
        <w:spacing w:after="120"/>
        <w:rPr>
          <w:i/>
        </w:rPr>
      </w:pPr>
      <w:r w:rsidRPr="004F30BD">
        <w:rPr>
          <w:i/>
        </w:rPr>
        <w:t>Total n varies by item because not all respondents were eligible to answer all questions. The maximum possible n is displayed in the table header.</w:t>
      </w:r>
    </w:p>
    <w:p w14:paraId="37EE42F3" w14:textId="77777777" w:rsidR="00067750" w:rsidRPr="004F30BD" w:rsidRDefault="00067750">
      <w:pPr>
        <w:spacing w:before="0" w:line="240" w:lineRule="auto"/>
        <w:ind w:right="0"/>
        <w:rPr>
          <w:b/>
          <w:color w:val="00376E"/>
          <w:sz w:val="32"/>
        </w:rPr>
      </w:pPr>
      <w:r w:rsidRPr="004F30BD">
        <w:br w:type="page"/>
      </w:r>
    </w:p>
    <w:p w14:paraId="4A8B3E31" w14:textId="77777777" w:rsidR="00067750" w:rsidRPr="004F30BD" w:rsidRDefault="00067750" w:rsidP="00067750">
      <w:pPr>
        <w:pStyle w:val="Heading2"/>
      </w:pPr>
      <w:bookmarkStart w:id="36" w:name="_Toc22298037"/>
      <w:r w:rsidRPr="004F30BD">
        <w:lastRenderedPageBreak/>
        <w:t>2018 Risk to financial position</w:t>
      </w:r>
      <w:bookmarkEnd w:id="36"/>
      <w:r w:rsidRPr="004F30BD">
        <w:t xml:space="preserve"> </w:t>
      </w:r>
    </w:p>
    <w:p w14:paraId="5ADDB671" w14:textId="5EAD7F2A" w:rsidR="00067750" w:rsidRPr="004F30BD" w:rsidRDefault="00EA03B5" w:rsidP="00067750">
      <w:pPr>
        <w:spacing w:after="120"/>
      </w:pPr>
      <w:r w:rsidRPr="004F30BD">
        <w:t>Only two items were significantly different for the attribute of 2018 risk to financial position.</w:t>
      </w:r>
      <w:r w:rsidR="00067750" w:rsidRPr="004F30BD">
        <w:t xml:space="preserve"> </w:t>
      </w:r>
      <w:r w:rsidRPr="004F30BD">
        <w:t>Both of these items a</w:t>
      </w:r>
      <w:r w:rsidR="00B0628E">
        <w:t>re</w:t>
      </w:r>
      <w:r w:rsidRPr="004F30BD">
        <w:t xml:space="preserve"> high for the </w:t>
      </w:r>
      <w:r w:rsidRPr="004F30BD">
        <w:rPr>
          <w:i/>
          <w:iCs/>
        </w:rPr>
        <w:t>Other</w:t>
      </w:r>
      <w:r w:rsidRPr="004F30BD">
        <w:t xml:space="preserve"> category</w:t>
      </w:r>
      <w:r w:rsidR="00067750" w:rsidRPr="004F30BD">
        <w:t xml:space="preserve"> </w:t>
      </w:r>
      <w:r w:rsidRPr="004F30BD">
        <w:t>which comprises providers who have suspended or no financial risk data provided</w:t>
      </w:r>
      <w:r w:rsidR="00D46872" w:rsidRPr="004F30BD">
        <w:t xml:space="preserve"> by TEQSA</w:t>
      </w:r>
      <w:r w:rsidRPr="004F30BD">
        <w:t xml:space="preserve">. </w:t>
      </w:r>
    </w:p>
    <w:p w14:paraId="06ACE253" w14:textId="77777777" w:rsidR="00067750" w:rsidRPr="004F30BD" w:rsidRDefault="00067750" w:rsidP="00067750">
      <w:pPr>
        <w:spacing w:after="120"/>
        <w:rPr>
          <w:i/>
        </w:rPr>
      </w:pPr>
      <w:r w:rsidRPr="004F30BD">
        <w:rPr>
          <w:i/>
        </w:rPr>
        <w:t xml:space="preserve">Significantly higher results highlighted in </w:t>
      </w:r>
      <w:r w:rsidRPr="004F30BD">
        <w:rPr>
          <w:i/>
          <w:highlight w:val="yellow"/>
        </w:rPr>
        <w:t>yellow.</w:t>
      </w:r>
    </w:p>
    <w:tbl>
      <w:tblPr>
        <w:tblW w:w="8550" w:type="dxa"/>
        <w:tblLook w:val="04A0" w:firstRow="1" w:lastRow="0" w:firstColumn="1" w:lastColumn="0" w:noHBand="0" w:noVBand="1"/>
      </w:tblPr>
      <w:tblGrid>
        <w:gridCol w:w="4500"/>
        <w:gridCol w:w="1134"/>
        <w:gridCol w:w="1685"/>
        <w:gridCol w:w="1231"/>
      </w:tblGrid>
      <w:tr w:rsidR="00067750" w:rsidRPr="004F30BD" w14:paraId="40ACC1AF" w14:textId="77777777" w:rsidTr="00067750">
        <w:trPr>
          <w:trHeight w:val="450"/>
        </w:trPr>
        <w:tc>
          <w:tcPr>
            <w:tcW w:w="4500" w:type="dxa"/>
            <w:vMerge w:val="restart"/>
            <w:tcBorders>
              <w:top w:val="nil"/>
              <w:left w:val="nil"/>
              <w:bottom w:val="nil"/>
              <w:right w:val="nil"/>
            </w:tcBorders>
            <w:shd w:val="clear" w:color="auto" w:fill="00386E"/>
            <w:vAlign w:val="center"/>
            <w:hideMark/>
          </w:tcPr>
          <w:p w14:paraId="31733264" w14:textId="77777777" w:rsidR="00067750" w:rsidRPr="004F30BD" w:rsidRDefault="00067750" w:rsidP="00860E6A">
            <w:pPr>
              <w:spacing w:before="0" w:line="240" w:lineRule="auto"/>
              <w:ind w:right="0"/>
              <w:rPr>
                <w:rFonts w:eastAsia="Times New Roman" w:cs="Calibri"/>
                <w:color w:val="FFFFFF"/>
                <w:szCs w:val="18"/>
                <w:lang w:eastAsia="en-AU"/>
              </w:rPr>
            </w:pPr>
            <w:r w:rsidRPr="004F30BD">
              <w:rPr>
                <w:rFonts w:eastAsia="Times New Roman" w:cs="Calibri"/>
                <w:color w:val="FFFFFF"/>
                <w:szCs w:val="18"/>
                <w:lang w:eastAsia="en-AU"/>
              </w:rPr>
              <w:t>SIGNIFICANTLY DIFFERENT ITEMS</w:t>
            </w:r>
            <w:r w:rsidRPr="004F30BD">
              <w:rPr>
                <w:rFonts w:eastAsia="Times New Roman" w:cs="Calibri"/>
                <w:color w:val="FFFFFF"/>
                <w:szCs w:val="18"/>
                <w:lang w:eastAsia="en-AU"/>
              </w:rPr>
              <w:br/>
              <w:t>TOPIC / ITEM</w:t>
            </w:r>
          </w:p>
        </w:tc>
        <w:tc>
          <w:tcPr>
            <w:tcW w:w="4050" w:type="dxa"/>
            <w:gridSpan w:val="3"/>
            <w:tcBorders>
              <w:top w:val="nil"/>
              <w:left w:val="nil"/>
              <w:bottom w:val="nil"/>
              <w:right w:val="nil"/>
            </w:tcBorders>
            <w:shd w:val="clear" w:color="auto" w:fill="00386E"/>
            <w:vAlign w:val="center"/>
            <w:hideMark/>
          </w:tcPr>
          <w:p w14:paraId="2B60EE90" w14:textId="77777777" w:rsidR="00067750" w:rsidRPr="004F30BD" w:rsidRDefault="00067750" w:rsidP="00860E6A">
            <w:pPr>
              <w:spacing w:before="0" w:line="240" w:lineRule="auto"/>
              <w:ind w:right="0"/>
              <w:jc w:val="center"/>
              <w:rPr>
                <w:rFonts w:eastAsia="Times New Roman" w:cs="Calibri"/>
                <w:color w:val="FFFFFF"/>
                <w:szCs w:val="18"/>
                <w:lang w:eastAsia="en-AU"/>
              </w:rPr>
            </w:pPr>
            <w:r w:rsidRPr="004F30BD">
              <w:rPr>
                <w:rFonts w:eastAsia="Times New Roman" w:cs="Calibri"/>
                <w:color w:val="FFFFFF"/>
                <w:szCs w:val="18"/>
                <w:lang w:eastAsia="en-AU"/>
              </w:rPr>
              <w:t xml:space="preserve">2018 RISK TO FINANCIAL POSITION </w:t>
            </w:r>
            <w:r w:rsidRPr="004F30BD">
              <w:rPr>
                <w:rFonts w:eastAsia="Times New Roman" w:cs="Calibri"/>
                <w:color w:val="FFFFFF"/>
                <w:szCs w:val="18"/>
                <w:lang w:eastAsia="en-AU"/>
              </w:rPr>
              <w:br/>
              <w:t>TOP 2 SCORES (%)</w:t>
            </w:r>
          </w:p>
        </w:tc>
      </w:tr>
      <w:tr w:rsidR="00067750" w:rsidRPr="004F30BD" w14:paraId="16B99826" w14:textId="77777777" w:rsidTr="00EA03B5">
        <w:trPr>
          <w:trHeight w:val="450"/>
        </w:trPr>
        <w:tc>
          <w:tcPr>
            <w:tcW w:w="4500" w:type="dxa"/>
            <w:vMerge/>
            <w:tcBorders>
              <w:top w:val="nil"/>
              <w:left w:val="nil"/>
              <w:bottom w:val="nil"/>
              <w:right w:val="nil"/>
            </w:tcBorders>
            <w:shd w:val="clear" w:color="auto" w:fill="0F243E" w:themeFill="text2" w:themeFillShade="80"/>
            <w:vAlign w:val="center"/>
            <w:hideMark/>
          </w:tcPr>
          <w:p w14:paraId="3E8F3955" w14:textId="77777777" w:rsidR="00067750" w:rsidRPr="004F30BD" w:rsidRDefault="00067750" w:rsidP="00860E6A">
            <w:pPr>
              <w:spacing w:before="0" w:line="240" w:lineRule="auto"/>
              <w:ind w:right="0"/>
              <w:rPr>
                <w:rFonts w:eastAsia="Times New Roman" w:cs="Calibri"/>
                <w:color w:val="FFFFFF"/>
                <w:szCs w:val="18"/>
                <w:lang w:eastAsia="en-AU"/>
              </w:rPr>
            </w:pPr>
          </w:p>
        </w:tc>
        <w:tc>
          <w:tcPr>
            <w:tcW w:w="1134" w:type="dxa"/>
            <w:tcBorders>
              <w:top w:val="nil"/>
              <w:left w:val="nil"/>
              <w:bottom w:val="nil"/>
              <w:right w:val="nil"/>
            </w:tcBorders>
            <w:shd w:val="clear" w:color="auto" w:fill="00386E"/>
            <w:vAlign w:val="center"/>
            <w:hideMark/>
          </w:tcPr>
          <w:p w14:paraId="179734CB" w14:textId="77777777" w:rsidR="00067750" w:rsidRPr="004F30BD" w:rsidRDefault="00067750" w:rsidP="00860E6A">
            <w:pPr>
              <w:spacing w:before="0" w:line="240" w:lineRule="auto"/>
              <w:ind w:right="0"/>
              <w:jc w:val="center"/>
              <w:rPr>
                <w:rFonts w:eastAsia="Times New Roman" w:cs="Calibri"/>
                <w:color w:val="FFFFFF"/>
                <w:szCs w:val="18"/>
                <w:lang w:eastAsia="en-AU"/>
              </w:rPr>
            </w:pPr>
            <w:r w:rsidRPr="004F30BD">
              <w:rPr>
                <w:rFonts w:eastAsia="Times New Roman" w:cs="Calibri"/>
                <w:color w:val="FFFFFF"/>
                <w:szCs w:val="18"/>
                <w:lang w:eastAsia="en-AU"/>
              </w:rPr>
              <w:t>High / mod</w:t>
            </w:r>
            <w:r w:rsidRPr="004F30BD">
              <w:rPr>
                <w:rFonts w:eastAsia="Times New Roman" w:cs="Calibri"/>
                <w:color w:val="FFFFFF"/>
                <w:szCs w:val="18"/>
                <w:lang w:eastAsia="en-AU"/>
              </w:rPr>
              <w:br/>
              <w:t>max n=41</w:t>
            </w:r>
          </w:p>
        </w:tc>
        <w:tc>
          <w:tcPr>
            <w:tcW w:w="1685" w:type="dxa"/>
            <w:tcBorders>
              <w:top w:val="nil"/>
              <w:left w:val="nil"/>
              <w:bottom w:val="nil"/>
              <w:right w:val="nil"/>
            </w:tcBorders>
            <w:shd w:val="clear" w:color="auto" w:fill="00386E"/>
            <w:vAlign w:val="center"/>
            <w:hideMark/>
          </w:tcPr>
          <w:p w14:paraId="1ED10B17" w14:textId="77777777" w:rsidR="00067750" w:rsidRPr="004F30BD" w:rsidRDefault="00067750" w:rsidP="00860E6A">
            <w:pPr>
              <w:spacing w:before="0" w:line="240" w:lineRule="auto"/>
              <w:ind w:right="0"/>
              <w:jc w:val="center"/>
              <w:rPr>
                <w:rFonts w:eastAsia="Times New Roman" w:cs="Calibri"/>
                <w:color w:val="FFFFFF"/>
                <w:szCs w:val="18"/>
                <w:lang w:eastAsia="en-AU"/>
              </w:rPr>
            </w:pPr>
            <w:r w:rsidRPr="004F30BD">
              <w:rPr>
                <w:rFonts w:eastAsia="Times New Roman" w:cs="Calibri"/>
                <w:color w:val="FFFFFF"/>
                <w:szCs w:val="18"/>
                <w:lang w:eastAsia="en-AU"/>
              </w:rPr>
              <w:t>Low</w:t>
            </w:r>
            <w:r w:rsidRPr="004F30BD">
              <w:rPr>
                <w:rFonts w:eastAsia="Times New Roman" w:cs="Calibri"/>
                <w:color w:val="FFFFFF"/>
                <w:szCs w:val="18"/>
                <w:lang w:eastAsia="en-AU"/>
              </w:rPr>
              <w:br/>
              <w:t>max n=64</w:t>
            </w:r>
          </w:p>
        </w:tc>
        <w:tc>
          <w:tcPr>
            <w:tcW w:w="1231" w:type="dxa"/>
            <w:tcBorders>
              <w:top w:val="nil"/>
              <w:left w:val="nil"/>
              <w:bottom w:val="nil"/>
              <w:right w:val="nil"/>
            </w:tcBorders>
            <w:shd w:val="clear" w:color="auto" w:fill="00386E"/>
            <w:vAlign w:val="center"/>
            <w:hideMark/>
          </w:tcPr>
          <w:p w14:paraId="54A345CC" w14:textId="77777777" w:rsidR="00067750" w:rsidRPr="004F30BD" w:rsidRDefault="00067750" w:rsidP="00860E6A">
            <w:pPr>
              <w:spacing w:before="0" w:line="240" w:lineRule="auto"/>
              <w:ind w:right="0"/>
              <w:jc w:val="center"/>
              <w:rPr>
                <w:rFonts w:eastAsia="Times New Roman" w:cs="Calibri"/>
                <w:color w:val="FFFFFF"/>
                <w:szCs w:val="18"/>
                <w:lang w:eastAsia="en-AU"/>
              </w:rPr>
            </w:pPr>
            <w:r w:rsidRPr="004F30BD">
              <w:rPr>
                <w:rFonts w:eastAsia="Times New Roman" w:cs="Calibri"/>
                <w:color w:val="FFFFFF"/>
                <w:szCs w:val="18"/>
                <w:lang w:eastAsia="en-AU"/>
              </w:rPr>
              <w:t>Other</w:t>
            </w:r>
            <w:r w:rsidRPr="004F30BD">
              <w:rPr>
                <w:rFonts w:eastAsia="Times New Roman" w:cs="Calibri"/>
                <w:color w:val="FFFFFF"/>
                <w:szCs w:val="18"/>
                <w:lang w:eastAsia="en-AU"/>
              </w:rPr>
              <w:br/>
              <w:t>max n=23</w:t>
            </w:r>
            <w:r w:rsidR="00D46872" w:rsidRPr="004F30BD">
              <w:rPr>
                <w:rFonts w:eastAsia="Times New Roman" w:cs="Calibri"/>
                <w:color w:val="FFFFFF"/>
                <w:szCs w:val="18"/>
                <w:lang w:eastAsia="en-AU"/>
              </w:rPr>
              <w:t>^</w:t>
            </w:r>
          </w:p>
        </w:tc>
      </w:tr>
      <w:tr w:rsidR="00067750" w:rsidRPr="004F30BD" w14:paraId="6804D4E0" w14:textId="77777777" w:rsidTr="00067750">
        <w:trPr>
          <w:trHeight w:val="450"/>
        </w:trPr>
        <w:tc>
          <w:tcPr>
            <w:tcW w:w="4500" w:type="dxa"/>
            <w:tcBorders>
              <w:top w:val="nil"/>
              <w:left w:val="nil"/>
              <w:bottom w:val="nil"/>
              <w:right w:val="nil"/>
            </w:tcBorders>
            <w:shd w:val="clear" w:color="000000" w:fill="FFFFFF"/>
            <w:vAlign w:val="center"/>
            <w:hideMark/>
          </w:tcPr>
          <w:p w14:paraId="690EB900" w14:textId="77777777" w:rsidR="00067750" w:rsidRPr="004F30BD" w:rsidRDefault="00067750" w:rsidP="00860E6A">
            <w:pPr>
              <w:spacing w:before="0" w:line="240" w:lineRule="auto"/>
              <w:ind w:right="0"/>
              <w:rPr>
                <w:rFonts w:eastAsia="Times New Roman" w:cs="Calibri"/>
                <w:color w:val="000000"/>
                <w:szCs w:val="16"/>
                <w:lang w:eastAsia="en-AU"/>
              </w:rPr>
            </w:pPr>
            <w:r w:rsidRPr="004F30BD">
              <w:rPr>
                <w:rFonts w:eastAsia="Times New Roman" w:cs="Calibri"/>
                <w:color w:val="000000"/>
                <w:szCs w:val="16"/>
                <w:lang w:eastAsia="en-AU"/>
              </w:rPr>
              <w:t>Communication: Usefulness of information provided on National Register</w:t>
            </w:r>
          </w:p>
        </w:tc>
        <w:tc>
          <w:tcPr>
            <w:tcW w:w="1134" w:type="dxa"/>
            <w:tcBorders>
              <w:top w:val="nil"/>
              <w:left w:val="nil"/>
              <w:bottom w:val="nil"/>
              <w:right w:val="nil"/>
            </w:tcBorders>
            <w:shd w:val="clear" w:color="000000" w:fill="FFFFFF"/>
            <w:vAlign w:val="center"/>
            <w:hideMark/>
          </w:tcPr>
          <w:p w14:paraId="74DC34FA" w14:textId="77777777" w:rsidR="00067750" w:rsidRPr="004F30BD" w:rsidRDefault="00067750" w:rsidP="00860E6A">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54</w:t>
            </w:r>
          </w:p>
        </w:tc>
        <w:tc>
          <w:tcPr>
            <w:tcW w:w="1685" w:type="dxa"/>
            <w:tcBorders>
              <w:top w:val="nil"/>
              <w:left w:val="nil"/>
              <w:bottom w:val="nil"/>
              <w:right w:val="nil"/>
            </w:tcBorders>
            <w:shd w:val="clear" w:color="000000" w:fill="FFFFFF"/>
            <w:vAlign w:val="center"/>
            <w:hideMark/>
          </w:tcPr>
          <w:p w14:paraId="3EE93DF3" w14:textId="77777777" w:rsidR="00067750" w:rsidRPr="004F30BD" w:rsidRDefault="00067750" w:rsidP="00860E6A">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76</w:t>
            </w:r>
          </w:p>
        </w:tc>
        <w:tc>
          <w:tcPr>
            <w:tcW w:w="1231" w:type="dxa"/>
            <w:tcBorders>
              <w:top w:val="nil"/>
              <w:left w:val="nil"/>
              <w:bottom w:val="nil"/>
              <w:right w:val="nil"/>
            </w:tcBorders>
            <w:shd w:val="clear" w:color="000000" w:fill="FFFF00"/>
            <w:vAlign w:val="center"/>
            <w:hideMark/>
          </w:tcPr>
          <w:p w14:paraId="14FA791C" w14:textId="77777777" w:rsidR="00067750" w:rsidRPr="004F30BD" w:rsidRDefault="00067750" w:rsidP="00860E6A">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86</w:t>
            </w:r>
          </w:p>
        </w:tc>
      </w:tr>
      <w:tr w:rsidR="00067750" w:rsidRPr="004F30BD" w14:paraId="367E28E4" w14:textId="77777777" w:rsidTr="00067750">
        <w:trPr>
          <w:trHeight w:val="450"/>
        </w:trPr>
        <w:tc>
          <w:tcPr>
            <w:tcW w:w="4500" w:type="dxa"/>
            <w:tcBorders>
              <w:top w:val="nil"/>
              <w:left w:val="nil"/>
              <w:bottom w:val="single" w:sz="4" w:space="0" w:color="auto"/>
              <w:right w:val="nil"/>
            </w:tcBorders>
            <w:shd w:val="clear" w:color="000000" w:fill="D9D9D9"/>
            <w:vAlign w:val="center"/>
            <w:hideMark/>
          </w:tcPr>
          <w:p w14:paraId="1C678DF0" w14:textId="77777777" w:rsidR="00067750" w:rsidRPr="004F30BD" w:rsidRDefault="00067750" w:rsidP="00860E6A">
            <w:pPr>
              <w:spacing w:before="0" w:line="240" w:lineRule="auto"/>
              <w:ind w:right="0"/>
              <w:rPr>
                <w:rFonts w:eastAsia="Times New Roman" w:cs="Calibri"/>
                <w:color w:val="000000"/>
                <w:szCs w:val="16"/>
                <w:lang w:eastAsia="en-AU"/>
              </w:rPr>
            </w:pPr>
            <w:r w:rsidRPr="004F30BD">
              <w:rPr>
                <w:rFonts w:eastAsia="Times New Roman" w:cs="Calibri"/>
                <w:color w:val="000000"/>
                <w:szCs w:val="16"/>
                <w:lang w:eastAsia="en-AU"/>
              </w:rPr>
              <w:t>Application process: Timeliness of feedback from TEQSA about application, including those unlikely successful</w:t>
            </w:r>
          </w:p>
        </w:tc>
        <w:tc>
          <w:tcPr>
            <w:tcW w:w="1134" w:type="dxa"/>
            <w:tcBorders>
              <w:top w:val="nil"/>
              <w:left w:val="nil"/>
              <w:bottom w:val="single" w:sz="4" w:space="0" w:color="auto"/>
              <w:right w:val="nil"/>
            </w:tcBorders>
            <w:shd w:val="clear" w:color="000000" w:fill="D9D9D9"/>
            <w:vAlign w:val="center"/>
            <w:hideMark/>
          </w:tcPr>
          <w:p w14:paraId="4BBCEDA1" w14:textId="77777777" w:rsidR="00067750" w:rsidRPr="004F30BD" w:rsidRDefault="00067750" w:rsidP="00860E6A">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46</w:t>
            </w:r>
          </w:p>
        </w:tc>
        <w:tc>
          <w:tcPr>
            <w:tcW w:w="1685" w:type="dxa"/>
            <w:tcBorders>
              <w:top w:val="nil"/>
              <w:left w:val="nil"/>
              <w:bottom w:val="single" w:sz="4" w:space="0" w:color="auto"/>
              <w:right w:val="nil"/>
            </w:tcBorders>
            <w:shd w:val="clear" w:color="000000" w:fill="D9D9D9"/>
            <w:vAlign w:val="center"/>
            <w:hideMark/>
          </w:tcPr>
          <w:p w14:paraId="29F5113B" w14:textId="77777777" w:rsidR="00067750" w:rsidRPr="004F30BD" w:rsidRDefault="00067750" w:rsidP="00860E6A">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20</w:t>
            </w:r>
          </w:p>
        </w:tc>
        <w:tc>
          <w:tcPr>
            <w:tcW w:w="1231" w:type="dxa"/>
            <w:tcBorders>
              <w:top w:val="nil"/>
              <w:left w:val="nil"/>
              <w:bottom w:val="single" w:sz="4" w:space="0" w:color="auto"/>
              <w:right w:val="nil"/>
            </w:tcBorders>
            <w:shd w:val="clear" w:color="000000" w:fill="FFFF00"/>
            <w:vAlign w:val="center"/>
            <w:hideMark/>
          </w:tcPr>
          <w:p w14:paraId="39A2D2CF" w14:textId="77777777" w:rsidR="00067750" w:rsidRPr="004F30BD" w:rsidRDefault="00067750" w:rsidP="00860E6A">
            <w:pPr>
              <w:spacing w:before="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62</w:t>
            </w:r>
          </w:p>
        </w:tc>
      </w:tr>
    </w:tbl>
    <w:p w14:paraId="20F37691" w14:textId="77777777" w:rsidR="00067750" w:rsidRPr="004F30BD" w:rsidRDefault="00067750" w:rsidP="00D46872">
      <w:pPr>
        <w:rPr>
          <w:i/>
        </w:rPr>
      </w:pPr>
      <w:r w:rsidRPr="004F30BD">
        <w:rPr>
          <w:i/>
        </w:rPr>
        <w:t>Total n varies by item because not all respondents answer</w:t>
      </w:r>
      <w:r w:rsidR="00EA03B5" w:rsidRPr="004F30BD">
        <w:rPr>
          <w:i/>
        </w:rPr>
        <w:t>ed</w:t>
      </w:r>
      <w:r w:rsidRPr="004F30BD">
        <w:rPr>
          <w:i/>
        </w:rPr>
        <w:t xml:space="preserve"> all questions. The maximum possible n is displayed in the table header.</w:t>
      </w:r>
    </w:p>
    <w:p w14:paraId="371853F2" w14:textId="77777777" w:rsidR="00067750" w:rsidRPr="004F30BD" w:rsidRDefault="00067750" w:rsidP="00067750">
      <w:pPr>
        <w:spacing w:before="0" w:line="240" w:lineRule="auto"/>
        <w:ind w:right="0"/>
        <w:rPr>
          <w:lang w:eastAsia="en-AU"/>
        </w:rPr>
      </w:pPr>
      <w:r w:rsidRPr="004F30BD">
        <w:rPr>
          <w:i/>
        </w:rPr>
        <w:t>^Some cell numbers (n counts) are small so results should be interpreted with caution.</w:t>
      </w:r>
    </w:p>
    <w:p w14:paraId="3B593864" w14:textId="77777777" w:rsidR="00067750" w:rsidRPr="004F30BD" w:rsidRDefault="00067750" w:rsidP="00067750">
      <w:pPr>
        <w:pStyle w:val="Heading2"/>
      </w:pPr>
      <w:bookmarkStart w:id="37" w:name="_Toc22298038"/>
      <w:r w:rsidRPr="004F30BD">
        <w:rPr>
          <w:lang w:eastAsia="en-AU"/>
        </w:rPr>
        <w:t>2018 Risk to students</w:t>
      </w:r>
      <w:bookmarkEnd w:id="37"/>
    </w:p>
    <w:p w14:paraId="68D5271F" w14:textId="5D685337" w:rsidR="00067750" w:rsidRPr="004F30BD" w:rsidRDefault="00067750" w:rsidP="00725EED">
      <w:pPr>
        <w:spacing w:after="240"/>
      </w:pPr>
      <w:r w:rsidRPr="004F30BD">
        <w:t xml:space="preserve">The providers that TEQSA rated as having a low risk to students in 2018 rated TEQSA’s performance highest on </w:t>
      </w:r>
      <w:r w:rsidR="00D46872" w:rsidRPr="004F30BD">
        <w:t>the three</w:t>
      </w:r>
      <w:r w:rsidRPr="004F30BD">
        <w:t xml:space="preserve"> items in the </w:t>
      </w:r>
      <w:r w:rsidR="00D46872" w:rsidRPr="004F30BD">
        <w:t xml:space="preserve">table </w:t>
      </w:r>
      <w:r w:rsidRPr="004F30BD">
        <w:t xml:space="preserve">below. </w:t>
      </w:r>
    </w:p>
    <w:p w14:paraId="544AC573" w14:textId="77777777" w:rsidR="00067750" w:rsidRPr="004F30BD" w:rsidRDefault="00067750" w:rsidP="00067750">
      <w:pPr>
        <w:spacing w:after="120"/>
        <w:rPr>
          <w:i/>
        </w:rPr>
      </w:pPr>
      <w:r w:rsidRPr="004F30BD">
        <w:rPr>
          <w:i/>
        </w:rPr>
        <w:t xml:space="preserve">Significantly higher results highlighted in </w:t>
      </w:r>
      <w:r w:rsidRPr="004F30BD">
        <w:rPr>
          <w:i/>
          <w:highlight w:val="yellow"/>
        </w:rPr>
        <w:t>yellow.</w:t>
      </w:r>
      <w:r w:rsidRPr="004F30BD">
        <w:rPr>
          <w:i/>
        </w:rPr>
        <w:t>.</w:t>
      </w:r>
    </w:p>
    <w:tbl>
      <w:tblPr>
        <w:tblW w:w="8550" w:type="dxa"/>
        <w:tblLook w:val="04A0" w:firstRow="1" w:lastRow="0" w:firstColumn="1" w:lastColumn="0" w:noHBand="0" w:noVBand="1"/>
      </w:tblPr>
      <w:tblGrid>
        <w:gridCol w:w="4500"/>
        <w:gridCol w:w="1350"/>
        <w:gridCol w:w="1350"/>
        <w:gridCol w:w="1350"/>
      </w:tblGrid>
      <w:tr w:rsidR="00067750" w:rsidRPr="004F30BD" w14:paraId="6FC3381D" w14:textId="77777777" w:rsidTr="00D46872">
        <w:trPr>
          <w:trHeight w:val="450"/>
        </w:trPr>
        <w:tc>
          <w:tcPr>
            <w:tcW w:w="4500" w:type="dxa"/>
            <w:vMerge w:val="restart"/>
            <w:tcBorders>
              <w:top w:val="nil"/>
              <w:left w:val="nil"/>
              <w:bottom w:val="nil"/>
              <w:right w:val="nil"/>
            </w:tcBorders>
            <w:shd w:val="clear" w:color="auto" w:fill="00386E"/>
            <w:vAlign w:val="center"/>
            <w:hideMark/>
          </w:tcPr>
          <w:p w14:paraId="5385A9EA" w14:textId="77777777" w:rsidR="00067750" w:rsidRPr="004F30BD" w:rsidRDefault="00067750" w:rsidP="00D46872">
            <w:pPr>
              <w:spacing w:before="40" w:after="40" w:line="240" w:lineRule="auto"/>
              <w:ind w:right="0"/>
              <w:rPr>
                <w:rFonts w:eastAsia="Times New Roman" w:cs="Calibri"/>
                <w:color w:val="FFFFFF"/>
                <w:szCs w:val="18"/>
                <w:lang w:eastAsia="en-AU"/>
              </w:rPr>
            </w:pPr>
            <w:r w:rsidRPr="004F30BD">
              <w:rPr>
                <w:rFonts w:eastAsia="Times New Roman" w:cs="Calibri"/>
                <w:color w:val="FFFFFF"/>
                <w:szCs w:val="18"/>
                <w:lang w:eastAsia="en-AU"/>
              </w:rPr>
              <w:t>SIGNIFICANTLY DIFFERENT ITEMS</w:t>
            </w:r>
            <w:r w:rsidRPr="004F30BD">
              <w:rPr>
                <w:rFonts w:eastAsia="Times New Roman" w:cs="Calibri"/>
                <w:color w:val="FFFFFF"/>
                <w:szCs w:val="18"/>
                <w:lang w:eastAsia="en-AU"/>
              </w:rPr>
              <w:br/>
              <w:t>TOPIC / ITEM</w:t>
            </w:r>
          </w:p>
        </w:tc>
        <w:tc>
          <w:tcPr>
            <w:tcW w:w="4050" w:type="dxa"/>
            <w:gridSpan w:val="3"/>
            <w:tcBorders>
              <w:top w:val="nil"/>
              <w:left w:val="nil"/>
              <w:bottom w:val="nil"/>
              <w:right w:val="nil"/>
            </w:tcBorders>
            <w:shd w:val="clear" w:color="auto" w:fill="00386E"/>
            <w:vAlign w:val="center"/>
            <w:hideMark/>
          </w:tcPr>
          <w:p w14:paraId="49D44761" w14:textId="77777777" w:rsidR="00067750" w:rsidRPr="004F30BD" w:rsidRDefault="00067750" w:rsidP="00D46872">
            <w:pPr>
              <w:spacing w:before="40" w:after="40" w:line="240" w:lineRule="auto"/>
              <w:ind w:right="0"/>
              <w:jc w:val="center"/>
              <w:rPr>
                <w:rFonts w:eastAsia="Times New Roman" w:cs="Calibri"/>
                <w:color w:val="FFFFFF"/>
                <w:szCs w:val="18"/>
                <w:lang w:eastAsia="en-AU"/>
              </w:rPr>
            </w:pPr>
            <w:r w:rsidRPr="004F30BD">
              <w:rPr>
                <w:rFonts w:eastAsia="Times New Roman" w:cs="Calibri"/>
                <w:color w:val="FFFFFF"/>
                <w:szCs w:val="18"/>
                <w:lang w:eastAsia="en-AU"/>
              </w:rPr>
              <w:t xml:space="preserve">2018 RISK TO STUDENTS </w:t>
            </w:r>
            <w:r w:rsidRPr="004F30BD">
              <w:rPr>
                <w:rFonts w:eastAsia="Times New Roman" w:cs="Calibri"/>
                <w:color w:val="FFFFFF"/>
                <w:szCs w:val="18"/>
                <w:lang w:eastAsia="en-AU"/>
              </w:rPr>
              <w:br/>
              <w:t>TOP 2 SCORES (%)</w:t>
            </w:r>
          </w:p>
        </w:tc>
      </w:tr>
      <w:tr w:rsidR="00067750" w:rsidRPr="004F30BD" w14:paraId="760352FB" w14:textId="77777777" w:rsidTr="00D46872">
        <w:trPr>
          <w:trHeight w:val="450"/>
        </w:trPr>
        <w:tc>
          <w:tcPr>
            <w:tcW w:w="4500" w:type="dxa"/>
            <w:vMerge/>
            <w:tcBorders>
              <w:top w:val="nil"/>
              <w:left w:val="nil"/>
              <w:bottom w:val="nil"/>
              <w:right w:val="nil"/>
            </w:tcBorders>
            <w:shd w:val="clear" w:color="auto" w:fill="0F243E" w:themeFill="text2" w:themeFillShade="80"/>
            <w:vAlign w:val="center"/>
            <w:hideMark/>
          </w:tcPr>
          <w:p w14:paraId="2F4CB59C" w14:textId="77777777" w:rsidR="00067750" w:rsidRPr="004F30BD" w:rsidRDefault="00067750" w:rsidP="00D46872">
            <w:pPr>
              <w:spacing w:before="40" w:after="40" w:line="240" w:lineRule="auto"/>
              <w:ind w:right="0"/>
              <w:rPr>
                <w:rFonts w:eastAsia="Times New Roman" w:cs="Calibri"/>
                <w:color w:val="FFFFFF"/>
                <w:szCs w:val="18"/>
                <w:lang w:eastAsia="en-AU"/>
              </w:rPr>
            </w:pPr>
          </w:p>
        </w:tc>
        <w:tc>
          <w:tcPr>
            <w:tcW w:w="1350" w:type="dxa"/>
            <w:tcBorders>
              <w:top w:val="nil"/>
              <w:left w:val="nil"/>
              <w:bottom w:val="nil"/>
              <w:right w:val="nil"/>
            </w:tcBorders>
            <w:shd w:val="clear" w:color="auto" w:fill="00386E"/>
            <w:vAlign w:val="center"/>
            <w:hideMark/>
          </w:tcPr>
          <w:p w14:paraId="2CDFEBED" w14:textId="77777777" w:rsidR="00067750" w:rsidRPr="004F30BD" w:rsidRDefault="00067750" w:rsidP="00D46872">
            <w:pPr>
              <w:spacing w:before="40" w:after="40" w:line="240" w:lineRule="auto"/>
              <w:ind w:right="0"/>
              <w:jc w:val="center"/>
              <w:rPr>
                <w:rFonts w:eastAsia="Times New Roman" w:cs="Calibri"/>
                <w:color w:val="FFFFFF"/>
                <w:szCs w:val="18"/>
                <w:lang w:eastAsia="en-AU"/>
              </w:rPr>
            </w:pPr>
            <w:r w:rsidRPr="004F30BD">
              <w:rPr>
                <w:rFonts w:eastAsia="Times New Roman" w:cs="Calibri"/>
                <w:color w:val="FFFFFF"/>
                <w:szCs w:val="18"/>
                <w:lang w:eastAsia="en-AU"/>
              </w:rPr>
              <w:t>High / mod</w:t>
            </w:r>
            <w:r w:rsidRPr="004F30BD">
              <w:rPr>
                <w:rFonts w:eastAsia="Times New Roman" w:cs="Calibri"/>
                <w:color w:val="FFFFFF"/>
                <w:szCs w:val="18"/>
                <w:lang w:eastAsia="en-AU"/>
              </w:rPr>
              <w:br/>
              <w:t>max n=45</w:t>
            </w:r>
          </w:p>
        </w:tc>
        <w:tc>
          <w:tcPr>
            <w:tcW w:w="1350" w:type="dxa"/>
            <w:tcBorders>
              <w:top w:val="nil"/>
              <w:left w:val="nil"/>
              <w:bottom w:val="nil"/>
              <w:right w:val="nil"/>
            </w:tcBorders>
            <w:shd w:val="clear" w:color="auto" w:fill="00386E"/>
            <w:vAlign w:val="center"/>
            <w:hideMark/>
          </w:tcPr>
          <w:p w14:paraId="256ABD2A" w14:textId="77777777" w:rsidR="00067750" w:rsidRPr="004F30BD" w:rsidRDefault="00067750" w:rsidP="00D46872">
            <w:pPr>
              <w:spacing w:before="40" w:after="40" w:line="240" w:lineRule="auto"/>
              <w:ind w:right="0"/>
              <w:jc w:val="center"/>
              <w:rPr>
                <w:rFonts w:eastAsia="Times New Roman" w:cs="Calibri"/>
                <w:color w:val="FFFFFF"/>
                <w:szCs w:val="18"/>
                <w:lang w:eastAsia="en-AU"/>
              </w:rPr>
            </w:pPr>
            <w:r w:rsidRPr="004F30BD">
              <w:rPr>
                <w:rFonts w:eastAsia="Times New Roman" w:cs="Calibri"/>
                <w:color w:val="FFFFFF"/>
                <w:szCs w:val="18"/>
                <w:lang w:eastAsia="en-AU"/>
              </w:rPr>
              <w:t>Low</w:t>
            </w:r>
            <w:r w:rsidRPr="004F30BD">
              <w:rPr>
                <w:rFonts w:eastAsia="Times New Roman" w:cs="Calibri"/>
                <w:color w:val="FFFFFF"/>
                <w:szCs w:val="18"/>
                <w:lang w:eastAsia="en-AU"/>
              </w:rPr>
              <w:br/>
              <w:t>max n=63</w:t>
            </w:r>
          </w:p>
        </w:tc>
        <w:tc>
          <w:tcPr>
            <w:tcW w:w="1350" w:type="dxa"/>
            <w:tcBorders>
              <w:top w:val="nil"/>
              <w:left w:val="nil"/>
              <w:bottom w:val="nil"/>
              <w:right w:val="nil"/>
            </w:tcBorders>
            <w:shd w:val="clear" w:color="auto" w:fill="00386E"/>
            <w:vAlign w:val="center"/>
            <w:hideMark/>
          </w:tcPr>
          <w:p w14:paraId="0AE7B47A" w14:textId="77777777" w:rsidR="00067750" w:rsidRPr="004F30BD" w:rsidRDefault="00067750" w:rsidP="00D46872">
            <w:pPr>
              <w:spacing w:before="40" w:after="40" w:line="240" w:lineRule="auto"/>
              <w:ind w:right="0"/>
              <w:jc w:val="center"/>
              <w:rPr>
                <w:rFonts w:eastAsia="Times New Roman" w:cs="Calibri"/>
                <w:color w:val="FFFFFF"/>
                <w:szCs w:val="18"/>
                <w:lang w:eastAsia="en-AU"/>
              </w:rPr>
            </w:pPr>
            <w:r w:rsidRPr="004F30BD">
              <w:rPr>
                <w:rFonts w:eastAsia="Times New Roman" w:cs="Calibri"/>
                <w:color w:val="FFFFFF"/>
                <w:szCs w:val="18"/>
                <w:lang w:eastAsia="en-AU"/>
              </w:rPr>
              <w:t>Other</w:t>
            </w:r>
            <w:r w:rsidRPr="004F30BD">
              <w:rPr>
                <w:rFonts w:eastAsia="Times New Roman" w:cs="Calibri"/>
                <w:color w:val="FFFFFF"/>
                <w:szCs w:val="18"/>
                <w:lang w:eastAsia="en-AU"/>
              </w:rPr>
              <w:br/>
              <w:t>max n=20</w:t>
            </w:r>
          </w:p>
        </w:tc>
      </w:tr>
      <w:tr w:rsidR="00067750" w:rsidRPr="004F30BD" w14:paraId="16C17DF5" w14:textId="77777777" w:rsidTr="00D46872">
        <w:trPr>
          <w:trHeight w:val="450"/>
        </w:trPr>
        <w:tc>
          <w:tcPr>
            <w:tcW w:w="4500" w:type="dxa"/>
            <w:tcBorders>
              <w:top w:val="nil"/>
              <w:left w:val="nil"/>
              <w:bottom w:val="nil"/>
              <w:right w:val="nil"/>
            </w:tcBorders>
            <w:shd w:val="clear" w:color="000000" w:fill="FFFFFF"/>
            <w:vAlign w:val="center"/>
            <w:hideMark/>
          </w:tcPr>
          <w:p w14:paraId="78935CE5" w14:textId="77777777" w:rsidR="00067750" w:rsidRPr="004F30BD" w:rsidRDefault="00067750" w:rsidP="00D46872">
            <w:pPr>
              <w:spacing w:before="40" w:after="40" w:line="240" w:lineRule="auto"/>
              <w:ind w:right="0"/>
              <w:rPr>
                <w:rFonts w:eastAsia="Times New Roman" w:cs="Calibri"/>
                <w:color w:val="000000"/>
                <w:szCs w:val="16"/>
                <w:lang w:eastAsia="en-AU"/>
              </w:rPr>
            </w:pPr>
            <w:r w:rsidRPr="004F30BD">
              <w:rPr>
                <w:rFonts w:eastAsia="Times New Roman" w:cs="Calibri"/>
                <w:color w:val="000000"/>
                <w:szCs w:val="16"/>
                <w:lang w:eastAsia="en-AU"/>
              </w:rPr>
              <w:t>KPI 5: TEQSA is open, transparent and consistent in its dealings with organisation</w:t>
            </w:r>
          </w:p>
        </w:tc>
        <w:tc>
          <w:tcPr>
            <w:tcW w:w="1350" w:type="dxa"/>
            <w:tcBorders>
              <w:top w:val="nil"/>
              <w:left w:val="nil"/>
              <w:bottom w:val="nil"/>
              <w:right w:val="nil"/>
            </w:tcBorders>
            <w:shd w:val="clear" w:color="000000" w:fill="FFFFFF"/>
            <w:vAlign w:val="center"/>
            <w:hideMark/>
          </w:tcPr>
          <w:p w14:paraId="485FA4D1" w14:textId="77777777" w:rsidR="00067750" w:rsidRPr="004F30BD" w:rsidRDefault="00067750" w:rsidP="00D46872">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53</w:t>
            </w:r>
          </w:p>
        </w:tc>
        <w:tc>
          <w:tcPr>
            <w:tcW w:w="1350" w:type="dxa"/>
            <w:tcBorders>
              <w:top w:val="nil"/>
              <w:left w:val="nil"/>
              <w:bottom w:val="nil"/>
              <w:right w:val="nil"/>
            </w:tcBorders>
            <w:shd w:val="clear" w:color="000000" w:fill="FFFF00"/>
            <w:vAlign w:val="center"/>
            <w:hideMark/>
          </w:tcPr>
          <w:p w14:paraId="1842C7DC" w14:textId="77777777" w:rsidR="00067750" w:rsidRPr="004F30BD" w:rsidRDefault="00067750" w:rsidP="00D46872">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87</w:t>
            </w:r>
          </w:p>
        </w:tc>
        <w:tc>
          <w:tcPr>
            <w:tcW w:w="1350" w:type="dxa"/>
            <w:tcBorders>
              <w:top w:val="nil"/>
              <w:left w:val="nil"/>
              <w:bottom w:val="nil"/>
              <w:right w:val="nil"/>
            </w:tcBorders>
            <w:shd w:val="clear" w:color="000000" w:fill="FFFFFF"/>
            <w:vAlign w:val="center"/>
            <w:hideMark/>
          </w:tcPr>
          <w:p w14:paraId="54FA05E8" w14:textId="77777777" w:rsidR="00067750" w:rsidRPr="004F30BD" w:rsidRDefault="00067750" w:rsidP="00D46872">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74</w:t>
            </w:r>
          </w:p>
        </w:tc>
      </w:tr>
      <w:tr w:rsidR="00067750" w:rsidRPr="004F30BD" w14:paraId="61345841" w14:textId="77777777" w:rsidTr="00D46872">
        <w:trPr>
          <w:trHeight w:val="450"/>
        </w:trPr>
        <w:tc>
          <w:tcPr>
            <w:tcW w:w="4500" w:type="dxa"/>
            <w:tcBorders>
              <w:top w:val="nil"/>
              <w:left w:val="nil"/>
              <w:bottom w:val="nil"/>
              <w:right w:val="nil"/>
            </w:tcBorders>
            <w:shd w:val="clear" w:color="000000" w:fill="D9D9D9"/>
            <w:vAlign w:val="center"/>
            <w:hideMark/>
          </w:tcPr>
          <w:p w14:paraId="1809F054" w14:textId="77777777" w:rsidR="00067750" w:rsidRPr="004F30BD" w:rsidRDefault="00067750" w:rsidP="00D46872">
            <w:pPr>
              <w:spacing w:before="40" w:after="40" w:line="240" w:lineRule="auto"/>
              <w:ind w:right="0"/>
              <w:rPr>
                <w:rFonts w:eastAsia="Times New Roman" w:cs="Calibri"/>
                <w:color w:val="000000"/>
                <w:szCs w:val="16"/>
                <w:lang w:eastAsia="en-AU"/>
              </w:rPr>
            </w:pPr>
            <w:r w:rsidRPr="004F30BD">
              <w:rPr>
                <w:rFonts w:eastAsia="Times New Roman" w:cs="Calibri"/>
                <w:color w:val="000000"/>
                <w:szCs w:val="16"/>
                <w:lang w:eastAsia="en-AU"/>
              </w:rPr>
              <w:t>Regulatory activities: Being encouraging without setting up unrealistic expectations</w:t>
            </w:r>
          </w:p>
        </w:tc>
        <w:tc>
          <w:tcPr>
            <w:tcW w:w="1350" w:type="dxa"/>
            <w:tcBorders>
              <w:top w:val="nil"/>
              <w:left w:val="nil"/>
              <w:bottom w:val="nil"/>
              <w:right w:val="nil"/>
            </w:tcBorders>
            <w:shd w:val="clear" w:color="000000" w:fill="D9D9D9"/>
            <w:vAlign w:val="center"/>
            <w:hideMark/>
          </w:tcPr>
          <w:p w14:paraId="50559590" w14:textId="77777777" w:rsidR="00067750" w:rsidRPr="004F30BD" w:rsidRDefault="00067750" w:rsidP="00D46872">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45</w:t>
            </w:r>
          </w:p>
        </w:tc>
        <w:tc>
          <w:tcPr>
            <w:tcW w:w="1350" w:type="dxa"/>
            <w:tcBorders>
              <w:top w:val="nil"/>
              <w:left w:val="nil"/>
              <w:bottom w:val="nil"/>
              <w:right w:val="nil"/>
            </w:tcBorders>
            <w:shd w:val="clear" w:color="000000" w:fill="FFFF00"/>
            <w:vAlign w:val="center"/>
            <w:hideMark/>
          </w:tcPr>
          <w:p w14:paraId="7E57A75A" w14:textId="77777777" w:rsidR="00067750" w:rsidRPr="004F30BD" w:rsidRDefault="00067750" w:rsidP="00D46872">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77</w:t>
            </w:r>
          </w:p>
        </w:tc>
        <w:tc>
          <w:tcPr>
            <w:tcW w:w="1350" w:type="dxa"/>
            <w:tcBorders>
              <w:top w:val="nil"/>
              <w:left w:val="nil"/>
              <w:bottom w:val="nil"/>
              <w:right w:val="nil"/>
            </w:tcBorders>
            <w:shd w:val="clear" w:color="000000" w:fill="D9D9D9"/>
            <w:vAlign w:val="center"/>
            <w:hideMark/>
          </w:tcPr>
          <w:p w14:paraId="03BC1312" w14:textId="77777777" w:rsidR="00067750" w:rsidRPr="004F30BD" w:rsidRDefault="00067750" w:rsidP="00D46872">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67</w:t>
            </w:r>
          </w:p>
        </w:tc>
      </w:tr>
      <w:tr w:rsidR="00067750" w:rsidRPr="004F30BD" w14:paraId="0BFF256B" w14:textId="77777777" w:rsidTr="00D46872">
        <w:trPr>
          <w:trHeight w:val="450"/>
        </w:trPr>
        <w:tc>
          <w:tcPr>
            <w:tcW w:w="4500" w:type="dxa"/>
            <w:tcBorders>
              <w:top w:val="nil"/>
              <w:left w:val="nil"/>
              <w:bottom w:val="single" w:sz="4" w:space="0" w:color="auto"/>
              <w:right w:val="nil"/>
            </w:tcBorders>
            <w:shd w:val="clear" w:color="auto" w:fill="auto"/>
            <w:vAlign w:val="center"/>
            <w:hideMark/>
          </w:tcPr>
          <w:p w14:paraId="302A90BA" w14:textId="77777777" w:rsidR="00067750" w:rsidRPr="004F30BD" w:rsidRDefault="00067750" w:rsidP="00D46872">
            <w:pPr>
              <w:spacing w:before="40" w:after="40" w:line="240" w:lineRule="auto"/>
              <w:ind w:right="0"/>
              <w:rPr>
                <w:rFonts w:eastAsia="Times New Roman" w:cs="Calibri"/>
                <w:color w:val="000000"/>
                <w:szCs w:val="16"/>
                <w:lang w:eastAsia="en-AU"/>
              </w:rPr>
            </w:pPr>
            <w:r w:rsidRPr="004F30BD">
              <w:rPr>
                <w:rFonts w:eastAsia="Times New Roman" w:cs="Calibri"/>
                <w:color w:val="000000"/>
                <w:szCs w:val="16"/>
                <w:lang w:eastAsia="en-AU"/>
              </w:rPr>
              <w:t>Regulatory activities: Having accountable regulatory process where decisions are justified openly</w:t>
            </w:r>
          </w:p>
        </w:tc>
        <w:tc>
          <w:tcPr>
            <w:tcW w:w="1350" w:type="dxa"/>
            <w:tcBorders>
              <w:top w:val="nil"/>
              <w:left w:val="nil"/>
              <w:bottom w:val="single" w:sz="4" w:space="0" w:color="auto"/>
              <w:right w:val="nil"/>
            </w:tcBorders>
            <w:shd w:val="clear" w:color="auto" w:fill="auto"/>
            <w:vAlign w:val="center"/>
            <w:hideMark/>
          </w:tcPr>
          <w:p w14:paraId="6BFF049D" w14:textId="77777777" w:rsidR="00067750" w:rsidRPr="004F30BD" w:rsidRDefault="00067750" w:rsidP="00D46872">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37</w:t>
            </w:r>
          </w:p>
        </w:tc>
        <w:tc>
          <w:tcPr>
            <w:tcW w:w="1350" w:type="dxa"/>
            <w:tcBorders>
              <w:top w:val="nil"/>
              <w:left w:val="nil"/>
              <w:bottom w:val="single" w:sz="4" w:space="0" w:color="auto"/>
              <w:right w:val="nil"/>
            </w:tcBorders>
            <w:shd w:val="clear" w:color="000000" w:fill="FFFF00"/>
            <w:vAlign w:val="center"/>
            <w:hideMark/>
          </w:tcPr>
          <w:p w14:paraId="3160DB18" w14:textId="77777777" w:rsidR="00067750" w:rsidRPr="004F30BD" w:rsidRDefault="00067750" w:rsidP="00D46872">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73</w:t>
            </w:r>
          </w:p>
        </w:tc>
        <w:tc>
          <w:tcPr>
            <w:tcW w:w="1350" w:type="dxa"/>
            <w:tcBorders>
              <w:top w:val="nil"/>
              <w:left w:val="nil"/>
              <w:bottom w:val="single" w:sz="4" w:space="0" w:color="auto"/>
              <w:right w:val="nil"/>
            </w:tcBorders>
            <w:shd w:val="clear" w:color="auto" w:fill="auto"/>
            <w:vAlign w:val="center"/>
            <w:hideMark/>
          </w:tcPr>
          <w:p w14:paraId="6BC1FC76" w14:textId="77777777" w:rsidR="00067750" w:rsidRPr="004F30BD" w:rsidRDefault="00067750" w:rsidP="00D46872">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58</w:t>
            </w:r>
          </w:p>
        </w:tc>
      </w:tr>
    </w:tbl>
    <w:p w14:paraId="564B38BC" w14:textId="77777777" w:rsidR="00067750" w:rsidRPr="004F30BD" w:rsidRDefault="00067750" w:rsidP="00067750">
      <w:pPr>
        <w:spacing w:before="0" w:line="240" w:lineRule="auto"/>
        <w:ind w:right="0"/>
        <w:rPr>
          <w:lang w:eastAsia="en-AU"/>
        </w:rPr>
      </w:pPr>
      <w:r w:rsidRPr="004F30BD">
        <w:rPr>
          <w:i/>
        </w:rPr>
        <w:t>^Some cell numbers (n counts) are very small so results should be interpreted with extreme caution.</w:t>
      </w:r>
    </w:p>
    <w:p w14:paraId="1ECC6D59" w14:textId="77777777" w:rsidR="00D46872" w:rsidRPr="004F30BD" w:rsidRDefault="00D46872" w:rsidP="00D46872">
      <w:pPr>
        <w:pStyle w:val="Heading2"/>
        <w:rPr>
          <w:lang w:eastAsia="en-AU"/>
        </w:rPr>
      </w:pPr>
      <w:bookmarkStart w:id="38" w:name="_Toc22298039"/>
      <w:r w:rsidRPr="004F30BD">
        <w:rPr>
          <w:lang w:eastAsia="en-AU"/>
        </w:rPr>
        <w:t>Category</w:t>
      </w:r>
      <w:bookmarkEnd w:id="38"/>
    </w:p>
    <w:p w14:paraId="238BBC23" w14:textId="53C0CAA9" w:rsidR="00D46872" w:rsidRPr="004F30BD" w:rsidRDefault="0095454A" w:rsidP="00725EED">
      <w:pPr>
        <w:spacing w:after="240"/>
      </w:pPr>
      <w:r w:rsidRPr="004F30BD">
        <w:t>For three of the four items w</w:t>
      </w:r>
      <w:r w:rsidR="00D46872" w:rsidRPr="004F30BD">
        <w:t xml:space="preserve">here there were differences, HEP </w:t>
      </w:r>
      <w:r w:rsidRPr="004F30BD">
        <w:t xml:space="preserve">had </w:t>
      </w:r>
      <w:r w:rsidR="00D46872" w:rsidRPr="004F30BD">
        <w:t xml:space="preserve">significantly higher ratings compared with Universities and prospective HEP </w:t>
      </w:r>
      <w:r w:rsidRPr="004F30BD">
        <w:t>provider</w:t>
      </w:r>
      <w:r w:rsidR="00725EED">
        <w:t>s</w:t>
      </w:r>
      <w:r w:rsidR="00D46872" w:rsidRPr="004F30BD">
        <w:t xml:space="preserve">, as displayed in the table below. However, </w:t>
      </w:r>
      <w:r w:rsidRPr="004F30BD">
        <w:t>u</w:t>
      </w:r>
      <w:r w:rsidR="00D46872" w:rsidRPr="004F30BD">
        <w:t xml:space="preserve">niversities rated TEQSA overall as a regulator significantly higher than </w:t>
      </w:r>
      <w:r w:rsidRPr="004F30BD">
        <w:t>the other two groups</w:t>
      </w:r>
      <w:r w:rsidR="00D46872" w:rsidRPr="004F30BD">
        <w:t>.</w:t>
      </w:r>
    </w:p>
    <w:p w14:paraId="42BD4529" w14:textId="77777777" w:rsidR="00D46872" w:rsidRPr="004F30BD" w:rsidRDefault="00D46872" w:rsidP="00D46872">
      <w:pPr>
        <w:spacing w:after="120"/>
        <w:rPr>
          <w:i/>
        </w:rPr>
      </w:pPr>
      <w:r w:rsidRPr="004F30BD">
        <w:rPr>
          <w:i/>
        </w:rPr>
        <w:t xml:space="preserve">Significantly higher results highlighted in </w:t>
      </w:r>
      <w:r w:rsidRPr="004F30BD">
        <w:rPr>
          <w:i/>
          <w:highlight w:val="yellow"/>
        </w:rPr>
        <w:t>yellow</w:t>
      </w:r>
      <w:r w:rsidRPr="004F30BD">
        <w:rPr>
          <w:i/>
        </w:rPr>
        <w:t>.</w:t>
      </w:r>
    </w:p>
    <w:tbl>
      <w:tblPr>
        <w:tblW w:w="8640" w:type="dxa"/>
        <w:tblLook w:val="04A0" w:firstRow="1" w:lastRow="0" w:firstColumn="1" w:lastColumn="0" w:noHBand="0" w:noVBand="1"/>
      </w:tblPr>
      <w:tblGrid>
        <w:gridCol w:w="4590"/>
        <w:gridCol w:w="1350"/>
        <w:gridCol w:w="1080"/>
        <w:gridCol w:w="1620"/>
      </w:tblGrid>
      <w:tr w:rsidR="0095454A" w:rsidRPr="004F30BD" w14:paraId="3D91DD91" w14:textId="77777777" w:rsidTr="0069565E">
        <w:trPr>
          <w:trHeight w:val="450"/>
          <w:tblHeader/>
        </w:trPr>
        <w:tc>
          <w:tcPr>
            <w:tcW w:w="4590" w:type="dxa"/>
            <w:vMerge w:val="restart"/>
            <w:tcBorders>
              <w:top w:val="nil"/>
              <w:left w:val="nil"/>
              <w:bottom w:val="nil"/>
              <w:right w:val="nil"/>
            </w:tcBorders>
            <w:shd w:val="clear" w:color="auto" w:fill="00386E"/>
            <w:vAlign w:val="center"/>
            <w:hideMark/>
          </w:tcPr>
          <w:p w14:paraId="72130371" w14:textId="77777777" w:rsidR="00D46872" w:rsidRPr="004F30BD" w:rsidRDefault="00D46872" w:rsidP="0095454A">
            <w:pPr>
              <w:spacing w:before="40" w:after="40" w:line="240" w:lineRule="auto"/>
              <w:ind w:right="0"/>
              <w:rPr>
                <w:rFonts w:eastAsia="Times New Roman" w:cs="Calibri"/>
                <w:color w:val="FFFFFF"/>
                <w:szCs w:val="18"/>
                <w:lang w:eastAsia="en-AU"/>
              </w:rPr>
            </w:pPr>
            <w:r w:rsidRPr="004F30BD">
              <w:rPr>
                <w:rFonts w:eastAsia="Times New Roman" w:cs="Calibri"/>
                <w:color w:val="FFFFFF"/>
                <w:szCs w:val="18"/>
                <w:lang w:eastAsia="en-AU"/>
              </w:rPr>
              <w:t>SIGNIFICANTLY DIFFERENT ITEMS</w:t>
            </w:r>
            <w:r w:rsidRPr="004F30BD">
              <w:rPr>
                <w:rFonts w:eastAsia="Times New Roman" w:cs="Calibri"/>
                <w:color w:val="FFFFFF"/>
                <w:szCs w:val="18"/>
                <w:lang w:eastAsia="en-AU"/>
              </w:rPr>
              <w:br/>
              <w:t>TOPIC / ITEM</w:t>
            </w:r>
          </w:p>
        </w:tc>
        <w:tc>
          <w:tcPr>
            <w:tcW w:w="4050" w:type="dxa"/>
            <w:gridSpan w:val="3"/>
            <w:tcBorders>
              <w:top w:val="nil"/>
              <w:left w:val="nil"/>
              <w:bottom w:val="nil"/>
              <w:right w:val="nil"/>
            </w:tcBorders>
            <w:shd w:val="clear" w:color="auto" w:fill="00386E"/>
            <w:vAlign w:val="center"/>
            <w:hideMark/>
          </w:tcPr>
          <w:p w14:paraId="5E78062D" w14:textId="77777777" w:rsidR="00D46872" w:rsidRPr="004F30BD" w:rsidRDefault="00D46872" w:rsidP="0095454A">
            <w:pPr>
              <w:spacing w:before="40" w:after="40" w:line="240" w:lineRule="auto"/>
              <w:ind w:right="0"/>
              <w:jc w:val="center"/>
              <w:rPr>
                <w:rFonts w:eastAsia="Times New Roman" w:cs="Calibri"/>
                <w:color w:val="FFFFFF"/>
                <w:szCs w:val="18"/>
                <w:lang w:eastAsia="en-AU"/>
              </w:rPr>
            </w:pPr>
            <w:r w:rsidRPr="004F30BD">
              <w:rPr>
                <w:rFonts w:eastAsia="Times New Roman" w:cs="Calibri"/>
                <w:color w:val="FFFFFF"/>
                <w:szCs w:val="18"/>
                <w:lang w:eastAsia="en-AU"/>
              </w:rPr>
              <w:t>CATEGORY</w:t>
            </w:r>
            <w:r w:rsidR="0095454A" w:rsidRPr="004F30BD">
              <w:rPr>
                <w:rFonts w:eastAsia="Times New Roman" w:cs="Calibri"/>
                <w:color w:val="FFFFFF"/>
                <w:szCs w:val="18"/>
                <w:lang w:eastAsia="en-AU"/>
              </w:rPr>
              <w:br/>
            </w:r>
            <w:r w:rsidRPr="004F30BD">
              <w:rPr>
                <w:rFonts w:eastAsia="Times New Roman" w:cs="Calibri"/>
                <w:color w:val="FFFFFF"/>
                <w:szCs w:val="18"/>
                <w:lang w:eastAsia="en-AU"/>
              </w:rPr>
              <w:t>TOP 2 SCORES (%)</w:t>
            </w:r>
          </w:p>
        </w:tc>
      </w:tr>
      <w:tr w:rsidR="0095454A" w:rsidRPr="004F30BD" w14:paraId="0C1D48A2" w14:textId="77777777" w:rsidTr="0069565E">
        <w:trPr>
          <w:trHeight w:val="584"/>
          <w:tblHeader/>
        </w:trPr>
        <w:tc>
          <w:tcPr>
            <w:tcW w:w="4590" w:type="dxa"/>
            <w:vMerge/>
            <w:tcBorders>
              <w:top w:val="nil"/>
              <w:left w:val="nil"/>
              <w:bottom w:val="nil"/>
              <w:right w:val="nil"/>
            </w:tcBorders>
            <w:shd w:val="clear" w:color="auto" w:fill="0F243E" w:themeFill="text2" w:themeFillShade="80"/>
            <w:vAlign w:val="center"/>
            <w:hideMark/>
          </w:tcPr>
          <w:p w14:paraId="1FEDC8C3" w14:textId="77777777" w:rsidR="00D46872" w:rsidRPr="004F30BD" w:rsidRDefault="00D46872" w:rsidP="0095454A">
            <w:pPr>
              <w:spacing w:before="40" w:after="40" w:line="240" w:lineRule="auto"/>
              <w:ind w:right="0"/>
              <w:rPr>
                <w:rFonts w:eastAsia="Times New Roman" w:cs="Calibri"/>
                <w:color w:val="FFFFFF"/>
                <w:szCs w:val="18"/>
                <w:lang w:eastAsia="en-AU"/>
              </w:rPr>
            </w:pPr>
          </w:p>
        </w:tc>
        <w:tc>
          <w:tcPr>
            <w:tcW w:w="1350" w:type="dxa"/>
            <w:tcBorders>
              <w:top w:val="nil"/>
              <w:left w:val="nil"/>
              <w:bottom w:val="nil"/>
              <w:right w:val="nil"/>
            </w:tcBorders>
            <w:shd w:val="clear" w:color="auto" w:fill="00386E"/>
            <w:vAlign w:val="center"/>
            <w:hideMark/>
          </w:tcPr>
          <w:p w14:paraId="003BA674" w14:textId="77777777" w:rsidR="00D46872" w:rsidRPr="004F30BD" w:rsidRDefault="00D46872" w:rsidP="0095454A">
            <w:pPr>
              <w:spacing w:before="40" w:after="40" w:line="240" w:lineRule="auto"/>
              <w:ind w:right="0"/>
              <w:jc w:val="center"/>
              <w:rPr>
                <w:rFonts w:eastAsia="Times New Roman" w:cs="Calibri"/>
                <w:color w:val="FFFFFF"/>
                <w:szCs w:val="18"/>
                <w:lang w:eastAsia="en-AU"/>
              </w:rPr>
            </w:pPr>
            <w:r w:rsidRPr="004F30BD">
              <w:rPr>
                <w:rFonts w:eastAsia="Times New Roman" w:cs="Calibri"/>
                <w:color w:val="FFFFFF"/>
                <w:szCs w:val="18"/>
                <w:lang w:eastAsia="en-AU"/>
              </w:rPr>
              <w:t>University^</w:t>
            </w:r>
            <w:r w:rsidRPr="004F30BD">
              <w:rPr>
                <w:rFonts w:eastAsia="Times New Roman" w:cs="Calibri"/>
                <w:color w:val="FFFFFF"/>
                <w:szCs w:val="18"/>
                <w:lang w:eastAsia="en-AU"/>
              </w:rPr>
              <w:br/>
              <w:t>max n=35</w:t>
            </w:r>
          </w:p>
        </w:tc>
        <w:tc>
          <w:tcPr>
            <w:tcW w:w="1080" w:type="dxa"/>
            <w:tcBorders>
              <w:top w:val="nil"/>
              <w:left w:val="nil"/>
              <w:bottom w:val="nil"/>
              <w:right w:val="nil"/>
            </w:tcBorders>
            <w:shd w:val="clear" w:color="auto" w:fill="00386E"/>
            <w:vAlign w:val="center"/>
            <w:hideMark/>
          </w:tcPr>
          <w:p w14:paraId="0B6D59CE" w14:textId="77777777" w:rsidR="00D46872" w:rsidRPr="004F30BD" w:rsidRDefault="00D46872" w:rsidP="0095454A">
            <w:pPr>
              <w:spacing w:before="40" w:after="40" w:line="240" w:lineRule="auto"/>
              <w:ind w:right="0"/>
              <w:jc w:val="center"/>
              <w:rPr>
                <w:rFonts w:eastAsia="Times New Roman" w:cs="Calibri"/>
                <w:color w:val="FFFFFF"/>
                <w:szCs w:val="18"/>
                <w:lang w:eastAsia="en-AU"/>
              </w:rPr>
            </w:pPr>
            <w:r w:rsidRPr="004F30BD">
              <w:rPr>
                <w:rFonts w:eastAsia="Times New Roman" w:cs="Calibri"/>
                <w:color w:val="FFFFFF"/>
                <w:szCs w:val="18"/>
                <w:lang w:eastAsia="en-AU"/>
              </w:rPr>
              <w:t>HEP</w:t>
            </w:r>
            <w:r w:rsidR="0095454A" w:rsidRPr="004F30BD">
              <w:rPr>
                <w:rFonts w:eastAsia="Times New Roman" w:cs="Calibri"/>
                <w:color w:val="FFFFFF"/>
                <w:szCs w:val="18"/>
                <w:lang w:eastAsia="en-AU"/>
              </w:rPr>
              <w:t>*</w:t>
            </w:r>
            <w:r w:rsidRPr="004F30BD">
              <w:rPr>
                <w:rFonts w:eastAsia="Times New Roman" w:cs="Calibri"/>
                <w:color w:val="FFFFFF"/>
                <w:szCs w:val="18"/>
                <w:lang w:eastAsia="en-AU"/>
              </w:rPr>
              <w:br/>
              <w:t>max n=89</w:t>
            </w:r>
          </w:p>
        </w:tc>
        <w:tc>
          <w:tcPr>
            <w:tcW w:w="1620" w:type="dxa"/>
            <w:tcBorders>
              <w:top w:val="nil"/>
              <w:left w:val="nil"/>
              <w:bottom w:val="nil"/>
              <w:right w:val="nil"/>
            </w:tcBorders>
            <w:shd w:val="clear" w:color="auto" w:fill="00386E"/>
            <w:vAlign w:val="center"/>
            <w:hideMark/>
          </w:tcPr>
          <w:p w14:paraId="7D1AE703" w14:textId="77777777" w:rsidR="00D46872" w:rsidRPr="004F30BD" w:rsidRDefault="00D46872" w:rsidP="0095454A">
            <w:pPr>
              <w:spacing w:before="40" w:after="40" w:line="240" w:lineRule="auto"/>
              <w:ind w:right="0"/>
              <w:jc w:val="center"/>
              <w:rPr>
                <w:rFonts w:eastAsia="Times New Roman" w:cs="Calibri"/>
                <w:color w:val="FFFFFF"/>
                <w:szCs w:val="18"/>
                <w:lang w:eastAsia="en-AU"/>
              </w:rPr>
            </w:pPr>
            <w:r w:rsidRPr="004F30BD">
              <w:rPr>
                <w:rFonts w:eastAsia="Times New Roman" w:cs="Calibri"/>
                <w:color w:val="FFFFFF"/>
                <w:szCs w:val="18"/>
                <w:lang w:eastAsia="en-AU"/>
              </w:rPr>
              <w:t>Prospective HEP</w:t>
            </w:r>
            <w:r w:rsidRPr="004F30BD">
              <w:rPr>
                <w:rFonts w:eastAsia="Times New Roman" w:cs="Calibri"/>
                <w:color w:val="FFFFFF"/>
                <w:szCs w:val="18"/>
                <w:lang w:eastAsia="en-AU"/>
              </w:rPr>
              <w:br/>
              <w:t>max n=15</w:t>
            </w:r>
          </w:p>
        </w:tc>
      </w:tr>
      <w:tr w:rsidR="0095454A" w:rsidRPr="004F30BD" w14:paraId="4E0C6216" w14:textId="77777777" w:rsidTr="0095454A">
        <w:trPr>
          <w:trHeight w:val="300"/>
        </w:trPr>
        <w:tc>
          <w:tcPr>
            <w:tcW w:w="4590" w:type="dxa"/>
            <w:tcBorders>
              <w:top w:val="nil"/>
              <w:left w:val="nil"/>
              <w:bottom w:val="nil"/>
              <w:right w:val="nil"/>
            </w:tcBorders>
            <w:shd w:val="clear" w:color="000000" w:fill="FFFFFF"/>
            <w:vAlign w:val="center"/>
            <w:hideMark/>
          </w:tcPr>
          <w:p w14:paraId="5A781E6E" w14:textId="77777777" w:rsidR="00D46872" w:rsidRPr="004F30BD" w:rsidRDefault="00D46872" w:rsidP="0095454A">
            <w:pPr>
              <w:spacing w:before="40" w:after="40" w:line="240" w:lineRule="auto"/>
              <w:ind w:right="0"/>
              <w:rPr>
                <w:rFonts w:eastAsia="Times New Roman" w:cs="Calibri"/>
                <w:color w:val="000000"/>
                <w:szCs w:val="16"/>
                <w:lang w:eastAsia="en-AU"/>
              </w:rPr>
            </w:pPr>
            <w:r w:rsidRPr="004F30BD">
              <w:rPr>
                <w:rFonts w:eastAsia="Times New Roman" w:cs="Calibri"/>
                <w:color w:val="000000"/>
                <w:szCs w:val="16"/>
                <w:lang w:eastAsia="en-AU"/>
              </w:rPr>
              <w:t>Application process: Clarity of the application guide</w:t>
            </w:r>
          </w:p>
        </w:tc>
        <w:tc>
          <w:tcPr>
            <w:tcW w:w="1350" w:type="dxa"/>
            <w:tcBorders>
              <w:top w:val="nil"/>
              <w:left w:val="nil"/>
              <w:bottom w:val="nil"/>
              <w:right w:val="nil"/>
            </w:tcBorders>
            <w:shd w:val="clear" w:color="000000" w:fill="FFFFFF"/>
            <w:vAlign w:val="center"/>
            <w:hideMark/>
          </w:tcPr>
          <w:p w14:paraId="4D3448E9" w14:textId="77777777" w:rsidR="00D46872" w:rsidRPr="004F30BD" w:rsidRDefault="00D46872" w:rsidP="0095454A">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60</w:t>
            </w:r>
          </w:p>
        </w:tc>
        <w:tc>
          <w:tcPr>
            <w:tcW w:w="1080" w:type="dxa"/>
            <w:tcBorders>
              <w:top w:val="nil"/>
              <w:left w:val="nil"/>
              <w:bottom w:val="nil"/>
              <w:right w:val="nil"/>
            </w:tcBorders>
            <w:shd w:val="clear" w:color="000000" w:fill="FFFF00"/>
            <w:vAlign w:val="center"/>
            <w:hideMark/>
          </w:tcPr>
          <w:p w14:paraId="69DE0283" w14:textId="77777777" w:rsidR="00D46872" w:rsidRPr="004F30BD" w:rsidRDefault="00D46872" w:rsidP="0095454A">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89</w:t>
            </w:r>
          </w:p>
        </w:tc>
        <w:tc>
          <w:tcPr>
            <w:tcW w:w="1620" w:type="dxa"/>
            <w:tcBorders>
              <w:top w:val="nil"/>
              <w:left w:val="nil"/>
              <w:bottom w:val="nil"/>
              <w:right w:val="nil"/>
            </w:tcBorders>
            <w:shd w:val="clear" w:color="000000" w:fill="FFFFFF"/>
            <w:vAlign w:val="center"/>
            <w:hideMark/>
          </w:tcPr>
          <w:p w14:paraId="05133CB3" w14:textId="77777777" w:rsidR="00D46872" w:rsidRPr="004F30BD" w:rsidRDefault="00D46872" w:rsidP="0095454A">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67</w:t>
            </w:r>
          </w:p>
        </w:tc>
      </w:tr>
      <w:tr w:rsidR="0095454A" w:rsidRPr="004F30BD" w14:paraId="531F6EF8" w14:textId="77777777" w:rsidTr="0095454A">
        <w:trPr>
          <w:trHeight w:val="450"/>
        </w:trPr>
        <w:tc>
          <w:tcPr>
            <w:tcW w:w="4590" w:type="dxa"/>
            <w:tcBorders>
              <w:top w:val="nil"/>
              <w:left w:val="nil"/>
              <w:bottom w:val="nil"/>
              <w:right w:val="nil"/>
            </w:tcBorders>
            <w:shd w:val="clear" w:color="000000" w:fill="D9D9D9"/>
            <w:vAlign w:val="center"/>
            <w:hideMark/>
          </w:tcPr>
          <w:p w14:paraId="4C1BD5A3" w14:textId="77777777" w:rsidR="00D46872" w:rsidRPr="004F30BD" w:rsidRDefault="00D46872" w:rsidP="0095454A">
            <w:pPr>
              <w:spacing w:before="40" w:after="40" w:line="240" w:lineRule="auto"/>
              <w:ind w:right="0"/>
              <w:rPr>
                <w:rFonts w:eastAsia="Times New Roman" w:cs="Calibri"/>
                <w:color w:val="000000"/>
                <w:szCs w:val="16"/>
                <w:lang w:eastAsia="en-AU"/>
              </w:rPr>
            </w:pPr>
            <w:r w:rsidRPr="004F30BD">
              <w:rPr>
                <w:rFonts w:eastAsia="Times New Roman" w:cs="Calibri"/>
                <w:color w:val="000000"/>
                <w:szCs w:val="16"/>
                <w:lang w:eastAsia="en-AU"/>
              </w:rPr>
              <w:t>Application process: Clarity of assessment scope and evidence requirements</w:t>
            </w:r>
          </w:p>
        </w:tc>
        <w:tc>
          <w:tcPr>
            <w:tcW w:w="1350" w:type="dxa"/>
            <w:tcBorders>
              <w:top w:val="nil"/>
              <w:left w:val="nil"/>
              <w:bottom w:val="nil"/>
              <w:right w:val="nil"/>
            </w:tcBorders>
            <w:shd w:val="clear" w:color="000000" w:fill="D9D9D9"/>
            <w:vAlign w:val="center"/>
            <w:hideMark/>
          </w:tcPr>
          <w:p w14:paraId="62DF9A6A" w14:textId="77777777" w:rsidR="00D46872" w:rsidRPr="004F30BD" w:rsidRDefault="00D46872" w:rsidP="0095454A">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64</w:t>
            </w:r>
          </w:p>
        </w:tc>
        <w:tc>
          <w:tcPr>
            <w:tcW w:w="1080" w:type="dxa"/>
            <w:tcBorders>
              <w:top w:val="nil"/>
              <w:left w:val="nil"/>
              <w:bottom w:val="nil"/>
              <w:right w:val="nil"/>
            </w:tcBorders>
            <w:shd w:val="clear" w:color="000000" w:fill="FFFF00"/>
            <w:vAlign w:val="center"/>
            <w:hideMark/>
          </w:tcPr>
          <w:p w14:paraId="3733CA4C" w14:textId="77777777" w:rsidR="00D46872" w:rsidRPr="004F30BD" w:rsidRDefault="00D46872" w:rsidP="0095454A">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83</w:t>
            </w:r>
          </w:p>
        </w:tc>
        <w:tc>
          <w:tcPr>
            <w:tcW w:w="1620" w:type="dxa"/>
            <w:tcBorders>
              <w:top w:val="nil"/>
              <w:left w:val="nil"/>
              <w:bottom w:val="nil"/>
              <w:right w:val="nil"/>
            </w:tcBorders>
            <w:shd w:val="clear" w:color="000000" w:fill="D9D9D9"/>
            <w:vAlign w:val="center"/>
            <w:hideMark/>
          </w:tcPr>
          <w:p w14:paraId="58E48DC4" w14:textId="77777777" w:rsidR="00D46872" w:rsidRPr="004F30BD" w:rsidRDefault="00D46872" w:rsidP="0095454A">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50</w:t>
            </w:r>
          </w:p>
        </w:tc>
      </w:tr>
      <w:tr w:rsidR="0095454A" w:rsidRPr="004F30BD" w14:paraId="1F54C5E6" w14:textId="77777777" w:rsidTr="0095454A">
        <w:trPr>
          <w:trHeight w:val="450"/>
        </w:trPr>
        <w:tc>
          <w:tcPr>
            <w:tcW w:w="4590" w:type="dxa"/>
            <w:tcBorders>
              <w:top w:val="nil"/>
              <w:left w:val="nil"/>
              <w:bottom w:val="nil"/>
              <w:right w:val="nil"/>
            </w:tcBorders>
            <w:shd w:val="clear" w:color="auto" w:fill="auto"/>
            <w:vAlign w:val="center"/>
            <w:hideMark/>
          </w:tcPr>
          <w:p w14:paraId="77F106F8" w14:textId="77777777" w:rsidR="00D46872" w:rsidRPr="004F30BD" w:rsidRDefault="00D46872" w:rsidP="0095454A">
            <w:pPr>
              <w:spacing w:before="40" w:after="40" w:line="240" w:lineRule="auto"/>
              <w:ind w:right="0"/>
              <w:rPr>
                <w:rFonts w:eastAsia="Times New Roman" w:cs="Calibri"/>
                <w:color w:val="000000"/>
                <w:szCs w:val="16"/>
                <w:lang w:eastAsia="en-AU"/>
              </w:rPr>
            </w:pPr>
            <w:r w:rsidRPr="004F30BD">
              <w:rPr>
                <w:rFonts w:eastAsia="Times New Roman" w:cs="Calibri"/>
                <w:color w:val="000000"/>
                <w:szCs w:val="16"/>
                <w:lang w:eastAsia="en-AU"/>
              </w:rPr>
              <w:t>Regulatory decisions: Providing opportunities to address matters relevant to regulatory decision, prior to final decision</w:t>
            </w:r>
          </w:p>
        </w:tc>
        <w:tc>
          <w:tcPr>
            <w:tcW w:w="1350" w:type="dxa"/>
            <w:tcBorders>
              <w:top w:val="nil"/>
              <w:left w:val="nil"/>
              <w:bottom w:val="nil"/>
              <w:right w:val="nil"/>
            </w:tcBorders>
            <w:shd w:val="clear" w:color="auto" w:fill="auto"/>
            <w:vAlign w:val="center"/>
            <w:hideMark/>
          </w:tcPr>
          <w:p w14:paraId="74A540FE" w14:textId="77777777" w:rsidR="00D46872" w:rsidRPr="004F30BD" w:rsidRDefault="00D46872" w:rsidP="0095454A">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50</w:t>
            </w:r>
          </w:p>
        </w:tc>
        <w:tc>
          <w:tcPr>
            <w:tcW w:w="1080" w:type="dxa"/>
            <w:tcBorders>
              <w:top w:val="nil"/>
              <w:left w:val="nil"/>
              <w:bottom w:val="nil"/>
              <w:right w:val="nil"/>
            </w:tcBorders>
            <w:shd w:val="clear" w:color="000000" w:fill="FFFF00"/>
            <w:vAlign w:val="center"/>
            <w:hideMark/>
          </w:tcPr>
          <w:p w14:paraId="02BB3581" w14:textId="77777777" w:rsidR="00D46872" w:rsidRPr="004F30BD" w:rsidRDefault="00D46872" w:rsidP="0095454A">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85</w:t>
            </w:r>
          </w:p>
        </w:tc>
        <w:tc>
          <w:tcPr>
            <w:tcW w:w="1620" w:type="dxa"/>
            <w:tcBorders>
              <w:top w:val="nil"/>
              <w:left w:val="nil"/>
              <w:bottom w:val="nil"/>
              <w:right w:val="nil"/>
            </w:tcBorders>
            <w:shd w:val="clear" w:color="auto" w:fill="auto"/>
            <w:vAlign w:val="center"/>
            <w:hideMark/>
          </w:tcPr>
          <w:p w14:paraId="6300589F" w14:textId="77777777" w:rsidR="00D46872" w:rsidRPr="004F30BD" w:rsidRDefault="00D46872" w:rsidP="0095454A">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33</w:t>
            </w:r>
          </w:p>
        </w:tc>
      </w:tr>
      <w:tr w:rsidR="0095454A" w:rsidRPr="004F30BD" w14:paraId="080F4789" w14:textId="77777777" w:rsidTr="0095454A">
        <w:trPr>
          <w:trHeight w:val="300"/>
        </w:trPr>
        <w:tc>
          <w:tcPr>
            <w:tcW w:w="4590" w:type="dxa"/>
            <w:tcBorders>
              <w:top w:val="nil"/>
              <w:left w:val="nil"/>
              <w:bottom w:val="single" w:sz="4" w:space="0" w:color="auto"/>
              <w:right w:val="nil"/>
            </w:tcBorders>
            <w:shd w:val="clear" w:color="000000" w:fill="D9D9D9"/>
            <w:vAlign w:val="center"/>
            <w:hideMark/>
          </w:tcPr>
          <w:p w14:paraId="1238D5E2" w14:textId="77777777" w:rsidR="00D46872" w:rsidRPr="004F30BD" w:rsidRDefault="00D46872" w:rsidP="0095454A">
            <w:pPr>
              <w:spacing w:before="40" w:after="40" w:line="240" w:lineRule="auto"/>
              <w:ind w:right="0"/>
              <w:rPr>
                <w:rFonts w:eastAsia="Times New Roman" w:cs="Calibri"/>
                <w:color w:val="000000"/>
                <w:szCs w:val="16"/>
                <w:lang w:eastAsia="en-AU"/>
              </w:rPr>
            </w:pPr>
            <w:r w:rsidRPr="004F30BD">
              <w:rPr>
                <w:rFonts w:eastAsia="Times New Roman" w:cs="Calibri"/>
                <w:color w:val="000000"/>
                <w:szCs w:val="16"/>
                <w:lang w:eastAsia="en-AU"/>
              </w:rPr>
              <w:t>Overall: TEQSA's performance as a regulator</w:t>
            </w:r>
          </w:p>
        </w:tc>
        <w:tc>
          <w:tcPr>
            <w:tcW w:w="1350" w:type="dxa"/>
            <w:tcBorders>
              <w:top w:val="nil"/>
              <w:left w:val="nil"/>
              <w:bottom w:val="single" w:sz="4" w:space="0" w:color="auto"/>
              <w:right w:val="nil"/>
            </w:tcBorders>
            <w:shd w:val="clear" w:color="000000" w:fill="FFFF00"/>
            <w:vAlign w:val="center"/>
            <w:hideMark/>
          </w:tcPr>
          <w:p w14:paraId="297203F6" w14:textId="77777777" w:rsidR="00D46872" w:rsidRPr="004F30BD" w:rsidRDefault="00D46872" w:rsidP="0095454A">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88</w:t>
            </w:r>
          </w:p>
        </w:tc>
        <w:tc>
          <w:tcPr>
            <w:tcW w:w="1080" w:type="dxa"/>
            <w:tcBorders>
              <w:top w:val="nil"/>
              <w:left w:val="nil"/>
              <w:bottom w:val="single" w:sz="4" w:space="0" w:color="auto"/>
              <w:right w:val="nil"/>
            </w:tcBorders>
            <w:shd w:val="clear" w:color="000000" w:fill="D9D9D9"/>
            <w:vAlign w:val="center"/>
            <w:hideMark/>
          </w:tcPr>
          <w:p w14:paraId="160ECB70" w14:textId="77777777" w:rsidR="00D46872" w:rsidRPr="004F30BD" w:rsidRDefault="00D46872" w:rsidP="0095454A">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74</w:t>
            </w:r>
          </w:p>
        </w:tc>
        <w:tc>
          <w:tcPr>
            <w:tcW w:w="1620" w:type="dxa"/>
            <w:tcBorders>
              <w:top w:val="nil"/>
              <w:left w:val="nil"/>
              <w:bottom w:val="single" w:sz="4" w:space="0" w:color="auto"/>
              <w:right w:val="nil"/>
            </w:tcBorders>
            <w:shd w:val="clear" w:color="000000" w:fill="D9D9D9"/>
            <w:vAlign w:val="center"/>
            <w:hideMark/>
          </w:tcPr>
          <w:p w14:paraId="509F3DB6" w14:textId="77777777" w:rsidR="00D46872" w:rsidRPr="004F30BD" w:rsidRDefault="00D46872" w:rsidP="0095454A">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57</w:t>
            </w:r>
          </w:p>
        </w:tc>
      </w:tr>
    </w:tbl>
    <w:p w14:paraId="4D381322" w14:textId="77777777" w:rsidR="00D46872" w:rsidRPr="004F30BD" w:rsidRDefault="00D46872" w:rsidP="0095454A">
      <w:pPr>
        <w:rPr>
          <w:i/>
        </w:rPr>
      </w:pPr>
      <w:r w:rsidRPr="004F30BD">
        <w:rPr>
          <w:i/>
        </w:rPr>
        <w:lastRenderedPageBreak/>
        <w:t>Total n varies by item because not all respondents were eligible to answer all questions. The maximum possible n is displayed in the table header.</w:t>
      </w:r>
    </w:p>
    <w:p w14:paraId="7B42DA50" w14:textId="77777777" w:rsidR="00D46872" w:rsidRPr="004F30BD" w:rsidRDefault="00D46872" w:rsidP="00D46872">
      <w:pPr>
        <w:spacing w:before="60"/>
        <w:ind w:right="0"/>
        <w:rPr>
          <w:i/>
          <w:color w:val="000000" w:themeColor="text1"/>
          <w:kern w:val="32"/>
          <w:szCs w:val="16"/>
        </w:rPr>
      </w:pPr>
      <w:r w:rsidRPr="004F30BD">
        <w:rPr>
          <w:i/>
          <w:color w:val="000000" w:themeColor="text1"/>
          <w:kern w:val="32"/>
          <w:szCs w:val="16"/>
        </w:rPr>
        <w:t>^ includes Australian university, Australian university of specialisation and overseas university</w:t>
      </w:r>
    </w:p>
    <w:p w14:paraId="4EBE1C88" w14:textId="77777777" w:rsidR="00D46872" w:rsidRPr="004F30BD" w:rsidRDefault="0095454A" w:rsidP="00D46872">
      <w:pPr>
        <w:spacing w:before="60"/>
        <w:ind w:right="0"/>
        <w:rPr>
          <w:i/>
          <w:color w:val="000000" w:themeColor="text1"/>
          <w:kern w:val="32"/>
          <w:szCs w:val="16"/>
        </w:rPr>
      </w:pPr>
      <w:r w:rsidRPr="004F30BD">
        <w:rPr>
          <w:i/>
          <w:color w:val="000000" w:themeColor="text1"/>
          <w:kern w:val="32"/>
          <w:szCs w:val="16"/>
        </w:rPr>
        <w:t>*</w:t>
      </w:r>
      <w:r w:rsidR="00D46872" w:rsidRPr="004F30BD">
        <w:rPr>
          <w:i/>
          <w:color w:val="000000" w:themeColor="text1"/>
          <w:kern w:val="32"/>
          <w:szCs w:val="16"/>
        </w:rPr>
        <w:t>HEP</w:t>
      </w:r>
      <w:r w:rsidRPr="004F30BD">
        <w:rPr>
          <w:i/>
          <w:color w:val="000000" w:themeColor="text1"/>
          <w:kern w:val="32"/>
          <w:szCs w:val="16"/>
        </w:rPr>
        <w:t>=</w:t>
      </w:r>
      <w:r w:rsidR="00D46872" w:rsidRPr="004F30BD">
        <w:rPr>
          <w:i/>
          <w:color w:val="000000" w:themeColor="text1"/>
          <w:kern w:val="32"/>
          <w:szCs w:val="16"/>
        </w:rPr>
        <w:t>Higher Education Provider</w:t>
      </w:r>
    </w:p>
    <w:p w14:paraId="6E5975C7" w14:textId="77777777" w:rsidR="0095454A" w:rsidRPr="004F30BD" w:rsidRDefault="0095454A" w:rsidP="0095454A">
      <w:pPr>
        <w:pStyle w:val="Heading2"/>
        <w:rPr>
          <w:lang w:eastAsia="en-AU"/>
        </w:rPr>
      </w:pPr>
      <w:bookmarkStart w:id="39" w:name="_Toc22298040"/>
      <w:r w:rsidRPr="004F30BD">
        <w:rPr>
          <w:lang w:eastAsia="en-AU"/>
        </w:rPr>
        <w:t>Registered Training Organisation (RTO) activity</w:t>
      </w:r>
      <w:bookmarkEnd w:id="39"/>
    </w:p>
    <w:p w14:paraId="79085477" w14:textId="523A5941" w:rsidR="0095454A" w:rsidRPr="004F30BD" w:rsidRDefault="00B0628E" w:rsidP="00725EED">
      <w:pPr>
        <w:spacing w:after="240"/>
      </w:pPr>
      <w:r>
        <w:rPr>
          <w:lang w:eastAsia="en-AU"/>
        </w:rPr>
        <w:t xml:space="preserve">Providers that only deliver </w:t>
      </w:r>
      <w:r w:rsidR="00725EED">
        <w:rPr>
          <w:lang w:eastAsia="en-AU"/>
        </w:rPr>
        <w:t>higher education (Non-active RTO in the table below)</w:t>
      </w:r>
      <w:r>
        <w:rPr>
          <w:lang w:eastAsia="en-AU"/>
        </w:rPr>
        <w:t xml:space="preserve"> </w:t>
      </w:r>
      <w:r w:rsidR="0095454A" w:rsidRPr="004F30BD">
        <w:rPr>
          <w:lang w:eastAsia="en-AU"/>
        </w:rPr>
        <w:t xml:space="preserve">rated three items higher than </w:t>
      </w:r>
      <w:r>
        <w:rPr>
          <w:lang w:eastAsia="en-AU"/>
        </w:rPr>
        <w:t>dual sector</w:t>
      </w:r>
      <w:r w:rsidR="0095454A" w:rsidRPr="004F30BD">
        <w:rPr>
          <w:lang w:eastAsia="en-AU"/>
        </w:rPr>
        <w:t xml:space="preserve"> providers. Refer to the table below.</w:t>
      </w:r>
    </w:p>
    <w:p w14:paraId="4F9D5F20" w14:textId="77777777" w:rsidR="0095454A" w:rsidRPr="004F30BD" w:rsidRDefault="0095454A" w:rsidP="0095454A">
      <w:pPr>
        <w:spacing w:after="120"/>
        <w:rPr>
          <w:i/>
          <w:highlight w:val="yellow"/>
        </w:rPr>
      </w:pPr>
      <w:r w:rsidRPr="004F30BD">
        <w:rPr>
          <w:i/>
        </w:rPr>
        <w:t xml:space="preserve">Significantly higher results highlighted in </w:t>
      </w:r>
      <w:r w:rsidRPr="004F30BD">
        <w:rPr>
          <w:i/>
          <w:highlight w:val="yellow"/>
        </w:rPr>
        <w:t>yellow.</w:t>
      </w:r>
    </w:p>
    <w:tbl>
      <w:tblPr>
        <w:tblW w:w="8640" w:type="dxa"/>
        <w:tblLook w:val="04A0" w:firstRow="1" w:lastRow="0" w:firstColumn="1" w:lastColumn="0" w:noHBand="0" w:noVBand="1"/>
      </w:tblPr>
      <w:tblGrid>
        <w:gridCol w:w="5400"/>
        <w:gridCol w:w="1530"/>
        <w:gridCol w:w="1710"/>
      </w:tblGrid>
      <w:tr w:rsidR="0095454A" w:rsidRPr="004F30BD" w14:paraId="2589EC12" w14:textId="77777777" w:rsidTr="0095454A">
        <w:trPr>
          <w:trHeight w:val="450"/>
        </w:trPr>
        <w:tc>
          <w:tcPr>
            <w:tcW w:w="5400" w:type="dxa"/>
            <w:vMerge w:val="restart"/>
            <w:tcBorders>
              <w:top w:val="nil"/>
              <w:left w:val="nil"/>
              <w:bottom w:val="nil"/>
              <w:right w:val="nil"/>
            </w:tcBorders>
            <w:shd w:val="clear" w:color="auto" w:fill="00386E"/>
            <w:vAlign w:val="center"/>
            <w:hideMark/>
          </w:tcPr>
          <w:p w14:paraId="63573F3E" w14:textId="77777777" w:rsidR="0095454A" w:rsidRPr="004F30BD" w:rsidRDefault="0095454A" w:rsidP="0095454A">
            <w:pPr>
              <w:spacing w:before="40" w:after="40" w:line="240" w:lineRule="auto"/>
              <w:ind w:right="0"/>
              <w:rPr>
                <w:rFonts w:eastAsia="Times New Roman" w:cs="Calibri"/>
                <w:color w:val="FFFFFF"/>
                <w:szCs w:val="18"/>
                <w:lang w:eastAsia="en-AU"/>
              </w:rPr>
            </w:pPr>
            <w:r w:rsidRPr="004F30BD">
              <w:rPr>
                <w:rFonts w:eastAsia="Times New Roman" w:cs="Calibri"/>
                <w:color w:val="FFFFFF"/>
                <w:szCs w:val="18"/>
                <w:lang w:eastAsia="en-AU"/>
              </w:rPr>
              <w:t>SIGNIFICANTLY DIFFERENT ITEMS</w:t>
            </w:r>
            <w:r w:rsidRPr="004F30BD">
              <w:rPr>
                <w:rFonts w:eastAsia="Times New Roman" w:cs="Calibri"/>
                <w:color w:val="FFFFFF"/>
                <w:szCs w:val="18"/>
                <w:lang w:eastAsia="en-AU"/>
              </w:rPr>
              <w:br/>
              <w:t>TOPIC / ITEM</w:t>
            </w:r>
          </w:p>
        </w:tc>
        <w:tc>
          <w:tcPr>
            <w:tcW w:w="3240" w:type="dxa"/>
            <w:gridSpan w:val="2"/>
            <w:tcBorders>
              <w:top w:val="nil"/>
              <w:left w:val="nil"/>
              <w:bottom w:val="nil"/>
              <w:right w:val="nil"/>
            </w:tcBorders>
            <w:shd w:val="clear" w:color="auto" w:fill="00386E"/>
            <w:vAlign w:val="center"/>
            <w:hideMark/>
          </w:tcPr>
          <w:p w14:paraId="25220797" w14:textId="77777777" w:rsidR="0095454A" w:rsidRPr="004F30BD" w:rsidRDefault="0095454A" w:rsidP="0095454A">
            <w:pPr>
              <w:spacing w:before="40" w:after="40" w:line="240" w:lineRule="auto"/>
              <w:ind w:right="0"/>
              <w:jc w:val="center"/>
              <w:rPr>
                <w:rFonts w:eastAsia="Times New Roman" w:cs="Calibri"/>
                <w:color w:val="FFFFFF"/>
                <w:szCs w:val="18"/>
                <w:lang w:eastAsia="en-AU"/>
              </w:rPr>
            </w:pPr>
            <w:r w:rsidRPr="004F30BD">
              <w:rPr>
                <w:rFonts w:eastAsia="Times New Roman" w:cs="Calibri"/>
                <w:color w:val="FFFFFF"/>
                <w:szCs w:val="18"/>
                <w:lang w:eastAsia="en-AU"/>
              </w:rPr>
              <w:t>RTO ACTIVITY - TOP 2 SCORES (%)</w:t>
            </w:r>
          </w:p>
        </w:tc>
      </w:tr>
      <w:tr w:rsidR="0095454A" w:rsidRPr="004F30BD" w14:paraId="32ADDAD3" w14:textId="77777777" w:rsidTr="0095454A">
        <w:trPr>
          <w:trHeight w:val="675"/>
        </w:trPr>
        <w:tc>
          <w:tcPr>
            <w:tcW w:w="5400" w:type="dxa"/>
            <w:vMerge/>
            <w:tcBorders>
              <w:top w:val="nil"/>
              <w:left w:val="nil"/>
              <w:bottom w:val="nil"/>
              <w:right w:val="nil"/>
            </w:tcBorders>
            <w:shd w:val="clear" w:color="auto" w:fill="0F243E" w:themeFill="text2" w:themeFillShade="80"/>
            <w:vAlign w:val="center"/>
            <w:hideMark/>
          </w:tcPr>
          <w:p w14:paraId="37323B91" w14:textId="77777777" w:rsidR="0095454A" w:rsidRPr="004F30BD" w:rsidRDefault="0095454A" w:rsidP="0095454A">
            <w:pPr>
              <w:spacing w:before="40" w:after="40" w:line="240" w:lineRule="auto"/>
              <w:ind w:right="0"/>
              <w:rPr>
                <w:rFonts w:eastAsia="Times New Roman" w:cs="Calibri"/>
                <w:color w:val="FFFFFF"/>
                <w:szCs w:val="18"/>
                <w:lang w:eastAsia="en-AU"/>
              </w:rPr>
            </w:pPr>
          </w:p>
        </w:tc>
        <w:tc>
          <w:tcPr>
            <w:tcW w:w="1530" w:type="dxa"/>
            <w:tcBorders>
              <w:top w:val="nil"/>
              <w:left w:val="nil"/>
              <w:bottom w:val="nil"/>
              <w:right w:val="nil"/>
            </w:tcBorders>
            <w:shd w:val="clear" w:color="auto" w:fill="00386E"/>
            <w:vAlign w:val="center"/>
            <w:hideMark/>
          </w:tcPr>
          <w:p w14:paraId="1D23F907" w14:textId="77777777" w:rsidR="0095454A" w:rsidRPr="004F30BD" w:rsidRDefault="0095454A" w:rsidP="0095454A">
            <w:pPr>
              <w:spacing w:before="40" w:after="40" w:line="240" w:lineRule="auto"/>
              <w:ind w:right="0"/>
              <w:jc w:val="center"/>
              <w:rPr>
                <w:rFonts w:eastAsia="Times New Roman" w:cs="Calibri"/>
                <w:color w:val="FFFFFF"/>
                <w:szCs w:val="18"/>
                <w:lang w:eastAsia="en-AU"/>
              </w:rPr>
            </w:pPr>
            <w:r w:rsidRPr="004F30BD">
              <w:rPr>
                <w:rFonts w:eastAsia="Times New Roman" w:cs="Calibri"/>
                <w:color w:val="FFFFFF"/>
                <w:szCs w:val="18"/>
                <w:lang w:eastAsia="en-AU"/>
              </w:rPr>
              <w:t>Active RTO</w:t>
            </w:r>
            <w:r w:rsidRPr="004F30BD">
              <w:rPr>
                <w:rFonts w:eastAsia="Times New Roman" w:cs="Calibri"/>
                <w:color w:val="FFFFFF"/>
                <w:szCs w:val="18"/>
                <w:lang w:eastAsia="en-AU"/>
              </w:rPr>
              <w:br/>
              <w:t>max n=69</w:t>
            </w:r>
          </w:p>
        </w:tc>
        <w:tc>
          <w:tcPr>
            <w:tcW w:w="1710" w:type="dxa"/>
            <w:tcBorders>
              <w:top w:val="nil"/>
              <w:left w:val="nil"/>
              <w:bottom w:val="nil"/>
              <w:right w:val="nil"/>
            </w:tcBorders>
            <w:shd w:val="clear" w:color="auto" w:fill="00386E"/>
            <w:vAlign w:val="center"/>
            <w:hideMark/>
          </w:tcPr>
          <w:p w14:paraId="081542BC" w14:textId="77777777" w:rsidR="0095454A" w:rsidRPr="004F30BD" w:rsidRDefault="0095454A" w:rsidP="0095454A">
            <w:pPr>
              <w:spacing w:before="40" w:after="40" w:line="240" w:lineRule="auto"/>
              <w:ind w:right="0"/>
              <w:jc w:val="center"/>
              <w:rPr>
                <w:rFonts w:eastAsia="Times New Roman" w:cs="Calibri"/>
                <w:color w:val="FFFFFF"/>
                <w:szCs w:val="18"/>
                <w:lang w:eastAsia="en-AU"/>
              </w:rPr>
            </w:pPr>
            <w:r w:rsidRPr="004F30BD">
              <w:rPr>
                <w:rFonts w:eastAsia="Times New Roman" w:cs="Calibri"/>
                <w:color w:val="FFFFFF"/>
                <w:szCs w:val="18"/>
                <w:lang w:eastAsia="en-AU"/>
              </w:rPr>
              <w:t xml:space="preserve">Non-active RTO </w:t>
            </w:r>
            <w:r w:rsidRPr="004F30BD">
              <w:rPr>
                <w:rFonts w:eastAsia="Times New Roman" w:cs="Calibri"/>
                <w:color w:val="FFFFFF"/>
                <w:szCs w:val="18"/>
                <w:lang w:eastAsia="en-AU"/>
              </w:rPr>
              <w:br/>
              <w:t>max n=59</w:t>
            </w:r>
          </w:p>
        </w:tc>
      </w:tr>
      <w:tr w:rsidR="0095454A" w:rsidRPr="004F30BD" w14:paraId="7B6D8A82" w14:textId="77777777" w:rsidTr="0095454A">
        <w:trPr>
          <w:trHeight w:val="450"/>
        </w:trPr>
        <w:tc>
          <w:tcPr>
            <w:tcW w:w="5400" w:type="dxa"/>
            <w:tcBorders>
              <w:top w:val="nil"/>
              <w:left w:val="nil"/>
              <w:bottom w:val="nil"/>
              <w:right w:val="nil"/>
            </w:tcBorders>
            <w:shd w:val="clear" w:color="000000" w:fill="FFFFFF"/>
            <w:vAlign w:val="center"/>
            <w:hideMark/>
          </w:tcPr>
          <w:p w14:paraId="52B090CA" w14:textId="77777777" w:rsidR="0095454A" w:rsidRPr="004F30BD" w:rsidRDefault="0095454A" w:rsidP="0095454A">
            <w:pPr>
              <w:spacing w:before="40" w:after="40" w:line="240" w:lineRule="auto"/>
              <w:ind w:right="0"/>
              <w:rPr>
                <w:rFonts w:eastAsia="Times New Roman" w:cs="Calibri"/>
                <w:color w:val="000000"/>
                <w:szCs w:val="16"/>
                <w:lang w:eastAsia="en-AU"/>
              </w:rPr>
            </w:pPr>
            <w:r w:rsidRPr="004F30BD">
              <w:rPr>
                <w:rFonts w:eastAsia="Times New Roman" w:cs="Calibri"/>
                <w:color w:val="000000"/>
                <w:szCs w:val="16"/>
                <w:lang w:eastAsia="en-AU"/>
              </w:rPr>
              <w:t>CRICOS Application process: Tailoring application process to meet needs</w:t>
            </w:r>
          </w:p>
        </w:tc>
        <w:tc>
          <w:tcPr>
            <w:tcW w:w="1530" w:type="dxa"/>
            <w:tcBorders>
              <w:top w:val="nil"/>
              <w:left w:val="nil"/>
              <w:bottom w:val="nil"/>
              <w:right w:val="nil"/>
            </w:tcBorders>
            <w:shd w:val="clear" w:color="000000" w:fill="FFFFFF"/>
            <w:vAlign w:val="center"/>
            <w:hideMark/>
          </w:tcPr>
          <w:p w14:paraId="5AAF81CE" w14:textId="77777777" w:rsidR="0095454A" w:rsidRPr="004F30BD" w:rsidRDefault="0095454A" w:rsidP="0095454A">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40</w:t>
            </w:r>
          </w:p>
        </w:tc>
        <w:tc>
          <w:tcPr>
            <w:tcW w:w="1710" w:type="dxa"/>
            <w:tcBorders>
              <w:top w:val="nil"/>
              <w:left w:val="nil"/>
              <w:bottom w:val="nil"/>
              <w:right w:val="nil"/>
            </w:tcBorders>
            <w:shd w:val="clear" w:color="000000" w:fill="FFFF00"/>
            <w:vAlign w:val="center"/>
            <w:hideMark/>
          </w:tcPr>
          <w:p w14:paraId="1A138F4F" w14:textId="77777777" w:rsidR="0095454A" w:rsidRPr="004F30BD" w:rsidRDefault="0095454A" w:rsidP="0095454A">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65</w:t>
            </w:r>
          </w:p>
        </w:tc>
      </w:tr>
      <w:tr w:rsidR="0095454A" w:rsidRPr="004F30BD" w14:paraId="020A5B1F" w14:textId="77777777" w:rsidTr="0095454A">
        <w:trPr>
          <w:trHeight w:val="450"/>
        </w:trPr>
        <w:tc>
          <w:tcPr>
            <w:tcW w:w="5400" w:type="dxa"/>
            <w:tcBorders>
              <w:top w:val="nil"/>
              <w:left w:val="nil"/>
              <w:bottom w:val="nil"/>
              <w:right w:val="nil"/>
            </w:tcBorders>
            <w:shd w:val="clear" w:color="000000" w:fill="D9D9D9"/>
            <w:vAlign w:val="center"/>
            <w:hideMark/>
          </w:tcPr>
          <w:p w14:paraId="3467A200" w14:textId="77777777" w:rsidR="0095454A" w:rsidRPr="004F30BD" w:rsidRDefault="0095454A" w:rsidP="0095454A">
            <w:pPr>
              <w:spacing w:before="40" w:after="40" w:line="240" w:lineRule="auto"/>
              <w:ind w:right="0"/>
              <w:rPr>
                <w:rFonts w:eastAsia="Times New Roman" w:cs="Calibri"/>
                <w:color w:val="000000"/>
                <w:szCs w:val="16"/>
                <w:lang w:eastAsia="en-AU"/>
              </w:rPr>
            </w:pPr>
            <w:r w:rsidRPr="004F30BD">
              <w:rPr>
                <w:rFonts w:eastAsia="Times New Roman" w:cs="Calibri"/>
                <w:color w:val="000000"/>
                <w:szCs w:val="16"/>
                <w:lang w:eastAsia="en-AU"/>
              </w:rPr>
              <w:t>Interaction with TEQSA staff: Demonstrating an understanding of organisation’s specific needs</w:t>
            </w:r>
          </w:p>
        </w:tc>
        <w:tc>
          <w:tcPr>
            <w:tcW w:w="1530" w:type="dxa"/>
            <w:tcBorders>
              <w:top w:val="nil"/>
              <w:left w:val="nil"/>
              <w:bottom w:val="nil"/>
              <w:right w:val="nil"/>
            </w:tcBorders>
            <w:shd w:val="clear" w:color="000000" w:fill="D9D9D9"/>
            <w:vAlign w:val="center"/>
            <w:hideMark/>
          </w:tcPr>
          <w:p w14:paraId="06BEAEBF" w14:textId="77777777" w:rsidR="0095454A" w:rsidRPr="004F30BD" w:rsidRDefault="0095454A" w:rsidP="0095454A">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45</w:t>
            </w:r>
          </w:p>
        </w:tc>
        <w:tc>
          <w:tcPr>
            <w:tcW w:w="1710" w:type="dxa"/>
            <w:tcBorders>
              <w:top w:val="nil"/>
              <w:left w:val="nil"/>
              <w:bottom w:val="nil"/>
              <w:right w:val="nil"/>
            </w:tcBorders>
            <w:shd w:val="clear" w:color="000000" w:fill="FFFF00"/>
            <w:vAlign w:val="center"/>
            <w:hideMark/>
          </w:tcPr>
          <w:p w14:paraId="5C429992" w14:textId="77777777" w:rsidR="0095454A" w:rsidRPr="004F30BD" w:rsidRDefault="0095454A" w:rsidP="0095454A">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66</w:t>
            </w:r>
          </w:p>
        </w:tc>
      </w:tr>
      <w:tr w:rsidR="0095454A" w:rsidRPr="004F30BD" w14:paraId="5B33B609" w14:textId="77777777" w:rsidTr="0095454A">
        <w:trPr>
          <w:trHeight w:val="450"/>
        </w:trPr>
        <w:tc>
          <w:tcPr>
            <w:tcW w:w="5400" w:type="dxa"/>
            <w:tcBorders>
              <w:top w:val="nil"/>
              <w:left w:val="nil"/>
              <w:bottom w:val="single" w:sz="4" w:space="0" w:color="auto"/>
              <w:right w:val="nil"/>
            </w:tcBorders>
            <w:shd w:val="clear" w:color="auto" w:fill="auto"/>
            <w:vAlign w:val="center"/>
            <w:hideMark/>
          </w:tcPr>
          <w:p w14:paraId="62566902" w14:textId="77777777" w:rsidR="0095454A" w:rsidRPr="004F30BD" w:rsidRDefault="0095454A" w:rsidP="0095454A">
            <w:pPr>
              <w:spacing w:before="40" w:after="40" w:line="240" w:lineRule="auto"/>
              <w:ind w:right="0"/>
              <w:rPr>
                <w:rFonts w:eastAsia="Times New Roman" w:cs="Calibri"/>
                <w:color w:val="000000"/>
                <w:szCs w:val="16"/>
                <w:lang w:eastAsia="en-AU"/>
              </w:rPr>
            </w:pPr>
            <w:r w:rsidRPr="004F30BD">
              <w:rPr>
                <w:rFonts w:eastAsia="Times New Roman" w:cs="Calibri"/>
                <w:color w:val="000000"/>
                <w:szCs w:val="16"/>
                <w:lang w:eastAsia="en-AU"/>
              </w:rPr>
              <w:t>Interaction with TEQSA staff: Demonstrating an understanding of organisation’s business or operating environment</w:t>
            </w:r>
          </w:p>
        </w:tc>
        <w:tc>
          <w:tcPr>
            <w:tcW w:w="1530" w:type="dxa"/>
            <w:tcBorders>
              <w:top w:val="nil"/>
              <w:left w:val="nil"/>
              <w:bottom w:val="single" w:sz="4" w:space="0" w:color="auto"/>
              <w:right w:val="nil"/>
            </w:tcBorders>
            <w:shd w:val="clear" w:color="auto" w:fill="auto"/>
            <w:vAlign w:val="center"/>
            <w:hideMark/>
          </w:tcPr>
          <w:p w14:paraId="28076D23" w14:textId="77777777" w:rsidR="0095454A" w:rsidRPr="004F30BD" w:rsidRDefault="0095454A" w:rsidP="0095454A">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45</w:t>
            </w:r>
          </w:p>
        </w:tc>
        <w:tc>
          <w:tcPr>
            <w:tcW w:w="1710" w:type="dxa"/>
            <w:tcBorders>
              <w:top w:val="nil"/>
              <w:left w:val="nil"/>
              <w:bottom w:val="single" w:sz="4" w:space="0" w:color="auto"/>
              <w:right w:val="nil"/>
            </w:tcBorders>
            <w:shd w:val="clear" w:color="000000" w:fill="FFFF00"/>
            <w:vAlign w:val="center"/>
            <w:hideMark/>
          </w:tcPr>
          <w:p w14:paraId="3FF2A86A" w14:textId="77777777" w:rsidR="0095454A" w:rsidRPr="004F30BD" w:rsidRDefault="0095454A" w:rsidP="0095454A">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63</w:t>
            </w:r>
          </w:p>
        </w:tc>
      </w:tr>
    </w:tbl>
    <w:p w14:paraId="69DB54B4" w14:textId="77777777" w:rsidR="0095454A" w:rsidRPr="004F30BD" w:rsidRDefault="0095454A" w:rsidP="0095454A">
      <w:pPr>
        <w:spacing w:before="60"/>
        <w:rPr>
          <w:i/>
        </w:rPr>
      </w:pPr>
      <w:r w:rsidRPr="004F30BD">
        <w:rPr>
          <w:i/>
        </w:rPr>
        <w:t>Total n varies by item because not all respondents were eligible to answer all questions. The maximum possible n is displayed in the table header.</w:t>
      </w:r>
    </w:p>
    <w:p w14:paraId="1E4D6AA3" w14:textId="77777777" w:rsidR="0095454A" w:rsidRPr="004F30BD" w:rsidRDefault="0095454A" w:rsidP="0095454A">
      <w:pPr>
        <w:pStyle w:val="Heading2"/>
        <w:rPr>
          <w:lang w:eastAsia="en-AU"/>
        </w:rPr>
      </w:pPr>
      <w:bookmarkStart w:id="40" w:name="_Toc22298041"/>
      <w:r w:rsidRPr="004F30BD">
        <w:rPr>
          <w:lang w:eastAsia="en-AU"/>
        </w:rPr>
        <w:t>CRICOS registration</w:t>
      </w:r>
      <w:bookmarkEnd w:id="40"/>
    </w:p>
    <w:p w14:paraId="1B00C29D" w14:textId="77777777" w:rsidR="0095454A" w:rsidRPr="004F30BD" w:rsidRDefault="0095454A" w:rsidP="0095454A">
      <w:pPr>
        <w:spacing w:after="240"/>
        <w:rPr>
          <w:lang w:eastAsia="en-AU"/>
        </w:rPr>
      </w:pPr>
      <w:r w:rsidRPr="004F30BD">
        <w:rPr>
          <w:lang w:eastAsia="en-AU"/>
        </w:rPr>
        <w:t>There were five significantly different items between CRICOS-registered organisations and organisations that were not CRICOS registered. Refer to the table below.</w:t>
      </w:r>
    </w:p>
    <w:p w14:paraId="0736BAE2" w14:textId="77777777" w:rsidR="0095454A" w:rsidRPr="004F30BD" w:rsidRDefault="0095454A" w:rsidP="0095454A">
      <w:pPr>
        <w:spacing w:after="120"/>
        <w:rPr>
          <w:i/>
        </w:rPr>
      </w:pPr>
      <w:r w:rsidRPr="004F30BD">
        <w:rPr>
          <w:i/>
        </w:rPr>
        <w:t xml:space="preserve">Significantly higher results highlighted in </w:t>
      </w:r>
      <w:r w:rsidRPr="004F30BD">
        <w:rPr>
          <w:i/>
          <w:highlight w:val="yellow"/>
        </w:rPr>
        <w:t>yellow.</w:t>
      </w:r>
    </w:p>
    <w:tbl>
      <w:tblPr>
        <w:tblW w:w="8640" w:type="dxa"/>
        <w:tblLook w:val="04A0" w:firstRow="1" w:lastRow="0" w:firstColumn="1" w:lastColumn="0" w:noHBand="0" w:noVBand="1"/>
      </w:tblPr>
      <w:tblGrid>
        <w:gridCol w:w="5580"/>
        <w:gridCol w:w="1710"/>
        <w:gridCol w:w="1350"/>
      </w:tblGrid>
      <w:tr w:rsidR="0095454A" w:rsidRPr="004F30BD" w14:paraId="3B94BB65" w14:textId="77777777" w:rsidTr="0095454A">
        <w:trPr>
          <w:trHeight w:val="450"/>
        </w:trPr>
        <w:tc>
          <w:tcPr>
            <w:tcW w:w="5580" w:type="dxa"/>
            <w:vMerge w:val="restart"/>
            <w:tcBorders>
              <w:top w:val="nil"/>
              <w:left w:val="nil"/>
              <w:bottom w:val="nil"/>
              <w:right w:val="nil"/>
            </w:tcBorders>
            <w:shd w:val="clear" w:color="auto" w:fill="00386E"/>
            <w:vAlign w:val="center"/>
            <w:hideMark/>
          </w:tcPr>
          <w:p w14:paraId="59AC2C45" w14:textId="77777777" w:rsidR="0095454A" w:rsidRPr="004F30BD" w:rsidRDefault="0095454A" w:rsidP="0069565E">
            <w:pPr>
              <w:spacing w:before="40" w:after="40" w:line="240" w:lineRule="auto"/>
              <w:ind w:right="0"/>
              <w:rPr>
                <w:rFonts w:eastAsia="Times New Roman" w:cs="Calibri"/>
                <w:color w:val="FFFFFF"/>
                <w:szCs w:val="18"/>
                <w:lang w:eastAsia="en-AU"/>
              </w:rPr>
            </w:pPr>
            <w:r w:rsidRPr="004F30BD">
              <w:rPr>
                <w:rFonts w:eastAsia="Times New Roman" w:cs="Calibri"/>
                <w:color w:val="FFFFFF"/>
                <w:szCs w:val="18"/>
                <w:lang w:eastAsia="en-AU"/>
              </w:rPr>
              <w:t>SIGNIFICANTLY DIFFERENT ITEMS</w:t>
            </w:r>
            <w:r w:rsidRPr="004F30BD">
              <w:rPr>
                <w:rFonts w:eastAsia="Times New Roman" w:cs="Calibri"/>
                <w:color w:val="FFFFFF"/>
                <w:szCs w:val="18"/>
                <w:lang w:eastAsia="en-AU"/>
              </w:rPr>
              <w:br/>
              <w:t>TOPIC / ITEM</w:t>
            </w:r>
          </w:p>
        </w:tc>
        <w:tc>
          <w:tcPr>
            <w:tcW w:w="3060" w:type="dxa"/>
            <w:gridSpan w:val="2"/>
            <w:tcBorders>
              <w:top w:val="nil"/>
              <w:left w:val="nil"/>
              <w:bottom w:val="nil"/>
              <w:right w:val="nil"/>
            </w:tcBorders>
            <w:shd w:val="clear" w:color="auto" w:fill="00386E"/>
            <w:vAlign w:val="center"/>
            <w:hideMark/>
          </w:tcPr>
          <w:p w14:paraId="3D2B2770" w14:textId="77777777" w:rsidR="0095454A" w:rsidRPr="004F30BD" w:rsidRDefault="0095454A" w:rsidP="0069565E">
            <w:pPr>
              <w:spacing w:before="40" w:after="40" w:line="240" w:lineRule="auto"/>
              <w:ind w:right="0"/>
              <w:jc w:val="center"/>
              <w:rPr>
                <w:rFonts w:eastAsia="Times New Roman" w:cs="Calibri"/>
                <w:color w:val="FFFFFF"/>
                <w:szCs w:val="18"/>
                <w:lang w:eastAsia="en-AU"/>
              </w:rPr>
            </w:pPr>
            <w:r w:rsidRPr="004F30BD">
              <w:rPr>
                <w:rFonts w:eastAsia="Times New Roman" w:cs="Calibri"/>
                <w:color w:val="FFFFFF"/>
                <w:szCs w:val="18"/>
                <w:lang w:eastAsia="en-AU"/>
              </w:rPr>
              <w:t>CRICOS - TOP 2 SCORES (%)</w:t>
            </w:r>
          </w:p>
        </w:tc>
      </w:tr>
      <w:tr w:rsidR="0095454A" w:rsidRPr="004F30BD" w14:paraId="7BD5D39D" w14:textId="77777777" w:rsidTr="0095454A">
        <w:trPr>
          <w:trHeight w:val="675"/>
        </w:trPr>
        <w:tc>
          <w:tcPr>
            <w:tcW w:w="5580" w:type="dxa"/>
            <w:vMerge/>
            <w:tcBorders>
              <w:top w:val="nil"/>
              <w:left w:val="nil"/>
              <w:bottom w:val="nil"/>
              <w:right w:val="nil"/>
            </w:tcBorders>
            <w:shd w:val="clear" w:color="auto" w:fill="0F243E" w:themeFill="text2" w:themeFillShade="80"/>
            <w:vAlign w:val="center"/>
            <w:hideMark/>
          </w:tcPr>
          <w:p w14:paraId="53E5E503" w14:textId="77777777" w:rsidR="0095454A" w:rsidRPr="004F30BD" w:rsidRDefault="0095454A" w:rsidP="0069565E">
            <w:pPr>
              <w:spacing w:before="40" w:after="40" w:line="240" w:lineRule="auto"/>
              <w:ind w:right="0"/>
              <w:rPr>
                <w:rFonts w:eastAsia="Times New Roman" w:cs="Calibri"/>
                <w:color w:val="FFFFFF"/>
                <w:szCs w:val="18"/>
                <w:lang w:eastAsia="en-AU"/>
              </w:rPr>
            </w:pPr>
          </w:p>
        </w:tc>
        <w:tc>
          <w:tcPr>
            <w:tcW w:w="1710" w:type="dxa"/>
            <w:tcBorders>
              <w:top w:val="nil"/>
              <w:left w:val="nil"/>
              <w:bottom w:val="nil"/>
              <w:right w:val="nil"/>
            </w:tcBorders>
            <w:shd w:val="clear" w:color="auto" w:fill="00386E"/>
            <w:vAlign w:val="center"/>
            <w:hideMark/>
          </w:tcPr>
          <w:p w14:paraId="358F7D55" w14:textId="77777777" w:rsidR="0095454A" w:rsidRPr="004F30BD" w:rsidRDefault="0095454A" w:rsidP="0069565E">
            <w:pPr>
              <w:spacing w:before="40" w:after="40" w:line="240" w:lineRule="auto"/>
              <w:ind w:right="0"/>
              <w:jc w:val="center"/>
              <w:rPr>
                <w:rFonts w:eastAsia="Times New Roman" w:cs="Calibri"/>
                <w:color w:val="FFFFFF"/>
                <w:szCs w:val="18"/>
                <w:lang w:eastAsia="en-AU"/>
              </w:rPr>
            </w:pPr>
            <w:r w:rsidRPr="004F30BD">
              <w:rPr>
                <w:rFonts w:eastAsia="Times New Roman" w:cs="Calibri"/>
                <w:color w:val="FFFFFF"/>
                <w:szCs w:val="18"/>
                <w:lang w:eastAsia="en-AU"/>
              </w:rPr>
              <w:t xml:space="preserve">CRICOS </w:t>
            </w:r>
            <w:r w:rsidRPr="004F30BD">
              <w:rPr>
                <w:rFonts w:eastAsia="Times New Roman" w:cs="Calibri"/>
                <w:color w:val="FFFFFF"/>
                <w:szCs w:val="18"/>
                <w:lang w:eastAsia="en-AU"/>
              </w:rPr>
              <w:br/>
              <w:t>registered</w:t>
            </w:r>
            <w:r w:rsidRPr="004F30BD">
              <w:rPr>
                <w:rFonts w:eastAsia="Times New Roman" w:cs="Calibri"/>
                <w:color w:val="FFFFFF"/>
                <w:szCs w:val="18"/>
                <w:lang w:eastAsia="en-AU"/>
              </w:rPr>
              <w:br/>
              <w:t>max n=84</w:t>
            </w:r>
          </w:p>
        </w:tc>
        <w:tc>
          <w:tcPr>
            <w:tcW w:w="1350" w:type="dxa"/>
            <w:tcBorders>
              <w:top w:val="nil"/>
              <w:left w:val="nil"/>
              <w:bottom w:val="nil"/>
              <w:right w:val="nil"/>
            </w:tcBorders>
            <w:shd w:val="clear" w:color="auto" w:fill="00386E"/>
            <w:vAlign w:val="center"/>
            <w:hideMark/>
          </w:tcPr>
          <w:p w14:paraId="5CC7E62A" w14:textId="77777777" w:rsidR="0095454A" w:rsidRPr="004F30BD" w:rsidRDefault="0095454A" w:rsidP="0069565E">
            <w:pPr>
              <w:spacing w:before="40" w:after="40" w:line="240" w:lineRule="auto"/>
              <w:ind w:right="0"/>
              <w:jc w:val="center"/>
              <w:rPr>
                <w:rFonts w:eastAsia="Times New Roman" w:cs="Calibri"/>
                <w:color w:val="FFFFFF"/>
                <w:szCs w:val="18"/>
                <w:lang w:eastAsia="en-AU"/>
              </w:rPr>
            </w:pPr>
            <w:r w:rsidRPr="004F30BD">
              <w:rPr>
                <w:rFonts w:eastAsia="Times New Roman" w:cs="Calibri"/>
                <w:color w:val="FFFFFF"/>
                <w:szCs w:val="18"/>
                <w:lang w:eastAsia="en-AU"/>
              </w:rPr>
              <w:t>Not CRICOS registered</w:t>
            </w:r>
            <w:r w:rsidRPr="004F30BD">
              <w:rPr>
                <w:rFonts w:eastAsia="Times New Roman" w:cs="Calibri"/>
                <w:color w:val="FFFFFF"/>
                <w:szCs w:val="18"/>
                <w:lang w:eastAsia="en-AU"/>
              </w:rPr>
              <w:br/>
              <w:t>max n=58</w:t>
            </w:r>
          </w:p>
        </w:tc>
      </w:tr>
      <w:tr w:rsidR="0095454A" w:rsidRPr="004F30BD" w14:paraId="3927B341" w14:textId="77777777" w:rsidTr="0095454A">
        <w:trPr>
          <w:trHeight w:val="450"/>
        </w:trPr>
        <w:tc>
          <w:tcPr>
            <w:tcW w:w="5580" w:type="dxa"/>
            <w:tcBorders>
              <w:top w:val="nil"/>
              <w:left w:val="nil"/>
              <w:bottom w:val="nil"/>
              <w:right w:val="nil"/>
            </w:tcBorders>
            <w:shd w:val="clear" w:color="000000" w:fill="FFFFFF"/>
            <w:vAlign w:val="center"/>
            <w:hideMark/>
          </w:tcPr>
          <w:p w14:paraId="55241FA0" w14:textId="77777777" w:rsidR="0095454A" w:rsidRPr="004F30BD" w:rsidRDefault="0095454A" w:rsidP="0069565E">
            <w:pPr>
              <w:spacing w:before="40" w:after="40" w:line="240" w:lineRule="auto"/>
              <w:ind w:right="0"/>
              <w:rPr>
                <w:rFonts w:eastAsia="Times New Roman" w:cs="Calibri"/>
                <w:color w:val="000000"/>
                <w:szCs w:val="16"/>
                <w:lang w:eastAsia="en-AU"/>
              </w:rPr>
            </w:pPr>
            <w:r w:rsidRPr="004F30BD">
              <w:rPr>
                <w:rFonts w:eastAsia="Times New Roman" w:cs="Calibri"/>
                <w:color w:val="000000"/>
                <w:szCs w:val="16"/>
                <w:lang w:eastAsia="en-AU"/>
              </w:rPr>
              <w:t>KPI 6: TEQSA continues to improve its regulatory framework in consultation with organisation</w:t>
            </w:r>
          </w:p>
        </w:tc>
        <w:tc>
          <w:tcPr>
            <w:tcW w:w="1710" w:type="dxa"/>
            <w:tcBorders>
              <w:top w:val="nil"/>
              <w:left w:val="nil"/>
              <w:bottom w:val="nil"/>
              <w:right w:val="nil"/>
            </w:tcBorders>
            <w:shd w:val="clear" w:color="000000" w:fill="FFFF00"/>
            <w:vAlign w:val="center"/>
            <w:hideMark/>
          </w:tcPr>
          <w:p w14:paraId="65DE250C" w14:textId="77777777" w:rsidR="0095454A" w:rsidRPr="004F30BD" w:rsidRDefault="0095454A" w:rsidP="0069565E">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74</w:t>
            </w:r>
          </w:p>
        </w:tc>
        <w:tc>
          <w:tcPr>
            <w:tcW w:w="1350" w:type="dxa"/>
            <w:tcBorders>
              <w:top w:val="nil"/>
              <w:left w:val="nil"/>
              <w:bottom w:val="nil"/>
              <w:right w:val="nil"/>
            </w:tcBorders>
            <w:shd w:val="clear" w:color="000000" w:fill="FFFFFF"/>
            <w:vAlign w:val="center"/>
            <w:hideMark/>
          </w:tcPr>
          <w:p w14:paraId="16403B18" w14:textId="77777777" w:rsidR="0095454A" w:rsidRPr="004F30BD" w:rsidRDefault="0095454A" w:rsidP="0069565E">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53</w:t>
            </w:r>
          </w:p>
        </w:tc>
      </w:tr>
      <w:tr w:rsidR="0095454A" w:rsidRPr="004F30BD" w14:paraId="36BC1368" w14:textId="77777777" w:rsidTr="0095454A">
        <w:trPr>
          <w:trHeight w:val="450"/>
        </w:trPr>
        <w:tc>
          <w:tcPr>
            <w:tcW w:w="5580" w:type="dxa"/>
            <w:tcBorders>
              <w:top w:val="nil"/>
              <w:left w:val="nil"/>
              <w:bottom w:val="nil"/>
              <w:right w:val="nil"/>
            </w:tcBorders>
            <w:shd w:val="clear" w:color="000000" w:fill="D9D9D9"/>
            <w:vAlign w:val="center"/>
            <w:hideMark/>
          </w:tcPr>
          <w:p w14:paraId="43148C8B" w14:textId="77777777" w:rsidR="0095454A" w:rsidRPr="004F30BD" w:rsidRDefault="0095454A" w:rsidP="0069565E">
            <w:pPr>
              <w:spacing w:before="40" w:after="40" w:line="240" w:lineRule="auto"/>
              <w:ind w:right="0"/>
              <w:rPr>
                <w:rFonts w:eastAsia="Times New Roman" w:cs="Calibri"/>
                <w:color w:val="000000"/>
                <w:szCs w:val="16"/>
                <w:lang w:eastAsia="en-AU"/>
              </w:rPr>
            </w:pPr>
            <w:r w:rsidRPr="004F30BD">
              <w:rPr>
                <w:rFonts w:eastAsia="Times New Roman" w:cs="Calibri"/>
                <w:color w:val="000000"/>
                <w:szCs w:val="16"/>
                <w:lang w:eastAsia="en-AU"/>
              </w:rPr>
              <w:t>Communication: Usefulness</w:t>
            </w:r>
            <w:r w:rsidR="0069565E" w:rsidRPr="004F30BD">
              <w:rPr>
                <w:rFonts w:eastAsia="Times New Roman" w:cs="Calibri"/>
                <w:color w:val="000000"/>
                <w:szCs w:val="16"/>
                <w:lang w:eastAsia="en-AU"/>
              </w:rPr>
              <w:t xml:space="preserve"> </w:t>
            </w:r>
            <w:r w:rsidRPr="004F30BD">
              <w:rPr>
                <w:rFonts w:eastAsia="Times New Roman" w:cs="Calibri"/>
                <w:color w:val="000000"/>
                <w:szCs w:val="16"/>
                <w:lang w:eastAsia="en-AU"/>
              </w:rPr>
              <w:t>of information provided on National Register</w:t>
            </w:r>
          </w:p>
        </w:tc>
        <w:tc>
          <w:tcPr>
            <w:tcW w:w="1710" w:type="dxa"/>
            <w:tcBorders>
              <w:top w:val="nil"/>
              <w:left w:val="nil"/>
              <w:bottom w:val="nil"/>
              <w:right w:val="nil"/>
            </w:tcBorders>
            <w:shd w:val="clear" w:color="000000" w:fill="D9D9D9"/>
            <w:vAlign w:val="center"/>
            <w:hideMark/>
          </w:tcPr>
          <w:p w14:paraId="066098BA" w14:textId="77777777" w:rsidR="0095454A" w:rsidRPr="004F30BD" w:rsidRDefault="0095454A" w:rsidP="0069565E">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64</w:t>
            </w:r>
          </w:p>
        </w:tc>
        <w:tc>
          <w:tcPr>
            <w:tcW w:w="1350" w:type="dxa"/>
            <w:tcBorders>
              <w:top w:val="nil"/>
              <w:left w:val="nil"/>
              <w:bottom w:val="nil"/>
              <w:right w:val="nil"/>
            </w:tcBorders>
            <w:shd w:val="clear" w:color="000000" w:fill="FFFF00"/>
            <w:vAlign w:val="center"/>
            <w:hideMark/>
          </w:tcPr>
          <w:p w14:paraId="42CFBE15" w14:textId="77777777" w:rsidR="0095454A" w:rsidRPr="004F30BD" w:rsidRDefault="0095454A" w:rsidP="0069565E">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81</w:t>
            </w:r>
          </w:p>
        </w:tc>
      </w:tr>
      <w:tr w:rsidR="0095454A" w:rsidRPr="004F30BD" w14:paraId="71E4884C" w14:textId="77777777" w:rsidTr="0095454A">
        <w:trPr>
          <w:trHeight w:val="450"/>
        </w:trPr>
        <w:tc>
          <w:tcPr>
            <w:tcW w:w="5580" w:type="dxa"/>
            <w:tcBorders>
              <w:top w:val="nil"/>
              <w:left w:val="nil"/>
              <w:bottom w:val="nil"/>
              <w:right w:val="nil"/>
            </w:tcBorders>
            <w:shd w:val="clear" w:color="auto" w:fill="auto"/>
            <w:vAlign w:val="center"/>
            <w:hideMark/>
          </w:tcPr>
          <w:p w14:paraId="68414635" w14:textId="77777777" w:rsidR="0095454A" w:rsidRPr="004F30BD" w:rsidRDefault="0095454A" w:rsidP="0069565E">
            <w:pPr>
              <w:spacing w:before="40" w:after="40" w:line="240" w:lineRule="auto"/>
              <w:ind w:right="0"/>
              <w:rPr>
                <w:rFonts w:eastAsia="Times New Roman" w:cs="Calibri"/>
                <w:color w:val="000000"/>
                <w:szCs w:val="16"/>
                <w:lang w:eastAsia="en-AU"/>
              </w:rPr>
            </w:pPr>
            <w:r w:rsidRPr="004F30BD">
              <w:rPr>
                <w:rFonts w:eastAsia="Times New Roman" w:cs="Calibri"/>
                <w:color w:val="000000"/>
                <w:szCs w:val="16"/>
                <w:lang w:eastAsia="en-AU"/>
              </w:rPr>
              <w:t>Regulatory approach: Helping the sector as a whole to deliver quality higher education</w:t>
            </w:r>
          </w:p>
        </w:tc>
        <w:tc>
          <w:tcPr>
            <w:tcW w:w="1710" w:type="dxa"/>
            <w:tcBorders>
              <w:top w:val="nil"/>
              <w:left w:val="nil"/>
              <w:bottom w:val="nil"/>
              <w:right w:val="nil"/>
            </w:tcBorders>
            <w:shd w:val="clear" w:color="000000" w:fill="FFFF00"/>
            <w:vAlign w:val="center"/>
            <w:hideMark/>
          </w:tcPr>
          <w:p w14:paraId="2B2F5FC2" w14:textId="77777777" w:rsidR="0095454A" w:rsidRPr="004F30BD" w:rsidRDefault="0095454A" w:rsidP="0069565E">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79</w:t>
            </w:r>
          </w:p>
        </w:tc>
        <w:tc>
          <w:tcPr>
            <w:tcW w:w="1350" w:type="dxa"/>
            <w:tcBorders>
              <w:top w:val="nil"/>
              <w:left w:val="nil"/>
              <w:bottom w:val="nil"/>
              <w:right w:val="nil"/>
            </w:tcBorders>
            <w:shd w:val="clear" w:color="auto" w:fill="auto"/>
            <w:vAlign w:val="center"/>
            <w:hideMark/>
          </w:tcPr>
          <w:p w14:paraId="53795CA8" w14:textId="77777777" w:rsidR="0095454A" w:rsidRPr="004F30BD" w:rsidRDefault="0095454A" w:rsidP="0069565E">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59</w:t>
            </w:r>
          </w:p>
        </w:tc>
      </w:tr>
      <w:tr w:rsidR="0095454A" w:rsidRPr="004F30BD" w14:paraId="211E6B4B" w14:textId="77777777" w:rsidTr="0095454A">
        <w:trPr>
          <w:trHeight w:val="450"/>
        </w:trPr>
        <w:tc>
          <w:tcPr>
            <w:tcW w:w="5580" w:type="dxa"/>
            <w:tcBorders>
              <w:top w:val="nil"/>
              <w:left w:val="nil"/>
              <w:bottom w:val="nil"/>
              <w:right w:val="nil"/>
            </w:tcBorders>
            <w:shd w:val="clear" w:color="000000" w:fill="D9D9D9"/>
            <w:vAlign w:val="center"/>
            <w:hideMark/>
          </w:tcPr>
          <w:p w14:paraId="674DC1B2" w14:textId="77777777" w:rsidR="0095454A" w:rsidRPr="004F30BD" w:rsidRDefault="0095454A" w:rsidP="0069565E">
            <w:pPr>
              <w:spacing w:before="40" w:after="40" w:line="240" w:lineRule="auto"/>
              <w:ind w:right="0"/>
              <w:rPr>
                <w:rFonts w:eastAsia="Times New Roman" w:cs="Calibri"/>
                <w:color w:val="000000"/>
                <w:szCs w:val="16"/>
                <w:lang w:eastAsia="en-AU"/>
              </w:rPr>
            </w:pPr>
            <w:r w:rsidRPr="004F30BD">
              <w:rPr>
                <w:rFonts w:eastAsia="Times New Roman" w:cs="Calibri"/>
                <w:color w:val="000000"/>
                <w:szCs w:val="16"/>
                <w:lang w:eastAsia="en-AU"/>
              </w:rPr>
              <w:t>Application process: Timeliness of feedback from TEQSA about application, including those unlikely successful</w:t>
            </w:r>
          </w:p>
        </w:tc>
        <w:tc>
          <w:tcPr>
            <w:tcW w:w="1710" w:type="dxa"/>
            <w:tcBorders>
              <w:top w:val="nil"/>
              <w:left w:val="nil"/>
              <w:bottom w:val="nil"/>
              <w:right w:val="nil"/>
            </w:tcBorders>
            <w:shd w:val="clear" w:color="000000" w:fill="D9D9D9"/>
            <w:vAlign w:val="center"/>
            <w:hideMark/>
          </w:tcPr>
          <w:p w14:paraId="2D0CADB2" w14:textId="77777777" w:rsidR="0095454A" w:rsidRPr="004F30BD" w:rsidRDefault="0095454A" w:rsidP="0069565E">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30</w:t>
            </w:r>
          </w:p>
        </w:tc>
        <w:tc>
          <w:tcPr>
            <w:tcW w:w="1350" w:type="dxa"/>
            <w:tcBorders>
              <w:top w:val="nil"/>
              <w:left w:val="nil"/>
              <w:bottom w:val="nil"/>
              <w:right w:val="nil"/>
            </w:tcBorders>
            <w:shd w:val="clear" w:color="000000" w:fill="FFFF00"/>
            <w:vAlign w:val="center"/>
            <w:hideMark/>
          </w:tcPr>
          <w:p w14:paraId="5A704BF2" w14:textId="77777777" w:rsidR="0095454A" w:rsidRPr="004F30BD" w:rsidRDefault="0095454A" w:rsidP="0069565E">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56</w:t>
            </w:r>
          </w:p>
        </w:tc>
      </w:tr>
      <w:tr w:rsidR="0095454A" w:rsidRPr="004F30BD" w14:paraId="77F2E4D9" w14:textId="77777777" w:rsidTr="0095454A">
        <w:trPr>
          <w:trHeight w:val="300"/>
        </w:trPr>
        <w:tc>
          <w:tcPr>
            <w:tcW w:w="5580" w:type="dxa"/>
            <w:tcBorders>
              <w:top w:val="nil"/>
              <w:left w:val="nil"/>
              <w:bottom w:val="single" w:sz="4" w:space="0" w:color="auto"/>
              <w:right w:val="nil"/>
            </w:tcBorders>
            <w:shd w:val="clear" w:color="auto" w:fill="auto"/>
            <w:vAlign w:val="center"/>
            <w:hideMark/>
          </w:tcPr>
          <w:p w14:paraId="2706D0B3" w14:textId="77777777" w:rsidR="0095454A" w:rsidRPr="004F30BD" w:rsidRDefault="0095454A" w:rsidP="0069565E">
            <w:pPr>
              <w:spacing w:before="40" w:after="40" w:line="240" w:lineRule="auto"/>
              <w:ind w:right="0"/>
              <w:rPr>
                <w:rFonts w:eastAsia="Times New Roman" w:cs="Calibri"/>
                <w:color w:val="000000"/>
                <w:szCs w:val="16"/>
                <w:lang w:eastAsia="en-AU"/>
              </w:rPr>
            </w:pPr>
            <w:r w:rsidRPr="004F30BD">
              <w:rPr>
                <w:rFonts w:eastAsia="Times New Roman" w:cs="Calibri"/>
                <w:color w:val="000000"/>
                <w:szCs w:val="16"/>
                <w:lang w:eastAsia="en-AU"/>
              </w:rPr>
              <w:t>Overall: TEQSA's performance as a regulator</w:t>
            </w:r>
          </w:p>
        </w:tc>
        <w:tc>
          <w:tcPr>
            <w:tcW w:w="1710" w:type="dxa"/>
            <w:tcBorders>
              <w:top w:val="nil"/>
              <w:left w:val="nil"/>
              <w:bottom w:val="single" w:sz="4" w:space="0" w:color="auto"/>
              <w:right w:val="nil"/>
            </w:tcBorders>
            <w:shd w:val="clear" w:color="000000" w:fill="FFFF00"/>
            <w:vAlign w:val="center"/>
            <w:hideMark/>
          </w:tcPr>
          <w:p w14:paraId="4B811C32" w14:textId="77777777" w:rsidR="0095454A" w:rsidRPr="004F30BD" w:rsidRDefault="0095454A" w:rsidP="0069565E">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85</w:t>
            </w:r>
          </w:p>
        </w:tc>
        <w:tc>
          <w:tcPr>
            <w:tcW w:w="1350" w:type="dxa"/>
            <w:tcBorders>
              <w:top w:val="nil"/>
              <w:left w:val="nil"/>
              <w:bottom w:val="single" w:sz="4" w:space="0" w:color="auto"/>
              <w:right w:val="nil"/>
            </w:tcBorders>
            <w:shd w:val="clear" w:color="auto" w:fill="auto"/>
            <w:vAlign w:val="center"/>
            <w:hideMark/>
          </w:tcPr>
          <w:p w14:paraId="33239AB5" w14:textId="77777777" w:rsidR="0095454A" w:rsidRPr="004F30BD" w:rsidRDefault="0095454A" w:rsidP="0069565E">
            <w:pPr>
              <w:spacing w:before="40" w:after="40" w:line="240" w:lineRule="auto"/>
              <w:ind w:right="0"/>
              <w:jc w:val="center"/>
              <w:rPr>
                <w:rFonts w:eastAsia="Times New Roman" w:cs="Calibri"/>
                <w:color w:val="000000"/>
                <w:szCs w:val="16"/>
                <w:lang w:eastAsia="en-AU"/>
              </w:rPr>
            </w:pPr>
            <w:r w:rsidRPr="004F30BD">
              <w:rPr>
                <w:rFonts w:eastAsia="Times New Roman" w:cs="Calibri"/>
                <w:color w:val="000000"/>
                <w:szCs w:val="16"/>
                <w:lang w:eastAsia="en-AU"/>
              </w:rPr>
              <w:t>63</w:t>
            </w:r>
          </w:p>
        </w:tc>
      </w:tr>
    </w:tbl>
    <w:p w14:paraId="3C424388" w14:textId="77777777" w:rsidR="00670410" w:rsidRPr="004F30BD" w:rsidRDefault="0095454A" w:rsidP="00067750">
      <w:r w:rsidRPr="004F30BD">
        <w:rPr>
          <w:i/>
        </w:rPr>
        <w:t>Total n varies by item because not all respondents were eligible to answer all questions. The maximum possible n is displayed in the table header</w:t>
      </w:r>
    </w:p>
    <w:p w14:paraId="5525850F" w14:textId="77777777" w:rsidR="00A03B8D" w:rsidRPr="004F30BD" w:rsidRDefault="00A03B8D" w:rsidP="00A03B8D">
      <w:pPr>
        <w:spacing w:before="60"/>
        <w:rPr>
          <w:lang w:eastAsia="en-AU"/>
        </w:rPr>
        <w:sectPr w:rsidR="00A03B8D" w:rsidRPr="004F30BD" w:rsidSect="007C5F26">
          <w:headerReference w:type="default" r:id="rId30"/>
          <w:footerReference w:type="default" r:id="rId31"/>
          <w:pgSz w:w="11899" w:h="16838" w:code="9"/>
          <w:pgMar w:top="1531" w:right="567" w:bottom="1134" w:left="1701" w:header="0" w:footer="454" w:gutter="0"/>
          <w:cols w:space="720"/>
        </w:sectPr>
      </w:pPr>
    </w:p>
    <w:p w14:paraId="1B6E6353" w14:textId="77777777" w:rsidR="00A03B8D" w:rsidRPr="004F30BD" w:rsidRDefault="00A03B8D" w:rsidP="00A03B8D">
      <w:pPr>
        <w:pStyle w:val="Heading2"/>
        <w:spacing w:before="120"/>
      </w:pPr>
      <w:bookmarkStart w:id="41" w:name="_Toc22298042"/>
      <w:r w:rsidRPr="004F30BD">
        <w:rPr>
          <w:lang w:eastAsia="en-AU"/>
        </w:rPr>
        <w:lastRenderedPageBreak/>
        <w:t>Market groupings</w:t>
      </w:r>
      <w:bookmarkEnd w:id="41"/>
    </w:p>
    <w:p w14:paraId="74E51694" w14:textId="52355FDC" w:rsidR="004C0D1A" w:rsidRPr="004F30BD" w:rsidRDefault="00A03B8D" w:rsidP="00A03B8D">
      <w:pPr>
        <w:ind w:right="-2"/>
        <w:rPr>
          <w:lang w:eastAsia="en-AU"/>
        </w:rPr>
      </w:pPr>
      <w:r w:rsidRPr="004F30BD">
        <w:rPr>
          <w:lang w:eastAsia="en-AU"/>
        </w:rPr>
        <w:t xml:space="preserve">There were considerable </w:t>
      </w:r>
      <w:r w:rsidR="00EB5587" w:rsidRPr="004F30BD">
        <w:rPr>
          <w:lang w:eastAsia="en-AU"/>
        </w:rPr>
        <w:t xml:space="preserve">variations in top 2 scores </w:t>
      </w:r>
      <w:r w:rsidR="00422E1E" w:rsidRPr="004F30BD">
        <w:rPr>
          <w:lang w:eastAsia="en-AU"/>
        </w:rPr>
        <w:t xml:space="preserve">between </w:t>
      </w:r>
      <w:r w:rsidR="00EB5587" w:rsidRPr="004F30BD">
        <w:rPr>
          <w:lang w:eastAsia="en-AU"/>
        </w:rPr>
        <w:t>market groupings</w:t>
      </w:r>
      <w:r w:rsidR="00422E1E" w:rsidRPr="004F30BD">
        <w:rPr>
          <w:lang w:eastAsia="en-AU"/>
        </w:rPr>
        <w:t xml:space="preserve"> but</w:t>
      </w:r>
      <w:r w:rsidRPr="004F30BD">
        <w:rPr>
          <w:lang w:eastAsia="en-AU"/>
        </w:rPr>
        <w:t xml:space="preserve"> </w:t>
      </w:r>
      <w:r w:rsidR="00422E1E" w:rsidRPr="004F30BD">
        <w:rPr>
          <w:lang w:eastAsia="en-AU"/>
        </w:rPr>
        <w:t xml:space="preserve">only three </w:t>
      </w:r>
      <w:r w:rsidR="00EB5587" w:rsidRPr="004F30BD">
        <w:rPr>
          <w:lang w:eastAsia="en-AU"/>
        </w:rPr>
        <w:t xml:space="preserve">statistically </w:t>
      </w:r>
      <w:r w:rsidRPr="004F30BD">
        <w:rPr>
          <w:lang w:eastAsia="en-AU"/>
        </w:rPr>
        <w:t>significant differences</w:t>
      </w:r>
      <w:r w:rsidR="00422E1E" w:rsidRPr="004F30BD">
        <w:rPr>
          <w:lang w:eastAsia="en-AU"/>
        </w:rPr>
        <w:t>, as shown in the table below, due to small sample sizes within each group</w:t>
      </w:r>
      <w:r w:rsidR="00725EED">
        <w:rPr>
          <w:lang w:eastAsia="en-AU"/>
        </w:rPr>
        <w:t xml:space="preserve">. These </w:t>
      </w:r>
      <w:r w:rsidR="00CF298F">
        <w:rPr>
          <w:lang w:eastAsia="en-AU"/>
        </w:rPr>
        <w:t xml:space="preserve">differences </w:t>
      </w:r>
      <w:r w:rsidRPr="004F30BD">
        <w:rPr>
          <w:lang w:eastAsia="en-AU"/>
        </w:rPr>
        <w:t xml:space="preserve">are highlighted in yellow </w:t>
      </w:r>
      <w:r w:rsidR="00EB5587" w:rsidRPr="004F30BD">
        <w:rPr>
          <w:lang w:eastAsia="en-AU"/>
        </w:rPr>
        <w:t>below</w:t>
      </w:r>
      <w:r w:rsidRPr="004F30BD">
        <w:rPr>
          <w:lang w:eastAsia="en-AU"/>
        </w:rPr>
        <w:t xml:space="preserve">. </w:t>
      </w:r>
      <w:r w:rsidR="004C0D1A" w:rsidRPr="004F30BD">
        <w:rPr>
          <w:lang w:eastAsia="en-AU"/>
        </w:rPr>
        <w:t xml:space="preserve">Note that the overall TEQSA rating across all market groupings has been included as the last line in the table below. </w:t>
      </w:r>
      <w:r w:rsidR="000204F2" w:rsidRPr="004F30BD">
        <w:rPr>
          <w:lang w:eastAsia="en-AU"/>
        </w:rPr>
        <w:t>However,</w:t>
      </w:r>
      <w:r w:rsidR="004C0D1A" w:rsidRPr="004F30BD">
        <w:rPr>
          <w:lang w:eastAsia="en-AU"/>
        </w:rPr>
        <w:t xml:space="preserve"> these scores are NOT statistically significantly different. They are shown for information only.</w:t>
      </w:r>
    </w:p>
    <w:p w14:paraId="13A02B26" w14:textId="47338FFA" w:rsidR="00A03B8D" w:rsidRPr="004F30BD" w:rsidRDefault="00A03B8D" w:rsidP="00A03B8D">
      <w:pPr>
        <w:ind w:right="-2"/>
        <w:rPr>
          <w:lang w:eastAsia="en-AU"/>
        </w:rPr>
      </w:pPr>
      <w:r w:rsidRPr="004F30BD">
        <w:rPr>
          <w:lang w:eastAsia="en-AU"/>
        </w:rPr>
        <w:t xml:space="preserve">In general, the </w:t>
      </w:r>
      <w:r w:rsidR="00725EED">
        <w:rPr>
          <w:i/>
          <w:lang w:eastAsia="en-AU"/>
        </w:rPr>
        <w:t>P</w:t>
      </w:r>
      <w:r w:rsidRPr="004F30BD">
        <w:rPr>
          <w:i/>
          <w:lang w:eastAsia="en-AU"/>
        </w:rPr>
        <w:t>rofit</w:t>
      </w:r>
      <w:r w:rsidRPr="004F30BD">
        <w:rPr>
          <w:lang w:eastAsia="en-AU"/>
        </w:rPr>
        <w:t xml:space="preserve"> group was generally lowest scoring </w:t>
      </w:r>
      <w:r w:rsidR="00422E1E" w:rsidRPr="004F30BD">
        <w:rPr>
          <w:lang w:eastAsia="en-AU"/>
        </w:rPr>
        <w:t xml:space="preserve">which was </w:t>
      </w:r>
      <w:r w:rsidRPr="004F30BD">
        <w:rPr>
          <w:lang w:eastAsia="en-AU"/>
        </w:rPr>
        <w:t xml:space="preserve">reflected in their open-ended comments </w:t>
      </w:r>
      <w:r w:rsidR="00EB5587" w:rsidRPr="004F30BD">
        <w:rPr>
          <w:lang w:eastAsia="en-AU"/>
        </w:rPr>
        <w:t>about</w:t>
      </w:r>
      <w:r w:rsidRPr="004F30BD">
        <w:rPr>
          <w:lang w:eastAsia="en-AU"/>
        </w:rPr>
        <w:t xml:space="preserve"> TEQSA not </w:t>
      </w:r>
      <w:r w:rsidR="00EB5587" w:rsidRPr="004F30BD">
        <w:rPr>
          <w:lang w:eastAsia="en-AU"/>
        </w:rPr>
        <w:t xml:space="preserve">being </w:t>
      </w:r>
      <w:r w:rsidRPr="004F30BD">
        <w:rPr>
          <w:lang w:eastAsia="en-AU"/>
        </w:rPr>
        <w:t>understanding of their context</w:t>
      </w:r>
      <w:r w:rsidR="00EB5587" w:rsidRPr="004F30BD">
        <w:rPr>
          <w:lang w:eastAsia="en-AU"/>
        </w:rPr>
        <w:t xml:space="preserve"> and being university centric in their views</w:t>
      </w:r>
      <w:r w:rsidRPr="004F30BD">
        <w:rPr>
          <w:lang w:eastAsia="en-AU"/>
        </w:rPr>
        <w:t>.</w:t>
      </w:r>
    </w:p>
    <w:p w14:paraId="02A3FC31" w14:textId="77777777" w:rsidR="00A03B8D" w:rsidRPr="004F30BD" w:rsidRDefault="00A03B8D" w:rsidP="00A03B8D">
      <w:pPr>
        <w:spacing w:after="120"/>
        <w:rPr>
          <w:highlight w:val="yellow"/>
        </w:rPr>
      </w:pPr>
      <w:r w:rsidRPr="004F30BD">
        <w:rPr>
          <w:i/>
        </w:rPr>
        <w:t xml:space="preserve">Significantly higher results highlighted in </w:t>
      </w:r>
      <w:r w:rsidRPr="004F30BD">
        <w:rPr>
          <w:i/>
          <w:highlight w:val="yellow"/>
        </w:rPr>
        <w:t>yellow.</w:t>
      </w:r>
    </w:p>
    <w:tbl>
      <w:tblPr>
        <w:tblW w:w="14174" w:type="dxa"/>
        <w:tblLayout w:type="fixed"/>
        <w:tblLook w:val="04A0" w:firstRow="1" w:lastRow="0" w:firstColumn="1" w:lastColumn="0" w:noHBand="0" w:noVBand="1"/>
      </w:tblPr>
      <w:tblGrid>
        <w:gridCol w:w="5629"/>
        <w:gridCol w:w="1424"/>
        <w:gridCol w:w="1424"/>
        <w:gridCol w:w="1424"/>
        <w:gridCol w:w="1424"/>
        <w:gridCol w:w="1424"/>
        <w:gridCol w:w="1425"/>
      </w:tblGrid>
      <w:tr w:rsidR="00A03B8D" w:rsidRPr="004F30BD" w14:paraId="09DFD21D" w14:textId="77777777" w:rsidTr="00422E1E">
        <w:trPr>
          <w:trHeight w:val="300"/>
          <w:tblHeader/>
        </w:trPr>
        <w:tc>
          <w:tcPr>
            <w:tcW w:w="5629" w:type="dxa"/>
            <w:vMerge w:val="restart"/>
            <w:shd w:val="clear" w:color="auto" w:fill="00386E"/>
            <w:noWrap/>
            <w:vAlign w:val="center"/>
            <w:hideMark/>
          </w:tcPr>
          <w:p w14:paraId="680E9DCB" w14:textId="77777777" w:rsidR="00A03B8D" w:rsidRPr="004F30BD" w:rsidRDefault="00860E6A" w:rsidP="00422E1E">
            <w:pPr>
              <w:spacing w:before="40" w:after="40" w:line="240" w:lineRule="auto"/>
              <w:ind w:right="0"/>
              <w:rPr>
                <w:rFonts w:eastAsia="Times New Roman"/>
                <w:color w:val="FFFFFF"/>
                <w:szCs w:val="18"/>
                <w:lang w:eastAsia="en-AU"/>
              </w:rPr>
            </w:pPr>
            <w:r w:rsidRPr="004F30BD">
              <w:rPr>
                <w:rFonts w:eastAsia="Times New Roman" w:cs="Calibri"/>
                <w:color w:val="FFFFFF"/>
                <w:szCs w:val="18"/>
                <w:lang w:eastAsia="en-AU"/>
              </w:rPr>
              <w:t>SIGNIFICANTLY DIFFERENT ITEMS</w:t>
            </w:r>
            <w:r w:rsidRPr="004F30BD">
              <w:rPr>
                <w:rFonts w:eastAsia="Times New Roman" w:cs="Calibri"/>
                <w:color w:val="FFFFFF"/>
                <w:szCs w:val="18"/>
                <w:lang w:eastAsia="en-AU"/>
              </w:rPr>
              <w:br/>
              <w:t>TOPIC / ITEM</w:t>
            </w:r>
          </w:p>
        </w:tc>
        <w:tc>
          <w:tcPr>
            <w:tcW w:w="8545" w:type="dxa"/>
            <w:gridSpan w:val="6"/>
            <w:shd w:val="clear" w:color="auto" w:fill="00386E"/>
          </w:tcPr>
          <w:p w14:paraId="13C86538" w14:textId="77777777" w:rsidR="00A03B8D" w:rsidRPr="004F30BD" w:rsidRDefault="00A03B8D" w:rsidP="00422E1E">
            <w:pPr>
              <w:spacing w:before="40" w:after="40" w:line="240" w:lineRule="auto"/>
              <w:ind w:right="0"/>
              <w:jc w:val="center"/>
              <w:rPr>
                <w:rFonts w:eastAsia="Times New Roman"/>
                <w:color w:val="FFFFFF"/>
                <w:szCs w:val="18"/>
                <w:lang w:eastAsia="en-AU"/>
              </w:rPr>
            </w:pPr>
            <w:r w:rsidRPr="004F30BD">
              <w:rPr>
                <w:rFonts w:eastAsia="Times New Roman"/>
                <w:color w:val="FFFFFF"/>
                <w:szCs w:val="18"/>
                <w:lang w:eastAsia="en-AU"/>
              </w:rPr>
              <w:t>MARKET GROUPINGS^ - TOP 2 SCORES (%)</w:t>
            </w:r>
          </w:p>
        </w:tc>
      </w:tr>
      <w:tr w:rsidR="00A03B8D" w:rsidRPr="004F30BD" w14:paraId="3A305872" w14:textId="77777777" w:rsidTr="00422E1E">
        <w:trPr>
          <w:trHeight w:val="325"/>
          <w:tblHeader/>
        </w:trPr>
        <w:tc>
          <w:tcPr>
            <w:tcW w:w="5629" w:type="dxa"/>
            <w:vMerge/>
            <w:shd w:val="clear" w:color="auto" w:fill="0F243E" w:themeFill="text2" w:themeFillShade="80"/>
            <w:noWrap/>
            <w:vAlign w:val="bottom"/>
            <w:hideMark/>
          </w:tcPr>
          <w:p w14:paraId="6A8C61EC" w14:textId="77777777" w:rsidR="00A03B8D" w:rsidRPr="004F30BD" w:rsidRDefault="00A03B8D" w:rsidP="00422E1E">
            <w:pPr>
              <w:spacing w:before="40" w:after="40" w:line="240" w:lineRule="auto"/>
              <w:ind w:right="0"/>
              <w:rPr>
                <w:rFonts w:eastAsia="Times New Roman"/>
                <w:color w:val="FFFFFF"/>
                <w:szCs w:val="18"/>
                <w:lang w:eastAsia="en-AU"/>
              </w:rPr>
            </w:pPr>
          </w:p>
        </w:tc>
        <w:tc>
          <w:tcPr>
            <w:tcW w:w="1424" w:type="dxa"/>
            <w:shd w:val="clear" w:color="auto" w:fill="00386E"/>
            <w:noWrap/>
            <w:tcMar>
              <w:left w:w="28" w:type="dxa"/>
              <w:right w:w="28" w:type="dxa"/>
            </w:tcMar>
            <w:vAlign w:val="center"/>
          </w:tcPr>
          <w:p w14:paraId="26958E33" w14:textId="77777777" w:rsidR="00A03B8D" w:rsidRPr="004F30BD" w:rsidRDefault="00A03B8D" w:rsidP="00422E1E">
            <w:pPr>
              <w:spacing w:before="40" w:after="40"/>
              <w:ind w:right="0"/>
              <w:jc w:val="center"/>
            </w:pPr>
            <w:r w:rsidRPr="004F30BD">
              <w:t>Faith based</w:t>
            </w:r>
          </w:p>
          <w:p w14:paraId="527D10D8" w14:textId="77777777" w:rsidR="00A03B8D" w:rsidRPr="004F30BD" w:rsidRDefault="00A03B8D" w:rsidP="00422E1E">
            <w:pPr>
              <w:spacing w:before="40" w:after="40"/>
              <w:ind w:right="0"/>
              <w:jc w:val="center"/>
            </w:pPr>
            <w:r w:rsidRPr="004F30BD">
              <w:t>n=11^</w:t>
            </w:r>
          </w:p>
        </w:tc>
        <w:tc>
          <w:tcPr>
            <w:tcW w:w="1424" w:type="dxa"/>
            <w:shd w:val="clear" w:color="auto" w:fill="00386E"/>
            <w:tcMar>
              <w:left w:w="28" w:type="dxa"/>
              <w:right w:w="28" w:type="dxa"/>
            </w:tcMar>
            <w:vAlign w:val="center"/>
          </w:tcPr>
          <w:p w14:paraId="22FC11E7" w14:textId="77777777" w:rsidR="00A03B8D" w:rsidRPr="004F30BD" w:rsidRDefault="00A03B8D" w:rsidP="00422E1E">
            <w:pPr>
              <w:spacing w:before="40" w:after="40"/>
              <w:ind w:right="0"/>
              <w:jc w:val="center"/>
            </w:pPr>
            <w:r w:rsidRPr="004F30BD">
              <w:t>Miscellaneous# n=27^</w:t>
            </w:r>
          </w:p>
        </w:tc>
        <w:tc>
          <w:tcPr>
            <w:tcW w:w="1424" w:type="dxa"/>
            <w:shd w:val="clear" w:color="auto" w:fill="00386E"/>
            <w:tcMar>
              <w:left w:w="28" w:type="dxa"/>
              <w:right w:w="28" w:type="dxa"/>
            </w:tcMar>
            <w:vAlign w:val="center"/>
          </w:tcPr>
          <w:p w14:paraId="3B477FD1" w14:textId="6D2D5A27" w:rsidR="00A03B8D" w:rsidRPr="004F30BD" w:rsidRDefault="00725EED" w:rsidP="00422E1E">
            <w:pPr>
              <w:spacing w:before="40" w:after="40"/>
              <w:ind w:right="0"/>
              <w:jc w:val="center"/>
            </w:pPr>
            <w:r>
              <w:t>P</w:t>
            </w:r>
            <w:r w:rsidR="00A03B8D" w:rsidRPr="004F30BD">
              <w:t>rofit</w:t>
            </w:r>
          </w:p>
          <w:p w14:paraId="40FF57E8" w14:textId="77777777" w:rsidR="00A03B8D" w:rsidRPr="004F30BD" w:rsidRDefault="00A03B8D" w:rsidP="00422E1E">
            <w:pPr>
              <w:spacing w:before="40" w:after="40"/>
              <w:ind w:right="0"/>
              <w:jc w:val="center"/>
            </w:pPr>
            <w:r w:rsidRPr="004F30BD">
              <w:t>n=38</w:t>
            </w:r>
          </w:p>
        </w:tc>
        <w:tc>
          <w:tcPr>
            <w:tcW w:w="1424" w:type="dxa"/>
            <w:shd w:val="clear" w:color="auto" w:fill="00386E"/>
            <w:vAlign w:val="center"/>
          </w:tcPr>
          <w:p w14:paraId="1EDC3719" w14:textId="77777777" w:rsidR="00A03B8D" w:rsidRPr="004F30BD" w:rsidRDefault="00A03B8D" w:rsidP="00422E1E">
            <w:pPr>
              <w:spacing w:before="40" w:after="40"/>
              <w:ind w:right="0"/>
              <w:jc w:val="center"/>
            </w:pPr>
            <w:r w:rsidRPr="004F30BD">
              <w:t>University</w:t>
            </w:r>
          </w:p>
          <w:p w14:paraId="013A8F6E" w14:textId="77777777" w:rsidR="00A03B8D" w:rsidRPr="004F30BD" w:rsidRDefault="00A03B8D" w:rsidP="00422E1E">
            <w:pPr>
              <w:spacing w:before="40" w:after="40"/>
              <w:ind w:right="0"/>
              <w:jc w:val="center"/>
            </w:pPr>
            <w:r w:rsidRPr="004F30BD">
              <w:t>n=35</w:t>
            </w:r>
          </w:p>
        </w:tc>
        <w:tc>
          <w:tcPr>
            <w:tcW w:w="1424" w:type="dxa"/>
            <w:shd w:val="clear" w:color="auto" w:fill="00386E"/>
            <w:tcMar>
              <w:left w:w="28" w:type="dxa"/>
              <w:right w:w="28" w:type="dxa"/>
            </w:tcMar>
            <w:vAlign w:val="center"/>
          </w:tcPr>
          <w:p w14:paraId="3E9D1E2B" w14:textId="77777777" w:rsidR="00A03B8D" w:rsidRPr="004F30BD" w:rsidRDefault="00A03B8D" w:rsidP="00422E1E">
            <w:pPr>
              <w:spacing w:before="40" w:after="40"/>
              <w:ind w:right="0"/>
              <w:jc w:val="center"/>
            </w:pPr>
            <w:r w:rsidRPr="004F30BD">
              <w:t xml:space="preserve">Other+ </w:t>
            </w:r>
          </w:p>
          <w:p w14:paraId="2C9B1BBC" w14:textId="77777777" w:rsidR="00A03B8D" w:rsidRPr="004F30BD" w:rsidRDefault="00A03B8D" w:rsidP="00422E1E">
            <w:pPr>
              <w:spacing w:before="40" w:after="40"/>
              <w:ind w:right="0"/>
              <w:jc w:val="center"/>
            </w:pPr>
            <w:r w:rsidRPr="004F30BD">
              <w:t>n=16^</w:t>
            </w:r>
          </w:p>
        </w:tc>
        <w:tc>
          <w:tcPr>
            <w:tcW w:w="1425" w:type="dxa"/>
            <w:shd w:val="clear" w:color="auto" w:fill="00386E"/>
            <w:tcMar>
              <w:left w:w="28" w:type="dxa"/>
              <w:right w:w="28" w:type="dxa"/>
            </w:tcMar>
            <w:vAlign w:val="center"/>
          </w:tcPr>
          <w:p w14:paraId="5583BE82" w14:textId="77777777" w:rsidR="00A03B8D" w:rsidRPr="004F30BD" w:rsidRDefault="00860E6A" w:rsidP="00422E1E">
            <w:pPr>
              <w:spacing w:before="40" w:after="40"/>
              <w:ind w:right="0"/>
              <w:jc w:val="center"/>
            </w:pPr>
            <w:r w:rsidRPr="004F30BD">
              <w:t>P</w:t>
            </w:r>
            <w:r w:rsidR="00A03B8D" w:rsidRPr="004F30BD">
              <w:t>rospective HEP n=15^</w:t>
            </w:r>
          </w:p>
        </w:tc>
      </w:tr>
      <w:tr w:rsidR="00422E1E" w:rsidRPr="004F30BD" w14:paraId="4DF0343E" w14:textId="77777777" w:rsidTr="00422E1E">
        <w:trPr>
          <w:trHeight w:val="340"/>
        </w:trPr>
        <w:tc>
          <w:tcPr>
            <w:tcW w:w="5629" w:type="dxa"/>
            <w:tcBorders>
              <w:top w:val="nil"/>
              <w:left w:val="nil"/>
              <w:right w:val="nil"/>
            </w:tcBorders>
            <w:shd w:val="clear" w:color="auto" w:fill="auto"/>
            <w:noWrap/>
            <w:vAlign w:val="center"/>
          </w:tcPr>
          <w:p w14:paraId="6BBDD15F" w14:textId="77777777" w:rsidR="00422E1E" w:rsidRPr="004F30BD" w:rsidRDefault="00422E1E" w:rsidP="00422E1E">
            <w:pPr>
              <w:spacing w:before="40" w:after="40"/>
              <w:ind w:right="0"/>
            </w:pPr>
            <w:r w:rsidRPr="004F30BD">
              <w:rPr>
                <w:rFonts w:cs="Calibri"/>
                <w:color w:val="000000"/>
                <w:szCs w:val="18"/>
              </w:rPr>
              <w:t>KPI 1: Regulation by TEQSA does not unnecessarily impede the efficient operation of higher education providers</w:t>
            </w:r>
          </w:p>
        </w:tc>
        <w:tc>
          <w:tcPr>
            <w:tcW w:w="1424" w:type="dxa"/>
            <w:tcBorders>
              <w:top w:val="nil"/>
              <w:left w:val="nil"/>
              <w:right w:val="nil"/>
            </w:tcBorders>
            <w:shd w:val="clear" w:color="auto" w:fill="FFFFFF" w:themeFill="background1"/>
            <w:noWrap/>
            <w:vAlign w:val="center"/>
          </w:tcPr>
          <w:p w14:paraId="6C16200C" w14:textId="77777777" w:rsidR="00422E1E" w:rsidRPr="004F30BD" w:rsidRDefault="00422E1E" w:rsidP="00422E1E">
            <w:pPr>
              <w:spacing w:before="40" w:after="40" w:line="240" w:lineRule="auto"/>
              <w:ind w:right="0"/>
              <w:jc w:val="center"/>
              <w:rPr>
                <w:rFonts w:eastAsia="Times New Roman"/>
                <w:color w:val="000000" w:themeColor="text1"/>
                <w:szCs w:val="18"/>
                <w:lang w:eastAsia="en-AU"/>
              </w:rPr>
            </w:pPr>
            <w:r w:rsidRPr="004F30BD">
              <w:rPr>
                <w:rFonts w:cs="Calibri"/>
                <w:color w:val="000000"/>
                <w:szCs w:val="18"/>
              </w:rPr>
              <w:t>64</w:t>
            </w:r>
          </w:p>
        </w:tc>
        <w:tc>
          <w:tcPr>
            <w:tcW w:w="1424" w:type="dxa"/>
            <w:tcBorders>
              <w:top w:val="nil"/>
              <w:left w:val="nil"/>
              <w:right w:val="nil"/>
            </w:tcBorders>
            <w:shd w:val="clear" w:color="auto" w:fill="FFFF00"/>
            <w:vAlign w:val="center"/>
          </w:tcPr>
          <w:p w14:paraId="27D853FD" w14:textId="77777777" w:rsidR="00422E1E" w:rsidRPr="004F30BD" w:rsidRDefault="00422E1E" w:rsidP="00422E1E">
            <w:pPr>
              <w:spacing w:before="40" w:after="40" w:line="240" w:lineRule="auto"/>
              <w:ind w:right="0"/>
              <w:jc w:val="center"/>
              <w:rPr>
                <w:rFonts w:eastAsia="Times New Roman"/>
                <w:color w:val="000000" w:themeColor="text1"/>
                <w:szCs w:val="18"/>
                <w:lang w:eastAsia="en-AU"/>
              </w:rPr>
            </w:pPr>
            <w:r w:rsidRPr="004F30BD">
              <w:rPr>
                <w:rFonts w:cs="Calibri"/>
                <w:color w:val="000000"/>
                <w:szCs w:val="18"/>
              </w:rPr>
              <w:t>81</w:t>
            </w:r>
          </w:p>
        </w:tc>
        <w:tc>
          <w:tcPr>
            <w:tcW w:w="1424" w:type="dxa"/>
            <w:tcBorders>
              <w:top w:val="nil"/>
              <w:left w:val="nil"/>
              <w:right w:val="nil"/>
            </w:tcBorders>
            <w:shd w:val="clear" w:color="auto" w:fill="auto"/>
            <w:vAlign w:val="center"/>
          </w:tcPr>
          <w:p w14:paraId="311ACC7B" w14:textId="77777777" w:rsidR="00422E1E" w:rsidRPr="004F30BD" w:rsidRDefault="00422E1E" w:rsidP="00422E1E">
            <w:pPr>
              <w:spacing w:before="40" w:after="40" w:line="240" w:lineRule="auto"/>
              <w:ind w:right="0"/>
              <w:jc w:val="center"/>
              <w:rPr>
                <w:rFonts w:eastAsia="Times New Roman"/>
                <w:color w:val="000000" w:themeColor="text1"/>
                <w:szCs w:val="18"/>
                <w:lang w:eastAsia="en-AU"/>
              </w:rPr>
            </w:pPr>
            <w:r w:rsidRPr="004F30BD">
              <w:rPr>
                <w:rFonts w:cs="Calibri"/>
                <w:color w:val="000000"/>
                <w:szCs w:val="18"/>
              </w:rPr>
              <w:t>43</w:t>
            </w:r>
          </w:p>
        </w:tc>
        <w:tc>
          <w:tcPr>
            <w:tcW w:w="1424" w:type="dxa"/>
            <w:tcBorders>
              <w:top w:val="nil"/>
              <w:left w:val="nil"/>
              <w:right w:val="nil"/>
            </w:tcBorders>
            <w:shd w:val="clear" w:color="auto" w:fill="FFFFFF" w:themeFill="background1"/>
            <w:vAlign w:val="center"/>
          </w:tcPr>
          <w:p w14:paraId="6C234DAB" w14:textId="77777777" w:rsidR="00422E1E" w:rsidRPr="004F30BD" w:rsidRDefault="00422E1E" w:rsidP="00422E1E">
            <w:pPr>
              <w:spacing w:before="40" w:after="40" w:line="240" w:lineRule="auto"/>
              <w:ind w:right="0"/>
              <w:jc w:val="center"/>
              <w:rPr>
                <w:rFonts w:eastAsia="Times New Roman"/>
                <w:color w:val="000000" w:themeColor="text1"/>
                <w:szCs w:val="18"/>
                <w:lang w:eastAsia="en-AU"/>
              </w:rPr>
            </w:pPr>
            <w:r w:rsidRPr="004F30BD">
              <w:rPr>
                <w:rFonts w:cs="Calibri"/>
                <w:color w:val="000000"/>
                <w:szCs w:val="18"/>
              </w:rPr>
              <w:t>62</w:t>
            </w:r>
          </w:p>
        </w:tc>
        <w:tc>
          <w:tcPr>
            <w:tcW w:w="1424" w:type="dxa"/>
            <w:tcBorders>
              <w:top w:val="nil"/>
              <w:left w:val="nil"/>
              <w:right w:val="nil"/>
            </w:tcBorders>
            <w:shd w:val="clear" w:color="auto" w:fill="FFFFFF" w:themeFill="background1"/>
            <w:vAlign w:val="center"/>
          </w:tcPr>
          <w:p w14:paraId="216781CC" w14:textId="77777777" w:rsidR="00422E1E" w:rsidRPr="004F30BD" w:rsidRDefault="00422E1E" w:rsidP="00422E1E">
            <w:pPr>
              <w:spacing w:before="40" w:after="40" w:line="240" w:lineRule="auto"/>
              <w:ind w:right="0"/>
              <w:jc w:val="center"/>
              <w:rPr>
                <w:rFonts w:eastAsia="Times New Roman"/>
                <w:color w:val="000000" w:themeColor="text1"/>
                <w:szCs w:val="18"/>
                <w:lang w:eastAsia="en-AU"/>
              </w:rPr>
            </w:pPr>
            <w:r w:rsidRPr="004F30BD">
              <w:rPr>
                <w:rFonts w:cs="Calibri"/>
                <w:color w:val="000000"/>
                <w:szCs w:val="18"/>
              </w:rPr>
              <w:t>56</w:t>
            </w:r>
          </w:p>
        </w:tc>
        <w:tc>
          <w:tcPr>
            <w:tcW w:w="1425" w:type="dxa"/>
            <w:tcBorders>
              <w:top w:val="nil"/>
              <w:left w:val="nil"/>
              <w:right w:val="nil"/>
            </w:tcBorders>
            <w:shd w:val="clear" w:color="auto" w:fill="FFFFFF" w:themeFill="background1"/>
            <w:vAlign w:val="center"/>
          </w:tcPr>
          <w:p w14:paraId="1AEB3F83" w14:textId="77777777" w:rsidR="00422E1E" w:rsidRPr="004F30BD" w:rsidRDefault="00422E1E" w:rsidP="00422E1E">
            <w:pPr>
              <w:spacing w:before="40" w:after="40" w:line="240" w:lineRule="auto"/>
              <w:ind w:right="0"/>
              <w:jc w:val="center"/>
              <w:rPr>
                <w:rFonts w:eastAsia="Times New Roman"/>
                <w:color w:val="000000" w:themeColor="text1"/>
                <w:szCs w:val="18"/>
                <w:lang w:eastAsia="en-AU"/>
              </w:rPr>
            </w:pPr>
            <w:r w:rsidRPr="004F30BD">
              <w:rPr>
                <w:rFonts w:cs="Calibri"/>
                <w:color w:val="000000"/>
                <w:szCs w:val="18"/>
              </w:rPr>
              <w:t>44</w:t>
            </w:r>
          </w:p>
        </w:tc>
      </w:tr>
      <w:tr w:rsidR="00422E1E" w:rsidRPr="004F30BD" w14:paraId="53D9572B" w14:textId="77777777" w:rsidTr="00422E1E">
        <w:trPr>
          <w:trHeight w:val="340"/>
        </w:trPr>
        <w:tc>
          <w:tcPr>
            <w:tcW w:w="5629" w:type="dxa"/>
            <w:tcBorders>
              <w:top w:val="nil"/>
              <w:left w:val="nil"/>
              <w:right w:val="nil"/>
            </w:tcBorders>
            <w:shd w:val="clear" w:color="auto" w:fill="E6E6E6"/>
            <w:noWrap/>
            <w:vAlign w:val="center"/>
          </w:tcPr>
          <w:p w14:paraId="13111C72" w14:textId="77777777" w:rsidR="00422E1E" w:rsidRPr="004F30BD" w:rsidRDefault="00422E1E" w:rsidP="00422E1E">
            <w:pPr>
              <w:spacing w:before="40" w:after="40"/>
              <w:ind w:right="0"/>
            </w:pPr>
            <w:r w:rsidRPr="004F30BD">
              <w:rPr>
                <w:rFonts w:cs="Calibri"/>
                <w:color w:val="000000"/>
                <w:szCs w:val="18"/>
              </w:rPr>
              <w:t>KPI 6: TEQSA continues to improve its regulatory framework in consultation with organisation</w:t>
            </w:r>
          </w:p>
        </w:tc>
        <w:tc>
          <w:tcPr>
            <w:tcW w:w="1424" w:type="dxa"/>
            <w:tcBorders>
              <w:top w:val="nil"/>
              <w:left w:val="nil"/>
              <w:right w:val="nil"/>
            </w:tcBorders>
            <w:shd w:val="clear" w:color="auto" w:fill="E6E6E6"/>
            <w:noWrap/>
            <w:vAlign w:val="center"/>
          </w:tcPr>
          <w:p w14:paraId="127D06CD" w14:textId="77777777" w:rsidR="00422E1E" w:rsidRPr="004F30BD" w:rsidRDefault="00422E1E" w:rsidP="00422E1E">
            <w:pPr>
              <w:spacing w:before="40" w:after="40" w:line="240" w:lineRule="auto"/>
              <w:ind w:right="0"/>
              <w:jc w:val="center"/>
              <w:rPr>
                <w:rFonts w:eastAsia="Times New Roman"/>
                <w:color w:val="000000" w:themeColor="text1"/>
                <w:szCs w:val="18"/>
                <w:lang w:eastAsia="en-AU"/>
              </w:rPr>
            </w:pPr>
            <w:r w:rsidRPr="004F30BD">
              <w:rPr>
                <w:rFonts w:cs="Calibri"/>
                <w:color w:val="000000"/>
                <w:szCs w:val="18"/>
              </w:rPr>
              <w:t>100</w:t>
            </w:r>
          </w:p>
        </w:tc>
        <w:tc>
          <w:tcPr>
            <w:tcW w:w="1424" w:type="dxa"/>
            <w:tcBorders>
              <w:top w:val="nil"/>
              <w:left w:val="nil"/>
              <w:right w:val="nil"/>
            </w:tcBorders>
            <w:shd w:val="clear" w:color="auto" w:fill="E6E6E6"/>
            <w:vAlign w:val="center"/>
          </w:tcPr>
          <w:p w14:paraId="617AA197" w14:textId="77777777" w:rsidR="00422E1E" w:rsidRPr="004F30BD" w:rsidRDefault="00422E1E" w:rsidP="00422E1E">
            <w:pPr>
              <w:spacing w:before="40" w:after="40" w:line="240" w:lineRule="auto"/>
              <w:ind w:right="0"/>
              <w:jc w:val="center"/>
              <w:rPr>
                <w:rFonts w:eastAsia="Times New Roman"/>
                <w:color w:val="000000" w:themeColor="text1"/>
                <w:szCs w:val="18"/>
                <w:lang w:eastAsia="en-AU"/>
              </w:rPr>
            </w:pPr>
            <w:r w:rsidRPr="004F30BD">
              <w:rPr>
                <w:rFonts w:cs="Calibri"/>
                <w:color w:val="000000"/>
                <w:szCs w:val="18"/>
              </w:rPr>
              <w:t>68</w:t>
            </w:r>
          </w:p>
        </w:tc>
        <w:tc>
          <w:tcPr>
            <w:tcW w:w="1424" w:type="dxa"/>
            <w:tcBorders>
              <w:top w:val="nil"/>
              <w:left w:val="nil"/>
              <w:right w:val="nil"/>
            </w:tcBorders>
            <w:shd w:val="clear" w:color="auto" w:fill="E6E6E6"/>
            <w:vAlign w:val="center"/>
          </w:tcPr>
          <w:p w14:paraId="389603C2" w14:textId="77777777" w:rsidR="00422E1E" w:rsidRPr="004F30BD" w:rsidRDefault="00422E1E" w:rsidP="00422E1E">
            <w:pPr>
              <w:spacing w:before="40" w:after="40" w:line="240" w:lineRule="auto"/>
              <w:ind w:right="0"/>
              <w:jc w:val="center"/>
              <w:rPr>
                <w:rFonts w:eastAsia="Times New Roman"/>
                <w:color w:val="000000" w:themeColor="text1"/>
                <w:szCs w:val="18"/>
                <w:lang w:eastAsia="en-AU"/>
              </w:rPr>
            </w:pPr>
            <w:r w:rsidRPr="004F30BD">
              <w:rPr>
                <w:rFonts w:cs="Calibri"/>
                <w:color w:val="000000"/>
                <w:szCs w:val="18"/>
              </w:rPr>
              <w:t>39</w:t>
            </w:r>
          </w:p>
        </w:tc>
        <w:tc>
          <w:tcPr>
            <w:tcW w:w="1424" w:type="dxa"/>
            <w:tcBorders>
              <w:top w:val="nil"/>
              <w:left w:val="nil"/>
              <w:right w:val="nil"/>
            </w:tcBorders>
            <w:shd w:val="clear" w:color="auto" w:fill="FFFF00"/>
            <w:vAlign w:val="center"/>
          </w:tcPr>
          <w:p w14:paraId="6E1B0483" w14:textId="77777777" w:rsidR="00422E1E" w:rsidRPr="004F30BD" w:rsidRDefault="00422E1E" w:rsidP="00422E1E">
            <w:pPr>
              <w:spacing w:before="40" w:after="40" w:line="240" w:lineRule="auto"/>
              <w:ind w:right="0"/>
              <w:jc w:val="center"/>
              <w:rPr>
                <w:rFonts w:eastAsia="Times New Roman"/>
                <w:color w:val="000000" w:themeColor="text1"/>
                <w:szCs w:val="18"/>
                <w:lang w:eastAsia="en-AU"/>
              </w:rPr>
            </w:pPr>
            <w:r w:rsidRPr="004F30BD">
              <w:rPr>
                <w:rFonts w:cs="Calibri"/>
                <w:color w:val="000000"/>
                <w:szCs w:val="18"/>
              </w:rPr>
              <w:t>81</w:t>
            </w:r>
          </w:p>
        </w:tc>
        <w:tc>
          <w:tcPr>
            <w:tcW w:w="1424" w:type="dxa"/>
            <w:tcBorders>
              <w:top w:val="nil"/>
              <w:left w:val="nil"/>
              <w:right w:val="nil"/>
            </w:tcBorders>
            <w:shd w:val="clear" w:color="auto" w:fill="E6E6E6"/>
            <w:vAlign w:val="center"/>
          </w:tcPr>
          <w:p w14:paraId="1D890A08" w14:textId="77777777" w:rsidR="00422E1E" w:rsidRPr="004F30BD" w:rsidRDefault="00422E1E" w:rsidP="00422E1E">
            <w:pPr>
              <w:spacing w:before="40" w:after="40" w:line="240" w:lineRule="auto"/>
              <w:ind w:right="0"/>
              <w:jc w:val="center"/>
              <w:rPr>
                <w:rFonts w:eastAsia="Times New Roman"/>
                <w:color w:val="000000" w:themeColor="text1"/>
                <w:szCs w:val="18"/>
                <w:lang w:eastAsia="en-AU"/>
              </w:rPr>
            </w:pPr>
            <w:r w:rsidRPr="004F30BD">
              <w:rPr>
                <w:rFonts w:cs="Calibri"/>
                <w:color w:val="000000"/>
                <w:szCs w:val="18"/>
              </w:rPr>
              <w:t>80</w:t>
            </w:r>
          </w:p>
        </w:tc>
        <w:tc>
          <w:tcPr>
            <w:tcW w:w="1425" w:type="dxa"/>
            <w:tcBorders>
              <w:top w:val="nil"/>
              <w:left w:val="nil"/>
              <w:right w:val="nil"/>
            </w:tcBorders>
            <w:shd w:val="clear" w:color="auto" w:fill="E6E6E6"/>
            <w:vAlign w:val="center"/>
          </w:tcPr>
          <w:p w14:paraId="2D5292E0" w14:textId="77777777" w:rsidR="00422E1E" w:rsidRPr="004F30BD" w:rsidRDefault="00422E1E" w:rsidP="00422E1E">
            <w:pPr>
              <w:spacing w:before="40" w:after="40" w:line="240" w:lineRule="auto"/>
              <w:ind w:right="0"/>
              <w:jc w:val="center"/>
              <w:rPr>
                <w:rFonts w:eastAsia="Times New Roman"/>
                <w:color w:val="000000" w:themeColor="text1"/>
                <w:szCs w:val="18"/>
                <w:lang w:eastAsia="en-AU"/>
              </w:rPr>
            </w:pPr>
            <w:r w:rsidRPr="004F30BD">
              <w:rPr>
                <w:rFonts w:cs="Calibri"/>
                <w:color w:val="000000"/>
                <w:szCs w:val="18"/>
              </w:rPr>
              <w:t>56</w:t>
            </w:r>
          </w:p>
        </w:tc>
      </w:tr>
      <w:tr w:rsidR="00422E1E" w:rsidRPr="004F30BD" w14:paraId="58D31D7C" w14:textId="77777777" w:rsidTr="004C0D1A">
        <w:trPr>
          <w:trHeight w:val="340"/>
        </w:trPr>
        <w:tc>
          <w:tcPr>
            <w:tcW w:w="5629" w:type="dxa"/>
            <w:tcBorders>
              <w:top w:val="nil"/>
              <w:left w:val="nil"/>
              <w:bottom w:val="nil"/>
              <w:right w:val="nil"/>
            </w:tcBorders>
            <w:shd w:val="clear" w:color="auto" w:fill="auto"/>
            <w:noWrap/>
            <w:vAlign w:val="center"/>
          </w:tcPr>
          <w:p w14:paraId="53F1E483" w14:textId="77777777" w:rsidR="00422E1E" w:rsidRPr="004F30BD" w:rsidRDefault="00422E1E" w:rsidP="00422E1E">
            <w:pPr>
              <w:spacing w:before="40" w:after="40" w:line="240" w:lineRule="auto"/>
              <w:ind w:right="0"/>
              <w:rPr>
                <w:rFonts w:cs="Calibri"/>
                <w:color w:val="000000"/>
                <w:szCs w:val="16"/>
                <w:lang w:eastAsia="en-AU"/>
              </w:rPr>
            </w:pPr>
            <w:r w:rsidRPr="004F30BD">
              <w:rPr>
                <w:rFonts w:cs="Calibri"/>
                <w:color w:val="000000"/>
                <w:szCs w:val="18"/>
              </w:rPr>
              <w:t>Regulatory activities: Having accountable regulatory process where decisions are justified openly</w:t>
            </w:r>
          </w:p>
        </w:tc>
        <w:tc>
          <w:tcPr>
            <w:tcW w:w="1424" w:type="dxa"/>
            <w:tcBorders>
              <w:top w:val="nil"/>
              <w:left w:val="nil"/>
              <w:bottom w:val="nil"/>
              <w:right w:val="nil"/>
            </w:tcBorders>
            <w:shd w:val="clear" w:color="auto" w:fill="FFFFFF" w:themeFill="background1"/>
            <w:noWrap/>
            <w:vAlign w:val="center"/>
          </w:tcPr>
          <w:p w14:paraId="01D851E8" w14:textId="77777777" w:rsidR="00422E1E" w:rsidRPr="004F30BD" w:rsidRDefault="00422E1E" w:rsidP="00422E1E">
            <w:pPr>
              <w:spacing w:before="40" w:after="40" w:line="240" w:lineRule="auto"/>
              <w:ind w:right="0"/>
              <w:jc w:val="center"/>
              <w:rPr>
                <w:rFonts w:eastAsia="Times New Roman"/>
                <w:color w:val="000000" w:themeColor="text1"/>
                <w:szCs w:val="18"/>
                <w:lang w:eastAsia="en-AU"/>
              </w:rPr>
            </w:pPr>
            <w:r w:rsidRPr="004F30BD">
              <w:rPr>
                <w:rFonts w:cs="Calibri"/>
                <w:color w:val="000000"/>
                <w:szCs w:val="18"/>
              </w:rPr>
              <w:t>64</w:t>
            </w:r>
          </w:p>
        </w:tc>
        <w:tc>
          <w:tcPr>
            <w:tcW w:w="1424" w:type="dxa"/>
            <w:tcBorders>
              <w:top w:val="nil"/>
              <w:left w:val="nil"/>
              <w:bottom w:val="nil"/>
              <w:right w:val="nil"/>
            </w:tcBorders>
            <w:shd w:val="clear" w:color="auto" w:fill="FFFFFF" w:themeFill="background1"/>
            <w:vAlign w:val="center"/>
          </w:tcPr>
          <w:p w14:paraId="62CADC5D" w14:textId="77777777" w:rsidR="00422E1E" w:rsidRPr="004F30BD" w:rsidRDefault="00422E1E" w:rsidP="00422E1E">
            <w:pPr>
              <w:spacing w:before="40" w:after="40" w:line="240" w:lineRule="auto"/>
              <w:ind w:right="0"/>
              <w:jc w:val="center"/>
              <w:rPr>
                <w:rFonts w:eastAsia="Times New Roman"/>
                <w:color w:val="000000" w:themeColor="text1"/>
                <w:szCs w:val="18"/>
                <w:lang w:eastAsia="en-AU"/>
              </w:rPr>
            </w:pPr>
            <w:r w:rsidRPr="004F30BD">
              <w:rPr>
                <w:rFonts w:cs="Calibri"/>
                <w:color w:val="000000"/>
                <w:szCs w:val="18"/>
              </w:rPr>
              <w:t>61</w:t>
            </w:r>
          </w:p>
        </w:tc>
        <w:tc>
          <w:tcPr>
            <w:tcW w:w="1424" w:type="dxa"/>
            <w:tcBorders>
              <w:top w:val="nil"/>
              <w:left w:val="nil"/>
              <w:bottom w:val="nil"/>
              <w:right w:val="nil"/>
            </w:tcBorders>
            <w:shd w:val="clear" w:color="auto" w:fill="FFFFFF" w:themeFill="background1"/>
            <w:vAlign w:val="center"/>
          </w:tcPr>
          <w:p w14:paraId="1B74C6A3" w14:textId="77777777" w:rsidR="00422E1E" w:rsidRPr="004F30BD" w:rsidRDefault="00422E1E" w:rsidP="00422E1E">
            <w:pPr>
              <w:spacing w:before="40" w:after="40" w:line="240" w:lineRule="auto"/>
              <w:ind w:right="0"/>
              <w:jc w:val="center"/>
              <w:rPr>
                <w:rFonts w:eastAsia="Times New Roman"/>
                <w:color w:val="000000" w:themeColor="text1"/>
                <w:szCs w:val="18"/>
                <w:lang w:eastAsia="en-AU"/>
              </w:rPr>
            </w:pPr>
            <w:r w:rsidRPr="004F30BD">
              <w:rPr>
                <w:rFonts w:cs="Calibri"/>
                <w:color w:val="000000"/>
                <w:szCs w:val="18"/>
              </w:rPr>
              <w:t>39</w:t>
            </w:r>
          </w:p>
        </w:tc>
        <w:tc>
          <w:tcPr>
            <w:tcW w:w="1424" w:type="dxa"/>
            <w:tcBorders>
              <w:top w:val="nil"/>
              <w:left w:val="nil"/>
              <w:bottom w:val="nil"/>
              <w:right w:val="nil"/>
            </w:tcBorders>
            <w:shd w:val="clear" w:color="auto" w:fill="FFFFFF" w:themeFill="background1"/>
            <w:vAlign w:val="center"/>
          </w:tcPr>
          <w:p w14:paraId="69F52671" w14:textId="77777777" w:rsidR="00422E1E" w:rsidRPr="004F30BD" w:rsidRDefault="00422E1E" w:rsidP="00422E1E">
            <w:pPr>
              <w:spacing w:before="40" w:after="40" w:line="240" w:lineRule="auto"/>
              <w:ind w:right="0"/>
              <w:jc w:val="center"/>
              <w:rPr>
                <w:rFonts w:eastAsia="Times New Roman"/>
                <w:color w:val="000000" w:themeColor="text1"/>
                <w:szCs w:val="18"/>
                <w:lang w:eastAsia="en-AU"/>
              </w:rPr>
            </w:pPr>
            <w:r w:rsidRPr="004F30BD">
              <w:rPr>
                <w:rFonts w:cs="Calibri"/>
                <w:color w:val="000000"/>
                <w:szCs w:val="18"/>
              </w:rPr>
              <w:t>61</w:t>
            </w:r>
          </w:p>
        </w:tc>
        <w:tc>
          <w:tcPr>
            <w:tcW w:w="1424" w:type="dxa"/>
            <w:tcBorders>
              <w:top w:val="nil"/>
              <w:left w:val="nil"/>
              <w:bottom w:val="nil"/>
              <w:right w:val="nil"/>
            </w:tcBorders>
            <w:shd w:val="clear" w:color="auto" w:fill="FFFF00"/>
            <w:vAlign w:val="center"/>
          </w:tcPr>
          <w:p w14:paraId="7CD0A4F9" w14:textId="77777777" w:rsidR="00422E1E" w:rsidRPr="004F30BD" w:rsidRDefault="00422E1E" w:rsidP="00422E1E">
            <w:pPr>
              <w:spacing w:before="40" w:after="40" w:line="240" w:lineRule="auto"/>
              <w:ind w:right="0"/>
              <w:jc w:val="center"/>
              <w:rPr>
                <w:rFonts w:eastAsia="Times New Roman"/>
                <w:color w:val="000000" w:themeColor="text1"/>
                <w:szCs w:val="18"/>
                <w:lang w:eastAsia="en-AU"/>
              </w:rPr>
            </w:pPr>
            <w:r w:rsidRPr="004F30BD">
              <w:rPr>
                <w:rFonts w:cs="Calibri"/>
                <w:color w:val="000000"/>
                <w:szCs w:val="18"/>
              </w:rPr>
              <w:t>86</w:t>
            </w:r>
          </w:p>
        </w:tc>
        <w:tc>
          <w:tcPr>
            <w:tcW w:w="1425" w:type="dxa"/>
            <w:tcBorders>
              <w:top w:val="nil"/>
              <w:left w:val="nil"/>
              <w:bottom w:val="nil"/>
              <w:right w:val="nil"/>
            </w:tcBorders>
            <w:shd w:val="clear" w:color="auto" w:fill="FFFFFF" w:themeFill="background1"/>
            <w:vAlign w:val="center"/>
          </w:tcPr>
          <w:p w14:paraId="6B55E22F" w14:textId="77777777" w:rsidR="00422E1E" w:rsidRPr="004F30BD" w:rsidRDefault="00422E1E" w:rsidP="00422E1E">
            <w:pPr>
              <w:spacing w:before="40" w:after="40" w:line="240" w:lineRule="auto"/>
              <w:ind w:right="0"/>
              <w:jc w:val="center"/>
              <w:rPr>
                <w:rFonts w:eastAsia="Times New Roman"/>
                <w:color w:val="000000" w:themeColor="text1"/>
                <w:szCs w:val="18"/>
                <w:lang w:eastAsia="en-AU"/>
              </w:rPr>
            </w:pPr>
            <w:r w:rsidRPr="004F30BD">
              <w:rPr>
                <w:rFonts w:cs="Calibri"/>
                <w:color w:val="000000"/>
                <w:szCs w:val="18"/>
              </w:rPr>
              <w:t>45</w:t>
            </w:r>
          </w:p>
        </w:tc>
      </w:tr>
      <w:tr w:rsidR="004C0D1A" w:rsidRPr="004F30BD" w14:paraId="664A7006" w14:textId="77777777" w:rsidTr="004C0D1A">
        <w:trPr>
          <w:trHeight w:val="340"/>
        </w:trPr>
        <w:tc>
          <w:tcPr>
            <w:tcW w:w="5629" w:type="dxa"/>
            <w:tcBorders>
              <w:top w:val="nil"/>
              <w:left w:val="nil"/>
              <w:bottom w:val="single" w:sz="4" w:space="0" w:color="auto"/>
              <w:right w:val="nil"/>
            </w:tcBorders>
            <w:shd w:val="clear" w:color="auto" w:fill="D9D9D9" w:themeFill="background1" w:themeFillShade="D9"/>
            <w:noWrap/>
            <w:vAlign w:val="center"/>
          </w:tcPr>
          <w:p w14:paraId="361EF3FE" w14:textId="77777777" w:rsidR="004C0D1A" w:rsidRPr="004F30BD" w:rsidRDefault="004C0D1A" w:rsidP="004C0D1A">
            <w:pPr>
              <w:spacing w:before="40" w:after="40" w:line="240" w:lineRule="auto"/>
              <w:ind w:right="0"/>
              <w:rPr>
                <w:rFonts w:cs="Calibri"/>
                <w:color w:val="000000"/>
                <w:szCs w:val="18"/>
              </w:rPr>
            </w:pPr>
            <w:r w:rsidRPr="004F30BD">
              <w:rPr>
                <w:rFonts w:cs="Calibri"/>
                <w:color w:val="000000"/>
                <w:szCs w:val="18"/>
              </w:rPr>
              <w:t>Overall: TEQSA's performance as a regulator</w:t>
            </w:r>
          </w:p>
        </w:tc>
        <w:tc>
          <w:tcPr>
            <w:tcW w:w="1424" w:type="dxa"/>
            <w:tcBorders>
              <w:top w:val="nil"/>
              <w:left w:val="nil"/>
              <w:bottom w:val="single" w:sz="4" w:space="0" w:color="auto"/>
              <w:right w:val="nil"/>
            </w:tcBorders>
            <w:shd w:val="clear" w:color="auto" w:fill="D9D9D9" w:themeFill="background1" w:themeFillShade="D9"/>
            <w:noWrap/>
            <w:vAlign w:val="center"/>
          </w:tcPr>
          <w:p w14:paraId="5C8317DC" w14:textId="77777777" w:rsidR="004C0D1A" w:rsidRPr="004F30BD" w:rsidRDefault="004C0D1A" w:rsidP="004C0D1A">
            <w:pPr>
              <w:spacing w:before="40" w:after="40" w:line="240" w:lineRule="auto"/>
              <w:ind w:right="0"/>
              <w:jc w:val="center"/>
              <w:rPr>
                <w:rFonts w:cs="Calibri"/>
                <w:color w:val="000000"/>
                <w:szCs w:val="18"/>
              </w:rPr>
            </w:pPr>
            <w:r w:rsidRPr="004F30BD">
              <w:rPr>
                <w:rFonts w:cs="Calibri"/>
                <w:color w:val="000000"/>
                <w:szCs w:val="18"/>
              </w:rPr>
              <w:t>78</w:t>
            </w:r>
          </w:p>
        </w:tc>
        <w:tc>
          <w:tcPr>
            <w:tcW w:w="1424" w:type="dxa"/>
            <w:tcBorders>
              <w:top w:val="nil"/>
              <w:left w:val="nil"/>
              <w:bottom w:val="single" w:sz="4" w:space="0" w:color="auto"/>
              <w:right w:val="nil"/>
            </w:tcBorders>
            <w:shd w:val="clear" w:color="auto" w:fill="D9D9D9" w:themeFill="background1" w:themeFillShade="D9"/>
            <w:vAlign w:val="center"/>
          </w:tcPr>
          <w:p w14:paraId="2C3742CB" w14:textId="77777777" w:rsidR="004C0D1A" w:rsidRPr="004F30BD" w:rsidRDefault="004C0D1A" w:rsidP="004C0D1A">
            <w:pPr>
              <w:spacing w:before="40" w:after="40" w:line="240" w:lineRule="auto"/>
              <w:ind w:right="0"/>
              <w:jc w:val="center"/>
              <w:rPr>
                <w:rFonts w:cs="Calibri"/>
                <w:color w:val="000000"/>
                <w:szCs w:val="18"/>
              </w:rPr>
            </w:pPr>
            <w:r w:rsidRPr="004F30BD">
              <w:rPr>
                <w:rFonts w:cs="Calibri"/>
                <w:color w:val="000000"/>
                <w:szCs w:val="18"/>
              </w:rPr>
              <w:t>88</w:t>
            </w:r>
          </w:p>
        </w:tc>
        <w:tc>
          <w:tcPr>
            <w:tcW w:w="1424" w:type="dxa"/>
            <w:tcBorders>
              <w:top w:val="nil"/>
              <w:left w:val="nil"/>
              <w:bottom w:val="single" w:sz="4" w:space="0" w:color="auto"/>
              <w:right w:val="nil"/>
            </w:tcBorders>
            <w:shd w:val="clear" w:color="auto" w:fill="D9D9D9" w:themeFill="background1" w:themeFillShade="D9"/>
            <w:vAlign w:val="center"/>
          </w:tcPr>
          <w:p w14:paraId="5F0A207D" w14:textId="77777777" w:rsidR="004C0D1A" w:rsidRPr="004F30BD" w:rsidRDefault="004C0D1A" w:rsidP="004C0D1A">
            <w:pPr>
              <w:spacing w:before="40" w:after="40" w:line="240" w:lineRule="auto"/>
              <w:ind w:right="0"/>
              <w:jc w:val="center"/>
              <w:rPr>
                <w:rFonts w:cs="Calibri"/>
                <w:color w:val="000000"/>
                <w:szCs w:val="18"/>
              </w:rPr>
            </w:pPr>
            <w:r w:rsidRPr="004F30BD">
              <w:rPr>
                <w:rFonts w:cs="Calibri"/>
                <w:color w:val="000000"/>
                <w:szCs w:val="18"/>
              </w:rPr>
              <w:t>68</w:t>
            </w:r>
          </w:p>
        </w:tc>
        <w:tc>
          <w:tcPr>
            <w:tcW w:w="1424" w:type="dxa"/>
            <w:tcBorders>
              <w:top w:val="nil"/>
              <w:left w:val="nil"/>
              <w:bottom w:val="single" w:sz="4" w:space="0" w:color="auto"/>
              <w:right w:val="nil"/>
            </w:tcBorders>
            <w:shd w:val="clear" w:color="auto" w:fill="D9D9D9" w:themeFill="background1" w:themeFillShade="D9"/>
            <w:vAlign w:val="center"/>
          </w:tcPr>
          <w:p w14:paraId="228D44D6" w14:textId="77777777" w:rsidR="004C0D1A" w:rsidRPr="004F30BD" w:rsidRDefault="004C0D1A" w:rsidP="004C0D1A">
            <w:pPr>
              <w:spacing w:before="40" w:after="40" w:line="240" w:lineRule="auto"/>
              <w:ind w:right="0"/>
              <w:jc w:val="center"/>
              <w:rPr>
                <w:rFonts w:cs="Calibri"/>
                <w:color w:val="000000"/>
                <w:szCs w:val="18"/>
              </w:rPr>
            </w:pPr>
            <w:r w:rsidRPr="004F30BD">
              <w:rPr>
                <w:rFonts w:cs="Calibri"/>
                <w:color w:val="000000"/>
                <w:szCs w:val="18"/>
              </w:rPr>
              <w:t>88</w:t>
            </w:r>
          </w:p>
        </w:tc>
        <w:tc>
          <w:tcPr>
            <w:tcW w:w="1424" w:type="dxa"/>
            <w:tcBorders>
              <w:top w:val="nil"/>
              <w:left w:val="nil"/>
              <w:bottom w:val="single" w:sz="4" w:space="0" w:color="auto"/>
              <w:right w:val="nil"/>
            </w:tcBorders>
            <w:shd w:val="clear" w:color="auto" w:fill="D9D9D9" w:themeFill="background1" w:themeFillShade="D9"/>
            <w:vAlign w:val="center"/>
          </w:tcPr>
          <w:p w14:paraId="20968F06" w14:textId="77777777" w:rsidR="004C0D1A" w:rsidRPr="004F30BD" w:rsidRDefault="004C0D1A" w:rsidP="004C0D1A">
            <w:pPr>
              <w:spacing w:before="40" w:after="40" w:line="240" w:lineRule="auto"/>
              <w:ind w:right="0"/>
              <w:jc w:val="center"/>
              <w:rPr>
                <w:rFonts w:cs="Calibri"/>
                <w:color w:val="000000"/>
                <w:szCs w:val="18"/>
              </w:rPr>
            </w:pPr>
            <w:r w:rsidRPr="004F30BD">
              <w:rPr>
                <w:rFonts w:cs="Calibri"/>
                <w:color w:val="000000"/>
                <w:szCs w:val="18"/>
              </w:rPr>
              <w:t>69</w:t>
            </w:r>
          </w:p>
        </w:tc>
        <w:tc>
          <w:tcPr>
            <w:tcW w:w="1425" w:type="dxa"/>
            <w:tcBorders>
              <w:top w:val="nil"/>
              <w:left w:val="nil"/>
              <w:bottom w:val="single" w:sz="4" w:space="0" w:color="auto"/>
              <w:right w:val="nil"/>
            </w:tcBorders>
            <w:shd w:val="clear" w:color="auto" w:fill="D9D9D9" w:themeFill="background1" w:themeFillShade="D9"/>
            <w:vAlign w:val="center"/>
          </w:tcPr>
          <w:p w14:paraId="4AF9A562" w14:textId="77777777" w:rsidR="004C0D1A" w:rsidRPr="004F30BD" w:rsidRDefault="004C0D1A" w:rsidP="004C0D1A">
            <w:pPr>
              <w:spacing w:before="40" w:after="40" w:line="240" w:lineRule="auto"/>
              <w:ind w:right="0"/>
              <w:jc w:val="center"/>
              <w:rPr>
                <w:rFonts w:cs="Calibri"/>
                <w:color w:val="000000"/>
                <w:szCs w:val="18"/>
              </w:rPr>
            </w:pPr>
            <w:r w:rsidRPr="004F30BD">
              <w:rPr>
                <w:rFonts w:cs="Calibri"/>
                <w:color w:val="000000"/>
                <w:szCs w:val="18"/>
              </w:rPr>
              <w:t>57</w:t>
            </w:r>
          </w:p>
        </w:tc>
      </w:tr>
    </w:tbl>
    <w:p w14:paraId="50B884B3" w14:textId="77777777" w:rsidR="006F7F91" w:rsidRPr="004F30BD" w:rsidRDefault="00A03B8D" w:rsidP="00422E1E">
      <w:pPr>
        <w:tabs>
          <w:tab w:val="right" w:pos="13041"/>
        </w:tabs>
        <w:spacing w:before="60"/>
        <w:rPr>
          <w:i/>
          <w:szCs w:val="16"/>
        </w:rPr>
      </w:pPr>
      <w:r w:rsidRPr="004F30BD">
        <w:rPr>
          <w:i/>
          <w:szCs w:val="16"/>
        </w:rPr>
        <w:t>^Some cell numbers (n counts) are very small so results should be interpreted with extreme caution.</w:t>
      </w:r>
      <w:r w:rsidR="00EB5587" w:rsidRPr="004F30BD">
        <w:rPr>
          <w:i/>
          <w:szCs w:val="16"/>
        </w:rPr>
        <w:t xml:space="preserve"> </w:t>
      </w:r>
    </w:p>
    <w:p w14:paraId="51C79DCB" w14:textId="77777777" w:rsidR="00A03B8D" w:rsidRPr="004F30BD" w:rsidRDefault="00A03B8D" w:rsidP="00EB5587">
      <w:pPr>
        <w:tabs>
          <w:tab w:val="right" w:pos="13041"/>
        </w:tabs>
        <w:spacing w:before="0"/>
        <w:rPr>
          <w:szCs w:val="16"/>
        </w:rPr>
      </w:pPr>
      <w:r w:rsidRPr="004F30BD">
        <w:rPr>
          <w:i/>
          <w:szCs w:val="16"/>
        </w:rPr>
        <w:t>#Includes Government Agencies, Pathways, Professional Bodies and TAFEs</w:t>
      </w:r>
      <w:r w:rsidR="00EB5587" w:rsidRPr="004F30BD">
        <w:rPr>
          <w:i/>
          <w:szCs w:val="16"/>
        </w:rPr>
        <w:t xml:space="preserve"> </w:t>
      </w:r>
      <w:r w:rsidRPr="004F30BD">
        <w:rPr>
          <w:i/>
          <w:szCs w:val="16"/>
        </w:rPr>
        <w:t>+Includes not for profit and non-faith</w:t>
      </w:r>
      <w:r w:rsidR="00EB5587" w:rsidRPr="004F30BD">
        <w:rPr>
          <w:i/>
          <w:szCs w:val="16"/>
        </w:rPr>
        <w:t xml:space="preserve"> </w:t>
      </w:r>
      <w:r w:rsidRPr="004F30BD">
        <w:rPr>
          <w:i/>
          <w:szCs w:val="16"/>
        </w:rPr>
        <w:t>based</w:t>
      </w:r>
    </w:p>
    <w:p w14:paraId="71FD5B9F" w14:textId="77777777" w:rsidR="00A03B8D" w:rsidRPr="004F30BD" w:rsidRDefault="00A03B8D" w:rsidP="00A03B8D">
      <w:pPr>
        <w:tabs>
          <w:tab w:val="right" w:pos="13041"/>
        </w:tabs>
        <w:spacing w:before="0"/>
        <w:rPr>
          <w:i/>
          <w:highlight w:val="yellow"/>
        </w:rPr>
        <w:sectPr w:rsidR="00A03B8D" w:rsidRPr="004F30BD" w:rsidSect="007C5F26">
          <w:headerReference w:type="default" r:id="rId32"/>
          <w:pgSz w:w="16838" w:h="11899" w:orient="landscape" w:code="9"/>
          <w:pgMar w:top="1701" w:right="1531" w:bottom="567" w:left="1134" w:header="0" w:footer="454" w:gutter="0"/>
          <w:cols w:space="720"/>
          <w:docGrid w:linePitch="245"/>
        </w:sectPr>
      </w:pPr>
    </w:p>
    <w:p w14:paraId="1FB0CBAA" w14:textId="77777777" w:rsidR="00C308AA" w:rsidRPr="004F30BD" w:rsidRDefault="00045CAC" w:rsidP="00C308AA">
      <w:pPr>
        <w:pStyle w:val="Heading1"/>
      </w:pPr>
      <w:bookmarkStart w:id="42" w:name="_Toc22298043"/>
      <w:r w:rsidRPr="004F30BD">
        <w:lastRenderedPageBreak/>
        <w:t>P</w:t>
      </w:r>
      <w:r w:rsidR="00E8570C" w:rsidRPr="004F30BD">
        <w:t>eak</w:t>
      </w:r>
      <w:r w:rsidR="00A73A38" w:rsidRPr="004F30BD">
        <w:t xml:space="preserve">, </w:t>
      </w:r>
      <w:r w:rsidR="00AC4300" w:rsidRPr="004F30BD">
        <w:t>professional</w:t>
      </w:r>
      <w:r w:rsidR="00A73A38" w:rsidRPr="004F30BD">
        <w:t xml:space="preserve">, </w:t>
      </w:r>
      <w:r w:rsidR="00476384" w:rsidRPr="004F30BD">
        <w:t>student</w:t>
      </w:r>
      <w:r w:rsidR="00AC4300" w:rsidRPr="004F30BD">
        <w:t xml:space="preserve"> </w:t>
      </w:r>
      <w:r w:rsidR="005F51C4" w:rsidRPr="004F30BD">
        <w:t>body</w:t>
      </w:r>
      <w:r w:rsidR="00C308AA" w:rsidRPr="004F30BD">
        <w:t xml:space="preserve"> survey </w:t>
      </w:r>
      <w:r w:rsidR="00642D09" w:rsidRPr="004F30BD">
        <w:t>results</w:t>
      </w:r>
      <w:bookmarkEnd w:id="42"/>
    </w:p>
    <w:p w14:paraId="5C81F79F" w14:textId="77777777" w:rsidR="00C308AA" w:rsidRPr="004F30BD" w:rsidRDefault="00C308AA" w:rsidP="00834651">
      <w:r w:rsidRPr="004F30BD">
        <w:t>This section outl</w:t>
      </w:r>
      <w:r w:rsidR="00B93D67" w:rsidRPr="004F30BD">
        <w:t xml:space="preserve">ines the key findings from </w:t>
      </w:r>
      <w:r w:rsidR="00834651" w:rsidRPr="004F30BD">
        <w:t>TEQSA’s</w:t>
      </w:r>
      <w:r w:rsidR="00B93D67" w:rsidRPr="004F30BD">
        <w:t xml:space="preserve"> p</w:t>
      </w:r>
      <w:r w:rsidR="00AC369D" w:rsidRPr="004F30BD">
        <w:t xml:space="preserve">eak, </w:t>
      </w:r>
      <w:r w:rsidR="00B93D67" w:rsidRPr="004F30BD">
        <w:t xml:space="preserve">professional </w:t>
      </w:r>
      <w:r w:rsidR="00476384" w:rsidRPr="004F30BD">
        <w:t xml:space="preserve">and student </w:t>
      </w:r>
      <w:r w:rsidR="005F51C4" w:rsidRPr="004F30BD">
        <w:t xml:space="preserve">body </w:t>
      </w:r>
      <w:r w:rsidRPr="004F30BD">
        <w:t xml:space="preserve">survey. For </w:t>
      </w:r>
      <w:r w:rsidR="00ED53EE" w:rsidRPr="004F30BD">
        <w:t>all</w:t>
      </w:r>
      <w:r w:rsidRPr="004F30BD">
        <w:t xml:space="preserve"> items</w:t>
      </w:r>
      <w:r w:rsidR="00834651" w:rsidRPr="004F30BD">
        <w:t>,</w:t>
      </w:r>
      <w:r w:rsidR="004E5F3D" w:rsidRPr="004F30BD">
        <w:t xml:space="preserve"> </w:t>
      </w:r>
      <w:r w:rsidRPr="004F30BD">
        <w:t xml:space="preserve">top 2 scores are presented along with a frequency distribution. Results are presented by topic, in the same order as presented to respondents in the </w:t>
      </w:r>
      <w:r w:rsidR="00C32925" w:rsidRPr="004F30BD">
        <w:t>online</w:t>
      </w:r>
      <w:r w:rsidRPr="004F30BD">
        <w:t xml:space="preserve"> questionnaire. The most common themes within free text comments </w:t>
      </w:r>
      <w:r w:rsidR="00ED53EE" w:rsidRPr="004F30BD">
        <w:t>follow</w:t>
      </w:r>
      <w:r w:rsidRPr="004F30BD">
        <w:t>.</w:t>
      </w:r>
    </w:p>
    <w:p w14:paraId="010577D1" w14:textId="77777777" w:rsidR="00BD6C78" w:rsidRPr="004F30BD" w:rsidRDefault="00F951DF" w:rsidP="00834651">
      <w:r w:rsidRPr="004F30BD">
        <w:t>Due to the relatively small number of</w:t>
      </w:r>
      <w:r w:rsidR="00B02A07" w:rsidRPr="004F30BD">
        <w:t xml:space="preserve"> respondents for this section</w:t>
      </w:r>
      <w:r w:rsidR="00C32925" w:rsidRPr="004F30BD">
        <w:t xml:space="preserve"> (</w:t>
      </w:r>
      <w:r w:rsidR="00CD1798" w:rsidRPr="004F30BD">
        <w:t>a total of 2</w:t>
      </w:r>
      <w:r w:rsidR="00642D09" w:rsidRPr="004F30BD">
        <w:t>3</w:t>
      </w:r>
      <w:r w:rsidRPr="004F30BD">
        <w:t xml:space="preserve"> peak / professional</w:t>
      </w:r>
      <w:r w:rsidR="00476384" w:rsidRPr="004F30BD">
        <w:t>/student</w:t>
      </w:r>
      <w:r w:rsidR="00C32925" w:rsidRPr="004F30BD">
        <w:t xml:space="preserve"> bodies answered) </w:t>
      </w:r>
      <w:r w:rsidRPr="004F30BD">
        <w:t>these results should</w:t>
      </w:r>
      <w:r w:rsidR="00834651" w:rsidRPr="004F30BD">
        <w:t xml:space="preserve"> be treated with considerable caution and </w:t>
      </w:r>
      <w:r w:rsidR="00D56EF8" w:rsidRPr="004F30BD">
        <w:t>only</w:t>
      </w:r>
      <w:r w:rsidR="00834651" w:rsidRPr="004F30BD">
        <w:t xml:space="preserve"> indicative at best.</w:t>
      </w:r>
    </w:p>
    <w:p w14:paraId="49D2335D" w14:textId="77777777" w:rsidR="00045CAC" w:rsidRPr="004F30BD" w:rsidRDefault="008014A0" w:rsidP="00C308AA">
      <w:pPr>
        <w:spacing w:after="240"/>
      </w:pPr>
      <w:r w:rsidRPr="004F30BD">
        <w:t>In this</w:t>
      </w:r>
      <w:r w:rsidR="00045CAC" w:rsidRPr="004F30BD">
        <w:t xml:space="preserve"> section</w:t>
      </w:r>
      <w:r w:rsidR="00834651" w:rsidRPr="004F30BD">
        <w:t>,</w:t>
      </w:r>
      <w:r w:rsidR="00045CAC" w:rsidRPr="004F30BD">
        <w:t xml:space="preserve"> </w:t>
      </w:r>
      <w:r w:rsidR="00834651" w:rsidRPr="004F30BD">
        <w:t xml:space="preserve">the term </w:t>
      </w:r>
      <w:r w:rsidRPr="004F30BD">
        <w:t>peak</w:t>
      </w:r>
      <w:r w:rsidR="00476384" w:rsidRPr="004F30BD">
        <w:t>,</w:t>
      </w:r>
      <w:r w:rsidRPr="004F30BD">
        <w:t xml:space="preserve"> professional </w:t>
      </w:r>
      <w:r w:rsidR="00864812" w:rsidRPr="004F30BD">
        <w:t>and student</w:t>
      </w:r>
      <w:r w:rsidR="00476384" w:rsidRPr="004F30BD">
        <w:t xml:space="preserve"> </w:t>
      </w:r>
      <w:r w:rsidR="005F51C4" w:rsidRPr="004F30BD">
        <w:t>body</w:t>
      </w:r>
      <w:r w:rsidR="00045CAC" w:rsidRPr="004F30BD">
        <w:t xml:space="preserve"> has been abbreviated to </w:t>
      </w:r>
      <w:r w:rsidR="00B72BFB" w:rsidRPr="004F30BD">
        <w:t>PPSB</w:t>
      </w:r>
      <w:r w:rsidR="00045CAC" w:rsidRPr="004F30BD">
        <w:t>.</w:t>
      </w:r>
    </w:p>
    <w:p w14:paraId="20095799" w14:textId="77777777" w:rsidR="00C308AA" w:rsidRPr="004F30BD" w:rsidRDefault="00B72BFB" w:rsidP="00C308AA">
      <w:pPr>
        <w:pStyle w:val="Heading2"/>
      </w:pPr>
      <w:bookmarkStart w:id="43" w:name="_Toc22298044"/>
      <w:r w:rsidRPr="004F30BD">
        <w:t>PPSB</w:t>
      </w:r>
      <w:r w:rsidR="00422E1E" w:rsidRPr="004F30BD">
        <w:t xml:space="preserve"> i</w:t>
      </w:r>
      <w:r w:rsidR="00C308AA" w:rsidRPr="004F30BD">
        <w:t>nteraction with TEQSA</w:t>
      </w:r>
      <w:bookmarkEnd w:id="43"/>
    </w:p>
    <w:p w14:paraId="21723B3C" w14:textId="77777777" w:rsidR="00155FEE" w:rsidRPr="004F30BD" w:rsidRDefault="00920479" w:rsidP="00C32925">
      <w:pPr>
        <w:spacing w:after="240"/>
      </w:pPr>
      <w:r w:rsidRPr="004F30BD">
        <w:t>The chart below displays the types of</w:t>
      </w:r>
      <w:r w:rsidR="00155FEE" w:rsidRPr="004F30BD">
        <w:t xml:space="preserve"> direct or indirect </w:t>
      </w:r>
      <w:r w:rsidRPr="004F30BD">
        <w:t xml:space="preserve">interactions </w:t>
      </w:r>
      <w:r w:rsidR="00B72BFB" w:rsidRPr="004F30BD">
        <w:t>PPSB</w:t>
      </w:r>
      <w:r w:rsidRPr="004F30BD">
        <w:t>s had with TEQSA in 201</w:t>
      </w:r>
      <w:r w:rsidR="005A535E" w:rsidRPr="004F30BD">
        <w:t>8</w:t>
      </w:r>
      <w:r w:rsidR="00642D09" w:rsidRPr="004F30BD">
        <w:t>/</w:t>
      </w:r>
      <w:r w:rsidRPr="004F30BD">
        <w:t>201</w:t>
      </w:r>
      <w:r w:rsidR="005A535E" w:rsidRPr="004F30BD">
        <w:t>9</w:t>
      </w:r>
      <w:r w:rsidRPr="004F30BD">
        <w:t>. The most</w:t>
      </w:r>
      <w:r w:rsidR="00C55441" w:rsidRPr="004F30BD">
        <w:t xml:space="preserve"> common type of interaction</w:t>
      </w:r>
      <w:r w:rsidRPr="004F30BD">
        <w:t xml:space="preserve"> w</w:t>
      </w:r>
      <w:r w:rsidR="00C55441" w:rsidRPr="004F30BD">
        <w:t>as</w:t>
      </w:r>
      <w:r w:rsidRPr="004F30BD">
        <w:t xml:space="preserve"> </w:t>
      </w:r>
      <w:r w:rsidRPr="004F30BD">
        <w:rPr>
          <w:i/>
        </w:rPr>
        <w:t xml:space="preserve">direct </w:t>
      </w:r>
      <w:r w:rsidR="003B2907" w:rsidRPr="004F30BD">
        <w:rPr>
          <w:i/>
        </w:rPr>
        <w:t>first-hand</w:t>
      </w:r>
      <w:r w:rsidRPr="004F30BD">
        <w:rPr>
          <w:i/>
        </w:rPr>
        <w:t xml:space="preserve"> experience </w:t>
      </w:r>
      <w:r w:rsidR="00155FEE" w:rsidRPr="004F30BD">
        <w:t>(8</w:t>
      </w:r>
      <w:r w:rsidR="005A535E" w:rsidRPr="004F30BD">
        <w:t>1</w:t>
      </w:r>
      <w:r w:rsidR="00155FEE" w:rsidRPr="004F30BD">
        <w:t>%)</w:t>
      </w:r>
      <w:r w:rsidR="00642D09" w:rsidRPr="004F30BD">
        <w:t xml:space="preserve">, while 62% </w:t>
      </w:r>
      <w:r w:rsidR="005509D1" w:rsidRPr="004F30BD">
        <w:t xml:space="preserve">had indirectly </w:t>
      </w:r>
      <w:r w:rsidR="00C55441" w:rsidRPr="004F30BD">
        <w:t>dealt with TEQSA</w:t>
      </w:r>
      <w:r w:rsidR="003621D7" w:rsidRPr="004F30BD">
        <w:t xml:space="preserve"> or had</w:t>
      </w:r>
      <w:r w:rsidR="00155FEE" w:rsidRPr="004F30BD">
        <w:t xml:space="preserve"> feedback from members.</w:t>
      </w:r>
      <w:r w:rsidR="00642D09" w:rsidRPr="004F30BD">
        <w:t xml:space="preserve"> Refer to the chart below.</w:t>
      </w:r>
    </w:p>
    <w:p w14:paraId="36573E8B" w14:textId="77777777" w:rsidR="005A535E" w:rsidRPr="004F30BD" w:rsidRDefault="00151139" w:rsidP="00C32925">
      <w:pPr>
        <w:spacing w:after="240"/>
      </w:pPr>
      <w:r w:rsidRPr="004F30BD">
        <w:rPr>
          <w:noProof/>
          <w:lang w:eastAsia="en-AU"/>
        </w:rPr>
        <w:drawing>
          <wp:inline distT="0" distB="0" distL="0" distR="0" wp14:anchorId="16BA6237" wp14:editId="07569DF8">
            <wp:extent cx="5553075" cy="2171700"/>
            <wp:effectExtent l="0" t="0" r="0" b="0"/>
            <wp:docPr id="32" name="Chart 32">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C073ADA" w14:textId="77777777" w:rsidR="00DB55C2" w:rsidRPr="004F30BD" w:rsidRDefault="00B72BFB" w:rsidP="00DB55C2">
      <w:pPr>
        <w:pStyle w:val="Heading2"/>
      </w:pPr>
      <w:bookmarkStart w:id="44" w:name="_Toc22298045"/>
      <w:r w:rsidRPr="004F30BD">
        <w:t>PPSB</w:t>
      </w:r>
      <w:r w:rsidR="00DB55C2" w:rsidRPr="004F30BD">
        <w:t xml:space="preserve"> </w:t>
      </w:r>
      <w:r w:rsidR="00642D09" w:rsidRPr="004F30BD">
        <w:t>s</w:t>
      </w:r>
      <w:r w:rsidR="00A109D9" w:rsidRPr="004F30BD">
        <w:t>cores</w:t>
      </w:r>
      <w:r w:rsidR="00113803" w:rsidRPr="004F30BD">
        <w:t xml:space="preserve"> for all questions</w:t>
      </w:r>
      <w:bookmarkEnd w:id="44"/>
    </w:p>
    <w:p w14:paraId="4C69ADAA" w14:textId="77777777" w:rsidR="00DB55C2" w:rsidRPr="004F30BD" w:rsidRDefault="00A225EB" w:rsidP="00834651">
      <w:pPr>
        <w:spacing w:after="240"/>
        <w:rPr>
          <w:color w:val="000000"/>
          <w:szCs w:val="18"/>
        </w:rPr>
      </w:pPr>
      <w:r w:rsidRPr="004F30BD">
        <w:t xml:space="preserve">From a </w:t>
      </w:r>
      <w:r w:rsidR="00B72BFB" w:rsidRPr="004F30BD">
        <w:t>PPSB</w:t>
      </w:r>
      <w:r w:rsidRPr="004F30BD">
        <w:t xml:space="preserve"> perspective, </w:t>
      </w:r>
      <w:r w:rsidR="00233C3C" w:rsidRPr="004F30BD">
        <w:rPr>
          <w:color w:val="000000"/>
          <w:szCs w:val="18"/>
        </w:rPr>
        <w:t xml:space="preserve">TEQSA’s performance on </w:t>
      </w:r>
      <w:r w:rsidR="00642D09" w:rsidRPr="004F30BD">
        <w:rPr>
          <w:color w:val="000000"/>
          <w:szCs w:val="18"/>
        </w:rPr>
        <w:t>its</w:t>
      </w:r>
      <w:r w:rsidR="00233C3C" w:rsidRPr="004F30BD">
        <w:rPr>
          <w:color w:val="000000"/>
          <w:szCs w:val="18"/>
        </w:rPr>
        <w:t xml:space="preserve"> six KPIs varied from a high of 7</w:t>
      </w:r>
      <w:r w:rsidR="00642D09" w:rsidRPr="004F30BD">
        <w:rPr>
          <w:color w:val="000000"/>
          <w:szCs w:val="18"/>
        </w:rPr>
        <w:t>2</w:t>
      </w:r>
      <w:r w:rsidR="00233C3C" w:rsidRPr="004F30BD">
        <w:rPr>
          <w:color w:val="000000"/>
          <w:szCs w:val="18"/>
        </w:rPr>
        <w:t>% (KPI 5) to a low of 6</w:t>
      </w:r>
      <w:r w:rsidR="00642D09" w:rsidRPr="004F30BD">
        <w:rPr>
          <w:color w:val="000000"/>
          <w:szCs w:val="18"/>
        </w:rPr>
        <w:t>3</w:t>
      </w:r>
      <w:r w:rsidR="00233C3C" w:rsidRPr="004F30BD">
        <w:rPr>
          <w:color w:val="000000"/>
          <w:szCs w:val="18"/>
        </w:rPr>
        <w:t xml:space="preserve">% (KPI 4). </w:t>
      </w:r>
      <w:r w:rsidR="0022550F" w:rsidRPr="004F30BD">
        <w:t>Refer to the table and chart below.</w:t>
      </w:r>
      <w:r w:rsidR="00642D09" w:rsidRPr="004F30BD">
        <w:t xml:space="preserve"> </w:t>
      </w:r>
      <w:r w:rsidR="00B02A07" w:rsidRPr="004F30BD">
        <w:rPr>
          <w:color w:val="000000"/>
          <w:szCs w:val="18"/>
        </w:rPr>
        <w:t xml:space="preserve">Note that for KPIs </w:t>
      </w:r>
      <w:r w:rsidR="00642D09" w:rsidRPr="004F30BD">
        <w:rPr>
          <w:color w:val="000000"/>
          <w:szCs w:val="18"/>
        </w:rPr>
        <w:t xml:space="preserve">1, </w:t>
      </w:r>
      <w:r w:rsidR="00B02A07" w:rsidRPr="004F30BD">
        <w:rPr>
          <w:color w:val="000000"/>
          <w:szCs w:val="18"/>
        </w:rPr>
        <w:t xml:space="preserve">3 and 4 there was a </w:t>
      </w:r>
      <w:r w:rsidR="00642D09" w:rsidRPr="004F30BD">
        <w:rPr>
          <w:color w:val="000000"/>
          <w:szCs w:val="18"/>
        </w:rPr>
        <w:t xml:space="preserve">notable </w:t>
      </w:r>
      <w:r w:rsidR="00B02A07" w:rsidRPr="004F30BD">
        <w:rPr>
          <w:color w:val="000000"/>
          <w:szCs w:val="18"/>
        </w:rPr>
        <w:t xml:space="preserve">proportion of </w:t>
      </w:r>
      <w:r w:rsidR="00B02A07" w:rsidRPr="004F30BD">
        <w:rPr>
          <w:i/>
          <w:color w:val="000000"/>
          <w:szCs w:val="18"/>
        </w:rPr>
        <w:t>don’t know / no answer</w:t>
      </w:r>
      <w:r w:rsidR="00B02A07" w:rsidRPr="004F30BD">
        <w:rPr>
          <w:color w:val="000000"/>
          <w:szCs w:val="18"/>
        </w:rPr>
        <w:t xml:space="preserve">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040"/>
        <w:gridCol w:w="4170"/>
        <w:gridCol w:w="1170"/>
        <w:gridCol w:w="1170"/>
      </w:tblGrid>
      <w:tr w:rsidR="00971AF2" w:rsidRPr="004F30BD" w14:paraId="7FC85214" w14:textId="77777777" w:rsidTr="00642D09">
        <w:trPr>
          <w:tblHeader/>
        </w:trPr>
        <w:tc>
          <w:tcPr>
            <w:tcW w:w="2040" w:type="dxa"/>
            <w:shd w:val="clear" w:color="auto" w:fill="00386E"/>
            <w:vAlign w:val="center"/>
          </w:tcPr>
          <w:p w14:paraId="0D381EE3" w14:textId="77777777" w:rsidR="00971AF2" w:rsidRPr="004F30BD" w:rsidRDefault="00642D09" w:rsidP="00B02A07">
            <w:pPr>
              <w:spacing w:before="60" w:after="60"/>
              <w:ind w:right="0"/>
              <w:rPr>
                <w:color w:val="FFFFFF" w:themeColor="background1"/>
                <w:szCs w:val="18"/>
              </w:rPr>
            </w:pPr>
            <w:r w:rsidRPr="004F30BD">
              <w:rPr>
                <w:color w:val="FFFFFF" w:themeColor="background1"/>
                <w:szCs w:val="18"/>
              </w:rPr>
              <w:t xml:space="preserve">TEQSA </w:t>
            </w:r>
            <w:r w:rsidR="00971AF2" w:rsidRPr="004F30BD">
              <w:rPr>
                <w:color w:val="FFFFFF" w:themeColor="background1"/>
                <w:szCs w:val="18"/>
              </w:rPr>
              <w:t xml:space="preserve">KPIs  </w:t>
            </w:r>
          </w:p>
        </w:tc>
        <w:tc>
          <w:tcPr>
            <w:tcW w:w="4170" w:type="dxa"/>
            <w:shd w:val="clear" w:color="auto" w:fill="00386E"/>
            <w:vAlign w:val="center"/>
          </w:tcPr>
          <w:p w14:paraId="3D05B2EC" w14:textId="77777777" w:rsidR="00971AF2" w:rsidRPr="004F30BD" w:rsidRDefault="00971AF2" w:rsidP="00B02A07">
            <w:pPr>
              <w:spacing w:before="60" w:after="60"/>
              <w:ind w:right="0"/>
              <w:rPr>
                <w:color w:val="FFFFFF" w:themeColor="background1"/>
                <w:szCs w:val="18"/>
              </w:rPr>
            </w:pPr>
          </w:p>
        </w:tc>
        <w:tc>
          <w:tcPr>
            <w:tcW w:w="1170" w:type="dxa"/>
            <w:shd w:val="clear" w:color="auto" w:fill="00386E"/>
          </w:tcPr>
          <w:p w14:paraId="1EADD404" w14:textId="77777777" w:rsidR="00971AF2" w:rsidRPr="004F30BD" w:rsidRDefault="00971AF2" w:rsidP="00B02A07">
            <w:pPr>
              <w:spacing w:before="60" w:after="60"/>
              <w:ind w:right="0"/>
              <w:jc w:val="center"/>
              <w:rPr>
                <w:color w:val="FFFFFF" w:themeColor="background1"/>
                <w:szCs w:val="18"/>
              </w:rPr>
            </w:pPr>
            <w:r w:rsidRPr="004F30BD">
              <w:rPr>
                <w:color w:val="FFFFFF" w:themeColor="background1"/>
                <w:szCs w:val="18"/>
              </w:rPr>
              <w:t>n</w:t>
            </w:r>
          </w:p>
        </w:tc>
        <w:tc>
          <w:tcPr>
            <w:tcW w:w="1170" w:type="dxa"/>
            <w:shd w:val="clear" w:color="auto" w:fill="00386E"/>
            <w:vAlign w:val="center"/>
          </w:tcPr>
          <w:p w14:paraId="0DAB4D7C" w14:textId="77777777" w:rsidR="00971AF2" w:rsidRPr="004F30BD" w:rsidRDefault="00971AF2" w:rsidP="00B02A07">
            <w:pPr>
              <w:spacing w:before="60" w:after="60"/>
              <w:ind w:right="0"/>
              <w:jc w:val="center"/>
              <w:rPr>
                <w:color w:val="FFFFFF" w:themeColor="background1"/>
                <w:szCs w:val="18"/>
              </w:rPr>
            </w:pPr>
            <w:r w:rsidRPr="004F30BD">
              <w:rPr>
                <w:color w:val="FFFFFF" w:themeColor="background1"/>
                <w:szCs w:val="18"/>
              </w:rPr>
              <w:t>TOP 2 SCORE (%)</w:t>
            </w:r>
          </w:p>
        </w:tc>
      </w:tr>
      <w:tr w:rsidR="006B2780" w:rsidRPr="004F30BD" w14:paraId="4C871896" w14:textId="77777777" w:rsidTr="00642D09">
        <w:tc>
          <w:tcPr>
            <w:tcW w:w="2040" w:type="dxa"/>
            <w:vAlign w:val="center"/>
          </w:tcPr>
          <w:p w14:paraId="4301C6C5" w14:textId="77777777" w:rsidR="006B2780" w:rsidRPr="004F30BD" w:rsidRDefault="006B2780" w:rsidP="006B2780">
            <w:pPr>
              <w:spacing w:before="60" w:after="60"/>
              <w:ind w:right="0"/>
              <w:rPr>
                <w:color w:val="000000"/>
                <w:szCs w:val="18"/>
              </w:rPr>
            </w:pPr>
            <w:r w:rsidRPr="004F30BD">
              <w:rPr>
                <w:b/>
                <w:color w:val="000000"/>
                <w:szCs w:val="18"/>
              </w:rPr>
              <w:t xml:space="preserve">KPI 1 </w:t>
            </w:r>
            <w:r w:rsidRPr="004F30BD">
              <w:rPr>
                <w:color w:val="000000"/>
                <w:szCs w:val="18"/>
              </w:rPr>
              <w:t>Impact</w:t>
            </w:r>
          </w:p>
        </w:tc>
        <w:tc>
          <w:tcPr>
            <w:tcW w:w="4170" w:type="dxa"/>
            <w:vAlign w:val="center"/>
          </w:tcPr>
          <w:p w14:paraId="363356FF" w14:textId="77777777" w:rsidR="006B2780" w:rsidRPr="004F30BD" w:rsidRDefault="006B2780" w:rsidP="006B2780">
            <w:pPr>
              <w:spacing w:before="60" w:after="60"/>
              <w:ind w:right="0"/>
              <w:rPr>
                <w:color w:val="000000"/>
                <w:szCs w:val="18"/>
              </w:rPr>
            </w:pPr>
            <w:r w:rsidRPr="004F30BD">
              <w:rPr>
                <w:color w:val="000000"/>
                <w:szCs w:val="18"/>
              </w:rPr>
              <w:t>Regulation by TEQSA does not unnecessarily impede the efficient operation of your organisation</w:t>
            </w:r>
          </w:p>
        </w:tc>
        <w:tc>
          <w:tcPr>
            <w:tcW w:w="1170" w:type="dxa"/>
          </w:tcPr>
          <w:p w14:paraId="6A9D4FE6" w14:textId="77777777" w:rsidR="006B2780" w:rsidRPr="004F30BD" w:rsidRDefault="006B2780" w:rsidP="006B2780">
            <w:pPr>
              <w:spacing w:before="60" w:after="60"/>
              <w:ind w:right="0"/>
              <w:jc w:val="center"/>
            </w:pPr>
            <w:r w:rsidRPr="004F30BD">
              <w:t>19</w:t>
            </w:r>
          </w:p>
        </w:tc>
        <w:tc>
          <w:tcPr>
            <w:tcW w:w="1170" w:type="dxa"/>
          </w:tcPr>
          <w:p w14:paraId="300F0D89" w14:textId="77777777" w:rsidR="006B2780" w:rsidRPr="004F30BD" w:rsidRDefault="006B2780" w:rsidP="006B2780">
            <w:pPr>
              <w:spacing w:before="60" w:after="60"/>
              <w:ind w:right="0"/>
              <w:jc w:val="center"/>
              <w:rPr>
                <w:szCs w:val="18"/>
              </w:rPr>
            </w:pPr>
            <w:r w:rsidRPr="004F30BD">
              <w:t>63</w:t>
            </w:r>
          </w:p>
        </w:tc>
      </w:tr>
      <w:tr w:rsidR="006B2780" w:rsidRPr="004F30BD" w14:paraId="59C8CC9A" w14:textId="77777777" w:rsidTr="00642D09">
        <w:tc>
          <w:tcPr>
            <w:tcW w:w="2040" w:type="dxa"/>
            <w:shd w:val="clear" w:color="auto" w:fill="D9D9D9"/>
            <w:vAlign w:val="center"/>
          </w:tcPr>
          <w:p w14:paraId="75C707D5" w14:textId="77777777" w:rsidR="006B2780" w:rsidRPr="004F30BD" w:rsidRDefault="006B2780" w:rsidP="006B2780">
            <w:pPr>
              <w:spacing w:before="60" w:after="60"/>
              <w:ind w:right="0"/>
              <w:rPr>
                <w:color w:val="000000"/>
                <w:szCs w:val="18"/>
              </w:rPr>
            </w:pPr>
            <w:r w:rsidRPr="004F30BD">
              <w:rPr>
                <w:b/>
                <w:color w:val="000000"/>
                <w:szCs w:val="18"/>
              </w:rPr>
              <w:t xml:space="preserve">KPI 2 </w:t>
            </w:r>
            <w:r w:rsidRPr="004F30BD">
              <w:rPr>
                <w:color w:val="000000"/>
                <w:szCs w:val="18"/>
              </w:rPr>
              <w:t>Communication</w:t>
            </w:r>
          </w:p>
        </w:tc>
        <w:tc>
          <w:tcPr>
            <w:tcW w:w="4170" w:type="dxa"/>
            <w:shd w:val="clear" w:color="auto" w:fill="D9D9D9"/>
            <w:vAlign w:val="center"/>
          </w:tcPr>
          <w:p w14:paraId="6F84724F" w14:textId="77777777" w:rsidR="006B2780" w:rsidRPr="004F30BD" w:rsidRDefault="006B2780" w:rsidP="006B2780">
            <w:pPr>
              <w:spacing w:before="60" w:after="60"/>
              <w:ind w:right="0"/>
              <w:rPr>
                <w:color w:val="000000"/>
                <w:szCs w:val="18"/>
              </w:rPr>
            </w:pPr>
            <w:r w:rsidRPr="004F30BD">
              <w:rPr>
                <w:color w:val="000000"/>
                <w:szCs w:val="18"/>
              </w:rPr>
              <w:t>TEQSA’s communication with your organisation is clear, targeted and effective</w:t>
            </w:r>
          </w:p>
        </w:tc>
        <w:tc>
          <w:tcPr>
            <w:tcW w:w="1170" w:type="dxa"/>
            <w:shd w:val="clear" w:color="auto" w:fill="D9D9D9"/>
          </w:tcPr>
          <w:p w14:paraId="47222B52" w14:textId="77777777" w:rsidR="006B2780" w:rsidRPr="004F30BD" w:rsidRDefault="006B2780" w:rsidP="006B2780">
            <w:pPr>
              <w:spacing w:before="60" w:after="60"/>
              <w:ind w:right="0"/>
              <w:jc w:val="center"/>
            </w:pPr>
            <w:r w:rsidRPr="004F30BD">
              <w:t>22</w:t>
            </w:r>
          </w:p>
        </w:tc>
        <w:tc>
          <w:tcPr>
            <w:tcW w:w="1170" w:type="dxa"/>
            <w:shd w:val="clear" w:color="auto" w:fill="D9D9D9"/>
          </w:tcPr>
          <w:p w14:paraId="04E4D4EA" w14:textId="77777777" w:rsidR="006B2780" w:rsidRPr="004F30BD" w:rsidRDefault="006B2780" w:rsidP="006B2780">
            <w:pPr>
              <w:spacing w:before="60" w:after="60"/>
              <w:ind w:right="0"/>
              <w:jc w:val="center"/>
              <w:rPr>
                <w:szCs w:val="18"/>
              </w:rPr>
            </w:pPr>
            <w:r w:rsidRPr="004F30BD">
              <w:t>68</w:t>
            </w:r>
          </w:p>
        </w:tc>
      </w:tr>
      <w:tr w:rsidR="006B2780" w:rsidRPr="004F30BD" w14:paraId="3DB8FFA8" w14:textId="77777777" w:rsidTr="00642D09">
        <w:tc>
          <w:tcPr>
            <w:tcW w:w="2040" w:type="dxa"/>
            <w:vAlign w:val="center"/>
          </w:tcPr>
          <w:p w14:paraId="075E279C" w14:textId="77777777" w:rsidR="006B2780" w:rsidRPr="004F30BD" w:rsidRDefault="006B2780" w:rsidP="006B2780">
            <w:pPr>
              <w:spacing w:before="60" w:after="60"/>
              <w:ind w:right="0"/>
              <w:rPr>
                <w:color w:val="000000"/>
                <w:szCs w:val="18"/>
              </w:rPr>
            </w:pPr>
            <w:r w:rsidRPr="004F30BD">
              <w:rPr>
                <w:b/>
                <w:color w:val="000000"/>
                <w:szCs w:val="18"/>
              </w:rPr>
              <w:t xml:space="preserve">KPI 3 </w:t>
            </w:r>
            <w:r w:rsidRPr="004F30BD">
              <w:rPr>
                <w:color w:val="000000"/>
                <w:szCs w:val="18"/>
              </w:rPr>
              <w:t>Risk approach</w:t>
            </w:r>
          </w:p>
        </w:tc>
        <w:tc>
          <w:tcPr>
            <w:tcW w:w="4170" w:type="dxa"/>
            <w:vAlign w:val="center"/>
          </w:tcPr>
          <w:p w14:paraId="42224238" w14:textId="77777777" w:rsidR="006B2780" w:rsidRPr="004F30BD" w:rsidRDefault="006B2780" w:rsidP="006B2780">
            <w:pPr>
              <w:spacing w:before="60" w:after="60"/>
              <w:ind w:right="0"/>
              <w:rPr>
                <w:color w:val="000000"/>
                <w:szCs w:val="18"/>
              </w:rPr>
            </w:pPr>
            <w:r w:rsidRPr="004F30BD">
              <w:rPr>
                <w:color w:val="000000"/>
                <w:szCs w:val="18"/>
              </w:rPr>
              <w:t>Regulatory actions undertaken by TEQSA for your organisation are proportionate to the risks being managed</w:t>
            </w:r>
          </w:p>
        </w:tc>
        <w:tc>
          <w:tcPr>
            <w:tcW w:w="1170" w:type="dxa"/>
          </w:tcPr>
          <w:p w14:paraId="3753412D" w14:textId="77777777" w:rsidR="006B2780" w:rsidRPr="004F30BD" w:rsidRDefault="006B2780" w:rsidP="006B2780">
            <w:pPr>
              <w:spacing w:before="60" w:after="60"/>
              <w:ind w:right="0"/>
              <w:jc w:val="center"/>
            </w:pPr>
            <w:r w:rsidRPr="004F30BD">
              <w:t>17</w:t>
            </w:r>
          </w:p>
        </w:tc>
        <w:tc>
          <w:tcPr>
            <w:tcW w:w="1170" w:type="dxa"/>
          </w:tcPr>
          <w:p w14:paraId="0FF8253B" w14:textId="77777777" w:rsidR="006B2780" w:rsidRPr="004F30BD" w:rsidRDefault="006B2780" w:rsidP="006B2780">
            <w:pPr>
              <w:spacing w:before="60" w:after="60"/>
              <w:ind w:right="0"/>
              <w:jc w:val="center"/>
              <w:rPr>
                <w:szCs w:val="18"/>
              </w:rPr>
            </w:pPr>
            <w:r w:rsidRPr="004F30BD">
              <w:t>6</w:t>
            </w:r>
            <w:r w:rsidR="00B63941" w:rsidRPr="004F30BD">
              <w:t>5</w:t>
            </w:r>
          </w:p>
        </w:tc>
      </w:tr>
      <w:tr w:rsidR="006B2780" w:rsidRPr="004F30BD" w14:paraId="4E39C2EC" w14:textId="77777777" w:rsidTr="00642D09">
        <w:tc>
          <w:tcPr>
            <w:tcW w:w="2040" w:type="dxa"/>
            <w:shd w:val="clear" w:color="auto" w:fill="D9D9D9" w:themeFill="background1" w:themeFillShade="D9"/>
            <w:vAlign w:val="center"/>
          </w:tcPr>
          <w:p w14:paraId="7D34A4D9" w14:textId="77777777" w:rsidR="006B2780" w:rsidRPr="004F30BD" w:rsidRDefault="006B2780" w:rsidP="006B2780">
            <w:pPr>
              <w:spacing w:before="60" w:after="60"/>
              <w:ind w:right="0"/>
              <w:rPr>
                <w:color w:val="000000"/>
                <w:szCs w:val="18"/>
              </w:rPr>
            </w:pPr>
            <w:r w:rsidRPr="004F30BD">
              <w:rPr>
                <w:b/>
                <w:color w:val="000000"/>
                <w:szCs w:val="18"/>
              </w:rPr>
              <w:t xml:space="preserve">KPI 4 </w:t>
            </w:r>
            <w:r w:rsidRPr="004F30BD">
              <w:rPr>
                <w:color w:val="000000"/>
                <w:szCs w:val="18"/>
              </w:rPr>
              <w:t>Compliance / monitoring</w:t>
            </w:r>
          </w:p>
        </w:tc>
        <w:tc>
          <w:tcPr>
            <w:tcW w:w="4170" w:type="dxa"/>
            <w:shd w:val="clear" w:color="auto" w:fill="D9D9D9" w:themeFill="background1" w:themeFillShade="D9"/>
            <w:vAlign w:val="center"/>
          </w:tcPr>
          <w:p w14:paraId="67A50A59" w14:textId="77777777" w:rsidR="006B2780" w:rsidRPr="004F30BD" w:rsidRDefault="006B2780" w:rsidP="006B2780">
            <w:pPr>
              <w:spacing w:before="60" w:after="60"/>
              <w:ind w:right="0"/>
              <w:rPr>
                <w:color w:val="000000"/>
                <w:szCs w:val="18"/>
              </w:rPr>
            </w:pPr>
            <w:r w:rsidRPr="004F30BD">
              <w:rPr>
                <w:color w:val="000000"/>
                <w:szCs w:val="18"/>
              </w:rPr>
              <w:t>TEQSA has a streamlined and co-ordinated approach to compliance and monitoring for your organisation</w:t>
            </w:r>
          </w:p>
        </w:tc>
        <w:tc>
          <w:tcPr>
            <w:tcW w:w="1170" w:type="dxa"/>
            <w:shd w:val="clear" w:color="auto" w:fill="D9D9D9" w:themeFill="background1" w:themeFillShade="D9"/>
          </w:tcPr>
          <w:p w14:paraId="418AD95D" w14:textId="77777777" w:rsidR="006B2780" w:rsidRPr="004F30BD" w:rsidRDefault="006B2780" w:rsidP="006B2780">
            <w:pPr>
              <w:spacing w:before="60" w:after="60"/>
              <w:ind w:right="0"/>
              <w:jc w:val="center"/>
            </w:pPr>
            <w:r w:rsidRPr="004F30BD">
              <w:t>16</w:t>
            </w:r>
          </w:p>
        </w:tc>
        <w:tc>
          <w:tcPr>
            <w:tcW w:w="1170" w:type="dxa"/>
            <w:shd w:val="clear" w:color="auto" w:fill="D9D9D9" w:themeFill="background1" w:themeFillShade="D9"/>
          </w:tcPr>
          <w:p w14:paraId="06C1A73F" w14:textId="77777777" w:rsidR="006B2780" w:rsidRPr="004F30BD" w:rsidRDefault="006B2780" w:rsidP="006B2780">
            <w:pPr>
              <w:spacing w:before="60" w:after="60"/>
              <w:ind w:right="0"/>
              <w:jc w:val="center"/>
              <w:rPr>
                <w:szCs w:val="18"/>
              </w:rPr>
            </w:pPr>
            <w:r w:rsidRPr="004F30BD">
              <w:t>6</w:t>
            </w:r>
            <w:r w:rsidR="00B63941" w:rsidRPr="004F30BD">
              <w:t>3</w:t>
            </w:r>
          </w:p>
        </w:tc>
      </w:tr>
      <w:tr w:rsidR="006B2780" w:rsidRPr="004F30BD" w14:paraId="59159760" w14:textId="77777777" w:rsidTr="00642D09">
        <w:tc>
          <w:tcPr>
            <w:tcW w:w="2040" w:type="dxa"/>
            <w:vAlign w:val="center"/>
          </w:tcPr>
          <w:p w14:paraId="18F7C9EE" w14:textId="77777777" w:rsidR="006B2780" w:rsidRPr="004F30BD" w:rsidRDefault="006B2780" w:rsidP="006B2780">
            <w:pPr>
              <w:spacing w:before="60" w:after="60"/>
              <w:ind w:right="0"/>
              <w:rPr>
                <w:color w:val="000000"/>
                <w:szCs w:val="18"/>
              </w:rPr>
            </w:pPr>
            <w:r w:rsidRPr="004F30BD">
              <w:rPr>
                <w:b/>
                <w:color w:val="000000"/>
                <w:szCs w:val="18"/>
              </w:rPr>
              <w:t xml:space="preserve">KPI 5 </w:t>
            </w:r>
            <w:r w:rsidRPr="004F30BD">
              <w:rPr>
                <w:color w:val="000000"/>
                <w:szCs w:val="18"/>
              </w:rPr>
              <w:t>Approach</w:t>
            </w:r>
          </w:p>
        </w:tc>
        <w:tc>
          <w:tcPr>
            <w:tcW w:w="4170" w:type="dxa"/>
            <w:vAlign w:val="center"/>
          </w:tcPr>
          <w:p w14:paraId="750A5C0A" w14:textId="77777777" w:rsidR="006B2780" w:rsidRPr="004F30BD" w:rsidRDefault="006B2780" w:rsidP="006B2780">
            <w:pPr>
              <w:spacing w:before="60" w:after="60"/>
              <w:ind w:right="0"/>
              <w:rPr>
                <w:color w:val="000000"/>
                <w:szCs w:val="18"/>
              </w:rPr>
            </w:pPr>
            <w:r w:rsidRPr="004F30BD">
              <w:rPr>
                <w:color w:val="000000"/>
                <w:szCs w:val="18"/>
              </w:rPr>
              <w:t>TEQSA is open, transparent and consistent in its dealings with your organisation</w:t>
            </w:r>
          </w:p>
        </w:tc>
        <w:tc>
          <w:tcPr>
            <w:tcW w:w="1170" w:type="dxa"/>
          </w:tcPr>
          <w:p w14:paraId="2979EEC2" w14:textId="77777777" w:rsidR="006B2780" w:rsidRPr="004F30BD" w:rsidRDefault="006B2780" w:rsidP="006B2780">
            <w:pPr>
              <w:spacing w:before="60" w:after="60"/>
              <w:ind w:right="0"/>
              <w:jc w:val="center"/>
            </w:pPr>
            <w:r w:rsidRPr="004F30BD">
              <w:t>21</w:t>
            </w:r>
          </w:p>
        </w:tc>
        <w:tc>
          <w:tcPr>
            <w:tcW w:w="1170" w:type="dxa"/>
          </w:tcPr>
          <w:p w14:paraId="45C95D85" w14:textId="77777777" w:rsidR="006B2780" w:rsidRPr="004F30BD" w:rsidRDefault="006B2780" w:rsidP="006B2780">
            <w:pPr>
              <w:spacing w:before="60" w:after="60"/>
              <w:ind w:right="0"/>
              <w:jc w:val="center"/>
              <w:rPr>
                <w:szCs w:val="18"/>
              </w:rPr>
            </w:pPr>
            <w:r w:rsidRPr="004F30BD">
              <w:t>71</w:t>
            </w:r>
          </w:p>
        </w:tc>
      </w:tr>
      <w:tr w:rsidR="006B2780" w:rsidRPr="004F30BD" w14:paraId="77446845" w14:textId="77777777" w:rsidTr="00642D09">
        <w:tc>
          <w:tcPr>
            <w:tcW w:w="2040" w:type="dxa"/>
            <w:shd w:val="clear" w:color="auto" w:fill="D9D9D9" w:themeFill="background1" w:themeFillShade="D9"/>
            <w:vAlign w:val="center"/>
          </w:tcPr>
          <w:p w14:paraId="2C5D1278" w14:textId="77777777" w:rsidR="006B2780" w:rsidRPr="004F30BD" w:rsidRDefault="006B2780" w:rsidP="006B2780">
            <w:pPr>
              <w:spacing w:before="60" w:after="60"/>
              <w:ind w:right="0"/>
              <w:rPr>
                <w:color w:val="000000"/>
                <w:szCs w:val="18"/>
              </w:rPr>
            </w:pPr>
            <w:r w:rsidRPr="004F30BD">
              <w:rPr>
                <w:b/>
                <w:color w:val="000000"/>
                <w:szCs w:val="18"/>
              </w:rPr>
              <w:lastRenderedPageBreak/>
              <w:t xml:space="preserve">KPI 6 </w:t>
            </w:r>
            <w:r w:rsidRPr="004F30BD">
              <w:rPr>
                <w:color w:val="000000"/>
                <w:szCs w:val="18"/>
              </w:rPr>
              <w:t>Continuous improvement</w:t>
            </w:r>
          </w:p>
        </w:tc>
        <w:tc>
          <w:tcPr>
            <w:tcW w:w="4170" w:type="dxa"/>
            <w:shd w:val="clear" w:color="auto" w:fill="D9D9D9" w:themeFill="background1" w:themeFillShade="D9"/>
            <w:vAlign w:val="center"/>
          </w:tcPr>
          <w:p w14:paraId="099A6235" w14:textId="77777777" w:rsidR="006B2780" w:rsidRPr="004F30BD" w:rsidRDefault="006B2780" w:rsidP="006B2780">
            <w:pPr>
              <w:spacing w:before="60" w:after="60"/>
              <w:ind w:right="0"/>
              <w:rPr>
                <w:color w:val="000000"/>
                <w:szCs w:val="18"/>
              </w:rPr>
            </w:pPr>
            <w:r w:rsidRPr="004F30BD">
              <w:rPr>
                <w:color w:val="000000"/>
                <w:szCs w:val="18"/>
              </w:rPr>
              <w:t>TEQSA continues to improve its regulatory framework in consultation with your organisation</w:t>
            </w:r>
          </w:p>
        </w:tc>
        <w:tc>
          <w:tcPr>
            <w:tcW w:w="1170" w:type="dxa"/>
            <w:shd w:val="clear" w:color="auto" w:fill="D9D9D9" w:themeFill="background1" w:themeFillShade="D9"/>
          </w:tcPr>
          <w:p w14:paraId="02B65237" w14:textId="77777777" w:rsidR="006B2780" w:rsidRPr="004F30BD" w:rsidRDefault="006B2780" w:rsidP="006B2780">
            <w:pPr>
              <w:spacing w:before="60" w:after="60"/>
              <w:ind w:right="0"/>
              <w:jc w:val="center"/>
            </w:pPr>
            <w:r w:rsidRPr="004F30BD">
              <w:t>22</w:t>
            </w:r>
          </w:p>
        </w:tc>
        <w:tc>
          <w:tcPr>
            <w:tcW w:w="1170" w:type="dxa"/>
            <w:shd w:val="clear" w:color="auto" w:fill="D9D9D9" w:themeFill="background1" w:themeFillShade="D9"/>
          </w:tcPr>
          <w:p w14:paraId="277CBBFC" w14:textId="77777777" w:rsidR="006B2780" w:rsidRPr="004F30BD" w:rsidRDefault="006B2780" w:rsidP="006B2780">
            <w:pPr>
              <w:spacing w:before="60" w:after="60"/>
              <w:ind w:right="0"/>
              <w:jc w:val="center"/>
              <w:rPr>
                <w:szCs w:val="18"/>
              </w:rPr>
            </w:pPr>
            <w:r w:rsidRPr="004F30BD">
              <w:t>68</w:t>
            </w:r>
          </w:p>
        </w:tc>
      </w:tr>
      <w:tr w:rsidR="006B2780" w:rsidRPr="004F30BD" w14:paraId="52D93E3C" w14:textId="77777777" w:rsidTr="00642D09">
        <w:tc>
          <w:tcPr>
            <w:tcW w:w="2040" w:type="dxa"/>
            <w:tcBorders>
              <w:bottom w:val="single" w:sz="4" w:space="0" w:color="auto"/>
            </w:tcBorders>
            <w:vAlign w:val="center"/>
          </w:tcPr>
          <w:p w14:paraId="166118FA" w14:textId="77777777" w:rsidR="006B2780" w:rsidRPr="004F30BD" w:rsidRDefault="006B2780" w:rsidP="006B2780">
            <w:pPr>
              <w:spacing w:before="60" w:after="60"/>
              <w:ind w:right="0"/>
              <w:rPr>
                <w:b/>
                <w:color w:val="000000"/>
                <w:szCs w:val="18"/>
              </w:rPr>
            </w:pPr>
            <w:r w:rsidRPr="004F30BD">
              <w:rPr>
                <w:b/>
                <w:color w:val="000000"/>
                <w:szCs w:val="18"/>
              </w:rPr>
              <w:t>Overall</w:t>
            </w:r>
          </w:p>
        </w:tc>
        <w:tc>
          <w:tcPr>
            <w:tcW w:w="4170" w:type="dxa"/>
            <w:tcBorders>
              <w:bottom w:val="single" w:sz="4" w:space="0" w:color="auto"/>
            </w:tcBorders>
            <w:vAlign w:val="center"/>
          </w:tcPr>
          <w:p w14:paraId="2607F6AE" w14:textId="77777777" w:rsidR="006B2780" w:rsidRPr="004F30BD" w:rsidRDefault="006B2780" w:rsidP="006B2780">
            <w:pPr>
              <w:spacing w:before="60" w:after="60"/>
              <w:ind w:right="0"/>
              <w:rPr>
                <w:color w:val="000000"/>
                <w:szCs w:val="18"/>
              </w:rPr>
            </w:pPr>
            <w:r w:rsidRPr="004F30BD">
              <w:rPr>
                <w:color w:val="000000"/>
                <w:szCs w:val="18"/>
              </w:rPr>
              <w:t>TEQSA performance over the last 12 months as a regulator</w:t>
            </w:r>
          </w:p>
        </w:tc>
        <w:tc>
          <w:tcPr>
            <w:tcW w:w="1170" w:type="dxa"/>
            <w:tcBorders>
              <w:bottom w:val="single" w:sz="4" w:space="0" w:color="auto"/>
            </w:tcBorders>
          </w:tcPr>
          <w:p w14:paraId="1A8F2C1B" w14:textId="77777777" w:rsidR="006B2780" w:rsidRPr="004F30BD" w:rsidRDefault="006B2780" w:rsidP="006B2780">
            <w:pPr>
              <w:spacing w:before="60" w:after="60"/>
              <w:ind w:right="0"/>
              <w:jc w:val="center"/>
            </w:pPr>
            <w:r w:rsidRPr="004F30BD">
              <w:t>22</w:t>
            </w:r>
          </w:p>
        </w:tc>
        <w:tc>
          <w:tcPr>
            <w:tcW w:w="1170" w:type="dxa"/>
            <w:tcBorders>
              <w:bottom w:val="single" w:sz="4" w:space="0" w:color="auto"/>
            </w:tcBorders>
          </w:tcPr>
          <w:p w14:paraId="019BD8CF" w14:textId="77777777" w:rsidR="006B2780" w:rsidRPr="004F30BD" w:rsidRDefault="006B2780" w:rsidP="006B2780">
            <w:pPr>
              <w:spacing w:before="60" w:after="60"/>
              <w:ind w:right="0"/>
              <w:jc w:val="center"/>
              <w:rPr>
                <w:szCs w:val="18"/>
              </w:rPr>
            </w:pPr>
            <w:r w:rsidRPr="004F30BD">
              <w:t>6</w:t>
            </w:r>
            <w:r w:rsidR="00B63941" w:rsidRPr="004F30BD">
              <w:t>4</w:t>
            </w:r>
          </w:p>
        </w:tc>
      </w:tr>
    </w:tbl>
    <w:p w14:paraId="7335771C" w14:textId="77777777" w:rsidR="00151D8B" w:rsidRPr="004F30BD" w:rsidRDefault="00151139" w:rsidP="00265359">
      <w:pPr>
        <w:spacing w:before="240"/>
        <w:rPr>
          <w:highlight w:val="green"/>
          <w:lang w:eastAsia="en-AU"/>
        </w:rPr>
      </w:pPr>
      <w:r w:rsidRPr="004F30BD">
        <w:rPr>
          <w:noProof/>
          <w:lang w:eastAsia="en-AU"/>
        </w:rPr>
        <w:drawing>
          <wp:inline distT="0" distB="0" distL="0" distR="0" wp14:anchorId="20F6D93C" wp14:editId="38F897BB">
            <wp:extent cx="5943600" cy="2819400"/>
            <wp:effectExtent l="0" t="0" r="0" b="0"/>
            <wp:docPr id="33" name="Chart 33">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5276761" w14:textId="77777777" w:rsidR="00ED53EE" w:rsidRPr="004F30BD" w:rsidRDefault="00422E1E" w:rsidP="000D5265">
      <w:pPr>
        <w:pStyle w:val="Heading2"/>
      </w:pPr>
      <w:bookmarkStart w:id="45" w:name="_Toc22298046"/>
      <w:r w:rsidRPr="004F30BD">
        <w:t xml:space="preserve">PPSB </w:t>
      </w:r>
      <w:r w:rsidR="00ED53EE" w:rsidRPr="004F30BD">
        <w:t>KPI comments</w:t>
      </w:r>
      <w:bookmarkEnd w:id="45"/>
    </w:p>
    <w:p w14:paraId="33B5D7F8" w14:textId="77777777" w:rsidR="00167B06" w:rsidRPr="004F30BD" w:rsidRDefault="00167B06" w:rsidP="00ED53EE">
      <w:pPr>
        <w:pStyle w:val="Heading4"/>
      </w:pPr>
      <w:r w:rsidRPr="004F30BD">
        <w:t xml:space="preserve">KPI </w:t>
      </w:r>
      <w:r w:rsidR="00982C22" w:rsidRPr="004F30BD">
        <w:t>1</w:t>
      </w:r>
      <w:r w:rsidR="00B63941" w:rsidRPr="004F30BD">
        <w:t xml:space="preserve">: </w:t>
      </w:r>
      <w:r w:rsidR="00982C22" w:rsidRPr="004F30BD">
        <w:t xml:space="preserve">Impact </w:t>
      </w:r>
      <w:r w:rsidRPr="004F30BD">
        <w:t>comments</w:t>
      </w:r>
    </w:p>
    <w:p w14:paraId="622B15DD" w14:textId="77777777" w:rsidR="00D533A8" w:rsidRPr="004F30BD" w:rsidRDefault="00EC3FD0" w:rsidP="00D533A8">
      <w:pPr>
        <w:rPr>
          <w:highlight w:val="yellow"/>
        </w:rPr>
      </w:pPr>
      <w:r w:rsidRPr="004F30BD">
        <w:t>Eleven</w:t>
      </w:r>
      <w:r w:rsidR="00F0186A" w:rsidRPr="004F30BD">
        <w:t xml:space="preserve"> respondents </w:t>
      </w:r>
      <w:r w:rsidR="00167B06" w:rsidRPr="004F30BD">
        <w:t>provide</w:t>
      </w:r>
      <w:r w:rsidR="00F0186A" w:rsidRPr="004F30BD">
        <w:t>d</w:t>
      </w:r>
      <w:r w:rsidR="00167B06" w:rsidRPr="004F30BD">
        <w:t xml:space="preserve"> comments in relation to KPI 1</w:t>
      </w:r>
      <w:r w:rsidR="00F0186A" w:rsidRPr="004F30BD">
        <w:t>.</w:t>
      </w:r>
      <w:r w:rsidR="00167B06" w:rsidRPr="004F30BD">
        <w:t xml:space="preserve"> </w:t>
      </w:r>
      <w:r w:rsidR="007F3A7E" w:rsidRPr="004F30BD">
        <w:t>T</w:t>
      </w:r>
      <w:r w:rsidRPr="004F30BD">
        <w:t>hree</w:t>
      </w:r>
      <w:r w:rsidR="007F3A7E" w:rsidRPr="004F30BD">
        <w:t xml:space="preserve"> provided positive feedback about their dealings with TEQSA</w:t>
      </w:r>
      <w:r w:rsidR="005F4CA5" w:rsidRPr="004F30BD">
        <w:t xml:space="preserve">. </w:t>
      </w:r>
      <w:r w:rsidR="00090CAA" w:rsidRPr="004F30BD">
        <w:t xml:space="preserve">Areas where </w:t>
      </w:r>
      <w:r w:rsidR="00355A53" w:rsidRPr="004F30BD">
        <w:t>TEQSA</w:t>
      </w:r>
      <w:r w:rsidR="00090CAA" w:rsidRPr="004F30BD">
        <w:t xml:space="preserve"> could </w:t>
      </w:r>
      <w:r w:rsidR="005A5A59" w:rsidRPr="004F30BD">
        <w:t>improve</w:t>
      </w:r>
      <w:r w:rsidR="00023C62" w:rsidRPr="004F30BD">
        <w:t xml:space="preserve"> </w:t>
      </w:r>
      <w:r w:rsidRPr="004F30BD">
        <w:t>related to more consistent engagement and consultation</w:t>
      </w:r>
      <w:r w:rsidR="00D533A8" w:rsidRPr="004F30BD">
        <w:t xml:space="preserve">. </w:t>
      </w:r>
      <w:r w:rsidRPr="004F30BD">
        <w:t xml:space="preserve">The high turnover of case managers was </w:t>
      </w:r>
      <w:r w:rsidR="00DB1AFC" w:rsidRPr="004F30BD">
        <w:t>mentioned as contributing to a lack of consistency</w:t>
      </w:r>
      <w:r w:rsidRPr="004F30BD">
        <w:t xml:space="preserve">. </w:t>
      </w:r>
      <w:r w:rsidR="00D533A8" w:rsidRPr="004F30BD">
        <w:t>T</w:t>
      </w:r>
      <w:r w:rsidRPr="004F30BD">
        <w:t>hree</w:t>
      </w:r>
      <w:r w:rsidR="00D533A8" w:rsidRPr="004F30BD">
        <w:t xml:space="preserve"> respondents indicated they didn’t have enough information to answer.</w:t>
      </w:r>
    </w:p>
    <w:p w14:paraId="29F2B825" w14:textId="77777777" w:rsidR="00291881" w:rsidRPr="004F30BD" w:rsidRDefault="00291881" w:rsidP="00ED53EE">
      <w:pPr>
        <w:pStyle w:val="Heading4"/>
      </w:pPr>
      <w:r w:rsidRPr="004F30BD">
        <w:t>KPI 2</w:t>
      </w:r>
      <w:r w:rsidR="00B63941" w:rsidRPr="004F30BD">
        <w:t xml:space="preserve">: </w:t>
      </w:r>
      <w:r w:rsidR="00982C22" w:rsidRPr="004F30BD">
        <w:t xml:space="preserve">Communication </w:t>
      </w:r>
      <w:r w:rsidRPr="004F30BD">
        <w:t>comments</w:t>
      </w:r>
    </w:p>
    <w:p w14:paraId="5F8F3CC1" w14:textId="77777777" w:rsidR="00291881" w:rsidRPr="004F30BD" w:rsidRDefault="00684C54" w:rsidP="00ED53EE">
      <w:r w:rsidRPr="004F30BD">
        <w:t xml:space="preserve">When </w:t>
      </w:r>
      <w:r w:rsidR="0090610D" w:rsidRPr="004F30BD">
        <w:t>asked</w:t>
      </w:r>
      <w:r w:rsidRPr="004F30BD">
        <w:t xml:space="preserve"> to provide comments about TEQSA’s communication, </w:t>
      </w:r>
      <w:r w:rsidR="00DB1AFC" w:rsidRPr="004F30BD">
        <w:t>eight</w:t>
      </w:r>
      <w:r w:rsidR="00291881" w:rsidRPr="004F30BD">
        <w:t xml:space="preserve"> respondents </w:t>
      </w:r>
      <w:r w:rsidR="00AD4DF9" w:rsidRPr="004F30BD">
        <w:t xml:space="preserve">offered feedback. </w:t>
      </w:r>
      <w:r w:rsidR="00DB1AFC" w:rsidRPr="004F30BD">
        <w:t>Four r</w:t>
      </w:r>
      <w:r w:rsidR="00FB6C57" w:rsidRPr="004F30BD">
        <w:t>espondents commented p</w:t>
      </w:r>
      <w:r w:rsidR="002E73D0" w:rsidRPr="004F30BD">
        <w:t>ositive</w:t>
      </w:r>
      <w:r w:rsidR="00FB6C57" w:rsidRPr="004F30BD">
        <w:t>ly</w:t>
      </w:r>
      <w:r w:rsidR="00813760" w:rsidRPr="004F30BD">
        <w:t xml:space="preserve"> about </w:t>
      </w:r>
      <w:r w:rsidR="00DB1AFC" w:rsidRPr="004F30BD">
        <w:t>TEQSA communications particularly the amount of material provided about how and why it carries out its regulatory and quality assurance activities</w:t>
      </w:r>
      <w:r w:rsidR="00813760" w:rsidRPr="004F30BD">
        <w:t>.</w:t>
      </w:r>
      <w:r w:rsidR="00656436" w:rsidRPr="004F30BD">
        <w:t xml:space="preserve"> </w:t>
      </w:r>
      <w:r w:rsidR="00DB1AFC" w:rsidRPr="004F30BD">
        <w:t xml:space="preserve">The Guidance Notes and conference activities were positively received. </w:t>
      </w:r>
      <w:r w:rsidR="00220D24" w:rsidRPr="004F30BD">
        <w:t>Two respondents</w:t>
      </w:r>
      <w:r w:rsidR="00656436" w:rsidRPr="004F30BD">
        <w:t xml:space="preserve"> </w:t>
      </w:r>
      <w:r w:rsidR="00E959D2" w:rsidRPr="004F30BD">
        <w:t xml:space="preserve">commented that </w:t>
      </w:r>
      <w:r w:rsidR="00AA7659" w:rsidRPr="004F30BD">
        <w:t xml:space="preserve">the purpose of some communication could be clearer. </w:t>
      </w:r>
    </w:p>
    <w:p w14:paraId="151AA5BC" w14:textId="77777777" w:rsidR="00982C22" w:rsidRPr="004F30BD" w:rsidRDefault="00982C22" w:rsidP="00ED53EE">
      <w:pPr>
        <w:pStyle w:val="Heading4"/>
      </w:pPr>
      <w:r w:rsidRPr="004F30BD">
        <w:t>KPI 3</w:t>
      </w:r>
      <w:r w:rsidR="00B63941" w:rsidRPr="004F30BD">
        <w:t xml:space="preserve">: </w:t>
      </w:r>
      <w:r w:rsidRPr="004F30BD">
        <w:t>R</w:t>
      </w:r>
      <w:r w:rsidR="00B63941" w:rsidRPr="004F30BD">
        <w:t>egulatory r</w:t>
      </w:r>
      <w:r w:rsidRPr="004F30BD">
        <w:t>isk approach comments</w:t>
      </w:r>
    </w:p>
    <w:p w14:paraId="3A54ED2C" w14:textId="1B462142" w:rsidR="00982C22" w:rsidRPr="004F30BD" w:rsidRDefault="00743A9A" w:rsidP="00ED53EE">
      <w:r w:rsidRPr="004F30BD">
        <w:t>Five</w:t>
      </w:r>
      <w:r w:rsidR="00982C22" w:rsidRPr="004F30BD">
        <w:t xml:space="preserve"> respondents offered feedback about TEQSA’s risk approach</w:t>
      </w:r>
      <w:r w:rsidR="00EB0A37" w:rsidRPr="004F30BD">
        <w:t xml:space="preserve">. </w:t>
      </w:r>
      <w:r w:rsidRPr="004F30BD">
        <w:t xml:space="preserve">While </w:t>
      </w:r>
      <w:r w:rsidR="00355A53" w:rsidRPr="004F30BD">
        <w:t>TEQSA</w:t>
      </w:r>
      <w:r w:rsidRPr="004F30BD">
        <w:t xml:space="preserve"> was seen to be efficient, </w:t>
      </w:r>
      <w:r w:rsidR="0012377C" w:rsidRPr="004F30BD">
        <w:t xml:space="preserve">one commented </w:t>
      </w:r>
      <w:r w:rsidRPr="004F30BD">
        <w:t>they were less sure that it operated at sufficient depth to effectively quality assure higher education</w:t>
      </w:r>
      <w:r w:rsidR="0012377C" w:rsidRPr="004F30BD">
        <w:t xml:space="preserve">. </w:t>
      </w:r>
      <w:r w:rsidRPr="004F30BD">
        <w:t xml:space="preserve">Another commented that </w:t>
      </w:r>
      <w:r w:rsidR="00355A53" w:rsidRPr="004F30BD">
        <w:t>TEQSA</w:t>
      </w:r>
      <w:r w:rsidRPr="004F30BD">
        <w:t xml:space="preserve"> appeared to be focused on capital city-based universities and did not adequately recognise the role of public-private partnerships in supporting regional institutions. Two </w:t>
      </w:r>
      <w:r w:rsidR="000E3206" w:rsidRPr="004F30BD">
        <w:t xml:space="preserve">respondents indicated they didn’t have enough information to </w:t>
      </w:r>
      <w:r w:rsidR="00D74351" w:rsidRPr="004F30BD">
        <w:t>answer.</w:t>
      </w:r>
    </w:p>
    <w:p w14:paraId="671B7C96" w14:textId="77777777" w:rsidR="00336448" w:rsidRPr="004F30BD" w:rsidRDefault="00336448" w:rsidP="00ED53EE">
      <w:pPr>
        <w:pStyle w:val="Heading4"/>
      </w:pPr>
      <w:r w:rsidRPr="004F30BD">
        <w:t>KPI 4</w:t>
      </w:r>
      <w:r w:rsidR="00B63941" w:rsidRPr="004F30BD">
        <w:t xml:space="preserve">: </w:t>
      </w:r>
      <w:r w:rsidRPr="004F30BD">
        <w:t>Compliance / monitoring comments</w:t>
      </w:r>
    </w:p>
    <w:p w14:paraId="24876AE6" w14:textId="77777777" w:rsidR="00336448" w:rsidRPr="004F30BD" w:rsidRDefault="005861D2" w:rsidP="00ED53EE">
      <w:r w:rsidRPr="004F30BD">
        <w:t>Eight</w:t>
      </w:r>
      <w:r w:rsidR="00ED53EE" w:rsidRPr="004F30BD">
        <w:t xml:space="preserve"> </w:t>
      </w:r>
      <w:r w:rsidR="0095462B" w:rsidRPr="004F30BD">
        <w:t xml:space="preserve">respondents </w:t>
      </w:r>
      <w:r w:rsidR="00821D9A" w:rsidRPr="004F30BD">
        <w:t>comment</w:t>
      </w:r>
      <w:r w:rsidR="0095462B" w:rsidRPr="004F30BD">
        <w:t>ed</w:t>
      </w:r>
      <w:r w:rsidR="00821D9A" w:rsidRPr="004F30BD">
        <w:t xml:space="preserve"> </w:t>
      </w:r>
      <w:r w:rsidR="0095462B" w:rsidRPr="004F30BD">
        <w:t>on</w:t>
      </w:r>
      <w:r w:rsidR="00821D9A" w:rsidRPr="004F30BD">
        <w:t xml:space="preserve"> TEQSA’s compliance and monitoring. </w:t>
      </w:r>
      <w:r w:rsidRPr="004F30BD">
        <w:t>Three</w:t>
      </w:r>
      <w:r w:rsidR="0053757E" w:rsidRPr="004F30BD">
        <w:t xml:space="preserve"> respondent</w:t>
      </w:r>
      <w:r w:rsidRPr="004F30BD">
        <w:t>s</w:t>
      </w:r>
      <w:r w:rsidR="0053757E" w:rsidRPr="004F30BD">
        <w:t xml:space="preserve"> commented positively</w:t>
      </w:r>
      <w:r w:rsidR="0095462B" w:rsidRPr="004F30BD">
        <w:t xml:space="preserve">. </w:t>
      </w:r>
      <w:r w:rsidRPr="004F30BD">
        <w:t xml:space="preserve">Five respondents made suggestions for improvement: </w:t>
      </w:r>
      <w:r w:rsidR="001B0113" w:rsidRPr="004F30BD">
        <w:t>wanting TEQSA to do</w:t>
      </w:r>
      <w:r w:rsidRPr="004F30BD">
        <w:t xml:space="preserve"> more to monitor </w:t>
      </w:r>
      <w:r w:rsidR="001B0113" w:rsidRPr="004F30BD">
        <w:t>Higher Education Providers</w:t>
      </w:r>
      <w:r w:rsidRPr="004F30BD">
        <w:t xml:space="preserve"> and support </w:t>
      </w:r>
      <w:r w:rsidR="001B0113" w:rsidRPr="004F30BD">
        <w:t>those</w:t>
      </w:r>
      <w:r w:rsidRPr="004F30BD">
        <w:t xml:space="preserve"> flagged at risk, </w:t>
      </w:r>
      <w:r w:rsidR="001B0113" w:rsidRPr="004F30BD">
        <w:t xml:space="preserve">as well as </w:t>
      </w:r>
      <w:r w:rsidRPr="004F30BD">
        <w:t>enhance the value of partnerships, e.g. work</w:t>
      </w:r>
      <w:r w:rsidR="001B0113" w:rsidRPr="004F30BD">
        <w:t xml:space="preserve"> </w:t>
      </w:r>
      <w:r w:rsidRPr="004F30BD">
        <w:t>with NEAS when managing ELICOS providers</w:t>
      </w:r>
      <w:r w:rsidR="001B0113" w:rsidRPr="004F30BD">
        <w:t xml:space="preserve"> but</w:t>
      </w:r>
      <w:r w:rsidRPr="004F30BD">
        <w:t xml:space="preserve"> guard against being overly </w:t>
      </w:r>
      <w:r w:rsidRPr="004F30BD">
        <w:lastRenderedPageBreak/>
        <w:t>interventionist to allow providers to follow their statutory internal processes. One</w:t>
      </w:r>
      <w:r w:rsidR="008F77CB" w:rsidRPr="004F30BD">
        <w:t xml:space="preserve"> respondent indicated they didn’t have enough information to answer.</w:t>
      </w:r>
    </w:p>
    <w:p w14:paraId="7A1CBC50" w14:textId="77777777" w:rsidR="006C0488" w:rsidRPr="004F30BD" w:rsidRDefault="006C0488" w:rsidP="002511C2">
      <w:pPr>
        <w:pStyle w:val="Heading4"/>
      </w:pPr>
      <w:r w:rsidRPr="004F30BD">
        <w:t>KPI 5</w:t>
      </w:r>
      <w:r w:rsidR="00B63941" w:rsidRPr="004F30BD">
        <w:t xml:space="preserve">: </w:t>
      </w:r>
      <w:r w:rsidRPr="004F30BD">
        <w:t>Approach comments</w:t>
      </w:r>
    </w:p>
    <w:p w14:paraId="3B714332" w14:textId="77777777" w:rsidR="006C0488" w:rsidRPr="004F30BD" w:rsidRDefault="0081054F" w:rsidP="00ED53EE">
      <w:r w:rsidRPr="004F30BD">
        <w:t>Eight</w:t>
      </w:r>
      <w:r w:rsidR="0091192F" w:rsidRPr="004F30BD">
        <w:t xml:space="preserve"> respondents</w:t>
      </w:r>
      <w:r w:rsidR="006C0488" w:rsidRPr="004F30BD">
        <w:t xml:space="preserve"> comment</w:t>
      </w:r>
      <w:r w:rsidR="0091192F" w:rsidRPr="004F30BD">
        <w:t>ed</w:t>
      </w:r>
      <w:r w:rsidR="006C0488" w:rsidRPr="004F30BD">
        <w:t xml:space="preserve"> </w:t>
      </w:r>
      <w:r w:rsidR="0091192F" w:rsidRPr="004F30BD">
        <w:t>on</w:t>
      </w:r>
      <w:r w:rsidR="006C0488" w:rsidRPr="004F30BD">
        <w:t xml:space="preserve"> TEQSA’s </w:t>
      </w:r>
      <w:r w:rsidR="009A6814" w:rsidRPr="004F30BD">
        <w:t>approach</w:t>
      </w:r>
      <w:r w:rsidR="00B90938" w:rsidRPr="004F30BD">
        <w:t xml:space="preserve">. </w:t>
      </w:r>
      <w:r w:rsidRPr="004F30BD">
        <w:t>Four</w:t>
      </w:r>
      <w:r w:rsidR="00696573" w:rsidRPr="004F30BD">
        <w:t xml:space="preserve"> respondent</w:t>
      </w:r>
      <w:r w:rsidR="00423F80" w:rsidRPr="004F30BD">
        <w:t>s</w:t>
      </w:r>
      <w:r w:rsidR="0035706B" w:rsidRPr="004F30BD">
        <w:t xml:space="preserve"> provided a positive </w:t>
      </w:r>
      <w:r w:rsidR="00F81509" w:rsidRPr="004F30BD">
        <w:t>response</w:t>
      </w:r>
      <w:r w:rsidRPr="004F30BD">
        <w:t xml:space="preserve"> and were happy with the level of </w:t>
      </w:r>
      <w:r w:rsidR="00584084" w:rsidRPr="004F30BD">
        <w:t>help</w:t>
      </w:r>
      <w:r w:rsidRPr="004F30BD">
        <w:t xml:space="preserve"> provided</w:t>
      </w:r>
      <w:r w:rsidR="00696573" w:rsidRPr="004F30BD">
        <w:t xml:space="preserve">. </w:t>
      </w:r>
      <w:r w:rsidRPr="004F30BD">
        <w:t xml:space="preserve">Four respondents made suggestions for improvement: including </w:t>
      </w:r>
      <w:r w:rsidR="001B0113" w:rsidRPr="004F30BD">
        <w:t xml:space="preserve">more </w:t>
      </w:r>
      <w:r w:rsidRPr="004F30BD">
        <w:t xml:space="preserve">consistency in approach by different case managers and </w:t>
      </w:r>
      <w:r w:rsidR="001B0113" w:rsidRPr="004F30BD">
        <w:t xml:space="preserve">ensuring that TEQSA </w:t>
      </w:r>
      <w:r w:rsidRPr="004F30BD">
        <w:t xml:space="preserve">follow-up </w:t>
      </w:r>
      <w:r w:rsidR="001B0113" w:rsidRPr="004F30BD">
        <w:t>when requested</w:t>
      </w:r>
      <w:r w:rsidRPr="004F30BD">
        <w:t>. Another respondent suggested that more could be done to bring universities and higher education providers together to improve the sector overall.</w:t>
      </w:r>
    </w:p>
    <w:p w14:paraId="032BB201" w14:textId="77777777" w:rsidR="007C29DF" w:rsidRPr="004F30BD" w:rsidRDefault="007C29DF" w:rsidP="00ED53EE">
      <w:pPr>
        <w:pStyle w:val="Heading4"/>
      </w:pPr>
      <w:r w:rsidRPr="004F30BD">
        <w:t>KPI 6</w:t>
      </w:r>
      <w:r w:rsidR="00B63941" w:rsidRPr="004F30BD">
        <w:t xml:space="preserve">: </w:t>
      </w:r>
      <w:r w:rsidR="00124611" w:rsidRPr="004F30BD">
        <w:t>Continuous improvement</w:t>
      </w:r>
      <w:r w:rsidRPr="004F30BD">
        <w:t xml:space="preserve"> comments</w:t>
      </w:r>
    </w:p>
    <w:p w14:paraId="3E5885DD" w14:textId="77777777" w:rsidR="00FF7819" w:rsidRPr="004F30BD" w:rsidRDefault="00C56549" w:rsidP="00FF7819">
      <w:r w:rsidRPr="004F30BD">
        <w:t>Seven</w:t>
      </w:r>
      <w:r w:rsidR="007C29DF" w:rsidRPr="004F30BD">
        <w:t xml:space="preserve"> respondents commented on TEQSA’s </w:t>
      </w:r>
      <w:r w:rsidR="00DB7468" w:rsidRPr="004F30BD">
        <w:t>continuous improvement</w:t>
      </w:r>
      <w:r w:rsidR="000E768D" w:rsidRPr="004F30BD">
        <w:t xml:space="preserve">. </w:t>
      </w:r>
      <w:r w:rsidRPr="004F30BD">
        <w:t xml:space="preserve">Two respondents were positive about TEQSA’s level of consultation to evolve the regulatory framework through activities such as the industry bodies forum. However, five respondents felt that more could be done to be proactive and follow-up providers better to address regulatory issues. One respondent felt that while they had provided input in the past it appeared to make no difference to </w:t>
      </w:r>
      <w:r w:rsidR="00355A53" w:rsidRPr="004F30BD">
        <w:t>TEQSA</w:t>
      </w:r>
      <w:r w:rsidRPr="004F30BD">
        <w:t>’s approach.</w:t>
      </w:r>
    </w:p>
    <w:p w14:paraId="65143D49" w14:textId="77777777" w:rsidR="00982C22" w:rsidRPr="004F30BD" w:rsidRDefault="00A109D9" w:rsidP="00982C22">
      <w:pPr>
        <w:pStyle w:val="Heading2"/>
      </w:pPr>
      <w:bookmarkStart w:id="46" w:name="_Toc22298047"/>
      <w:r w:rsidRPr="004F30BD">
        <w:t>O</w:t>
      </w:r>
      <w:r w:rsidR="00982C22" w:rsidRPr="004F30BD">
        <w:t>verall comments</w:t>
      </w:r>
      <w:bookmarkEnd w:id="46"/>
    </w:p>
    <w:p w14:paraId="54800DBB" w14:textId="77777777" w:rsidR="00305817" w:rsidRPr="004F30BD" w:rsidRDefault="00B72BFB" w:rsidP="00ED53EE">
      <w:pPr>
        <w:pStyle w:val="Heading4"/>
      </w:pPr>
      <w:r w:rsidRPr="004F30BD">
        <w:t>PPSB</w:t>
      </w:r>
      <w:r w:rsidR="00305817" w:rsidRPr="004F30BD">
        <w:t>: What TEQSA does well</w:t>
      </w:r>
    </w:p>
    <w:p w14:paraId="4F9BB492" w14:textId="77777777" w:rsidR="00305817" w:rsidRPr="004F30BD" w:rsidRDefault="008D7BA8" w:rsidP="00ED53EE">
      <w:r w:rsidRPr="004F30BD">
        <w:t>When asked what TEQSA</w:t>
      </w:r>
      <w:r w:rsidR="009C698E" w:rsidRPr="004F30BD">
        <w:t xml:space="preserve"> does well that it should continue doing, </w:t>
      </w:r>
      <w:r w:rsidR="00C56549" w:rsidRPr="004F30BD">
        <w:t>seven</w:t>
      </w:r>
      <w:r w:rsidR="009C698E" w:rsidRPr="004F30BD">
        <w:t xml:space="preserve"> respondents provided comments. Areas that TEQSA did well included: </w:t>
      </w:r>
    </w:p>
    <w:p w14:paraId="236B25A0" w14:textId="77777777" w:rsidR="00F5620A" w:rsidRPr="004F30BD" w:rsidRDefault="00C56549" w:rsidP="00F5620A">
      <w:pPr>
        <w:pStyle w:val="Bullet2"/>
        <w:ind w:left="714" w:hanging="357"/>
        <w:contextualSpacing w:val="0"/>
      </w:pPr>
      <w:r w:rsidRPr="004F30BD">
        <w:t>Engaging</w:t>
      </w:r>
      <w:r w:rsidR="00F5620A" w:rsidRPr="004F30BD">
        <w:t xml:space="preserve"> / consulting / </w:t>
      </w:r>
      <w:r w:rsidRPr="004F30BD">
        <w:t>collaborating</w:t>
      </w:r>
      <w:r w:rsidR="00F5620A" w:rsidRPr="004F30BD">
        <w:t xml:space="preserve"> with the sector</w:t>
      </w:r>
    </w:p>
    <w:p w14:paraId="608F23C5" w14:textId="77777777" w:rsidR="000451FE" w:rsidRPr="004F30BD" w:rsidRDefault="00C56549" w:rsidP="00B02A07">
      <w:pPr>
        <w:pStyle w:val="Bullet2"/>
        <w:ind w:left="714" w:hanging="357"/>
        <w:contextualSpacing w:val="0"/>
      </w:pPr>
      <w:r w:rsidRPr="004F30BD">
        <w:t>TEQSA key staff approachable and collegial</w:t>
      </w:r>
      <w:r w:rsidR="001B0113" w:rsidRPr="004F30BD">
        <w:t xml:space="preserve"> </w:t>
      </w:r>
    </w:p>
    <w:p w14:paraId="6E5C22B1" w14:textId="77777777" w:rsidR="00DA602D" w:rsidRPr="004F30BD" w:rsidRDefault="00ED0B25" w:rsidP="00B02A07">
      <w:pPr>
        <w:pStyle w:val="Bullet2"/>
        <w:ind w:left="714" w:hanging="357"/>
        <w:contextualSpacing w:val="0"/>
      </w:pPr>
      <w:r w:rsidRPr="004F30BD">
        <w:t>High q</w:t>
      </w:r>
      <w:r w:rsidR="00C56549" w:rsidRPr="004F30BD">
        <w:t>uality communications,</w:t>
      </w:r>
      <w:r w:rsidR="00B63941" w:rsidRPr="004F30BD">
        <w:t xml:space="preserve"> including </w:t>
      </w:r>
      <w:r w:rsidR="00C56549" w:rsidRPr="004F30BD">
        <w:t xml:space="preserve">Guidance Notes, </w:t>
      </w:r>
      <w:r w:rsidR="00FC293A" w:rsidRPr="004F30BD">
        <w:t>Key Principles of Risk Assessment</w:t>
      </w:r>
    </w:p>
    <w:p w14:paraId="5FABD03E" w14:textId="77777777" w:rsidR="00C56549" w:rsidRPr="004F30BD" w:rsidRDefault="00C56549" w:rsidP="00B02A07">
      <w:pPr>
        <w:pStyle w:val="Bullet2"/>
        <w:ind w:left="714" w:hanging="357"/>
        <w:contextualSpacing w:val="0"/>
      </w:pPr>
      <w:r w:rsidRPr="004F30BD">
        <w:t>Course registration process, reduced turnaround time to add courses to CRICOS</w:t>
      </w:r>
    </w:p>
    <w:p w14:paraId="5D60C2BF" w14:textId="6C768F48" w:rsidR="00DA602D" w:rsidRPr="004F30BD" w:rsidRDefault="00ED0B25" w:rsidP="00B02A07">
      <w:pPr>
        <w:pStyle w:val="Bullet2"/>
        <w:ind w:left="714" w:hanging="357"/>
        <w:contextualSpacing w:val="0"/>
      </w:pPr>
      <w:r w:rsidRPr="004F30BD">
        <w:t>Regulatory activities</w:t>
      </w:r>
      <w:r w:rsidR="00B63941" w:rsidRPr="004F30BD">
        <w:t xml:space="preserve"> including</w:t>
      </w:r>
      <w:r w:rsidR="00E3491E">
        <w:t>,</w:t>
      </w:r>
      <w:r w:rsidR="001B0113" w:rsidRPr="004F30BD">
        <w:t xml:space="preserve"> accreditation and monitoring to maintain the standard of higher education in Australia and high barriers to entry</w:t>
      </w:r>
    </w:p>
    <w:p w14:paraId="641C0CA0" w14:textId="77777777" w:rsidR="00B7041E" w:rsidRPr="004F30BD" w:rsidRDefault="00B63941" w:rsidP="00B02A07">
      <w:pPr>
        <w:pStyle w:val="Bullet2"/>
        <w:ind w:left="714" w:hanging="357"/>
        <w:contextualSpacing w:val="0"/>
      </w:pPr>
      <w:r w:rsidRPr="004F30BD">
        <w:t>W</w:t>
      </w:r>
      <w:r w:rsidR="001B0113" w:rsidRPr="004F30BD">
        <w:t>ell-structured standardised process and framework to benchmark education</w:t>
      </w:r>
      <w:r w:rsidR="00FC293A" w:rsidRPr="004F30BD">
        <w:t>.</w:t>
      </w:r>
    </w:p>
    <w:p w14:paraId="231D3DE7" w14:textId="77777777" w:rsidR="00305817" w:rsidRPr="004F30BD" w:rsidRDefault="00B72BFB" w:rsidP="00ED53EE">
      <w:pPr>
        <w:pStyle w:val="Heading4"/>
      </w:pPr>
      <w:r w:rsidRPr="004F30BD">
        <w:t>PPSB</w:t>
      </w:r>
      <w:r w:rsidR="00305817" w:rsidRPr="004F30BD">
        <w:t>: What TEQSA could improve</w:t>
      </w:r>
    </w:p>
    <w:p w14:paraId="33DC9059" w14:textId="77777777" w:rsidR="00305817" w:rsidRPr="004F30BD" w:rsidRDefault="00414374" w:rsidP="00305817">
      <w:r w:rsidRPr="004F30BD">
        <w:t xml:space="preserve">A total of </w:t>
      </w:r>
      <w:r w:rsidR="00BA1F31" w:rsidRPr="004F30BD">
        <w:t>eight</w:t>
      </w:r>
      <w:r w:rsidR="008D7BA8" w:rsidRPr="004F30BD">
        <w:t xml:space="preserve"> respondents suggested improvements. </w:t>
      </w:r>
      <w:r w:rsidR="00645251" w:rsidRPr="004F30BD">
        <w:t>Areas for improvement included</w:t>
      </w:r>
      <w:r w:rsidR="008D7BA8" w:rsidRPr="004F30BD">
        <w:t>:</w:t>
      </w:r>
    </w:p>
    <w:p w14:paraId="2F9A8079" w14:textId="77777777" w:rsidR="00186213" w:rsidRPr="004F30BD" w:rsidRDefault="00186213" w:rsidP="001C3277">
      <w:pPr>
        <w:pStyle w:val="ListParagraph"/>
        <w:numPr>
          <w:ilvl w:val="0"/>
          <w:numId w:val="6"/>
        </w:numPr>
        <w:ind w:left="714" w:hanging="357"/>
        <w:contextualSpacing w:val="0"/>
      </w:pPr>
      <w:r w:rsidRPr="004F30BD">
        <w:t>More</w:t>
      </w:r>
      <w:r w:rsidR="001C3277" w:rsidRPr="004F30BD">
        <w:t xml:space="preserve"> consistent engagement </w:t>
      </w:r>
      <w:r w:rsidR="007A4831" w:rsidRPr="004F30BD">
        <w:t xml:space="preserve">/ </w:t>
      </w:r>
      <w:r w:rsidR="00A05A48" w:rsidRPr="004F30BD">
        <w:t xml:space="preserve">collaboration </w:t>
      </w:r>
      <w:r w:rsidR="00BA1F31" w:rsidRPr="004F30BD">
        <w:t>to understand strategic issues facing the sector</w:t>
      </w:r>
      <w:r w:rsidR="001C3277" w:rsidRPr="004F30BD">
        <w:t xml:space="preserve"> </w:t>
      </w:r>
    </w:p>
    <w:p w14:paraId="553F6923" w14:textId="77777777" w:rsidR="001C3277" w:rsidRPr="004F30BD" w:rsidRDefault="00186213" w:rsidP="001C3277">
      <w:pPr>
        <w:pStyle w:val="ListParagraph"/>
        <w:numPr>
          <w:ilvl w:val="0"/>
          <w:numId w:val="6"/>
        </w:numPr>
        <w:ind w:left="714" w:hanging="357"/>
        <w:contextualSpacing w:val="0"/>
      </w:pPr>
      <w:r w:rsidRPr="004F30BD">
        <w:t>Partner more with other regulatory bodies to address regulatory issues</w:t>
      </w:r>
      <w:r w:rsidR="005D1D32" w:rsidRPr="004F30BD">
        <w:t xml:space="preserve"> in the sector</w:t>
      </w:r>
    </w:p>
    <w:p w14:paraId="7CB152FB" w14:textId="77777777" w:rsidR="00BA1F31" w:rsidRPr="004F30BD" w:rsidRDefault="00BA1F31" w:rsidP="001C3277">
      <w:pPr>
        <w:pStyle w:val="ListParagraph"/>
        <w:numPr>
          <w:ilvl w:val="0"/>
          <w:numId w:val="6"/>
        </w:numPr>
        <w:ind w:left="714" w:hanging="357"/>
        <w:contextualSpacing w:val="0"/>
      </w:pPr>
      <w:r w:rsidRPr="004F30BD">
        <w:t>Less churn in case managers / more consistent case managers</w:t>
      </w:r>
    </w:p>
    <w:p w14:paraId="39C95D45" w14:textId="77777777" w:rsidR="00A05A48" w:rsidRPr="004F30BD" w:rsidRDefault="00A05A48" w:rsidP="005D1D32">
      <w:pPr>
        <w:pStyle w:val="ListParagraph"/>
        <w:numPr>
          <w:ilvl w:val="0"/>
          <w:numId w:val="6"/>
        </w:numPr>
        <w:ind w:left="714" w:hanging="357"/>
        <w:contextualSpacing w:val="0"/>
      </w:pPr>
      <w:r w:rsidRPr="004F30BD">
        <w:t xml:space="preserve">Better understanding of the </w:t>
      </w:r>
      <w:r w:rsidR="005D1D32" w:rsidRPr="004F30BD">
        <w:t>role</w:t>
      </w:r>
      <w:r w:rsidRPr="004F30BD">
        <w:t xml:space="preserve"> of regional universities </w:t>
      </w:r>
    </w:p>
    <w:p w14:paraId="7D0C0418" w14:textId="77777777" w:rsidR="005D1D32" w:rsidRPr="004F30BD" w:rsidRDefault="005D1D32" w:rsidP="005D1D32">
      <w:pPr>
        <w:pStyle w:val="ListParagraph"/>
        <w:numPr>
          <w:ilvl w:val="0"/>
          <w:numId w:val="6"/>
        </w:numPr>
        <w:ind w:left="714" w:hanging="357"/>
        <w:contextualSpacing w:val="0"/>
      </w:pPr>
      <w:r w:rsidRPr="004F30BD">
        <w:t>Continue to increase transparency around its risk system and its assessments</w:t>
      </w:r>
    </w:p>
    <w:p w14:paraId="5105F95D" w14:textId="77777777" w:rsidR="00DB144B" w:rsidRPr="004F30BD" w:rsidRDefault="005D1D32" w:rsidP="005D1D32">
      <w:pPr>
        <w:pStyle w:val="ListParagraph"/>
        <w:numPr>
          <w:ilvl w:val="0"/>
          <w:numId w:val="6"/>
        </w:numPr>
        <w:ind w:left="714" w:hanging="357"/>
        <w:contextualSpacing w:val="0"/>
      </w:pPr>
      <w:r w:rsidRPr="004F30BD">
        <w:t xml:space="preserve">Engage with signatories to the MOU </w:t>
      </w:r>
    </w:p>
    <w:p w14:paraId="6D3C4D4F" w14:textId="77777777" w:rsidR="005D1D32" w:rsidRPr="004F30BD" w:rsidRDefault="00DB144B" w:rsidP="005D1D32">
      <w:pPr>
        <w:pStyle w:val="ListParagraph"/>
        <w:numPr>
          <w:ilvl w:val="0"/>
          <w:numId w:val="6"/>
        </w:numPr>
        <w:ind w:left="714" w:hanging="357"/>
        <w:contextualSpacing w:val="0"/>
      </w:pPr>
      <w:r w:rsidRPr="004F30BD">
        <w:t>R</w:t>
      </w:r>
      <w:r w:rsidR="005D1D32" w:rsidRPr="004F30BD">
        <w:t xml:space="preserve">espond to queries in a timely </w:t>
      </w:r>
      <w:r w:rsidR="00B63941" w:rsidRPr="004F30BD">
        <w:t>way</w:t>
      </w:r>
      <w:r w:rsidR="005D1D32" w:rsidRPr="004F30BD">
        <w:t>.</w:t>
      </w:r>
    </w:p>
    <w:p w14:paraId="3D6EB873" w14:textId="77777777" w:rsidR="00305817" w:rsidRPr="004F30BD" w:rsidRDefault="00B72BFB" w:rsidP="00ED53EE">
      <w:pPr>
        <w:pStyle w:val="Heading4"/>
      </w:pPr>
      <w:r w:rsidRPr="004F30BD">
        <w:t>PPSB</w:t>
      </w:r>
      <w:r w:rsidR="00305817" w:rsidRPr="004F30BD">
        <w:t xml:space="preserve">: What TEQSA should </w:t>
      </w:r>
      <w:r w:rsidR="00B02A07" w:rsidRPr="004F30BD">
        <w:t>stop</w:t>
      </w:r>
      <w:r w:rsidR="00305817" w:rsidRPr="004F30BD">
        <w:t xml:space="preserve"> doing</w:t>
      </w:r>
    </w:p>
    <w:p w14:paraId="5BA6EB38" w14:textId="77777777" w:rsidR="004D6371" w:rsidRPr="004F30BD" w:rsidRDefault="008C2377" w:rsidP="00ED53EE">
      <w:r w:rsidRPr="004F30BD">
        <w:t>A total of</w:t>
      </w:r>
      <w:r w:rsidR="0005161C" w:rsidRPr="004F30BD">
        <w:t xml:space="preserve"> </w:t>
      </w:r>
      <w:r w:rsidR="0045295C" w:rsidRPr="004F30BD">
        <w:t>six</w:t>
      </w:r>
      <w:r w:rsidR="003446B0" w:rsidRPr="004F30BD">
        <w:t xml:space="preserve"> respondents offered </w:t>
      </w:r>
      <w:r w:rsidR="0045295C" w:rsidRPr="004F30BD">
        <w:t>suggestions here</w:t>
      </w:r>
      <w:r w:rsidR="00DA4164" w:rsidRPr="004F30BD">
        <w:t>.</w:t>
      </w:r>
      <w:r w:rsidR="00B542ED" w:rsidRPr="004F30BD">
        <w:t xml:space="preserve"> </w:t>
      </w:r>
      <w:r w:rsidR="00931D6A" w:rsidRPr="004F30BD">
        <w:t>Comments included</w:t>
      </w:r>
      <w:r w:rsidR="004D6371" w:rsidRPr="004F30BD">
        <w:t>:</w:t>
      </w:r>
      <w:r w:rsidR="00AC0956" w:rsidRPr="004F30BD">
        <w:t xml:space="preserve"> </w:t>
      </w:r>
    </w:p>
    <w:p w14:paraId="2D9A9C36" w14:textId="77777777" w:rsidR="0005161C" w:rsidRPr="004F30BD" w:rsidRDefault="0045295C" w:rsidP="0045295C">
      <w:pPr>
        <w:pStyle w:val="ListParagraph"/>
        <w:numPr>
          <w:ilvl w:val="0"/>
          <w:numId w:val="6"/>
        </w:numPr>
        <w:ind w:left="714" w:hanging="357"/>
        <w:contextualSpacing w:val="0"/>
      </w:pPr>
      <w:r w:rsidRPr="004F30BD">
        <w:t>Greater focus on engaging with Australian bodies than building international relationships</w:t>
      </w:r>
    </w:p>
    <w:p w14:paraId="1F67876E" w14:textId="77777777" w:rsidR="0045295C" w:rsidRPr="004F30BD" w:rsidRDefault="0045295C" w:rsidP="0045295C">
      <w:pPr>
        <w:pStyle w:val="ListParagraph"/>
        <w:numPr>
          <w:ilvl w:val="0"/>
          <w:numId w:val="6"/>
        </w:numPr>
        <w:ind w:left="714" w:hanging="357"/>
        <w:contextualSpacing w:val="0"/>
      </w:pPr>
      <w:r w:rsidRPr="004F30BD">
        <w:t>Improve consistency of approach among case managers</w:t>
      </w:r>
    </w:p>
    <w:p w14:paraId="61C34932" w14:textId="77777777" w:rsidR="0045295C" w:rsidRPr="004F30BD" w:rsidRDefault="008C2377" w:rsidP="0045295C">
      <w:pPr>
        <w:pStyle w:val="ListParagraph"/>
        <w:numPr>
          <w:ilvl w:val="0"/>
          <w:numId w:val="6"/>
        </w:numPr>
        <w:ind w:left="714" w:hanging="357"/>
        <w:contextualSpacing w:val="0"/>
      </w:pPr>
      <w:r w:rsidRPr="004F30BD">
        <w:t>Provide more</w:t>
      </w:r>
      <w:r w:rsidR="0045295C" w:rsidRPr="004F30BD">
        <w:t xml:space="preserve"> written instructional adherence to standards</w:t>
      </w:r>
      <w:r w:rsidRPr="004F30BD">
        <w:t>, over reliance on Guidance Notes</w:t>
      </w:r>
    </w:p>
    <w:p w14:paraId="1BDBF2E2" w14:textId="77777777" w:rsidR="0045295C" w:rsidRPr="004F30BD" w:rsidRDefault="0045295C" w:rsidP="0045295C">
      <w:pPr>
        <w:pStyle w:val="ListParagraph"/>
        <w:numPr>
          <w:ilvl w:val="0"/>
          <w:numId w:val="6"/>
        </w:numPr>
        <w:ind w:left="714" w:hanging="357"/>
        <w:contextualSpacing w:val="0"/>
      </w:pPr>
      <w:r w:rsidRPr="004F30BD">
        <w:t xml:space="preserve">Cut </w:t>
      </w:r>
      <w:r w:rsidR="008C2377" w:rsidRPr="004F30BD">
        <w:t>back</w:t>
      </w:r>
      <w:r w:rsidRPr="004F30BD">
        <w:t xml:space="preserve"> on conferences</w:t>
      </w:r>
      <w:r w:rsidR="00B63941" w:rsidRPr="004F30BD">
        <w:t xml:space="preserve"> and find way to conduct low</w:t>
      </w:r>
      <w:r w:rsidRPr="004F30BD">
        <w:t xml:space="preserve"> cost information sharing sessions</w:t>
      </w:r>
      <w:r w:rsidR="00B63941" w:rsidRPr="004F30BD">
        <w:t xml:space="preserve"> instead</w:t>
      </w:r>
    </w:p>
    <w:p w14:paraId="60019B45" w14:textId="77777777" w:rsidR="0045295C" w:rsidRPr="004F30BD" w:rsidRDefault="0045295C" w:rsidP="0045295C">
      <w:pPr>
        <w:pStyle w:val="ListParagraph"/>
        <w:numPr>
          <w:ilvl w:val="0"/>
          <w:numId w:val="6"/>
        </w:numPr>
        <w:ind w:left="714" w:hanging="357"/>
        <w:contextualSpacing w:val="0"/>
      </w:pPr>
      <w:r w:rsidRPr="004F30BD">
        <w:lastRenderedPageBreak/>
        <w:t>Make more use of information provided by professional accreditation bodies</w:t>
      </w:r>
    </w:p>
    <w:p w14:paraId="38AE97BC" w14:textId="77777777" w:rsidR="0045295C" w:rsidRPr="004F30BD" w:rsidRDefault="0045295C" w:rsidP="0045295C">
      <w:pPr>
        <w:pStyle w:val="ListParagraph"/>
        <w:numPr>
          <w:ilvl w:val="0"/>
          <w:numId w:val="6"/>
        </w:numPr>
        <w:ind w:left="714" w:hanging="357"/>
        <w:contextualSpacing w:val="0"/>
      </w:pPr>
      <w:r w:rsidRPr="004F30BD">
        <w:t xml:space="preserve">Make it easier to find the right people within </w:t>
      </w:r>
      <w:r w:rsidR="00355A53" w:rsidRPr="004F30BD">
        <w:t>TEQSA</w:t>
      </w:r>
      <w:r w:rsidRPr="004F30BD">
        <w:t xml:space="preserve"> to talk to</w:t>
      </w:r>
      <w:r w:rsidR="00B63941" w:rsidRPr="004F30BD">
        <w:t>. C</w:t>
      </w:r>
      <w:r w:rsidRPr="004F30BD">
        <w:t xml:space="preserve">ase managers tend to be suspicious when we make contact. </w:t>
      </w:r>
    </w:p>
    <w:p w14:paraId="1CFFCFD4" w14:textId="77777777" w:rsidR="00305817" w:rsidRPr="004F30BD" w:rsidRDefault="00B72BFB" w:rsidP="0005161C">
      <w:pPr>
        <w:pStyle w:val="Heading4"/>
        <w:rPr>
          <w:rFonts w:ascii="Verdana" w:hAnsi="Verdana" w:cs="Times New Roman"/>
          <w:b w:val="0"/>
          <w:bCs w:val="0"/>
          <w:iCs w:val="0"/>
          <w:color w:val="auto"/>
          <w:sz w:val="16"/>
          <w:szCs w:val="20"/>
        </w:rPr>
      </w:pPr>
      <w:r w:rsidRPr="004F30BD">
        <w:t>PPSB</w:t>
      </w:r>
      <w:r w:rsidR="00B02A07" w:rsidRPr="004F30BD">
        <w:t xml:space="preserve">: What TEQSA should be </w:t>
      </w:r>
      <w:r w:rsidR="00305817" w:rsidRPr="004F30BD">
        <w:t>more</w:t>
      </w:r>
      <w:r w:rsidR="00B02A07" w:rsidRPr="004F30BD">
        <w:t xml:space="preserve"> involved in</w:t>
      </w:r>
    </w:p>
    <w:p w14:paraId="1CD4CB43" w14:textId="77777777" w:rsidR="0016515C" w:rsidRPr="004F30BD" w:rsidRDefault="008502A0" w:rsidP="00ED53EE">
      <w:r w:rsidRPr="004F30BD">
        <w:t xml:space="preserve">A total of </w:t>
      </w:r>
      <w:r w:rsidR="008C2377" w:rsidRPr="004F30BD">
        <w:t>four</w:t>
      </w:r>
      <w:r w:rsidRPr="004F30BD">
        <w:t xml:space="preserve"> respondents provided </w:t>
      </w:r>
      <w:r w:rsidR="008C2377" w:rsidRPr="004F30BD">
        <w:t>suggestions</w:t>
      </w:r>
      <w:r w:rsidRPr="004F30BD">
        <w:t xml:space="preserve">. </w:t>
      </w:r>
      <w:r w:rsidR="00B80D45" w:rsidRPr="004F30BD">
        <w:t>C</w:t>
      </w:r>
      <w:r w:rsidR="0016515C" w:rsidRPr="004F30BD">
        <w:t xml:space="preserve">omments included: </w:t>
      </w:r>
    </w:p>
    <w:p w14:paraId="2A869B9D" w14:textId="77777777" w:rsidR="008C2377" w:rsidRPr="004F30BD" w:rsidRDefault="008C2377" w:rsidP="008C2377">
      <w:pPr>
        <w:pStyle w:val="ListParagraph"/>
        <w:numPr>
          <w:ilvl w:val="0"/>
          <w:numId w:val="6"/>
        </w:numPr>
        <w:ind w:left="714" w:hanging="357"/>
        <w:contextualSpacing w:val="0"/>
      </w:pPr>
      <w:r w:rsidRPr="004F30BD">
        <w:t>More regular partnership type interactions</w:t>
      </w:r>
    </w:p>
    <w:p w14:paraId="090C9A73" w14:textId="77777777" w:rsidR="008C2377" w:rsidRPr="004F30BD" w:rsidRDefault="008C2377" w:rsidP="008C2377">
      <w:pPr>
        <w:pStyle w:val="ListParagraph"/>
        <w:numPr>
          <w:ilvl w:val="0"/>
          <w:numId w:val="6"/>
        </w:numPr>
        <w:ind w:left="714" w:hanging="357"/>
        <w:contextualSpacing w:val="0"/>
      </w:pPr>
      <w:r w:rsidRPr="004F30BD">
        <w:t xml:space="preserve">More collaboration with professional bodies interested in self-regulation </w:t>
      </w:r>
    </w:p>
    <w:p w14:paraId="438DDB09" w14:textId="77777777" w:rsidR="008C2377" w:rsidRPr="004F30BD" w:rsidRDefault="008C2377" w:rsidP="008C2377">
      <w:pPr>
        <w:pStyle w:val="ListParagraph"/>
        <w:numPr>
          <w:ilvl w:val="0"/>
          <w:numId w:val="6"/>
        </w:numPr>
        <w:ind w:left="714" w:hanging="357"/>
        <w:contextualSpacing w:val="0"/>
      </w:pPr>
      <w:r w:rsidRPr="004F30BD">
        <w:t xml:space="preserve">Asking MOU partners to share information/concerns as part of provider assessments </w:t>
      </w:r>
    </w:p>
    <w:p w14:paraId="3418B705" w14:textId="77777777" w:rsidR="00887CBC" w:rsidRPr="004F30BD" w:rsidRDefault="008C2377" w:rsidP="008C2377">
      <w:pPr>
        <w:pStyle w:val="ListParagraph"/>
        <w:numPr>
          <w:ilvl w:val="0"/>
          <w:numId w:val="6"/>
        </w:numPr>
        <w:ind w:left="714" w:hanging="357"/>
        <w:contextualSpacing w:val="0"/>
      </w:pPr>
      <w:r w:rsidRPr="004F30BD">
        <w:t>Liaise with professional accreditation bodies in a purposeful manner, especially with respect to new programs commencing at universities.</w:t>
      </w:r>
    </w:p>
    <w:p w14:paraId="333210FC" w14:textId="77777777" w:rsidR="00B63941" w:rsidRPr="004F30BD" w:rsidRDefault="00B63941" w:rsidP="00B63941"/>
    <w:p w14:paraId="22C2690B" w14:textId="77777777" w:rsidR="005B07B2" w:rsidRPr="004F30BD" w:rsidRDefault="005B07B2" w:rsidP="00B63941">
      <w:pPr>
        <w:pStyle w:val="Heading1"/>
      </w:pPr>
      <w:bookmarkStart w:id="47" w:name="_Toc22298048"/>
      <w:r w:rsidRPr="004F30BD">
        <w:t>PPSB risks to sector</w:t>
      </w:r>
      <w:bookmarkEnd w:id="47"/>
    </w:p>
    <w:p w14:paraId="17448824" w14:textId="77777777" w:rsidR="005B07B2" w:rsidRPr="004F30BD" w:rsidRDefault="005B07B2" w:rsidP="005B07B2">
      <w:pPr>
        <w:rPr>
          <w:lang w:eastAsia="en-AU"/>
        </w:rPr>
      </w:pPr>
      <w:r w:rsidRPr="004F30BD">
        <w:rPr>
          <w:lang w:eastAsia="en-AU"/>
        </w:rPr>
        <w:t>Representatives from peak, professional and student bodies were asked if they had any concerns with the quality or reputation of the Australian higher education sector. A total of 57% indicated “yes” meaning they did and</w:t>
      </w:r>
      <w:r w:rsidR="00A06284" w:rsidRPr="004F30BD">
        <w:rPr>
          <w:lang w:eastAsia="en-AU"/>
        </w:rPr>
        <w:t>,</w:t>
      </w:r>
      <w:r w:rsidRPr="004F30BD">
        <w:rPr>
          <w:lang w:eastAsia="en-AU"/>
        </w:rPr>
        <w:t xml:space="preserve"> of this group</w:t>
      </w:r>
      <w:r w:rsidR="00A06284" w:rsidRPr="004F30BD">
        <w:rPr>
          <w:lang w:eastAsia="en-AU"/>
        </w:rPr>
        <w:t>,</w:t>
      </w:r>
      <w:r w:rsidRPr="004F30BD">
        <w:rPr>
          <w:lang w:eastAsia="en-AU"/>
        </w:rPr>
        <w:t xml:space="preserve"> five offered descriptions of their concerns. These were about:</w:t>
      </w:r>
    </w:p>
    <w:p w14:paraId="3B2788F2" w14:textId="1B78132C" w:rsidR="00A06284" w:rsidRPr="004F30BD" w:rsidRDefault="00A06284" w:rsidP="00A06284">
      <w:pPr>
        <w:pStyle w:val="ListParagraph"/>
        <w:numPr>
          <w:ilvl w:val="0"/>
          <w:numId w:val="20"/>
        </w:numPr>
        <w:rPr>
          <w:lang w:eastAsia="en-AU"/>
        </w:rPr>
      </w:pPr>
      <w:r w:rsidRPr="004F30BD">
        <w:rPr>
          <w:lang w:eastAsia="en-AU"/>
        </w:rPr>
        <w:t>Erosion of principles around academic integrity</w:t>
      </w:r>
      <w:r w:rsidR="00E3491E">
        <w:rPr>
          <w:lang w:eastAsia="en-AU"/>
        </w:rPr>
        <w:t>,</w:t>
      </w:r>
      <w:r w:rsidRPr="004F30BD">
        <w:rPr>
          <w:lang w:eastAsia="en-AU"/>
        </w:rPr>
        <w:t xml:space="preserve"> particularly contract cheating. </w:t>
      </w:r>
    </w:p>
    <w:p w14:paraId="76BD8AC5" w14:textId="77777777" w:rsidR="00A06284" w:rsidRPr="004F30BD" w:rsidRDefault="00A06284" w:rsidP="00A06284">
      <w:pPr>
        <w:pStyle w:val="ListParagraph"/>
        <w:numPr>
          <w:ilvl w:val="0"/>
          <w:numId w:val="20"/>
        </w:numPr>
        <w:rPr>
          <w:lang w:eastAsia="en-AU"/>
        </w:rPr>
      </w:pPr>
      <w:r w:rsidRPr="004F30BD">
        <w:rPr>
          <w:lang w:eastAsia="en-AU"/>
        </w:rPr>
        <w:t>The awarding of poor-quality qualifications and the conduct of poor-quality research which damage Australia’s reputation</w:t>
      </w:r>
    </w:p>
    <w:p w14:paraId="6081A61E" w14:textId="64AB5210" w:rsidR="00A06284" w:rsidRPr="004F30BD" w:rsidRDefault="00A06284" w:rsidP="00A06284">
      <w:pPr>
        <w:pStyle w:val="ListParagraph"/>
        <w:numPr>
          <w:ilvl w:val="0"/>
          <w:numId w:val="20"/>
        </w:numPr>
        <w:rPr>
          <w:lang w:eastAsia="en-AU"/>
        </w:rPr>
      </w:pPr>
      <w:r w:rsidRPr="004F30BD">
        <w:rPr>
          <w:lang w:eastAsia="en-AU"/>
        </w:rPr>
        <w:t>The systemic reduction in professional, administrative and educational supports for professional courses resulting in poor course and student experience coordination</w:t>
      </w:r>
    </w:p>
    <w:p w14:paraId="68CEC528" w14:textId="77777777" w:rsidR="00A06284" w:rsidRPr="004F30BD" w:rsidRDefault="00A06284" w:rsidP="00A06284">
      <w:pPr>
        <w:pStyle w:val="ListParagraph"/>
        <w:numPr>
          <w:ilvl w:val="0"/>
          <w:numId w:val="20"/>
        </w:numPr>
        <w:rPr>
          <w:lang w:eastAsia="en-AU"/>
        </w:rPr>
      </w:pPr>
      <w:r w:rsidRPr="004F30BD">
        <w:rPr>
          <w:lang w:eastAsia="en-AU"/>
        </w:rPr>
        <w:t>The affordability of obtaining a tertiary degree.</w:t>
      </w:r>
    </w:p>
    <w:p w14:paraId="5F6E7DD3" w14:textId="77777777" w:rsidR="00A06284" w:rsidRPr="004F30BD" w:rsidRDefault="00A06284" w:rsidP="00A06284">
      <w:pPr>
        <w:pStyle w:val="ListParagraph"/>
        <w:numPr>
          <w:ilvl w:val="0"/>
          <w:numId w:val="20"/>
        </w:numPr>
        <w:rPr>
          <w:lang w:eastAsia="en-AU"/>
        </w:rPr>
      </w:pPr>
      <w:r w:rsidRPr="004F30BD">
        <w:rPr>
          <w:lang w:eastAsia="en-AU"/>
        </w:rPr>
        <w:t>Inadequate Commonwealth funding squeezing staff numbers and driving up student numbers at expense of high quality delivery and attention to innovation</w:t>
      </w:r>
    </w:p>
    <w:p w14:paraId="2CDDEFE1" w14:textId="77777777" w:rsidR="005B07B2" w:rsidRPr="004F30BD" w:rsidRDefault="00A06284" w:rsidP="00A06284">
      <w:pPr>
        <w:pStyle w:val="ListParagraph"/>
        <w:numPr>
          <w:ilvl w:val="0"/>
          <w:numId w:val="20"/>
        </w:numPr>
        <w:rPr>
          <w:lang w:eastAsia="en-AU"/>
        </w:rPr>
      </w:pPr>
      <w:r w:rsidRPr="004F30BD">
        <w:rPr>
          <w:lang w:eastAsia="en-AU"/>
        </w:rPr>
        <w:t>Application of the HESF regarding staffing requirements for programs not being applied</w:t>
      </w:r>
    </w:p>
    <w:p w14:paraId="5948579D" w14:textId="77777777" w:rsidR="005B07B2" w:rsidRPr="004F30BD" w:rsidRDefault="00A06284" w:rsidP="005B07B2">
      <w:r w:rsidRPr="004F30BD">
        <w:t>The drivers of these issues, where offered, were identified as:</w:t>
      </w:r>
    </w:p>
    <w:p w14:paraId="475609D0" w14:textId="77777777" w:rsidR="00A06284" w:rsidRPr="004F30BD" w:rsidRDefault="00A06284" w:rsidP="00A06284">
      <w:pPr>
        <w:pStyle w:val="ListParagraph"/>
        <w:numPr>
          <w:ilvl w:val="0"/>
          <w:numId w:val="21"/>
        </w:numPr>
      </w:pPr>
      <w:r w:rsidRPr="004F30BD">
        <w:t xml:space="preserve">No consequences for a university from TEQSA, so universities are at liberty to commence courses without concerns </w:t>
      </w:r>
    </w:p>
    <w:p w14:paraId="4AC339FE" w14:textId="68842CEA" w:rsidR="00A06284" w:rsidRPr="004F30BD" w:rsidRDefault="00A06284" w:rsidP="00A06284">
      <w:pPr>
        <w:pStyle w:val="ListParagraph"/>
        <w:numPr>
          <w:ilvl w:val="0"/>
          <w:numId w:val="21"/>
        </w:numPr>
      </w:pPr>
      <w:r w:rsidRPr="004F30BD">
        <w:t xml:space="preserve">Lack of funding in the Higher Education sector </w:t>
      </w:r>
    </w:p>
    <w:p w14:paraId="3E949F6A" w14:textId="77777777" w:rsidR="00A06284" w:rsidRPr="004F30BD" w:rsidRDefault="00A06284" w:rsidP="00A06284">
      <w:pPr>
        <w:pStyle w:val="ListParagraph"/>
        <w:numPr>
          <w:ilvl w:val="0"/>
          <w:numId w:val="21"/>
        </w:numPr>
      </w:pPr>
      <w:r w:rsidRPr="004F30BD">
        <w:t>The lessening of professional engagement in program development and accreditation of programs.</w:t>
      </w:r>
    </w:p>
    <w:p w14:paraId="66B46CB0" w14:textId="77777777" w:rsidR="005B07B2" w:rsidRPr="004F30BD" w:rsidRDefault="005B07B2" w:rsidP="005B07B2"/>
    <w:p w14:paraId="32BA8B35" w14:textId="77777777" w:rsidR="00887CBC" w:rsidRPr="004F30BD" w:rsidRDefault="00887CBC" w:rsidP="00B63941">
      <w:pPr>
        <w:pStyle w:val="Heading1"/>
      </w:pPr>
      <w:bookmarkStart w:id="48" w:name="_Toc22298049"/>
      <w:r w:rsidRPr="004F30BD">
        <w:t>PPSB</w:t>
      </w:r>
      <w:r w:rsidR="00B63941" w:rsidRPr="004F30BD">
        <w:t xml:space="preserve"> y</w:t>
      </w:r>
      <w:r w:rsidRPr="004F30BD">
        <w:t>ear comparison</w:t>
      </w:r>
      <w:bookmarkEnd w:id="48"/>
    </w:p>
    <w:p w14:paraId="397B3FFA" w14:textId="77777777" w:rsidR="004D76FB" w:rsidRPr="004F30BD" w:rsidRDefault="0022550F" w:rsidP="00B63941">
      <w:pPr>
        <w:spacing w:after="240"/>
      </w:pPr>
      <w:r w:rsidRPr="004F30BD">
        <w:t>The</w:t>
      </w:r>
      <w:r w:rsidR="00C9394B" w:rsidRPr="004F30BD">
        <w:t xml:space="preserve"> 201</w:t>
      </w:r>
      <w:r w:rsidR="0063584E" w:rsidRPr="004F30BD">
        <w:t>9</w:t>
      </w:r>
      <w:r w:rsidR="00C9394B" w:rsidRPr="004F30BD">
        <w:t xml:space="preserve"> r</w:t>
      </w:r>
      <w:r w:rsidR="00315FAA" w:rsidRPr="004F30BD">
        <w:t xml:space="preserve">atings for </w:t>
      </w:r>
      <w:r w:rsidR="00541AFF" w:rsidRPr="004F30BD">
        <w:t>all</w:t>
      </w:r>
      <w:r w:rsidR="00315FAA" w:rsidRPr="004F30BD">
        <w:t xml:space="preserve"> of the seven items in the below table</w:t>
      </w:r>
      <w:r w:rsidR="00C9394B" w:rsidRPr="004F30BD">
        <w:t xml:space="preserve"> </w:t>
      </w:r>
      <w:r w:rsidRPr="004F30BD">
        <w:t xml:space="preserve">were lower than </w:t>
      </w:r>
      <w:r w:rsidR="00B63941" w:rsidRPr="004F30BD">
        <w:t>for</w:t>
      </w:r>
      <w:r w:rsidRPr="004F30BD">
        <w:t xml:space="preserve"> 2018</w:t>
      </w:r>
      <w:r w:rsidR="00B63941" w:rsidRPr="004F30BD">
        <w:t>. However, the</w:t>
      </w:r>
      <w:r w:rsidRPr="004F30BD">
        <w:t xml:space="preserve"> extremely small </w:t>
      </w:r>
      <w:r w:rsidR="00B63941" w:rsidRPr="004F30BD">
        <w:t>sample</w:t>
      </w:r>
      <w:r w:rsidRPr="004F30BD">
        <w:t xml:space="preserve"> sizes </w:t>
      </w:r>
      <w:r w:rsidR="00B63941" w:rsidRPr="004F30BD">
        <w:t>mean that results should be read</w:t>
      </w:r>
      <w:r w:rsidRPr="004F30BD">
        <w:t xml:space="preserve"> as indicative only</w:t>
      </w:r>
      <w:r w:rsidR="006B2780" w:rsidRPr="004F30BD">
        <w:t>.</w:t>
      </w:r>
      <w:r w:rsidR="00C9394B" w:rsidRPr="004F30BD">
        <w:t xml:space="preserve"> The sample sizes </w:t>
      </w:r>
      <w:r w:rsidR="00B63941" w:rsidRPr="004F30BD">
        <w:t>were</w:t>
      </w:r>
      <w:r w:rsidR="00C9394B" w:rsidRPr="004F30BD">
        <w:t xml:space="preserve"> too small to conduct reliable or valid comparative statistical analysis.</w:t>
      </w:r>
    </w:p>
    <w:tbl>
      <w:tblPr>
        <w:tblW w:w="0" w:type="auto"/>
        <w:tblInd w:w="93" w:type="dxa"/>
        <w:tblLayout w:type="fixed"/>
        <w:tblLook w:val="04A0" w:firstRow="1" w:lastRow="0" w:firstColumn="1" w:lastColumn="0" w:noHBand="0" w:noVBand="1"/>
      </w:tblPr>
      <w:tblGrid>
        <w:gridCol w:w="4047"/>
        <w:gridCol w:w="810"/>
        <w:gridCol w:w="1530"/>
        <w:gridCol w:w="1350"/>
        <w:gridCol w:w="810"/>
      </w:tblGrid>
      <w:tr w:rsidR="00CD2AA7" w:rsidRPr="004F30BD" w14:paraId="2B976FBD" w14:textId="77777777" w:rsidTr="00CD2AA7">
        <w:trPr>
          <w:trHeight w:val="300"/>
          <w:tblHeader/>
        </w:trPr>
        <w:tc>
          <w:tcPr>
            <w:tcW w:w="4047" w:type="dxa"/>
            <w:tcBorders>
              <w:top w:val="nil"/>
              <w:left w:val="nil"/>
              <w:bottom w:val="nil"/>
              <w:right w:val="nil"/>
            </w:tcBorders>
            <w:shd w:val="clear" w:color="auto" w:fill="00386E"/>
            <w:noWrap/>
            <w:tcMar>
              <w:left w:w="28" w:type="dxa"/>
              <w:right w:w="28" w:type="dxa"/>
            </w:tcMar>
            <w:vAlign w:val="center"/>
            <w:hideMark/>
          </w:tcPr>
          <w:p w14:paraId="48523DD9" w14:textId="77777777" w:rsidR="00CD2AA7" w:rsidRPr="004F30BD" w:rsidRDefault="00CD2AA7" w:rsidP="00B02A07">
            <w:pPr>
              <w:spacing w:before="60" w:after="60"/>
              <w:ind w:right="0"/>
              <w:rPr>
                <w:rFonts w:eastAsia="Times New Roman" w:cs="Calibri"/>
                <w:color w:val="FFFFFF"/>
                <w:szCs w:val="18"/>
                <w:lang w:eastAsia="en-AU"/>
              </w:rPr>
            </w:pPr>
            <w:r w:rsidRPr="004F30BD">
              <w:rPr>
                <w:rFonts w:eastAsia="Times New Roman" w:cs="Calibri"/>
                <w:color w:val="FFFFFF"/>
                <w:szCs w:val="18"/>
                <w:lang w:eastAsia="en-AU"/>
              </w:rPr>
              <w:lastRenderedPageBreak/>
              <w:t> </w:t>
            </w:r>
          </w:p>
        </w:tc>
        <w:tc>
          <w:tcPr>
            <w:tcW w:w="810" w:type="dxa"/>
            <w:vMerge w:val="restart"/>
            <w:tcBorders>
              <w:top w:val="nil"/>
              <w:left w:val="nil"/>
              <w:bottom w:val="nil"/>
              <w:right w:val="nil"/>
            </w:tcBorders>
            <w:shd w:val="clear" w:color="auto" w:fill="00386E"/>
            <w:noWrap/>
            <w:tcMar>
              <w:left w:w="28" w:type="dxa"/>
              <w:right w:w="28" w:type="dxa"/>
            </w:tcMar>
            <w:vAlign w:val="center"/>
            <w:hideMark/>
          </w:tcPr>
          <w:p w14:paraId="161B9A7B" w14:textId="77777777" w:rsidR="00CD2AA7" w:rsidRPr="004F30BD" w:rsidRDefault="00CD2AA7" w:rsidP="00A1317C">
            <w:pPr>
              <w:spacing w:before="60" w:after="60"/>
              <w:ind w:right="0"/>
              <w:jc w:val="center"/>
              <w:rPr>
                <w:rFonts w:eastAsia="Times New Roman" w:cs="Calibri"/>
                <w:color w:val="FFFFFF"/>
                <w:szCs w:val="18"/>
                <w:lang w:eastAsia="en-AU"/>
              </w:rPr>
            </w:pPr>
            <w:r w:rsidRPr="004F30BD">
              <w:rPr>
                <w:rFonts w:eastAsia="Times New Roman" w:cs="Calibri"/>
                <w:color w:val="FFFFFF"/>
                <w:szCs w:val="18"/>
                <w:lang w:eastAsia="en-AU"/>
              </w:rPr>
              <w:t>2019</w:t>
            </w:r>
            <w:r w:rsidRPr="004F30BD">
              <w:rPr>
                <w:rFonts w:eastAsia="Times New Roman" w:cs="Calibri"/>
                <w:color w:val="FFFFFF"/>
                <w:szCs w:val="18"/>
                <w:lang w:eastAsia="en-AU"/>
              </w:rPr>
              <w:br/>
              <w:t>n</w:t>
            </w:r>
          </w:p>
        </w:tc>
        <w:tc>
          <w:tcPr>
            <w:tcW w:w="1530" w:type="dxa"/>
            <w:vMerge w:val="restart"/>
            <w:tcBorders>
              <w:top w:val="nil"/>
              <w:left w:val="nil"/>
              <w:right w:val="nil"/>
            </w:tcBorders>
            <w:shd w:val="clear" w:color="auto" w:fill="00386E"/>
            <w:noWrap/>
            <w:tcMar>
              <w:left w:w="28" w:type="dxa"/>
              <w:right w:w="28" w:type="dxa"/>
            </w:tcMar>
            <w:vAlign w:val="center"/>
            <w:hideMark/>
          </w:tcPr>
          <w:p w14:paraId="3C0222B2" w14:textId="77777777" w:rsidR="00CD2AA7" w:rsidRPr="004F30BD" w:rsidRDefault="00CD2AA7" w:rsidP="00A1317C">
            <w:pPr>
              <w:spacing w:before="60" w:after="60"/>
              <w:ind w:right="0"/>
              <w:jc w:val="center"/>
              <w:rPr>
                <w:rFonts w:eastAsia="Times New Roman" w:cs="Calibri"/>
                <w:color w:val="FFFFFF"/>
                <w:szCs w:val="18"/>
                <w:lang w:eastAsia="en-AU"/>
              </w:rPr>
            </w:pPr>
            <w:r w:rsidRPr="004F30BD">
              <w:rPr>
                <w:rFonts w:eastAsia="Times New Roman" w:cs="Calibri"/>
                <w:color w:val="FFFFFF"/>
                <w:szCs w:val="18"/>
                <w:lang w:eastAsia="en-AU"/>
              </w:rPr>
              <w:t>2019</w:t>
            </w:r>
            <w:r w:rsidRPr="004F30BD">
              <w:rPr>
                <w:rFonts w:eastAsia="Times New Roman" w:cs="Calibri"/>
                <w:color w:val="FFFFFF"/>
                <w:szCs w:val="18"/>
                <w:lang w:eastAsia="en-AU"/>
              </w:rPr>
              <w:br/>
              <w:t>TOP 2 SCORE (%)</w:t>
            </w:r>
          </w:p>
        </w:tc>
        <w:tc>
          <w:tcPr>
            <w:tcW w:w="1350" w:type="dxa"/>
            <w:vMerge w:val="restart"/>
            <w:tcBorders>
              <w:top w:val="nil"/>
              <w:left w:val="nil"/>
              <w:right w:val="nil"/>
            </w:tcBorders>
            <w:shd w:val="clear" w:color="auto" w:fill="00386E"/>
            <w:noWrap/>
            <w:tcMar>
              <w:left w:w="28" w:type="dxa"/>
              <w:right w:w="28" w:type="dxa"/>
            </w:tcMar>
            <w:vAlign w:val="center"/>
            <w:hideMark/>
          </w:tcPr>
          <w:p w14:paraId="38F9E17A" w14:textId="77777777" w:rsidR="00CD2AA7" w:rsidRPr="004F30BD" w:rsidRDefault="00CD2AA7" w:rsidP="00A1317C">
            <w:pPr>
              <w:spacing w:before="60" w:after="60"/>
              <w:ind w:right="0"/>
              <w:jc w:val="center"/>
              <w:rPr>
                <w:rFonts w:eastAsia="Times New Roman" w:cs="Calibri"/>
                <w:color w:val="FFFFFF"/>
                <w:szCs w:val="18"/>
                <w:lang w:eastAsia="en-AU"/>
              </w:rPr>
            </w:pPr>
            <w:r w:rsidRPr="004F30BD">
              <w:rPr>
                <w:rFonts w:eastAsia="Times New Roman" w:cs="Calibri"/>
                <w:color w:val="FFFFFF"/>
                <w:szCs w:val="18"/>
                <w:lang w:eastAsia="en-AU"/>
              </w:rPr>
              <w:t>2018</w:t>
            </w:r>
            <w:r w:rsidRPr="004F30BD">
              <w:rPr>
                <w:rFonts w:eastAsia="Times New Roman" w:cs="Calibri"/>
                <w:color w:val="FFFFFF"/>
                <w:szCs w:val="18"/>
                <w:lang w:eastAsia="en-AU"/>
              </w:rPr>
              <w:br/>
              <w:t>TOP 2 SCORE (%)</w:t>
            </w:r>
          </w:p>
        </w:tc>
        <w:tc>
          <w:tcPr>
            <w:tcW w:w="810" w:type="dxa"/>
            <w:vMerge w:val="restart"/>
            <w:tcBorders>
              <w:top w:val="nil"/>
              <w:left w:val="nil"/>
              <w:right w:val="nil"/>
            </w:tcBorders>
            <w:shd w:val="clear" w:color="auto" w:fill="00386E"/>
            <w:noWrap/>
            <w:tcMar>
              <w:left w:w="28" w:type="dxa"/>
              <w:right w:w="28" w:type="dxa"/>
            </w:tcMar>
            <w:vAlign w:val="center"/>
            <w:hideMark/>
          </w:tcPr>
          <w:p w14:paraId="654BE4DA" w14:textId="77777777" w:rsidR="00CD2AA7" w:rsidRPr="004F30BD" w:rsidRDefault="00CD2AA7" w:rsidP="00C9394B">
            <w:pPr>
              <w:spacing w:before="60" w:after="60"/>
              <w:ind w:right="0"/>
              <w:jc w:val="center"/>
              <w:rPr>
                <w:rFonts w:eastAsia="Times New Roman" w:cs="Calibri"/>
                <w:color w:val="FFFFFF"/>
                <w:szCs w:val="18"/>
                <w:lang w:eastAsia="en-AU"/>
              </w:rPr>
            </w:pPr>
            <w:r w:rsidRPr="004F30BD">
              <w:rPr>
                <w:rFonts w:eastAsia="Times New Roman" w:cs="Calibri"/>
                <w:color w:val="FFFFFF"/>
                <w:szCs w:val="18"/>
                <w:lang w:eastAsia="en-AU"/>
              </w:rPr>
              <w:t>± %</w:t>
            </w:r>
          </w:p>
        </w:tc>
      </w:tr>
      <w:tr w:rsidR="00CD2AA7" w:rsidRPr="004F30BD" w14:paraId="6F74E2F7" w14:textId="77777777" w:rsidTr="00CD2AA7">
        <w:trPr>
          <w:trHeight w:val="347"/>
          <w:tblHeader/>
        </w:trPr>
        <w:tc>
          <w:tcPr>
            <w:tcW w:w="4047" w:type="dxa"/>
            <w:tcBorders>
              <w:top w:val="nil"/>
              <w:left w:val="nil"/>
              <w:bottom w:val="nil"/>
              <w:right w:val="nil"/>
            </w:tcBorders>
            <w:shd w:val="clear" w:color="auto" w:fill="00386E"/>
            <w:noWrap/>
            <w:tcMar>
              <w:left w:w="28" w:type="dxa"/>
              <w:right w:w="28" w:type="dxa"/>
            </w:tcMar>
            <w:vAlign w:val="center"/>
            <w:hideMark/>
          </w:tcPr>
          <w:p w14:paraId="6BA678C1" w14:textId="77777777" w:rsidR="00CD2AA7" w:rsidRPr="004F30BD" w:rsidRDefault="00CD2AA7" w:rsidP="00B02A07">
            <w:pPr>
              <w:spacing w:before="60" w:after="60"/>
              <w:ind w:right="0"/>
              <w:rPr>
                <w:rFonts w:eastAsia="Times New Roman" w:cs="Calibri"/>
                <w:color w:val="FFFFFF"/>
                <w:szCs w:val="18"/>
                <w:lang w:eastAsia="en-AU"/>
              </w:rPr>
            </w:pPr>
            <w:r w:rsidRPr="004F30BD">
              <w:rPr>
                <w:rFonts w:eastAsia="Times New Roman" w:cs="Calibri"/>
                <w:color w:val="FFFFFF"/>
                <w:szCs w:val="18"/>
                <w:lang w:eastAsia="en-AU"/>
              </w:rPr>
              <w:t> ITEM</w:t>
            </w:r>
          </w:p>
        </w:tc>
        <w:tc>
          <w:tcPr>
            <w:tcW w:w="810" w:type="dxa"/>
            <w:vMerge/>
            <w:tcBorders>
              <w:top w:val="nil"/>
              <w:left w:val="nil"/>
              <w:bottom w:val="nil"/>
              <w:right w:val="nil"/>
            </w:tcBorders>
            <w:shd w:val="clear" w:color="auto" w:fill="00386E"/>
            <w:noWrap/>
            <w:tcMar>
              <w:left w:w="28" w:type="dxa"/>
              <w:right w:w="28" w:type="dxa"/>
            </w:tcMar>
            <w:vAlign w:val="center"/>
            <w:hideMark/>
          </w:tcPr>
          <w:p w14:paraId="6C736ECF" w14:textId="77777777" w:rsidR="00CD2AA7" w:rsidRPr="004F30BD" w:rsidRDefault="00CD2AA7" w:rsidP="00B02A07">
            <w:pPr>
              <w:spacing w:before="60" w:after="60"/>
              <w:ind w:right="0"/>
              <w:rPr>
                <w:rFonts w:eastAsia="Times New Roman" w:cs="Calibri"/>
                <w:color w:val="FFFFFF"/>
                <w:szCs w:val="18"/>
                <w:lang w:eastAsia="en-AU"/>
              </w:rPr>
            </w:pPr>
          </w:p>
        </w:tc>
        <w:tc>
          <w:tcPr>
            <w:tcW w:w="1530" w:type="dxa"/>
            <w:vMerge/>
            <w:tcBorders>
              <w:left w:val="nil"/>
              <w:bottom w:val="nil"/>
              <w:right w:val="nil"/>
            </w:tcBorders>
            <w:shd w:val="clear" w:color="auto" w:fill="00386E"/>
            <w:noWrap/>
            <w:tcMar>
              <w:left w:w="28" w:type="dxa"/>
              <w:right w:w="28" w:type="dxa"/>
            </w:tcMar>
            <w:vAlign w:val="center"/>
            <w:hideMark/>
          </w:tcPr>
          <w:p w14:paraId="236EEE37" w14:textId="77777777" w:rsidR="00CD2AA7" w:rsidRPr="004F30BD" w:rsidRDefault="00CD2AA7" w:rsidP="00B02A07">
            <w:pPr>
              <w:spacing w:before="60" w:after="60"/>
              <w:ind w:right="0"/>
              <w:jc w:val="center"/>
              <w:rPr>
                <w:rFonts w:eastAsia="Times New Roman" w:cs="Calibri"/>
                <w:color w:val="FFFFFF"/>
                <w:szCs w:val="18"/>
                <w:lang w:eastAsia="en-AU"/>
              </w:rPr>
            </w:pPr>
          </w:p>
        </w:tc>
        <w:tc>
          <w:tcPr>
            <w:tcW w:w="1350" w:type="dxa"/>
            <w:vMerge/>
            <w:tcBorders>
              <w:left w:val="nil"/>
              <w:bottom w:val="nil"/>
              <w:right w:val="nil"/>
            </w:tcBorders>
            <w:shd w:val="clear" w:color="auto" w:fill="00386E"/>
            <w:noWrap/>
            <w:tcMar>
              <w:left w:w="28" w:type="dxa"/>
              <w:right w:w="28" w:type="dxa"/>
            </w:tcMar>
            <w:vAlign w:val="center"/>
            <w:hideMark/>
          </w:tcPr>
          <w:p w14:paraId="71B586EC" w14:textId="77777777" w:rsidR="00CD2AA7" w:rsidRPr="004F30BD" w:rsidRDefault="00CD2AA7" w:rsidP="00B02A07">
            <w:pPr>
              <w:spacing w:before="60" w:after="60"/>
              <w:ind w:right="0"/>
              <w:jc w:val="center"/>
              <w:rPr>
                <w:rFonts w:eastAsia="Times New Roman" w:cs="Calibri"/>
                <w:color w:val="FFFFFF"/>
                <w:szCs w:val="18"/>
                <w:lang w:eastAsia="en-AU"/>
              </w:rPr>
            </w:pPr>
          </w:p>
        </w:tc>
        <w:tc>
          <w:tcPr>
            <w:tcW w:w="810" w:type="dxa"/>
            <w:vMerge/>
            <w:tcBorders>
              <w:left w:val="nil"/>
              <w:bottom w:val="nil"/>
              <w:right w:val="nil"/>
            </w:tcBorders>
            <w:shd w:val="clear" w:color="auto" w:fill="00386E"/>
            <w:noWrap/>
            <w:tcMar>
              <w:left w:w="28" w:type="dxa"/>
              <w:right w:w="28" w:type="dxa"/>
            </w:tcMar>
            <w:vAlign w:val="center"/>
            <w:hideMark/>
          </w:tcPr>
          <w:p w14:paraId="5C060EDC" w14:textId="77777777" w:rsidR="00CD2AA7" w:rsidRPr="004F30BD" w:rsidRDefault="00CD2AA7" w:rsidP="00B02A07">
            <w:pPr>
              <w:spacing w:before="60" w:after="60"/>
              <w:ind w:right="0"/>
              <w:jc w:val="center"/>
              <w:rPr>
                <w:rFonts w:eastAsia="Times New Roman" w:cs="Calibri"/>
                <w:color w:val="FFFFFF"/>
                <w:szCs w:val="18"/>
                <w:lang w:eastAsia="en-AU"/>
              </w:rPr>
            </w:pPr>
          </w:p>
        </w:tc>
      </w:tr>
      <w:tr w:rsidR="00CD2AA7" w:rsidRPr="004F30BD" w14:paraId="22390F6C" w14:textId="77777777" w:rsidTr="00CD2AA7">
        <w:trPr>
          <w:trHeight w:val="300"/>
          <w:tblHeader/>
        </w:trPr>
        <w:tc>
          <w:tcPr>
            <w:tcW w:w="4047" w:type="dxa"/>
            <w:tcBorders>
              <w:top w:val="nil"/>
              <w:left w:val="nil"/>
              <w:bottom w:val="nil"/>
              <w:right w:val="nil"/>
            </w:tcBorders>
            <w:shd w:val="clear" w:color="auto" w:fill="auto"/>
            <w:noWrap/>
            <w:tcMar>
              <w:left w:w="28" w:type="dxa"/>
              <w:right w:w="28" w:type="dxa"/>
            </w:tcMar>
          </w:tcPr>
          <w:p w14:paraId="7233FDC9" w14:textId="77777777" w:rsidR="00CD2AA7" w:rsidRPr="004F30BD" w:rsidRDefault="00CD2AA7" w:rsidP="00CD2AA7">
            <w:pPr>
              <w:spacing w:before="60" w:after="60"/>
              <w:ind w:right="0"/>
              <w:rPr>
                <w:rFonts w:cs="Calibri"/>
                <w:color w:val="000000"/>
                <w:szCs w:val="18"/>
              </w:rPr>
            </w:pPr>
            <w:r w:rsidRPr="004F30BD">
              <w:rPr>
                <w:rFonts w:cs="Calibri"/>
                <w:color w:val="000000"/>
                <w:szCs w:val="18"/>
              </w:rPr>
              <w:t>KPI 1: Regulation by TEQSA does not unnecessarily impede the efficient operation of higher education providers.</w:t>
            </w:r>
          </w:p>
        </w:tc>
        <w:tc>
          <w:tcPr>
            <w:tcW w:w="810" w:type="dxa"/>
            <w:tcBorders>
              <w:top w:val="nil"/>
              <w:left w:val="nil"/>
              <w:bottom w:val="nil"/>
              <w:right w:val="nil"/>
            </w:tcBorders>
            <w:shd w:val="clear" w:color="auto" w:fill="auto"/>
            <w:noWrap/>
            <w:tcMar>
              <w:left w:w="28" w:type="dxa"/>
              <w:right w:w="28" w:type="dxa"/>
            </w:tcMar>
            <w:vAlign w:val="center"/>
          </w:tcPr>
          <w:p w14:paraId="4F9C0320" w14:textId="77777777" w:rsidR="00CD2AA7" w:rsidRPr="004F30BD" w:rsidRDefault="00CD2AA7" w:rsidP="00CD2AA7">
            <w:pPr>
              <w:spacing w:before="60" w:after="60"/>
              <w:ind w:right="0"/>
              <w:jc w:val="center"/>
              <w:rPr>
                <w:rFonts w:cs="Calibri"/>
                <w:color w:val="000000"/>
                <w:szCs w:val="18"/>
              </w:rPr>
            </w:pPr>
            <w:r w:rsidRPr="004F30BD">
              <w:rPr>
                <w:rFonts w:cs="Calibri"/>
                <w:color w:val="000000"/>
                <w:szCs w:val="18"/>
              </w:rPr>
              <w:t>19</w:t>
            </w:r>
          </w:p>
        </w:tc>
        <w:tc>
          <w:tcPr>
            <w:tcW w:w="1530" w:type="dxa"/>
            <w:tcBorders>
              <w:top w:val="nil"/>
              <w:left w:val="nil"/>
              <w:bottom w:val="nil"/>
              <w:right w:val="nil"/>
            </w:tcBorders>
            <w:shd w:val="clear" w:color="auto" w:fill="FFFFFF" w:themeFill="background1"/>
            <w:noWrap/>
            <w:tcMar>
              <w:left w:w="28" w:type="dxa"/>
              <w:right w:w="28" w:type="dxa"/>
            </w:tcMar>
            <w:vAlign w:val="center"/>
          </w:tcPr>
          <w:p w14:paraId="2F30CD40" w14:textId="77777777" w:rsidR="00CD2AA7" w:rsidRPr="004F30BD" w:rsidRDefault="00CD2AA7" w:rsidP="00CD2AA7">
            <w:pPr>
              <w:spacing w:before="60" w:after="60"/>
              <w:ind w:right="0"/>
              <w:jc w:val="center"/>
              <w:rPr>
                <w:rFonts w:cs="Calibri"/>
                <w:color w:val="000000"/>
                <w:szCs w:val="18"/>
              </w:rPr>
            </w:pPr>
            <w:r w:rsidRPr="004F30BD">
              <w:rPr>
                <w:rFonts w:cs="Calibri"/>
                <w:color w:val="000000"/>
                <w:szCs w:val="18"/>
              </w:rPr>
              <w:t>63</w:t>
            </w:r>
          </w:p>
        </w:tc>
        <w:tc>
          <w:tcPr>
            <w:tcW w:w="1350" w:type="dxa"/>
            <w:tcBorders>
              <w:top w:val="nil"/>
              <w:left w:val="nil"/>
              <w:bottom w:val="nil"/>
              <w:right w:val="nil"/>
            </w:tcBorders>
            <w:shd w:val="clear" w:color="auto" w:fill="FFFFFF" w:themeFill="background1"/>
            <w:noWrap/>
            <w:tcMar>
              <w:left w:w="28" w:type="dxa"/>
              <w:right w:w="28" w:type="dxa"/>
            </w:tcMar>
            <w:vAlign w:val="center"/>
          </w:tcPr>
          <w:p w14:paraId="7E3ED5EE" w14:textId="77777777" w:rsidR="00CD2AA7" w:rsidRPr="004F30BD" w:rsidRDefault="00CD2AA7" w:rsidP="00CD2AA7">
            <w:pPr>
              <w:spacing w:before="60" w:after="60"/>
              <w:ind w:right="0"/>
              <w:jc w:val="center"/>
              <w:rPr>
                <w:szCs w:val="18"/>
              </w:rPr>
            </w:pPr>
            <w:r w:rsidRPr="004F30BD">
              <w:rPr>
                <w:rFonts w:cs="Calibri"/>
                <w:color w:val="000000"/>
                <w:szCs w:val="18"/>
              </w:rPr>
              <w:t>94</w:t>
            </w:r>
          </w:p>
        </w:tc>
        <w:tc>
          <w:tcPr>
            <w:tcW w:w="810" w:type="dxa"/>
            <w:tcBorders>
              <w:top w:val="nil"/>
              <w:left w:val="nil"/>
              <w:bottom w:val="nil"/>
              <w:right w:val="nil"/>
            </w:tcBorders>
            <w:shd w:val="clear" w:color="auto" w:fill="FFFFFF" w:themeFill="background1"/>
            <w:noWrap/>
            <w:tcMar>
              <w:left w:w="28" w:type="dxa"/>
              <w:right w:w="28" w:type="dxa"/>
            </w:tcMar>
            <w:vAlign w:val="center"/>
          </w:tcPr>
          <w:p w14:paraId="4BA208D1" w14:textId="77777777" w:rsidR="00CD2AA7" w:rsidRPr="004F30BD" w:rsidRDefault="00CD2AA7" w:rsidP="00CD2AA7">
            <w:pPr>
              <w:spacing w:before="60" w:after="60"/>
              <w:ind w:right="0"/>
              <w:jc w:val="center"/>
              <w:rPr>
                <w:szCs w:val="18"/>
              </w:rPr>
            </w:pPr>
            <w:r w:rsidRPr="004F30BD">
              <w:rPr>
                <w:rFonts w:cs="Calibri"/>
                <w:color w:val="000000"/>
                <w:szCs w:val="18"/>
              </w:rPr>
              <w:t>-31</w:t>
            </w:r>
          </w:p>
        </w:tc>
      </w:tr>
      <w:tr w:rsidR="00CD2AA7" w:rsidRPr="004F30BD" w14:paraId="224D13C1" w14:textId="77777777" w:rsidTr="00CD2AA7">
        <w:trPr>
          <w:trHeight w:val="300"/>
          <w:tblHeader/>
        </w:trPr>
        <w:tc>
          <w:tcPr>
            <w:tcW w:w="4047" w:type="dxa"/>
            <w:tcBorders>
              <w:top w:val="nil"/>
              <w:left w:val="nil"/>
              <w:bottom w:val="nil"/>
              <w:right w:val="nil"/>
            </w:tcBorders>
            <w:shd w:val="clear" w:color="auto" w:fill="D9D9D9"/>
            <w:noWrap/>
            <w:tcMar>
              <w:left w:w="28" w:type="dxa"/>
              <w:right w:w="28" w:type="dxa"/>
            </w:tcMar>
          </w:tcPr>
          <w:p w14:paraId="02115F61" w14:textId="77777777" w:rsidR="00CD2AA7" w:rsidRPr="004F30BD" w:rsidRDefault="00CD2AA7" w:rsidP="00CD2AA7">
            <w:pPr>
              <w:spacing w:before="60" w:after="60"/>
              <w:ind w:right="0"/>
              <w:rPr>
                <w:rFonts w:cs="Calibri"/>
                <w:color w:val="000000"/>
                <w:szCs w:val="18"/>
              </w:rPr>
            </w:pPr>
            <w:r w:rsidRPr="004F30BD">
              <w:rPr>
                <w:rFonts w:cs="Calibri"/>
                <w:color w:val="000000"/>
                <w:szCs w:val="18"/>
              </w:rPr>
              <w:t>KPI 2: TEQSA’s communication with your organisation is clear, targeted and effective.</w:t>
            </w:r>
          </w:p>
        </w:tc>
        <w:tc>
          <w:tcPr>
            <w:tcW w:w="810" w:type="dxa"/>
            <w:tcBorders>
              <w:top w:val="nil"/>
              <w:left w:val="nil"/>
              <w:bottom w:val="nil"/>
              <w:right w:val="nil"/>
            </w:tcBorders>
            <w:shd w:val="clear" w:color="auto" w:fill="D9D9D9"/>
            <w:noWrap/>
            <w:tcMar>
              <w:left w:w="28" w:type="dxa"/>
              <w:right w:w="28" w:type="dxa"/>
            </w:tcMar>
            <w:vAlign w:val="center"/>
          </w:tcPr>
          <w:p w14:paraId="6F84C81A" w14:textId="77777777" w:rsidR="00CD2AA7" w:rsidRPr="004F30BD" w:rsidRDefault="00CD2AA7" w:rsidP="00CD2AA7">
            <w:pPr>
              <w:spacing w:before="60" w:after="60"/>
              <w:ind w:right="0"/>
              <w:jc w:val="center"/>
              <w:rPr>
                <w:rFonts w:cs="Calibri"/>
                <w:color w:val="000000"/>
                <w:szCs w:val="18"/>
              </w:rPr>
            </w:pPr>
            <w:r w:rsidRPr="004F30BD">
              <w:rPr>
                <w:rFonts w:cs="Calibri"/>
                <w:color w:val="000000"/>
                <w:szCs w:val="18"/>
              </w:rPr>
              <w:t>22</w:t>
            </w:r>
          </w:p>
        </w:tc>
        <w:tc>
          <w:tcPr>
            <w:tcW w:w="1530" w:type="dxa"/>
            <w:tcBorders>
              <w:top w:val="nil"/>
              <w:left w:val="nil"/>
              <w:bottom w:val="nil"/>
              <w:right w:val="nil"/>
            </w:tcBorders>
            <w:shd w:val="clear" w:color="auto" w:fill="D9D9D9" w:themeFill="background1" w:themeFillShade="D9"/>
            <w:noWrap/>
            <w:tcMar>
              <w:left w:w="28" w:type="dxa"/>
              <w:right w:w="28" w:type="dxa"/>
            </w:tcMar>
            <w:vAlign w:val="center"/>
          </w:tcPr>
          <w:p w14:paraId="53FD92AB" w14:textId="77777777" w:rsidR="00CD2AA7" w:rsidRPr="004F30BD" w:rsidRDefault="00CD2AA7" w:rsidP="00CD2AA7">
            <w:pPr>
              <w:spacing w:before="60" w:after="60"/>
              <w:ind w:right="0"/>
              <w:jc w:val="center"/>
              <w:rPr>
                <w:rFonts w:cs="Calibri"/>
                <w:color w:val="000000"/>
                <w:szCs w:val="18"/>
              </w:rPr>
            </w:pPr>
            <w:r w:rsidRPr="004F30BD">
              <w:rPr>
                <w:rFonts w:cs="Calibri"/>
                <w:color w:val="000000"/>
                <w:szCs w:val="18"/>
              </w:rPr>
              <w:t>68</w:t>
            </w:r>
          </w:p>
        </w:tc>
        <w:tc>
          <w:tcPr>
            <w:tcW w:w="1350" w:type="dxa"/>
            <w:tcBorders>
              <w:top w:val="nil"/>
              <w:left w:val="nil"/>
              <w:bottom w:val="nil"/>
              <w:right w:val="nil"/>
            </w:tcBorders>
            <w:shd w:val="clear" w:color="auto" w:fill="D9D9D9" w:themeFill="background1" w:themeFillShade="D9"/>
            <w:noWrap/>
            <w:tcMar>
              <w:left w:w="28" w:type="dxa"/>
              <w:right w:w="28" w:type="dxa"/>
            </w:tcMar>
            <w:vAlign w:val="center"/>
          </w:tcPr>
          <w:p w14:paraId="41F09964" w14:textId="77777777" w:rsidR="00CD2AA7" w:rsidRPr="004F30BD" w:rsidRDefault="00CD2AA7" w:rsidP="00CD2AA7">
            <w:pPr>
              <w:spacing w:before="60" w:after="60"/>
              <w:ind w:right="0"/>
              <w:jc w:val="center"/>
              <w:rPr>
                <w:szCs w:val="18"/>
              </w:rPr>
            </w:pPr>
            <w:r w:rsidRPr="004F30BD">
              <w:rPr>
                <w:rFonts w:cs="Calibri"/>
                <w:color w:val="000000"/>
                <w:szCs w:val="18"/>
              </w:rPr>
              <w:t>87</w:t>
            </w:r>
          </w:p>
        </w:tc>
        <w:tc>
          <w:tcPr>
            <w:tcW w:w="810" w:type="dxa"/>
            <w:tcBorders>
              <w:top w:val="nil"/>
              <w:left w:val="nil"/>
              <w:bottom w:val="nil"/>
              <w:right w:val="nil"/>
            </w:tcBorders>
            <w:shd w:val="clear" w:color="auto" w:fill="D9D9D9" w:themeFill="background1" w:themeFillShade="D9"/>
            <w:noWrap/>
            <w:tcMar>
              <w:left w:w="28" w:type="dxa"/>
              <w:right w:w="28" w:type="dxa"/>
            </w:tcMar>
            <w:vAlign w:val="center"/>
          </w:tcPr>
          <w:p w14:paraId="4639610D" w14:textId="77777777" w:rsidR="00CD2AA7" w:rsidRPr="004F30BD" w:rsidRDefault="00CD2AA7" w:rsidP="00CD2AA7">
            <w:pPr>
              <w:spacing w:before="60" w:after="60"/>
              <w:ind w:right="0"/>
              <w:jc w:val="center"/>
              <w:rPr>
                <w:szCs w:val="18"/>
              </w:rPr>
            </w:pPr>
            <w:r w:rsidRPr="004F30BD">
              <w:rPr>
                <w:rFonts w:cs="Calibri"/>
                <w:color w:val="000000"/>
                <w:szCs w:val="18"/>
              </w:rPr>
              <w:t>-19</w:t>
            </w:r>
          </w:p>
        </w:tc>
      </w:tr>
      <w:tr w:rsidR="00CD2AA7" w:rsidRPr="004F30BD" w14:paraId="766508BF" w14:textId="77777777" w:rsidTr="00CD2AA7">
        <w:trPr>
          <w:trHeight w:val="300"/>
          <w:tblHeader/>
        </w:trPr>
        <w:tc>
          <w:tcPr>
            <w:tcW w:w="4047" w:type="dxa"/>
            <w:tcBorders>
              <w:top w:val="nil"/>
              <w:left w:val="nil"/>
              <w:bottom w:val="nil"/>
              <w:right w:val="nil"/>
            </w:tcBorders>
            <w:shd w:val="clear" w:color="auto" w:fill="auto"/>
            <w:noWrap/>
            <w:tcMar>
              <w:left w:w="28" w:type="dxa"/>
              <w:right w:w="28" w:type="dxa"/>
            </w:tcMar>
          </w:tcPr>
          <w:p w14:paraId="01FB9966" w14:textId="77777777" w:rsidR="00CD2AA7" w:rsidRPr="004F30BD" w:rsidRDefault="00CD2AA7" w:rsidP="00CD2AA7">
            <w:pPr>
              <w:spacing w:before="60" w:after="60"/>
              <w:ind w:right="0"/>
              <w:rPr>
                <w:rFonts w:cs="Calibri"/>
                <w:color w:val="000000"/>
                <w:szCs w:val="18"/>
              </w:rPr>
            </w:pPr>
            <w:r w:rsidRPr="004F30BD">
              <w:rPr>
                <w:rFonts w:cs="Calibri"/>
                <w:color w:val="000000"/>
                <w:szCs w:val="18"/>
              </w:rPr>
              <w:t>KPI 3: Regulatory actions undertaken by TEQSA are proportionate to the risks being managed.</w:t>
            </w:r>
          </w:p>
        </w:tc>
        <w:tc>
          <w:tcPr>
            <w:tcW w:w="810" w:type="dxa"/>
            <w:tcBorders>
              <w:top w:val="nil"/>
              <w:left w:val="nil"/>
              <w:bottom w:val="nil"/>
              <w:right w:val="nil"/>
            </w:tcBorders>
            <w:shd w:val="clear" w:color="auto" w:fill="auto"/>
            <w:noWrap/>
            <w:tcMar>
              <w:left w:w="28" w:type="dxa"/>
              <w:right w:w="28" w:type="dxa"/>
            </w:tcMar>
            <w:vAlign w:val="center"/>
          </w:tcPr>
          <w:p w14:paraId="2C38A011" w14:textId="77777777" w:rsidR="00CD2AA7" w:rsidRPr="004F30BD" w:rsidRDefault="00CD2AA7" w:rsidP="00CD2AA7">
            <w:pPr>
              <w:spacing w:before="60" w:after="60"/>
              <w:ind w:right="0"/>
              <w:jc w:val="center"/>
              <w:rPr>
                <w:rFonts w:cs="Calibri"/>
                <w:color w:val="000000"/>
                <w:szCs w:val="18"/>
              </w:rPr>
            </w:pPr>
            <w:r w:rsidRPr="004F30BD">
              <w:rPr>
                <w:rFonts w:cs="Calibri"/>
                <w:color w:val="000000"/>
                <w:szCs w:val="18"/>
              </w:rPr>
              <w:t>17</w:t>
            </w:r>
          </w:p>
        </w:tc>
        <w:tc>
          <w:tcPr>
            <w:tcW w:w="1530" w:type="dxa"/>
            <w:tcBorders>
              <w:top w:val="nil"/>
              <w:left w:val="nil"/>
              <w:bottom w:val="nil"/>
              <w:right w:val="nil"/>
            </w:tcBorders>
            <w:shd w:val="clear" w:color="auto" w:fill="FFFFFF" w:themeFill="background1"/>
            <w:noWrap/>
            <w:tcMar>
              <w:left w:w="28" w:type="dxa"/>
              <w:right w:w="28" w:type="dxa"/>
            </w:tcMar>
            <w:vAlign w:val="center"/>
          </w:tcPr>
          <w:p w14:paraId="136186FF" w14:textId="77777777" w:rsidR="00CD2AA7" w:rsidRPr="004F30BD" w:rsidRDefault="00CD2AA7" w:rsidP="00CD2AA7">
            <w:pPr>
              <w:spacing w:before="60" w:after="60"/>
              <w:ind w:right="0"/>
              <w:jc w:val="center"/>
              <w:rPr>
                <w:rFonts w:cs="Calibri"/>
                <w:color w:val="000000"/>
                <w:szCs w:val="18"/>
              </w:rPr>
            </w:pPr>
            <w:r w:rsidRPr="004F30BD">
              <w:rPr>
                <w:rFonts w:cs="Calibri"/>
                <w:color w:val="000000"/>
                <w:szCs w:val="18"/>
              </w:rPr>
              <w:t>65</w:t>
            </w:r>
          </w:p>
        </w:tc>
        <w:tc>
          <w:tcPr>
            <w:tcW w:w="1350" w:type="dxa"/>
            <w:tcBorders>
              <w:top w:val="nil"/>
              <w:left w:val="nil"/>
              <w:bottom w:val="nil"/>
              <w:right w:val="nil"/>
            </w:tcBorders>
            <w:shd w:val="clear" w:color="auto" w:fill="FFFFFF" w:themeFill="background1"/>
            <w:noWrap/>
            <w:tcMar>
              <w:left w:w="28" w:type="dxa"/>
              <w:right w:w="28" w:type="dxa"/>
            </w:tcMar>
            <w:vAlign w:val="center"/>
          </w:tcPr>
          <w:p w14:paraId="1F848E73" w14:textId="77777777" w:rsidR="00CD2AA7" w:rsidRPr="004F30BD" w:rsidRDefault="00CD2AA7" w:rsidP="00CD2AA7">
            <w:pPr>
              <w:spacing w:before="60" w:after="60"/>
              <w:ind w:right="0"/>
              <w:jc w:val="center"/>
              <w:rPr>
                <w:szCs w:val="18"/>
              </w:rPr>
            </w:pPr>
            <w:r w:rsidRPr="004F30BD">
              <w:rPr>
                <w:rFonts w:cs="Calibri"/>
                <w:color w:val="000000"/>
                <w:szCs w:val="18"/>
              </w:rPr>
              <w:t>93</w:t>
            </w:r>
          </w:p>
        </w:tc>
        <w:tc>
          <w:tcPr>
            <w:tcW w:w="810" w:type="dxa"/>
            <w:tcBorders>
              <w:top w:val="nil"/>
              <w:left w:val="nil"/>
              <w:bottom w:val="nil"/>
              <w:right w:val="nil"/>
            </w:tcBorders>
            <w:shd w:val="clear" w:color="auto" w:fill="FFFFFF" w:themeFill="background1"/>
            <w:noWrap/>
            <w:tcMar>
              <w:left w:w="28" w:type="dxa"/>
              <w:right w:w="28" w:type="dxa"/>
            </w:tcMar>
            <w:vAlign w:val="center"/>
          </w:tcPr>
          <w:p w14:paraId="3B5992E4" w14:textId="77777777" w:rsidR="00CD2AA7" w:rsidRPr="004F30BD" w:rsidRDefault="00CD2AA7" w:rsidP="00CD2AA7">
            <w:pPr>
              <w:spacing w:before="60" w:after="60"/>
              <w:ind w:right="0"/>
              <w:jc w:val="center"/>
              <w:rPr>
                <w:szCs w:val="18"/>
              </w:rPr>
            </w:pPr>
            <w:r w:rsidRPr="004F30BD">
              <w:rPr>
                <w:rFonts w:cs="Calibri"/>
                <w:color w:val="000000"/>
                <w:szCs w:val="18"/>
              </w:rPr>
              <w:t>-29</w:t>
            </w:r>
          </w:p>
        </w:tc>
      </w:tr>
      <w:tr w:rsidR="00CD2AA7" w:rsidRPr="004F30BD" w14:paraId="45ACF21D" w14:textId="77777777" w:rsidTr="00CD2AA7">
        <w:trPr>
          <w:trHeight w:val="300"/>
          <w:tblHeader/>
        </w:trPr>
        <w:tc>
          <w:tcPr>
            <w:tcW w:w="4047" w:type="dxa"/>
            <w:tcBorders>
              <w:top w:val="nil"/>
              <w:left w:val="nil"/>
              <w:bottom w:val="nil"/>
              <w:right w:val="nil"/>
            </w:tcBorders>
            <w:shd w:val="clear" w:color="auto" w:fill="D9D9D9"/>
            <w:noWrap/>
            <w:tcMar>
              <w:left w:w="28" w:type="dxa"/>
              <w:right w:w="28" w:type="dxa"/>
            </w:tcMar>
          </w:tcPr>
          <w:p w14:paraId="1D0D7203" w14:textId="77777777" w:rsidR="00CD2AA7" w:rsidRPr="004F30BD" w:rsidRDefault="00CD2AA7" w:rsidP="00CD2AA7">
            <w:pPr>
              <w:spacing w:before="60" w:after="60"/>
              <w:ind w:right="0"/>
              <w:rPr>
                <w:rFonts w:cs="Calibri"/>
                <w:color w:val="000000"/>
                <w:szCs w:val="18"/>
              </w:rPr>
            </w:pPr>
            <w:r w:rsidRPr="004F30BD">
              <w:rPr>
                <w:rFonts w:cs="Calibri"/>
                <w:color w:val="000000"/>
                <w:szCs w:val="18"/>
              </w:rPr>
              <w:t>KPI 4: TEQSA’s compliance and monitoring approaches for higher education providers are streamlined and co-ordinated.</w:t>
            </w:r>
          </w:p>
        </w:tc>
        <w:tc>
          <w:tcPr>
            <w:tcW w:w="810" w:type="dxa"/>
            <w:tcBorders>
              <w:top w:val="nil"/>
              <w:left w:val="nil"/>
              <w:bottom w:val="nil"/>
              <w:right w:val="nil"/>
            </w:tcBorders>
            <w:shd w:val="clear" w:color="auto" w:fill="D9D9D9"/>
            <w:noWrap/>
            <w:tcMar>
              <w:left w:w="28" w:type="dxa"/>
              <w:right w:w="28" w:type="dxa"/>
            </w:tcMar>
            <w:vAlign w:val="center"/>
          </w:tcPr>
          <w:p w14:paraId="27DBA2DA" w14:textId="77777777" w:rsidR="00CD2AA7" w:rsidRPr="004F30BD" w:rsidRDefault="00CD2AA7" w:rsidP="00CD2AA7">
            <w:pPr>
              <w:spacing w:before="60" w:after="60"/>
              <w:ind w:right="0"/>
              <w:jc w:val="center"/>
              <w:rPr>
                <w:rFonts w:cs="Calibri"/>
                <w:color w:val="000000"/>
                <w:szCs w:val="18"/>
              </w:rPr>
            </w:pPr>
            <w:r w:rsidRPr="004F30BD">
              <w:rPr>
                <w:rFonts w:cs="Calibri"/>
                <w:color w:val="000000"/>
                <w:szCs w:val="18"/>
              </w:rPr>
              <w:t>16</w:t>
            </w:r>
          </w:p>
        </w:tc>
        <w:tc>
          <w:tcPr>
            <w:tcW w:w="1530" w:type="dxa"/>
            <w:tcBorders>
              <w:top w:val="nil"/>
              <w:left w:val="nil"/>
              <w:bottom w:val="nil"/>
              <w:right w:val="nil"/>
            </w:tcBorders>
            <w:shd w:val="clear" w:color="auto" w:fill="D9D9D9" w:themeFill="background1" w:themeFillShade="D9"/>
            <w:noWrap/>
            <w:tcMar>
              <w:left w:w="28" w:type="dxa"/>
              <w:right w:w="28" w:type="dxa"/>
            </w:tcMar>
            <w:vAlign w:val="center"/>
          </w:tcPr>
          <w:p w14:paraId="30033CCB" w14:textId="77777777" w:rsidR="00CD2AA7" w:rsidRPr="004F30BD" w:rsidRDefault="00CD2AA7" w:rsidP="00CD2AA7">
            <w:pPr>
              <w:spacing w:before="60" w:after="60"/>
              <w:ind w:right="0"/>
              <w:jc w:val="center"/>
              <w:rPr>
                <w:rFonts w:cs="Calibri"/>
                <w:color w:val="000000"/>
                <w:szCs w:val="18"/>
              </w:rPr>
            </w:pPr>
            <w:r w:rsidRPr="004F30BD">
              <w:rPr>
                <w:rFonts w:cs="Calibri"/>
                <w:color w:val="000000"/>
                <w:szCs w:val="18"/>
              </w:rPr>
              <w:t>63</w:t>
            </w:r>
          </w:p>
        </w:tc>
        <w:tc>
          <w:tcPr>
            <w:tcW w:w="1350" w:type="dxa"/>
            <w:tcBorders>
              <w:top w:val="nil"/>
              <w:left w:val="nil"/>
              <w:bottom w:val="nil"/>
              <w:right w:val="nil"/>
            </w:tcBorders>
            <w:shd w:val="clear" w:color="auto" w:fill="D9D9D9" w:themeFill="background1" w:themeFillShade="D9"/>
            <w:noWrap/>
            <w:tcMar>
              <w:left w:w="28" w:type="dxa"/>
              <w:right w:w="28" w:type="dxa"/>
            </w:tcMar>
            <w:vAlign w:val="center"/>
          </w:tcPr>
          <w:p w14:paraId="0740090C" w14:textId="77777777" w:rsidR="00CD2AA7" w:rsidRPr="004F30BD" w:rsidRDefault="00CD2AA7" w:rsidP="00CD2AA7">
            <w:pPr>
              <w:spacing w:before="60" w:after="60"/>
              <w:ind w:right="0"/>
              <w:jc w:val="center"/>
              <w:rPr>
                <w:szCs w:val="18"/>
              </w:rPr>
            </w:pPr>
            <w:r w:rsidRPr="004F30BD">
              <w:rPr>
                <w:rFonts w:cs="Calibri"/>
                <w:color w:val="000000"/>
                <w:szCs w:val="18"/>
              </w:rPr>
              <w:t>80</w:t>
            </w:r>
          </w:p>
        </w:tc>
        <w:tc>
          <w:tcPr>
            <w:tcW w:w="810" w:type="dxa"/>
            <w:tcBorders>
              <w:top w:val="nil"/>
              <w:left w:val="nil"/>
              <w:bottom w:val="nil"/>
              <w:right w:val="nil"/>
            </w:tcBorders>
            <w:shd w:val="clear" w:color="auto" w:fill="D9D9D9" w:themeFill="background1" w:themeFillShade="D9"/>
            <w:noWrap/>
            <w:tcMar>
              <w:left w:w="28" w:type="dxa"/>
              <w:right w:w="28" w:type="dxa"/>
            </w:tcMar>
            <w:vAlign w:val="center"/>
          </w:tcPr>
          <w:p w14:paraId="3EA7C7E8" w14:textId="77777777" w:rsidR="00CD2AA7" w:rsidRPr="004F30BD" w:rsidRDefault="00CD2AA7" w:rsidP="00CD2AA7">
            <w:pPr>
              <w:spacing w:before="60" w:after="60"/>
              <w:ind w:right="0"/>
              <w:jc w:val="center"/>
              <w:rPr>
                <w:szCs w:val="18"/>
              </w:rPr>
            </w:pPr>
            <w:r w:rsidRPr="004F30BD">
              <w:rPr>
                <w:rFonts w:cs="Calibri"/>
                <w:color w:val="000000"/>
                <w:szCs w:val="18"/>
              </w:rPr>
              <w:t>-18</w:t>
            </w:r>
          </w:p>
        </w:tc>
      </w:tr>
      <w:tr w:rsidR="00CD2AA7" w:rsidRPr="004F30BD" w14:paraId="79F6EEAD" w14:textId="77777777" w:rsidTr="00CD2AA7">
        <w:trPr>
          <w:trHeight w:val="300"/>
          <w:tblHeader/>
        </w:trPr>
        <w:tc>
          <w:tcPr>
            <w:tcW w:w="4047" w:type="dxa"/>
            <w:tcBorders>
              <w:top w:val="nil"/>
              <w:left w:val="nil"/>
              <w:bottom w:val="nil"/>
              <w:right w:val="nil"/>
            </w:tcBorders>
            <w:shd w:val="clear" w:color="auto" w:fill="auto"/>
            <w:noWrap/>
            <w:tcMar>
              <w:left w:w="28" w:type="dxa"/>
              <w:right w:w="28" w:type="dxa"/>
            </w:tcMar>
          </w:tcPr>
          <w:p w14:paraId="16D10C6B" w14:textId="77777777" w:rsidR="00CD2AA7" w:rsidRPr="004F30BD" w:rsidRDefault="00CD2AA7" w:rsidP="00CD2AA7">
            <w:pPr>
              <w:spacing w:before="60" w:after="60"/>
              <w:ind w:right="0"/>
              <w:rPr>
                <w:rFonts w:cs="Calibri"/>
                <w:color w:val="000000"/>
                <w:szCs w:val="18"/>
              </w:rPr>
            </w:pPr>
            <w:r w:rsidRPr="004F30BD">
              <w:rPr>
                <w:rFonts w:cs="Calibri"/>
                <w:color w:val="000000"/>
                <w:szCs w:val="18"/>
              </w:rPr>
              <w:t>KPI 5: TEQSA is open, transparent and consistent in its dealings with your organisation.</w:t>
            </w:r>
          </w:p>
        </w:tc>
        <w:tc>
          <w:tcPr>
            <w:tcW w:w="810" w:type="dxa"/>
            <w:tcBorders>
              <w:top w:val="nil"/>
              <w:left w:val="nil"/>
              <w:bottom w:val="nil"/>
              <w:right w:val="nil"/>
            </w:tcBorders>
            <w:shd w:val="clear" w:color="auto" w:fill="auto"/>
            <w:noWrap/>
            <w:tcMar>
              <w:left w:w="28" w:type="dxa"/>
              <w:right w:w="28" w:type="dxa"/>
            </w:tcMar>
            <w:vAlign w:val="center"/>
          </w:tcPr>
          <w:p w14:paraId="6CD61C17" w14:textId="77777777" w:rsidR="00CD2AA7" w:rsidRPr="004F30BD" w:rsidRDefault="00CD2AA7" w:rsidP="00CD2AA7">
            <w:pPr>
              <w:spacing w:before="60" w:after="60"/>
              <w:ind w:right="0"/>
              <w:jc w:val="center"/>
              <w:rPr>
                <w:rFonts w:cs="Calibri"/>
                <w:color w:val="000000"/>
                <w:szCs w:val="18"/>
              </w:rPr>
            </w:pPr>
            <w:r w:rsidRPr="004F30BD">
              <w:rPr>
                <w:rFonts w:cs="Calibri"/>
                <w:color w:val="000000"/>
                <w:szCs w:val="18"/>
              </w:rPr>
              <w:t>21</w:t>
            </w:r>
          </w:p>
        </w:tc>
        <w:tc>
          <w:tcPr>
            <w:tcW w:w="1530" w:type="dxa"/>
            <w:tcBorders>
              <w:top w:val="nil"/>
              <w:left w:val="nil"/>
              <w:bottom w:val="nil"/>
              <w:right w:val="nil"/>
            </w:tcBorders>
            <w:shd w:val="clear" w:color="auto" w:fill="FFFFFF" w:themeFill="background1"/>
            <w:noWrap/>
            <w:tcMar>
              <w:left w:w="28" w:type="dxa"/>
              <w:right w:w="28" w:type="dxa"/>
            </w:tcMar>
            <w:vAlign w:val="center"/>
          </w:tcPr>
          <w:p w14:paraId="6D009989" w14:textId="77777777" w:rsidR="00CD2AA7" w:rsidRPr="004F30BD" w:rsidRDefault="00CD2AA7" w:rsidP="00CD2AA7">
            <w:pPr>
              <w:spacing w:before="60" w:after="60"/>
              <w:ind w:right="0"/>
              <w:jc w:val="center"/>
              <w:rPr>
                <w:rFonts w:cs="Calibri"/>
                <w:color w:val="000000"/>
                <w:szCs w:val="18"/>
              </w:rPr>
            </w:pPr>
            <w:r w:rsidRPr="004F30BD">
              <w:rPr>
                <w:rFonts w:cs="Calibri"/>
                <w:color w:val="000000"/>
                <w:szCs w:val="18"/>
              </w:rPr>
              <w:t>71</w:t>
            </w:r>
          </w:p>
        </w:tc>
        <w:tc>
          <w:tcPr>
            <w:tcW w:w="1350" w:type="dxa"/>
            <w:tcBorders>
              <w:top w:val="nil"/>
              <w:left w:val="nil"/>
              <w:bottom w:val="nil"/>
              <w:right w:val="nil"/>
            </w:tcBorders>
            <w:shd w:val="clear" w:color="auto" w:fill="FFFFFF" w:themeFill="background1"/>
            <w:noWrap/>
            <w:tcMar>
              <w:left w:w="28" w:type="dxa"/>
              <w:right w:w="28" w:type="dxa"/>
            </w:tcMar>
            <w:vAlign w:val="center"/>
          </w:tcPr>
          <w:p w14:paraId="4B0F0E49" w14:textId="77777777" w:rsidR="00CD2AA7" w:rsidRPr="004F30BD" w:rsidRDefault="00CD2AA7" w:rsidP="00CD2AA7">
            <w:pPr>
              <w:spacing w:before="60" w:after="60"/>
              <w:ind w:right="0"/>
              <w:jc w:val="center"/>
              <w:rPr>
                <w:szCs w:val="18"/>
              </w:rPr>
            </w:pPr>
            <w:r w:rsidRPr="004F30BD">
              <w:rPr>
                <w:rFonts w:cs="Calibri"/>
                <w:color w:val="000000"/>
                <w:szCs w:val="18"/>
              </w:rPr>
              <w:t>91</w:t>
            </w:r>
          </w:p>
        </w:tc>
        <w:tc>
          <w:tcPr>
            <w:tcW w:w="810" w:type="dxa"/>
            <w:tcBorders>
              <w:top w:val="nil"/>
              <w:left w:val="nil"/>
              <w:bottom w:val="nil"/>
              <w:right w:val="nil"/>
            </w:tcBorders>
            <w:shd w:val="clear" w:color="auto" w:fill="FFFFFF" w:themeFill="background1"/>
            <w:noWrap/>
            <w:tcMar>
              <w:left w:w="28" w:type="dxa"/>
              <w:right w:w="28" w:type="dxa"/>
            </w:tcMar>
            <w:vAlign w:val="center"/>
          </w:tcPr>
          <w:p w14:paraId="1BA3E78E" w14:textId="77777777" w:rsidR="00CD2AA7" w:rsidRPr="004F30BD" w:rsidRDefault="00CD2AA7" w:rsidP="00CD2AA7">
            <w:pPr>
              <w:spacing w:before="60" w:after="60"/>
              <w:ind w:right="0"/>
              <w:jc w:val="center"/>
              <w:rPr>
                <w:szCs w:val="18"/>
              </w:rPr>
            </w:pPr>
            <w:r w:rsidRPr="004F30BD">
              <w:rPr>
                <w:rFonts w:cs="Calibri"/>
                <w:color w:val="000000"/>
                <w:szCs w:val="18"/>
              </w:rPr>
              <w:t>-20</w:t>
            </w:r>
          </w:p>
        </w:tc>
      </w:tr>
      <w:tr w:rsidR="00CD2AA7" w:rsidRPr="004F30BD" w14:paraId="472288CF" w14:textId="77777777" w:rsidTr="00CD2AA7">
        <w:trPr>
          <w:trHeight w:val="300"/>
          <w:tblHeader/>
        </w:trPr>
        <w:tc>
          <w:tcPr>
            <w:tcW w:w="4047" w:type="dxa"/>
            <w:tcBorders>
              <w:top w:val="nil"/>
              <w:left w:val="nil"/>
              <w:bottom w:val="nil"/>
              <w:right w:val="nil"/>
            </w:tcBorders>
            <w:shd w:val="clear" w:color="auto" w:fill="D9D9D9"/>
            <w:noWrap/>
            <w:tcMar>
              <w:left w:w="28" w:type="dxa"/>
              <w:right w:w="28" w:type="dxa"/>
            </w:tcMar>
          </w:tcPr>
          <w:p w14:paraId="112F569D" w14:textId="77777777" w:rsidR="00CD2AA7" w:rsidRPr="004F30BD" w:rsidRDefault="00CD2AA7" w:rsidP="00CD2AA7">
            <w:pPr>
              <w:spacing w:before="60" w:after="60"/>
              <w:ind w:right="0"/>
              <w:rPr>
                <w:rFonts w:cs="Calibri"/>
                <w:color w:val="000000"/>
                <w:szCs w:val="18"/>
              </w:rPr>
            </w:pPr>
            <w:r w:rsidRPr="004F30BD">
              <w:rPr>
                <w:rFonts w:cs="Calibri"/>
                <w:color w:val="000000"/>
                <w:szCs w:val="18"/>
              </w:rPr>
              <w:t>KPI 6: TEQSA continues to improve its regulatory framework in consultation with your organisation.</w:t>
            </w:r>
          </w:p>
        </w:tc>
        <w:tc>
          <w:tcPr>
            <w:tcW w:w="810" w:type="dxa"/>
            <w:tcBorders>
              <w:top w:val="nil"/>
              <w:left w:val="nil"/>
              <w:bottom w:val="nil"/>
              <w:right w:val="nil"/>
            </w:tcBorders>
            <w:shd w:val="clear" w:color="auto" w:fill="D9D9D9"/>
            <w:noWrap/>
            <w:tcMar>
              <w:left w:w="28" w:type="dxa"/>
              <w:right w:w="28" w:type="dxa"/>
            </w:tcMar>
            <w:vAlign w:val="center"/>
          </w:tcPr>
          <w:p w14:paraId="601A90F0" w14:textId="77777777" w:rsidR="00CD2AA7" w:rsidRPr="004F30BD" w:rsidRDefault="00CD2AA7" w:rsidP="00CD2AA7">
            <w:pPr>
              <w:spacing w:before="60" w:after="60"/>
              <w:ind w:right="0"/>
              <w:jc w:val="center"/>
              <w:rPr>
                <w:rFonts w:cs="Calibri"/>
                <w:color w:val="000000"/>
                <w:szCs w:val="18"/>
              </w:rPr>
            </w:pPr>
            <w:r w:rsidRPr="004F30BD">
              <w:rPr>
                <w:rFonts w:cs="Calibri"/>
                <w:color w:val="000000"/>
                <w:szCs w:val="18"/>
              </w:rPr>
              <w:t>22</w:t>
            </w:r>
          </w:p>
        </w:tc>
        <w:tc>
          <w:tcPr>
            <w:tcW w:w="1530" w:type="dxa"/>
            <w:tcBorders>
              <w:top w:val="nil"/>
              <w:left w:val="nil"/>
              <w:bottom w:val="nil"/>
              <w:right w:val="nil"/>
            </w:tcBorders>
            <w:shd w:val="clear" w:color="auto" w:fill="D9D9D9"/>
            <w:noWrap/>
            <w:tcMar>
              <w:left w:w="28" w:type="dxa"/>
              <w:right w:w="28" w:type="dxa"/>
            </w:tcMar>
            <w:vAlign w:val="center"/>
          </w:tcPr>
          <w:p w14:paraId="76372119" w14:textId="77777777" w:rsidR="00CD2AA7" w:rsidRPr="004F30BD" w:rsidRDefault="00CD2AA7" w:rsidP="00CD2AA7">
            <w:pPr>
              <w:spacing w:before="60" w:after="60"/>
              <w:ind w:right="0"/>
              <w:jc w:val="center"/>
              <w:rPr>
                <w:rFonts w:cs="Calibri"/>
                <w:color w:val="000000"/>
                <w:szCs w:val="18"/>
              </w:rPr>
            </w:pPr>
            <w:r w:rsidRPr="004F30BD">
              <w:rPr>
                <w:rFonts w:cs="Calibri"/>
                <w:color w:val="000000"/>
                <w:szCs w:val="18"/>
              </w:rPr>
              <w:t>68</w:t>
            </w:r>
          </w:p>
        </w:tc>
        <w:tc>
          <w:tcPr>
            <w:tcW w:w="1350" w:type="dxa"/>
            <w:tcBorders>
              <w:top w:val="nil"/>
              <w:left w:val="nil"/>
              <w:bottom w:val="nil"/>
              <w:right w:val="nil"/>
            </w:tcBorders>
            <w:shd w:val="clear" w:color="auto" w:fill="D9D9D9"/>
            <w:noWrap/>
            <w:tcMar>
              <w:left w:w="28" w:type="dxa"/>
              <w:right w:w="28" w:type="dxa"/>
            </w:tcMar>
            <w:vAlign w:val="center"/>
          </w:tcPr>
          <w:p w14:paraId="3BFDBB16" w14:textId="77777777" w:rsidR="00CD2AA7" w:rsidRPr="004F30BD" w:rsidRDefault="00CD2AA7" w:rsidP="00CD2AA7">
            <w:pPr>
              <w:spacing w:before="60" w:after="60"/>
              <w:ind w:right="0"/>
              <w:jc w:val="center"/>
              <w:rPr>
                <w:szCs w:val="18"/>
              </w:rPr>
            </w:pPr>
            <w:r w:rsidRPr="004F30BD">
              <w:rPr>
                <w:rFonts w:cs="Calibri"/>
                <w:color w:val="000000"/>
                <w:szCs w:val="18"/>
              </w:rPr>
              <w:t>79</w:t>
            </w:r>
          </w:p>
        </w:tc>
        <w:tc>
          <w:tcPr>
            <w:tcW w:w="810" w:type="dxa"/>
            <w:tcBorders>
              <w:top w:val="nil"/>
              <w:left w:val="nil"/>
              <w:bottom w:val="nil"/>
              <w:right w:val="nil"/>
            </w:tcBorders>
            <w:shd w:val="clear" w:color="auto" w:fill="D9D9D9"/>
            <w:noWrap/>
            <w:tcMar>
              <w:left w:w="28" w:type="dxa"/>
              <w:right w:w="28" w:type="dxa"/>
            </w:tcMar>
            <w:vAlign w:val="center"/>
          </w:tcPr>
          <w:p w14:paraId="0FFF1057" w14:textId="77777777" w:rsidR="00CD2AA7" w:rsidRPr="004F30BD" w:rsidRDefault="00CD2AA7" w:rsidP="00CD2AA7">
            <w:pPr>
              <w:spacing w:before="60" w:after="60"/>
              <w:ind w:right="0"/>
              <w:jc w:val="center"/>
              <w:rPr>
                <w:szCs w:val="18"/>
              </w:rPr>
            </w:pPr>
            <w:r w:rsidRPr="004F30BD">
              <w:rPr>
                <w:rFonts w:cs="Calibri"/>
                <w:color w:val="000000"/>
                <w:szCs w:val="18"/>
              </w:rPr>
              <w:t>-11</w:t>
            </w:r>
          </w:p>
        </w:tc>
      </w:tr>
      <w:tr w:rsidR="00CD2AA7" w:rsidRPr="004F30BD" w14:paraId="511E167E" w14:textId="77777777" w:rsidTr="00CD2AA7">
        <w:trPr>
          <w:trHeight w:val="420"/>
          <w:tblHeader/>
        </w:trPr>
        <w:tc>
          <w:tcPr>
            <w:tcW w:w="4047" w:type="dxa"/>
            <w:tcBorders>
              <w:top w:val="nil"/>
              <w:left w:val="nil"/>
              <w:bottom w:val="single" w:sz="4" w:space="0" w:color="auto"/>
              <w:right w:val="nil"/>
            </w:tcBorders>
            <w:shd w:val="clear" w:color="auto" w:fill="auto"/>
            <w:noWrap/>
            <w:tcMar>
              <w:left w:w="28" w:type="dxa"/>
              <w:right w:w="28" w:type="dxa"/>
            </w:tcMar>
          </w:tcPr>
          <w:p w14:paraId="12E757AD" w14:textId="77777777" w:rsidR="00CD2AA7" w:rsidRPr="004F30BD" w:rsidRDefault="00CD2AA7" w:rsidP="00CD2AA7">
            <w:pPr>
              <w:spacing w:before="60" w:after="60"/>
              <w:ind w:right="0"/>
              <w:rPr>
                <w:rFonts w:eastAsia="Times New Roman" w:cs="Calibri"/>
                <w:color w:val="000000"/>
                <w:szCs w:val="18"/>
                <w:lang w:eastAsia="en-AU"/>
              </w:rPr>
            </w:pPr>
            <w:r w:rsidRPr="004F30BD">
              <w:rPr>
                <w:rFonts w:cs="Calibri"/>
                <w:color w:val="000000"/>
                <w:szCs w:val="18"/>
              </w:rPr>
              <w:t>Overall: How would you rate TEQSA's performance over the last 12 months as the regulator assuring the quality of Australian higher education.</w:t>
            </w:r>
          </w:p>
        </w:tc>
        <w:tc>
          <w:tcPr>
            <w:tcW w:w="810" w:type="dxa"/>
            <w:tcBorders>
              <w:top w:val="nil"/>
              <w:left w:val="nil"/>
              <w:bottom w:val="single" w:sz="4" w:space="0" w:color="auto"/>
              <w:right w:val="nil"/>
            </w:tcBorders>
            <w:shd w:val="clear" w:color="auto" w:fill="auto"/>
            <w:noWrap/>
            <w:tcMar>
              <w:left w:w="28" w:type="dxa"/>
              <w:right w:w="28" w:type="dxa"/>
            </w:tcMar>
            <w:vAlign w:val="center"/>
          </w:tcPr>
          <w:p w14:paraId="501B3F98" w14:textId="77777777" w:rsidR="00CD2AA7" w:rsidRPr="004F30BD" w:rsidRDefault="00CD2AA7" w:rsidP="00CD2AA7">
            <w:pPr>
              <w:spacing w:before="60" w:after="60"/>
              <w:ind w:right="0"/>
              <w:jc w:val="center"/>
              <w:rPr>
                <w:rFonts w:eastAsia="Times New Roman" w:cs="Calibri"/>
                <w:color w:val="000000"/>
                <w:szCs w:val="18"/>
                <w:lang w:eastAsia="en-AU"/>
              </w:rPr>
            </w:pPr>
            <w:r w:rsidRPr="004F30BD">
              <w:rPr>
                <w:rFonts w:cs="Calibri"/>
                <w:color w:val="000000"/>
                <w:szCs w:val="18"/>
              </w:rPr>
              <w:t>22</w:t>
            </w:r>
          </w:p>
        </w:tc>
        <w:tc>
          <w:tcPr>
            <w:tcW w:w="1530" w:type="dxa"/>
            <w:tcBorders>
              <w:top w:val="nil"/>
              <w:left w:val="nil"/>
              <w:bottom w:val="single" w:sz="4" w:space="0" w:color="auto"/>
              <w:right w:val="nil"/>
            </w:tcBorders>
            <w:shd w:val="clear" w:color="auto" w:fill="FFFFFF" w:themeFill="background1"/>
            <w:noWrap/>
            <w:tcMar>
              <w:left w:w="28" w:type="dxa"/>
              <w:right w:w="28" w:type="dxa"/>
            </w:tcMar>
            <w:vAlign w:val="center"/>
          </w:tcPr>
          <w:p w14:paraId="40638974" w14:textId="77777777" w:rsidR="00CD2AA7" w:rsidRPr="004F30BD" w:rsidRDefault="00CD2AA7" w:rsidP="00CD2AA7">
            <w:pPr>
              <w:spacing w:before="60" w:after="60"/>
              <w:ind w:right="0"/>
              <w:jc w:val="center"/>
              <w:rPr>
                <w:rFonts w:eastAsia="Times New Roman" w:cs="Calibri"/>
                <w:color w:val="000000"/>
                <w:szCs w:val="18"/>
                <w:lang w:eastAsia="en-AU"/>
              </w:rPr>
            </w:pPr>
            <w:r w:rsidRPr="004F30BD">
              <w:rPr>
                <w:rFonts w:cs="Calibri"/>
                <w:color w:val="000000"/>
                <w:szCs w:val="18"/>
              </w:rPr>
              <w:t>64</w:t>
            </w:r>
          </w:p>
        </w:tc>
        <w:tc>
          <w:tcPr>
            <w:tcW w:w="1350" w:type="dxa"/>
            <w:tcBorders>
              <w:top w:val="nil"/>
              <w:left w:val="nil"/>
              <w:bottom w:val="single" w:sz="4" w:space="0" w:color="auto"/>
              <w:right w:val="nil"/>
            </w:tcBorders>
            <w:shd w:val="clear" w:color="auto" w:fill="FFFFFF" w:themeFill="background1"/>
            <w:noWrap/>
            <w:tcMar>
              <w:left w:w="28" w:type="dxa"/>
              <w:right w:w="28" w:type="dxa"/>
            </w:tcMar>
            <w:vAlign w:val="center"/>
          </w:tcPr>
          <w:p w14:paraId="459CFBCF" w14:textId="77777777" w:rsidR="00CD2AA7" w:rsidRPr="004F30BD" w:rsidRDefault="00CD2AA7" w:rsidP="00CD2AA7">
            <w:pPr>
              <w:spacing w:before="60" w:after="60"/>
              <w:ind w:right="0"/>
              <w:jc w:val="center"/>
              <w:rPr>
                <w:rFonts w:eastAsia="Times New Roman" w:cs="Calibri"/>
                <w:color w:val="000000"/>
                <w:szCs w:val="18"/>
                <w:lang w:eastAsia="en-AU"/>
              </w:rPr>
            </w:pPr>
            <w:r w:rsidRPr="004F30BD">
              <w:rPr>
                <w:rFonts w:cs="Calibri"/>
                <w:color w:val="000000"/>
                <w:szCs w:val="18"/>
              </w:rPr>
              <w:t>86</w:t>
            </w:r>
          </w:p>
        </w:tc>
        <w:tc>
          <w:tcPr>
            <w:tcW w:w="810" w:type="dxa"/>
            <w:tcBorders>
              <w:top w:val="nil"/>
              <w:left w:val="nil"/>
              <w:bottom w:val="single" w:sz="4" w:space="0" w:color="auto"/>
              <w:right w:val="nil"/>
            </w:tcBorders>
            <w:shd w:val="clear" w:color="auto" w:fill="FFFFFF" w:themeFill="background1"/>
            <w:noWrap/>
            <w:tcMar>
              <w:left w:w="28" w:type="dxa"/>
              <w:right w:w="28" w:type="dxa"/>
            </w:tcMar>
            <w:vAlign w:val="center"/>
          </w:tcPr>
          <w:p w14:paraId="327517C8" w14:textId="77777777" w:rsidR="00CD2AA7" w:rsidRPr="004F30BD" w:rsidRDefault="00CD2AA7" w:rsidP="00CD2AA7">
            <w:pPr>
              <w:spacing w:before="60" w:after="60"/>
              <w:ind w:right="0"/>
              <w:jc w:val="center"/>
              <w:rPr>
                <w:rFonts w:eastAsia="Times New Roman" w:cs="Calibri"/>
                <w:color w:val="000000"/>
                <w:szCs w:val="18"/>
                <w:lang w:eastAsia="en-AU"/>
              </w:rPr>
            </w:pPr>
            <w:r w:rsidRPr="004F30BD">
              <w:rPr>
                <w:rFonts w:cs="Calibri"/>
                <w:color w:val="000000"/>
                <w:szCs w:val="18"/>
              </w:rPr>
              <w:t>-22</w:t>
            </w:r>
          </w:p>
        </w:tc>
      </w:tr>
    </w:tbl>
    <w:p w14:paraId="0A51BA84" w14:textId="77777777" w:rsidR="00320437" w:rsidRPr="004F30BD" w:rsidRDefault="00320437" w:rsidP="00320437">
      <w:pPr>
        <w:spacing w:before="0" w:line="240" w:lineRule="auto"/>
        <w:ind w:right="0"/>
      </w:pPr>
    </w:p>
    <w:p w14:paraId="7C6D0C27" w14:textId="77777777" w:rsidR="00A44D6B" w:rsidRPr="004F30BD" w:rsidRDefault="00A44D6B" w:rsidP="00CD2AA7">
      <w:pPr>
        <w:rPr>
          <w:lang w:eastAsia="en-AU"/>
        </w:rPr>
      </w:pPr>
      <w:r w:rsidRPr="004F30BD">
        <w:rPr>
          <w:lang w:eastAsia="en-AU"/>
        </w:rPr>
        <w:br w:type="page"/>
      </w:r>
    </w:p>
    <w:p w14:paraId="7E7828D4" w14:textId="77777777" w:rsidR="00A06F0C" w:rsidRPr="004F30BD" w:rsidRDefault="00156179" w:rsidP="00320437">
      <w:pPr>
        <w:pStyle w:val="Heading1"/>
        <w:rPr>
          <w:lang w:eastAsia="en-AU"/>
        </w:rPr>
      </w:pPr>
      <w:bookmarkStart w:id="49" w:name="_Toc22298050"/>
      <w:r w:rsidRPr="004F30BD">
        <w:rPr>
          <w:lang w:eastAsia="en-AU"/>
        </w:rPr>
        <w:lastRenderedPageBreak/>
        <w:t>Survey c</w:t>
      </w:r>
      <w:r w:rsidR="00A06F0C" w:rsidRPr="004F30BD">
        <w:rPr>
          <w:lang w:eastAsia="en-AU"/>
        </w:rPr>
        <w:t>ompari</w:t>
      </w:r>
      <w:r w:rsidRPr="004F30BD">
        <w:rPr>
          <w:lang w:eastAsia="en-AU"/>
        </w:rPr>
        <w:t>sons</w:t>
      </w:r>
      <w:bookmarkEnd w:id="49"/>
    </w:p>
    <w:p w14:paraId="62C3462C" w14:textId="15E03B8C" w:rsidR="00541AFF" w:rsidRPr="004F30BD" w:rsidRDefault="00A06F0C" w:rsidP="0020328E">
      <w:pPr>
        <w:spacing w:after="240"/>
        <w:rPr>
          <w:lang w:eastAsia="en-AU"/>
        </w:rPr>
      </w:pPr>
      <w:r w:rsidRPr="004F30BD">
        <w:rPr>
          <w:lang w:eastAsia="en-AU"/>
        </w:rPr>
        <w:t xml:space="preserve">For this piece of analysis, the top 2 scores for </w:t>
      </w:r>
      <w:r w:rsidR="00CD2AA7" w:rsidRPr="004F30BD">
        <w:rPr>
          <w:lang w:eastAsia="en-AU"/>
        </w:rPr>
        <w:t xml:space="preserve">each </w:t>
      </w:r>
      <w:r w:rsidRPr="004F30BD">
        <w:rPr>
          <w:lang w:eastAsia="en-AU"/>
        </w:rPr>
        <w:t>KPI</w:t>
      </w:r>
      <w:r w:rsidR="00CD2AA7" w:rsidRPr="004F30BD">
        <w:rPr>
          <w:lang w:eastAsia="en-AU"/>
        </w:rPr>
        <w:t xml:space="preserve"> item and the overall item </w:t>
      </w:r>
      <w:r w:rsidR="0020328E" w:rsidRPr="004F30BD">
        <w:rPr>
          <w:lang w:eastAsia="en-AU"/>
        </w:rPr>
        <w:t>were</w:t>
      </w:r>
      <w:r w:rsidR="00CD2AA7" w:rsidRPr="004F30BD">
        <w:rPr>
          <w:lang w:eastAsia="en-AU"/>
        </w:rPr>
        <w:t xml:space="preserve"> compared and displayed in the chart below.</w:t>
      </w:r>
      <w:bookmarkStart w:id="50" w:name="_Hlk18503943"/>
      <w:r w:rsidR="00CD2AA7" w:rsidRPr="004F30BD">
        <w:rPr>
          <w:lang w:eastAsia="en-AU"/>
        </w:rPr>
        <w:t xml:space="preserve"> </w:t>
      </w:r>
      <w:r w:rsidR="00ED34D8" w:rsidRPr="004F30BD">
        <w:rPr>
          <w:lang w:eastAsia="en-AU"/>
        </w:rPr>
        <w:t xml:space="preserve">It shows that </w:t>
      </w:r>
      <w:r w:rsidR="00CD2AA7" w:rsidRPr="004F30BD">
        <w:rPr>
          <w:lang w:eastAsia="en-AU"/>
        </w:rPr>
        <w:t>both groups</w:t>
      </w:r>
      <w:r w:rsidR="00ED34D8" w:rsidRPr="004F30BD">
        <w:rPr>
          <w:lang w:eastAsia="en-AU"/>
        </w:rPr>
        <w:t xml:space="preserve"> </w:t>
      </w:r>
      <w:r w:rsidR="00CD285B" w:rsidRPr="004F30BD">
        <w:rPr>
          <w:lang w:eastAsia="en-AU"/>
        </w:rPr>
        <w:t>rated</w:t>
      </w:r>
      <w:r w:rsidR="00ED34D8" w:rsidRPr="004F30BD">
        <w:rPr>
          <w:lang w:eastAsia="en-AU"/>
        </w:rPr>
        <w:t xml:space="preserve"> </w:t>
      </w:r>
      <w:r w:rsidR="00A51CDB" w:rsidRPr="004F30BD">
        <w:rPr>
          <w:lang w:eastAsia="en-AU"/>
        </w:rPr>
        <w:t xml:space="preserve">TEQSA’s performance on all </w:t>
      </w:r>
      <w:r w:rsidR="0020328E" w:rsidRPr="004F30BD">
        <w:rPr>
          <w:lang w:eastAsia="en-AU"/>
        </w:rPr>
        <w:t>items</w:t>
      </w:r>
      <w:r w:rsidR="00CD285B" w:rsidRPr="004F30BD">
        <w:rPr>
          <w:lang w:eastAsia="en-AU"/>
        </w:rPr>
        <w:t xml:space="preserve"> </w:t>
      </w:r>
      <w:r w:rsidR="00CF298F">
        <w:rPr>
          <w:lang w:eastAsia="en-AU"/>
        </w:rPr>
        <w:t>at a similar level</w:t>
      </w:r>
      <w:r w:rsidR="0020328E" w:rsidRPr="004F30BD">
        <w:rPr>
          <w:lang w:eastAsia="en-AU"/>
        </w:rPr>
        <w:t>, given the margin of error that needs to be applied when interpreting results</w:t>
      </w:r>
      <w:r w:rsidR="00CD285B" w:rsidRPr="004F30BD">
        <w:rPr>
          <w:lang w:eastAsia="en-AU"/>
        </w:rPr>
        <w:t xml:space="preserve">. </w:t>
      </w:r>
    </w:p>
    <w:bookmarkEnd w:id="50"/>
    <w:p w14:paraId="7867FB3E" w14:textId="77777777" w:rsidR="00CE3FAB" w:rsidRPr="004F30BD" w:rsidRDefault="0020328E" w:rsidP="00A06F0C">
      <w:pPr>
        <w:rPr>
          <w:highlight w:val="yellow"/>
          <w:lang w:eastAsia="en-AU"/>
        </w:rPr>
      </w:pPr>
      <w:r w:rsidRPr="004F30BD">
        <w:rPr>
          <w:noProof/>
          <w:lang w:eastAsia="en-AU"/>
        </w:rPr>
        <w:drawing>
          <wp:inline distT="0" distB="0" distL="0" distR="0" wp14:anchorId="33E1BEF8" wp14:editId="43AE4796">
            <wp:extent cx="5581650" cy="3381375"/>
            <wp:effectExtent l="0" t="0" r="0" b="0"/>
            <wp:docPr id="20" name="Chart 20">
              <a:extLst xmlns:a="http://schemas.openxmlformats.org/drawingml/2006/main">
                <a:ext uri="{FF2B5EF4-FFF2-40B4-BE49-F238E27FC236}">
                  <a16:creationId xmlns:a16="http://schemas.microsoft.com/office/drawing/2014/main" id="{BA413F76-EE03-4A39-B1EA-67BB356A9F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81E83FE" w14:textId="77777777" w:rsidR="00CE3FAB" w:rsidRPr="004F30BD" w:rsidRDefault="00CE3FAB" w:rsidP="00A06F0C">
      <w:pPr>
        <w:rPr>
          <w:highlight w:val="yellow"/>
          <w:lang w:eastAsia="en-AU"/>
        </w:rPr>
      </w:pPr>
    </w:p>
    <w:p w14:paraId="55BA7486" w14:textId="77777777" w:rsidR="00CE3FAB" w:rsidRPr="004F30BD" w:rsidRDefault="00CE3FAB" w:rsidP="00A06F0C">
      <w:pPr>
        <w:rPr>
          <w:highlight w:val="yellow"/>
          <w:lang w:eastAsia="en-AU"/>
        </w:rPr>
      </w:pPr>
    </w:p>
    <w:p w14:paraId="6D151CEE" w14:textId="77777777" w:rsidR="00CE3FAB" w:rsidRPr="004F30BD" w:rsidRDefault="00CE3FAB" w:rsidP="00A06F0C">
      <w:pPr>
        <w:rPr>
          <w:highlight w:val="yellow"/>
          <w:lang w:eastAsia="en-AU"/>
        </w:rPr>
      </w:pPr>
    </w:p>
    <w:p w14:paraId="5E03D803" w14:textId="77777777" w:rsidR="00CE3FAB" w:rsidRPr="004F30BD" w:rsidRDefault="00CE3FAB" w:rsidP="00A06F0C">
      <w:pPr>
        <w:rPr>
          <w:highlight w:val="yellow"/>
          <w:lang w:eastAsia="en-AU"/>
        </w:rPr>
      </w:pPr>
    </w:p>
    <w:p w14:paraId="5482C72D" w14:textId="77777777" w:rsidR="00A06F0C" w:rsidRPr="004F30BD" w:rsidRDefault="00A06F0C" w:rsidP="00ED34D8">
      <w:pPr>
        <w:rPr>
          <w:rFonts w:ascii="Trebuchet MS" w:hAnsi="Trebuchet MS"/>
          <w:color w:val="00376E"/>
          <w:kern w:val="32"/>
          <w:sz w:val="36"/>
        </w:rPr>
      </w:pPr>
      <w:r w:rsidRPr="004F30BD">
        <w:br w:type="page"/>
      </w:r>
    </w:p>
    <w:p w14:paraId="381FEC41" w14:textId="77777777" w:rsidR="00AC05C8" w:rsidRPr="004F30BD" w:rsidRDefault="00AC05C8" w:rsidP="00AC05C8">
      <w:pPr>
        <w:pStyle w:val="Heading1"/>
      </w:pPr>
      <w:bookmarkStart w:id="51" w:name="_Toc22298051"/>
      <w:r w:rsidRPr="004F30BD">
        <w:lastRenderedPageBreak/>
        <w:t>Conclusions</w:t>
      </w:r>
      <w:bookmarkEnd w:id="51"/>
    </w:p>
    <w:p w14:paraId="3BB74A76" w14:textId="77777777" w:rsidR="004C10B0" w:rsidRPr="004F30BD" w:rsidRDefault="009D0B95" w:rsidP="007E127F">
      <w:pPr>
        <w:shd w:val="clear" w:color="auto" w:fill="FFFFFF" w:themeFill="background1"/>
      </w:pPr>
      <w:r w:rsidRPr="004F30BD">
        <w:t xml:space="preserve">This year’s results are somewhat mixed: </w:t>
      </w:r>
      <w:r w:rsidR="004C10B0" w:rsidRPr="004F30BD">
        <w:t>overall performance has increased slightly but not significantly; KPIs have remained at similar levels to 2018; communication activities continue to be a strength for TEQSA; monitoring quality (a new topic for this year) has not performed at all well, while aspects of application processes (not CRICOS-related) have improved.</w:t>
      </w:r>
    </w:p>
    <w:p w14:paraId="01B06A56" w14:textId="32B06A76" w:rsidR="004C10B0" w:rsidRPr="004F30BD" w:rsidRDefault="004C10B0" w:rsidP="007E127F">
      <w:pPr>
        <w:shd w:val="clear" w:color="auto" w:fill="FFFFFF" w:themeFill="background1"/>
      </w:pPr>
      <w:r w:rsidRPr="004F30BD">
        <w:t xml:space="preserve">TEQSA’s conference, usually high scoring, did not do so well this year. Providers indicated that </w:t>
      </w:r>
      <w:r w:rsidR="000C4261" w:rsidRPr="004F30BD">
        <w:t>consultation</w:t>
      </w:r>
      <w:r w:rsidRPr="004F30BD">
        <w:t xml:space="preserve"> activities, interaction with TEQSA staff and CRICOS applications need considerable improvement. </w:t>
      </w:r>
      <w:r w:rsidR="000C4261" w:rsidRPr="004F30BD">
        <w:t>Anything to do with speed of response and efficiency scored relatively low.</w:t>
      </w:r>
    </w:p>
    <w:p w14:paraId="67EC1412" w14:textId="77777777" w:rsidR="004C10B0" w:rsidRPr="004F30BD" w:rsidRDefault="004C10B0" w:rsidP="007E127F">
      <w:pPr>
        <w:shd w:val="clear" w:color="auto" w:fill="FFFFFF" w:themeFill="background1"/>
      </w:pPr>
      <w:r w:rsidRPr="004F30BD">
        <w:t>Principal contacts and peak</w:t>
      </w:r>
      <w:r w:rsidR="00A06284" w:rsidRPr="004F30BD">
        <w:t>, professional and student</w:t>
      </w:r>
      <w:r w:rsidRPr="004F30BD">
        <w:t xml:space="preserve"> body representatives shared similar views across all KPIs and on</w:t>
      </w:r>
      <w:r w:rsidR="000C4261" w:rsidRPr="004F30BD">
        <w:t xml:space="preserve"> TEQSA’s</w:t>
      </w:r>
      <w:r w:rsidRPr="004F30BD">
        <w:t xml:space="preserve"> overall performance.</w:t>
      </w:r>
    </w:p>
    <w:p w14:paraId="66CAE489" w14:textId="77777777" w:rsidR="004C10B0" w:rsidRPr="004F30BD" w:rsidRDefault="000C4261" w:rsidP="007E127F">
      <w:pPr>
        <w:shd w:val="clear" w:color="auto" w:fill="FFFFFF" w:themeFill="background1"/>
      </w:pPr>
      <w:r w:rsidRPr="004F30BD">
        <w:t xml:space="preserve">Notably, this year has also seen a convergence in views between sub-groups, like universities compared with for-profits and those with and without self-accrediting authority. In 2019, views </w:t>
      </w:r>
      <w:r w:rsidR="005C708B" w:rsidRPr="004F30BD">
        <w:t>were</w:t>
      </w:r>
      <w:r w:rsidRPr="004F30BD">
        <w:t xml:space="preserve"> more homogenous (not completely the same, but more similar) than in previous years indicating that an issue for one group is likely to be an issue for all.</w:t>
      </w:r>
    </w:p>
    <w:p w14:paraId="10AE3F21" w14:textId="77777777" w:rsidR="007E127F" w:rsidRPr="004F30BD" w:rsidRDefault="007E127F" w:rsidP="007E127F">
      <w:pPr>
        <w:shd w:val="clear" w:color="auto" w:fill="FFFFFF" w:themeFill="background1"/>
      </w:pPr>
      <w:r w:rsidRPr="004F30BD">
        <w:t>The activities or processes that providers think TEQSA is doing well include</w:t>
      </w:r>
      <w:r w:rsidR="00A06284" w:rsidRPr="004F30BD">
        <w:t xml:space="preserve"> (noting that many of these are contradictory to numeric results)</w:t>
      </w:r>
      <w:r w:rsidRPr="004F30BD">
        <w:t>:</w:t>
      </w:r>
    </w:p>
    <w:p w14:paraId="07B882EC" w14:textId="77777777" w:rsidR="007E127F" w:rsidRPr="004F30BD" w:rsidRDefault="007E127F" w:rsidP="00AB0214">
      <w:pPr>
        <w:pStyle w:val="ListParagraph"/>
        <w:numPr>
          <w:ilvl w:val="0"/>
          <w:numId w:val="18"/>
        </w:numPr>
        <w:shd w:val="clear" w:color="auto" w:fill="FFFFFF" w:themeFill="background1"/>
        <w:spacing w:before="60"/>
        <w:ind w:right="1080"/>
        <w:contextualSpacing w:val="0"/>
      </w:pPr>
      <w:r w:rsidRPr="004F30BD">
        <w:t>Proportional approach to regulation / focus on high risk providers and reduction in administrative burden on good providers</w:t>
      </w:r>
    </w:p>
    <w:p w14:paraId="4C835879" w14:textId="77777777" w:rsidR="007E127F" w:rsidRPr="004F30BD" w:rsidRDefault="00A06284" w:rsidP="00AB0214">
      <w:pPr>
        <w:pStyle w:val="ListParagraph"/>
        <w:numPr>
          <w:ilvl w:val="0"/>
          <w:numId w:val="18"/>
        </w:numPr>
        <w:shd w:val="clear" w:color="auto" w:fill="FFFFFF" w:themeFill="background1"/>
        <w:spacing w:before="60"/>
        <w:ind w:right="1080"/>
        <w:contextualSpacing w:val="0"/>
      </w:pPr>
      <w:r w:rsidRPr="004F30BD">
        <w:t>Providing a c</w:t>
      </w:r>
      <w:r w:rsidR="007E127F" w:rsidRPr="004F30BD">
        <w:t>lear regulatory framework and processes to maintain the standard of higher education in Australia / high barriers to entry</w:t>
      </w:r>
    </w:p>
    <w:p w14:paraId="65E5F165" w14:textId="77777777" w:rsidR="007E127F" w:rsidRPr="004F30BD" w:rsidRDefault="007E127F" w:rsidP="00AB0214">
      <w:pPr>
        <w:pStyle w:val="ListParagraph"/>
        <w:numPr>
          <w:ilvl w:val="0"/>
          <w:numId w:val="18"/>
        </w:numPr>
        <w:shd w:val="clear" w:color="auto" w:fill="FFFFFF" w:themeFill="background1"/>
        <w:spacing w:before="60"/>
        <w:ind w:right="1080"/>
        <w:contextualSpacing w:val="0"/>
      </w:pPr>
      <w:r w:rsidRPr="004F30BD">
        <w:t>High quality communications</w:t>
      </w:r>
    </w:p>
    <w:p w14:paraId="416AAEEB" w14:textId="77777777" w:rsidR="007E127F" w:rsidRPr="004F30BD" w:rsidRDefault="007E127F" w:rsidP="00AB0214">
      <w:pPr>
        <w:pStyle w:val="ListParagraph"/>
        <w:numPr>
          <w:ilvl w:val="0"/>
          <w:numId w:val="18"/>
        </w:numPr>
        <w:shd w:val="clear" w:color="auto" w:fill="FFFFFF" w:themeFill="background1"/>
        <w:spacing w:before="60"/>
        <w:ind w:right="1080"/>
        <w:contextualSpacing w:val="0"/>
      </w:pPr>
      <w:r w:rsidRPr="004F30BD">
        <w:t>Willingness to engage, consult and collaborate with the sector</w:t>
      </w:r>
    </w:p>
    <w:p w14:paraId="34C5578C" w14:textId="77777777" w:rsidR="007E127F" w:rsidRPr="004F30BD" w:rsidRDefault="007E127F" w:rsidP="00AB0214">
      <w:pPr>
        <w:pStyle w:val="ListParagraph"/>
        <w:numPr>
          <w:ilvl w:val="0"/>
          <w:numId w:val="18"/>
        </w:numPr>
        <w:shd w:val="clear" w:color="auto" w:fill="FFFFFF" w:themeFill="background1"/>
        <w:spacing w:before="60"/>
        <w:ind w:right="1080"/>
        <w:contextualSpacing w:val="0"/>
      </w:pPr>
      <w:r w:rsidRPr="004F30BD">
        <w:t xml:space="preserve">Opportunities to exchange views, </w:t>
      </w:r>
      <w:r w:rsidR="00A06284" w:rsidRPr="004F30BD">
        <w:t>such as through</w:t>
      </w:r>
      <w:r w:rsidRPr="004F30BD">
        <w:t xml:space="preserve"> conference</w:t>
      </w:r>
      <w:r w:rsidR="00A06284" w:rsidRPr="004F30BD">
        <w:t>s</w:t>
      </w:r>
      <w:r w:rsidRPr="004F30BD">
        <w:t>, round tables, workshops, forums</w:t>
      </w:r>
    </w:p>
    <w:p w14:paraId="11BC5819" w14:textId="77777777" w:rsidR="007E127F" w:rsidRPr="004F30BD" w:rsidRDefault="007E127F" w:rsidP="00AB0214">
      <w:pPr>
        <w:pStyle w:val="ListParagraph"/>
        <w:numPr>
          <w:ilvl w:val="0"/>
          <w:numId w:val="18"/>
        </w:numPr>
        <w:shd w:val="clear" w:color="auto" w:fill="FFFFFF" w:themeFill="background1"/>
        <w:spacing w:before="60"/>
        <w:ind w:right="1080"/>
        <w:contextualSpacing w:val="0"/>
      </w:pPr>
      <w:r w:rsidRPr="004F30BD">
        <w:t xml:space="preserve">Case management approach </w:t>
      </w:r>
      <w:r w:rsidR="00A06284" w:rsidRPr="004F30BD">
        <w:t xml:space="preserve">which is </w:t>
      </w:r>
      <w:r w:rsidRPr="004F30BD">
        <w:t>efficient, responsive and supportive (when it functions well)</w:t>
      </w:r>
    </w:p>
    <w:p w14:paraId="018C8071" w14:textId="77777777" w:rsidR="007E127F" w:rsidRPr="004F30BD" w:rsidRDefault="007E127F" w:rsidP="00AB0214">
      <w:pPr>
        <w:pStyle w:val="ListParagraph"/>
        <w:numPr>
          <w:ilvl w:val="0"/>
          <w:numId w:val="18"/>
        </w:numPr>
        <w:shd w:val="clear" w:color="auto" w:fill="FFFFFF" w:themeFill="background1"/>
        <w:spacing w:before="60"/>
        <w:ind w:right="1080"/>
        <w:contextualSpacing w:val="0"/>
      </w:pPr>
      <w:r w:rsidRPr="004F30BD">
        <w:t>Turnaround time of applications to add courses to CRICOS</w:t>
      </w:r>
      <w:r w:rsidR="00A06284" w:rsidRPr="004F30BD">
        <w:t xml:space="preserve"> which has</w:t>
      </w:r>
      <w:r w:rsidRPr="004F30BD">
        <w:t xml:space="preserve"> reduced significantly.</w:t>
      </w:r>
    </w:p>
    <w:p w14:paraId="06281BDD" w14:textId="77777777" w:rsidR="007E127F" w:rsidRPr="004F30BD" w:rsidRDefault="007E127F" w:rsidP="007E127F">
      <w:pPr>
        <w:shd w:val="clear" w:color="auto" w:fill="FFFFFF" w:themeFill="background1"/>
      </w:pPr>
      <w:r w:rsidRPr="004F30BD">
        <w:t>Many of the suggestions for improvements or change are similar to previous surveys. Areas identified in 2019 that providers believe TEQSA needs to improve include:</w:t>
      </w:r>
    </w:p>
    <w:p w14:paraId="4BC1923A" w14:textId="77777777" w:rsidR="007E127F" w:rsidRPr="004F30BD" w:rsidRDefault="007E127F" w:rsidP="00AB0214">
      <w:pPr>
        <w:pStyle w:val="ListParagraph"/>
        <w:numPr>
          <w:ilvl w:val="0"/>
          <w:numId w:val="18"/>
        </w:numPr>
        <w:shd w:val="clear" w:color="auto" w:fill="FFFFFF" w:themeFill="background1"/>
        <w:spacing w:before="60"/>
        <w:ind w:right="1080"/>
        <w:contextualSpacing w:val="0"/>
      </w:pPr>
      <w:r w:rsidRPr="004F30BD">
        <w:t>Reduce timelines for applications, reaccreditation and accreditation</w:t>
      </w:r>
    </w:p>
    <w:p w14:paraId="5C138F19" w14:textId="77777777" w:rsidR="007E127F" w:rsidRPr="004F30BD" w:rsidRDefault="007E127F" w:rsidP="00AB0214">
      <w:pPr>
        <w:pStyle w:val="ListParagraph"/>
        <w:numPr>
          <w:ilvl w:val="0"/>
          <w:numId w:val="18"/>
        </w:numPr>
        <w:shd w:val="clear" w:color="auto" w:fill="FFFFFF" w:themeFill="background1"/>
        <w:spacing w:before="60"/>
        <w:ind w:right="1080"/>
        <w:contextualSpacing w:val="0"/>
      </w:pPr>
      <w:r w:rsidRPr="004F30BD">
        <w:t>Streamline regulatory burden</w:t>
      </w:r>
    </w:p>
    <w:p w14:paraId="75658C5E" w14:textId="77777777" w:rsidR="007E127F" w:rsidRPr="004F30BD" w:rsidRDefault="007E127F" w:rsidP="00AB0214">
      <w:pPr>
        <w:pStyle w:val="ListParagraph"/>
        <w:numPr>
          <w:ilvl w:val="0"/>
          <w:numId w:val="18"/>
        </w:numPr>
        <w:shd w:val="clear" w:color="auto" w:fill="FFFFFF" w:themeFill="background1"/>
        <w:spacing w:before="60"/>
        <w:ind w:right="1080"/>
        <w:contextualSpacing w:val="0"/>
      </w:pPr>
      <w:r w:rsidRPr="004F30BD">
        <w:t>Respond to queries in a timely fashion and provide status updates</w:t>
      </w:r>
    </w:p>
    <w:p w14:paraId="53C6EDA1" w14:textId="77777777" w:rsidR="007E127F" w:rsidRPr="004F30BD" w:rsidRDefault="007E127F" w:rsidP="00AB0214">
      <w:pPr>
        <w:pStyle w:val="ListParagraph"/>
        <w:numPr>
          <w:ilvl w:val="0"/>
          <w:numId w:val="18"/>
        </w:numPr>
        <w:shd w:val="clear" w:color="auto" w:fill="FFFFFF" w:themeFill="background1"/>
        <w:spacing w:before="60"/>
        <w:ind w:right="1080"/>
        <w:contextualSpacing w:val="0"/>
      </w:pPr>
      <w:r w:rsidRPr="004F30BD">
        <w:t xml:space="preserve">Improve case managers’ knowledge of providers / internal dealings across other areas of TEQSA </w:t>
      </w:r>
    </w:p>
    <w:p w14:paraId="11972085" w14:textId="77777777" w:rsidR="007E127F" w:rsidRPr="004F30BD" w:rsidRDefault="004F30BD" w:rsidP="00AB0214">
      <w:pPr>
        <w:pStyle w:val="ListParagraph"/>
        <w:numPr>
          <w:ilvl w:val="0"/>
          <w:numId w:val="18"/>
        </w:numPr>
        <w:shd w:val="clear" w:color="auto" w:fill="FFFFFF" w:themeFill="background1"/>
        <w:spacing w:before="60"/>
        <w:ind w:right="1080"/>
        <w:contextualSpacing w:val="0"/>
      </w:pPr>
      <w:r w:rsidRPr="004F30BD">
        <w:t>Have</w:t>
      </w:r>
      <w:r w:rsidR="007E127F" w:rsidRPr="004F30BD">
        <w:t xml:space="preserve"> consistent engagement / collaboration to address strategic issues facing the sector </w:t>
      </w:r>
    </w:p>
    <w:p w14:paraId="6DC7386C" w14:textId="77777777" w:rsidR="007E127F" w:rsidRPr="004F30BD" w:rsidRDefault="007E127F" w:rsidP="00AB0214">
      <w:pPr>
        <w:pStyle w:val="ListParagraph"/>
        <w:numPr>
          <w:ilvl w:val="0"/>
          <w:numId w:val="18"/>
        </w:numPr>
        <w:shd w:val="clear" w:color="auto" w:fill="FFFFFF" w:themeFill="background1"/>
        <w:spacing w:before="60"/>
        <w:ind w:right="1080"/>
        <w:contextualSpacing w:val="0"/>
      </w:pPr>
      <w:r w:rsidRPr="004F30BD">
        <w:t>Partner more with other regulatory bodies to address regulatory issues in the sector</w:t>
      </w:r>
    </w:p>
    <w:p w14:paraId="0ECC8A96" w14:textId="77777777" w:rsidR="007E127F" w:rsidRPr="004F30BD" w:rsidRDefault="007E127F" w:rsidP="00AB0214">
      <w:pPr>
        <w:pStyle w:val="ListParagraph"/>
        <w:numPr>
          <w:ilvl w:val="0"/>
          <w:numId w:val="18"/>
        </w:numPr>
        <w:shd w:val="clear" w:color="auto" w:fill="FFFFFF" w:themeFill="background1"/>
        <w:spacing w:before="60"/>
        <w:ind w:right="1080"/>
        <w:contextualSpacing w:val="0"/>
      </w:pPr>
      <w:r w:rsidRPr="004F30BD">
        <w:t xml:space="preserve">Better understand the role / representation of public providers and regional universities </w:t>
      </w:r>
    </w:p>
    <w:p w14:paraId="57ED6000" w14:textId="77777777" w:rsidR="007E127F" w:rsidRPr="004F30BD" w:rsidRDefault="007E127F" w:rsidP="00AB0214">
      <w:pPr>
        <w:pStyle w:val="ListParagraph"/>
        <w:numPr>
          <w:ilvl w:val="0"/>
          <w:numId w:val="18"/>
        </w:numPr>
        <w:shd w:val="clear" w:color="auto" w:fill="FFFFFF" w:themeFill="background1"/>
        <w:spacing w:before="60"/>
        <w:ind w:right="1080"/>
        <w:contextualSpacing w:val="0"/>
      </w:pPr>
      <w:r w:rsidRPr="004F30BD">
        <w:t>Continue to increase transparency around risk system and factors driving assessments</w:t>
      </w:r>
    </w:p>
    <w:p w14:paraId="4888D317" w14:textId="77777777" w:rsidR="007E127F" w:rsidRPr="004F30BD" w:rsidRDefault="007E127F" w:rsidP="00AB0214">
      <w:pPr>
        <w:pStyle w:val="ListParagraph"/>
        <w:numPr>
          <w:ilvl w:val="0"/>
          <w:numId w:val="6"/>
        </w:numPr>
        <w:spacing w:before="60"/>
        <w:ind w:right="1080"/>
        <w:contextualSpacing w:val="0"/>
      </w:pPr>
      <w:r w:rsidRPr="004F30BD">
        <w:t>Support innovation in processes covering regulation, teaching and new learning technologies.</w:t>
      </w:r>
    </w:p>
    <w:p w14:paraId="4416F332" w14:textId="77777777" w:rsidR="007E127F" w:rsidRPr="004F30BD" w:rsidRDefault="007E127F" w:rsidP="007E127F">
      <w:pPr>
        <w:shd w:val="clear" w:color="auto" w:fill="FFFFFF" w:themeFill="background1"/>
      </w:pPr>
      <w:r w:rsidRPr="004F30BD">
        <w:t>Overall TEQSA was fairly well-regarded by providers and peak bodies as a regulator assuring the quality of Australia’s higher education, with many noting improvements in TEQSA’s communications, processes and support provided by staff in 2019.</w:t>
      </w:r>
    </w:p>
    <w:p w14:paraId="3F7C96D6" w14:textId="34F0F401" w:rsidR="005C708B" w:rsidRPr="004F30BD" w:rsidRDefault="005C708B" w:rsidP="005C708B">
      <w:pPr>
        <w:shd w:val="clear" w:color="auto" w:fill="FFFFFF" w:themeFill="background1"/>
      </w:pPr>
      <w:r w:rsidRPr="004F30BD">
        <w:t xml:space="preserve">Survey results clearly show where the sector wants TEQSA to continue doing and to change. The challenge will be </w:t>
      </w:r>
      <w:r w:rsidR="005F7270">
        <w:t>in modifying operations to address these aspects</w:t>
      </w:r>
      <w:r w:rsidRPr="004F30BD">
        <w:t>.</w:t>
      </w:r>
    </w:p>
    <w:p w14:paraId="29B36922" w14:textId="77777777" w:rsidR="00AC05C8" w:rsidRPr="004F30BD" w:rsidRDefault="00AC05C8">
      <w:pPr>
        <w:spacing w:before="0" w:line="240" w:lineRule="auto"/>
        <w:ind w:right="0"/>
      </w:pPr>
    </w:p>
    <w:p w14:paraId="62D50B93" w14:textId="77777777" w:rsidR="00AC05C8" w:rsidRPr="004F30BD" w:rsidRDefault="00AC05C8">
      <w:pPr>
        <w:spacing w:before="0" w:line="240" w:lineRule="auto"/>
        <w:ind w:right="0"/>
      </w:pPr>
      <w:r w:rsidRPr="004F30BD">
        <w:br w:type="page"/>
      </w:r>
    </w:p>
    <w:p w14:paraId="28A36821" w14:textId="77777777" w:rsidR="00252856" w:rsidRPr="004F30BD" w:rsidRDefault="00252856" w:rsidP="00252856"/>
    <w:p w14:paraId="1FDE8E82" w14:textId="77777777" w:rsidR="005F6D85" w:rsidRPr="004F30BD" w:rsidRDefault="005F6D85">
      <w:pPr>
        <w:spacing w:before="0" w:line="240" w:lineRule="auto"/>
        <w:ind w:right="0"/>
      </w:pPr>
    </w:p>
    <w:sectPr w:rsidR="005F6D85" w:rsidRPr="004F30BD" w:rsidSect="007C5F26">
      <w:headerReference w:type="default" r:id="rId36"/>
      <w:pgSz w:w="11899" w:h="16838" w:code="9"/>
      <w:pgMar w:top="1531" w:right="567" w:bottom="1134" w:left="1701" w:header="0" w:footer="454"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CBD388" w14:textId="77777777" w:rsidR="00AB754F" w:rsidRDefault="00AB754F">
      <w:r>
        <w:separator/>
      </w:r>
    </w:p>
  </w:endnote>
  <w:endnote w:type="continuationSeparator" w:id="0">
    <w:p w14:paraId="2CE5239A" w14:textId="77777777" w:rsidR="00AB754F" w:rsidRDefault="00AB7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Nova">
    <w:altName w:val="Arial"/>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62E38" w14:textId="77777777" w:rsidR="00AB754F" w:rsidRDefault="00AB754F">
    <w:pPr>
      <w:pStyle w:val="Footer"/>
    </w:pPr>
    <w:r>
      <w:t xml:space="preserve">TEQSA Stakeholder Survey 2019 </w:t>
    </w:r>
    <w:r>
      <w:rPr>
        <w:color w:val="73C800"/>
        <w:position w:val="1"/>
      </w:rPr>
      <w:t>|</w:t>
    </w:r>
    <w:r>
      <w:t xml:space="preserve"> </w:t>
    </w:r>
    <w:r>
      <w:rPr>
        <w:color w:val="73C800"/>
      </w:rPr>
      <w:t xml:space="preserve">Produced by Australian Survey Research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A6F0B" w14:textId="12508982" w:rsidR="00AB754F" w:rsidRDefault="00AB754F" w:rsidP="00C55824">
    <w:pPr>
      <w:pStyle w:val="Footer"/>
      <w:tabs>
        <w:tab w:val="clear" w:pos="9639"/>
        <w:tab w:val="right" w:pos="9072"/>
        <w:tab w:val="right" w:pos="14175"/>
      </w:tabs>
    </w:pPr>
    <w:r>
      <w:t xml:space="preserve">TEQSA Stakeholder Survey 2019 </w:t>
    </w:r>
    <w:r>
      <w:rPr>
        <w:color w:val="73C800"/>
        <w:position w:val="1"/>
      </w:rPr>
      <w:t>|</w:t>
    </w:r>
    <w:r>
      <w:t xml:space="preserve"> </w:t>
    </w:r>
    <w:r>
      <w:rPr>
        <w:color w:val="73C800"/>
      </w:rPr>
      <w:t xml:space="preserve">Produced by Australian Survey Research </w:t>
    </w:r>
    <w:r>
      <w:rPr>
        <w:color w:val="73C800"/>
      </w:rPr>
      <w:tab/>
    </w:r>
    <w:r>
      <w:rPr>
        <w:color w:val="73C800"/>
        <w:position w:val="1"/>
      </w:rPr>
      <w:t>|</w:t>
    </w:r>
    <w:r>
      <w:t xml:space="preserve"> </w:t>
    </w:r>
    <w:r>
      <w:rPr>
        <w:rStyle w:val="PageNumber"/>
      </w:rPr>
      <w:fldChar w:fldCharType="begin"/>
    </w:r>
    <w:r>
      <w:rPr>
        <w:rStyle w:val="PageNumber"/>
      </w:rPr>
      <w:instrText xml:space="preserve"> PAGE </w:instrText>
    </w:r>
    <w:r>
      <w:rPr>
        <w:rStyle w:val="PageNumber"/>
      </w:rPr>
      <w:fldChar w:fldCharType="separate"/>
    </w:r>
    <w:r w:rsidR="00036EFD">
      <w:rPr>
        <w:rStyle w:val="PageNumber"/>
        <w:noProof/>
      </w:rPr>
      <w:t>20</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E8432" w14:textId="78FF07B8" w:rsidR="00AB754F" w:rsidRDefault="00AB754F" w:rsidP="00C55824">
    <w:pPr>
      <w:pStyle w:val="Footer"/>
      <w:tabs>
        <w:tab w:val="clear" w:pos="9639"/>
        <w:tab w:val="right" w:pos="9072"/>
        <w:tab w:val="right" w:pos="14175"/>
      </w:tabs>
    </w:pPr>
    <w:r>
      <w:t xml:space="preserve">TEQSA Stakeholder Survey 2019 </w:t>
    </w:r>
    <w:r>
      <w:rPr>
        <w:color w:val="73C800"/>
        <w:position w:val="1"/>
      </w:rPr>
      <w:t>|</w:t>
    </w:r>
    <w:r>
      <w:t xml:space="preserve"> </w:t>
    </w:r>
    <w:r>
      <w:rPr>
        <w:color w:val="73C800"/>
      </w:rPr>
      <w:t xml:space="preserve">Produced by Australian Survey Research </w:t>
    </w:r>
    <w:r>
      <w:rPr>
        <w:color w:val="73C800"/>
      </w:rPr>
      <w:tab/>
    </w:r>
    <w:r>
      <w:rPr>
        <w:color w:val="73C800"/>
        <w:position w:val="1"/>
      </w:rPr>
      <w:t>|</w:t>
    </w:r>
    <w:r>
      <w:t xml:space="preserve"> </w:t>
    </w:r>
    <w:r>
      <w:rPr>
        <w:rStyle w:val="PageNumber"/>
      </w:rPr>
      <w:fldChar w:fldCharType="begin"/>
    </w:r>
    <w:r>
      <w:rPr>
        <w:rStyle w:val="PageNumber"/>
      </w:rPr>
      <w:instrText xml:space="preserve"> PAGE </w:instrText>
    </w:r>
    <w:r>
      <w:rPr>
        <w:rStyle w:val="PageNumber"/>
      </w:rPr>
      <w:fldChar w:fldCharType="separate"/>
    </w:r>
    <w:r w:rsidR="00036EFD">
      <w:rPr>
        <w:rStyle w:val="PageNumber"/>
        <w:noProof/>
      </w:rPr>
      <w:t>46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2644B6" w14:textId="77777777" w:rsidR="00AB754F" w:rsidRDefault="00AB754F">
      <w:r>
        <w:separator/>
      </w:r>
    </w:p>
  </w:footnote>
  <w:footnote w:type="continuationSeparator" w:id="0">
    <w:p w14:paraId="0E679223" w14:textId="77777777" w:rsidR="00AB754F" w:rsidRDefault="00AB75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135D6" w14:textId="77777777" w:rsidR="00AB754F" w:rsidRDefault="00AB754F">
    <w:r>
      <w:rPr>
        <w:noProof/>
        <w:sz w:val="20"/>
        <w:lang w:eastAsia="en-AU"/>
      </w:rPr>
      <w:drawing>
        <wp:anchor distT="0" distB="0" distL="114300" distR="114300" simplePos="0" relativeHeight="251656192" behindDoc="1" locked="0" layoutInCell="1" allowOverlap="1" wp14:anchorId="24E6FD96" wp14:editId="4C9B2D12">
          <wp:simplePos x="0" y="0"/>
          <wp:positionH relativeFrom="page">
            <wp:posOffset>6442710</wp:posOffset>
          </wp:positionH>
          <wp:positionV relativeFrom="page">
            <wp:posOffset>450215</wp:posOffset>
          </wp:positionV>
          <wp:extent cx="751205" cy="467995"/>
          <wp:effectExtent l="19050" t="0" r="0" b="0"/>
          <wp:wrapNone/>
          <wp:docPr id="19" name="Picture 19" descr="AS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R Logo"/>
                  <pic:cNvPicPr>
                    <a:picLocks noChangeAspect="1" noChangeArrowheads="1"/>
                  </pic:cNvPicPr>
                </pic:nvPicPr>
                <pic:blipFill>
                  <a:blip r:embed="rId1"/>
                  <a:srcRect/>
                  <a:stretch>
                    <a:fillRect/>
                  </a:stretch>
                </pic:blipFill>
                <pic:spPr bwMode="auto">
                  <a:xfrm>
                    <a:off x="0" y="0"/>
                    <a:ext cx="751205" cy="467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E8FEE" w14:textId="77777777" w:rsidR="00AB754F" w:rsidRDefault="00AB754F">
    <w:r>
      <w:rPr>
        <w:noProof/>
        <w:sz w:val="20"/>
        <w:lang w:eastAsia="en-AU"/>
      </w:rPr>
      <w:drawing>
        <wp:anchor distT="0" distB="0" distL="114300" distR="114300" simplePos="0" relativeHeight="251669504" behindDoc="1" locked="0" layoutInCell="1" allowOverlap="1" wp14:anchorId="781CF39D" wp14:editId="09BAB358">
          <wp:simplePos x="0" y="0"/>
          <wp:positionH relativeFrom="page">
            <wp:posOffset>9538335</wp:posOffset>
          </wp:positionH>
          <wp:positionV relativeFrom="page">
            <wp:posOffset>409575</wp:posOffset>
          </wp:positionV>
          <wp:extent cx="751205" cy="467995"/>
          <wp:effectExtent l="19050" t="0" r="0" b="0"/>
          <wp:wrapNone/>
          <wp:docPr id="13" name="Picture 13" descr="AS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R Logo"/>
                  <pic:cNvPicPr>
                    <a:picLocks noChangeAspect="1" noChangeArrowheads="1"/>
                  </pic:cNvPicPr>
                </pic:nvPicPr>
                <pic:blipFill>
                  <a:blip r:embed="rId1"/>
                  <a:srcRect/>
                  <a:stretch>
                    <a:fillRect/>
                  </a:stretch>
                </pic:blipFill>
                <pic:spPr bwMode="auto">
                  <a:xfrm>
                    <a:off x="0" y="0"/>
                    <a:ext cx="751205" cy="46799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1B7C1" w14:textId="77777777" w:rsidR="00AB754F" w:rsidRDefault="00AB754F">
    <w:r>
      <w:rPr>
        <w:noProof/>
        <w:sz w:val="20"/>
        <w:lang w:eastAsia="en-AU"/>
      </w:rPr>
      <w:drawing>
        <wp:anchor distT="0" distB="0" distL="114300" distR="114300" simplePos="0" relativeHeight="251673600" behindDoc="1" locked="0" layoutInCell="1" allowOverlap="1" wp14:anchorId="5A7EDA42" wp14:editId="4F880505">
          <wp:simplePos x="0" y="0"/>
          <wp:positionH relativeFrom="margin">
            <wp:align>right</wp:align>
          </wp:positionH>
          <wp:positionV relativeFrom="page">
            <wp:posOffset>323850</wp:posOffset>
          </wp:positionV>
          <wp:extent cx="751205" cy="467995"/>
          <wp:effectExtent l="0" t="0" r="0" b="8255"/>
          <wp:wrapNone/>
          <wp:docPr id="18" name="Picture 18" descr="AS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R Logo"/>
                  <pic:cNvPicPr>
                    <a:picLocks noChangeAspect="1" noChangeArrowheads="1"/>
                  </pic:cNvPicPr>
                </pic:nvPicPr>
                <pic:blipFill>
                  <a:blip r:embed="rId1"/>
                  <a:srcRect/>
                  <a:stretch>
                    <a:fillRect/>
                  </a:stretch>
                </pic:blipFill>
                <pic:spPr bwMode="auto">
                  <a:xfrm>
                    <a:off x="0" y="0"/>
                    <a:ext cx="751205" cy="467995"/>
                  </a:xfrm>
                  <a:prstGeom prst="rect">
                    <a:avLst/>
                  </a:prstGeom>
                  <a:noFill/>
                  <a:ln w="9525">
                    <a:noFill/>
                    <a:miter lim="800000"/>
                    <a:headEnd/>
                    <a:tailEnd/>
                  </a:ln>
                </pic:spPr>
              </pic:pic>
            </a:graphicData>
          </a:graphic>
        </wp:anchor>
      </w:drawing>
    </w:r>
    <w:r>
      <w:rPr>
        <w:noProof/>
        <w:sz w:val="20"/>
        <w:lang w:eastAsia="en-AU"/>
      </w:rPr>
      <w:drawing>
        <wp:anchor distT="0" distB="0" distL="114300" distR="114300" simplePos="0" relativeHeight="251671552" behindDoc="1" locked="0" layoutInCell="1" allowOverlap="1" wp14:anchorId="30357200" wp14:editId="0D633408">
          <wp:simplePos x="0" y="0"/>
          <wp:positionH relativeFrom="page">
            <wp:posOffset>9538335</wp:posOffset>
          </wp:positionH>
          <wp:positionV relativeFrom="page">
            <wp:posOffset>409575</wp:posOffset>
          </wp:positionV>
          <wp:extent cx="751205" cy="467995"/>
          <wp:effectExtent l="19050" t="0" r="0" b="0"/>
          <wp:wrapNone/>
          <wp:docPr id="17" name="Picture 17" descr="AS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R Logo"/>
                  <pic:cNvPicPr>
                    <a:picLocks noChangeAspect="1" noChangeArrowheads="1"/>
                  </pic:cNvPicPr>
                </pic:nvPicPr>
                <pic:blipFill>
                  <a:blip r:embed="rId1"/>
                  <a:srcRect/>
                  <a:stretch>
                    <a:fillRect/>
                  </a:stretch>
                </pic:blipFill>
                <pic:spPr bwMode="auto">
                  <a:xfrm>
                    <a:off x="0" y="0"/>
                    <a:ext cx="751205" cy="46799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E0B3E" w14:textId="77777777" w:rsidR="00AB754F" w:rsidRDefault="00AB754F">
    <w:r>
      <w:rPr>
        <w:noProof/>
        <w:sz w:val="20"/>
        <w:lang w:eastAsia="en-AU"/>
      </w:rPr>
      <w:drawing>
        <wp:anchor distT="0" distB="0" distL="114300" distR="114300" simplePos="0" relativeHeight="251665408" behindDoc="1" locked="0" layoutInCell="1" allowOverlap="1" wp14:anchorId="31CFDC11" wp14:editId="0E3A44C2">
          <wp:simplePos x="0" y="0"/>
          <wp:positionH relativeFrom="page">
            <wp:posOffset>9576435</wp:posOffset>
          </wp:positionH>
          <wp:positionV relativeFrom="page">
            <wp:posOffset>554990</wp:posOffset>
          </wp:positionV>
          <wp:extent cx="751205" cy="467995"/>
          <wp:effectExtent l="19050" t="0" r="0" b="0"/>
          <wp:wrapNone/>
          <wp:docPr id="24" name="Picture 24" descr="AS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R Logo"/>
                  <pic:cNvPicPr>
                    <a:picLocks noChangeAspect="1" noChangeArrowheads="1"/>
                  </pic:cNvPicPr>
                </pic:nvPicPr>
                <pic:blipFill>
                  <a:blip r:embed="rId1"/>
                  <a:srcRect/>
                  <a:stretch>
                    <a:fillRect/>
                  </a:stretch>
                </pic:blipFill>
                <pic:spPr bwMode="auto">
                  <a:xfrm>
                    <a:off x="0" y="0"/>
                    <a:ext cx="751205" cy="467995"/>
                  </a:xfrm>
                  <a:prstGeom prst="rect">
                    <a:avLst/>
                  </a:prstGeom>
                  <a:noFill/>
                  <a:ln w="9525">
                    <a:noFill/>
                    <a:miter lim="800000"/>
                    <a:headEnd/>
                    <a:tailEnd/>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78D26" w14:textId="77777777" w:rsidR="00AB754F" w:rsidRDefault="00AB754F">
    <w:r>
      <w:rPr>
        <w:noProof/>
        <w:sz w:val="20"/>
        <w:lang w:eastAsia="en-AU"/>
      </w:rPr>
      <w:drawing>
        <wp:anchor distT="0" distB="0" distL="114300" distR="114300" simplePos="0" relativeHeight="251659264" behindDoc="1" locked="0" layoutInCell="1" allowOverlap="1" wp14:anchorId="6C6C6C03" wp14:editId="1678AF5F">
          <wp:simplePos x="0" y="0"/>
          <wp:positionH relativeFrom="page">
            <wp:posOffset>6442710</wp:posOffset>
          </wp:positionH>
          <wp:positionV relativeFrom="page">
            <wp:posOffset>459740</wp:posOffset>
          </wp:positionV>
          <wp:extent cx="751205" cy="467995"/>
          <wp:effectExtent l="19050" t="0" r="0" b="0"/>
          <wp:wrapNone/>
          <wp:docPr id="10" name="Picture 10" descr="AS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R Logo"/>
                  <pic:cNvPicPr>
                    <a:picLocks noChangeAspect="1" noChangeArrowheads="1"/>
                  </pic:cNvPicPr>
                </pic:nvPicPr>
                <pic:blipFill>
                  <a:blip r:embed="rId1"/>
                  <a:srcRect/>
                  <a:stretch>
                    <a:fillRect/>
                  </a:stretch>
                </pic:blipFill>
                <pic:spPr bwMode="auto">
                  <a:xfrm>
                    <a:off x="0" y="0"/>
                    <a:ext cx="751205" cy="467995"/>
                  </a:xfrm>
                  <a:prstGeom prst="rect">
                    <a:avLst/>
                  </a:prstGeom>
                  <a:noFill/>
                  <a:ln w="9525">
                    <a:noFill/>
                    <a:miter lim="800000"/>
                    <a:headEnd/>
                    <a:tailEnd/>
                  </a:ln>
                </pic:spPr>
              </pic:pic>
            </a:graphicData>
          </a:graphic>
        </wp:anchor>
      </w:drawing>
    </w:r>
    <w:r>
      <w:rPr>
        <w:noProof/>
        <w:sz w:val="20"/>
        <w:lang w:eastAsia="en-AU"/>
      </w:rPr>
      <w:drawing>
        <wp:anchor distT="0" distB="0" distL="114300" distR="114300" simplePos="0" relativeHeight="251657216" behindDoc="1" locked="0" layoutInCell="1" allowOverlap="1" wp14:anchorId="2EEC81CA" wp14:editId="423BF7A7">
          <wp:simplePos x="0" y="0"/>
          <wp:positionH relativeFrom="page">
            <wp:posOffset>9576435</wp:posOffset>
          </wp:positionH>
          <wp:positionV relativeFrom="page">
            <wp:posOffset>554990</wp:posOffset>
          </wp:positionV>
          <wp:extent cx="751205" cy="467995"/>
          <wp:effectExtent l="19050" t="0" r="0" b="0"/>
          <wp:wrapNone/>
          <wp:docPr id="8" name="Picture 8" descr="AS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R Logo"/>
                  <pic:cNvPicPr>
                    <a:picLocks noChangeAspect="1" noChangeArrowheads="1"/>
                  </pic:cNvPicPr>
                </pic:nvPicPr>
                <pic:blipFill>
                  <a:blip r:embed="rId1"/>
                  <a:srcRect/>
                  <a:stretch>
                    <a:fillRect/>
                  </a:stretch>
                </pic:blipFill>
                <pic:spPr bwMode="auto">
                  <a:xfrm>
                    <a:off x="0" y="0"/>
                    <a:ext cx="751205" cy="467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35C7E"/>
    <w:multiLevelType w:val="hybridMultilevel"/>
    <w:tmpl w:val="3C6A2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00206C"/>
    <w:multiLevelType w:val="hybridMultilevel"/>
    <w:tmpl w:val="0B6A2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391324"/>
    <w:multiLevelType w:val="hybridMultilevel"/>
    <w:tmpl w:val="1A20AA54"/>
    <w:lvl w:ilvl="0" w:tplc="F9F61CA0">
      <w:start w:val="1"/>
      <w:numFmt w:val="bullet"/>
      <w:pStyle w:val="ListBullet3"/>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732B06"/>
    <w:multiLevelType w:val="hybridMultilevel"/>
    <w:tmpl w:val="6A56F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850782"/>
    <w:multiLevelType w:val="hybridMultilevel"/>
    <w:tmpl w:val="7BB41E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A42936"/>
    <w:multiLevelType w:val="multilevel"/>
    <w:tmpl w:val="7AA47F00"/>
    <w:lvl w:ilvl="0">
      <w:start w:val="1"/>
      <w:numFmt w:val="bullet"/>
      <w:lvlText w:val=""/>
      <w:lvlJc w:val="left"/>
      <w:pPr>
        <w:ind w:left="360" w:hanging="360"/>
      </w:pPr>
      <w:rPr>
        <w:rFonts w:ascii="Symbol" w:hAnsi="Symbol" w:hint="default"/>
      </w:rPr>
    </w:lvl>
    <w:lvl w:ilvl="1">
      <w:start w:val="1"/>
      <w:numFmt w:val="bullet"/>
      <w:lvlText w:val=""/>
      <w:lvlJc w:val="left"/>
      <w:pPr>
        <w:ind w:left="1077" w:hanging="360"/>
      </w:pPr>
      <w:rPr>
        <w:rFonts w:ascii="Symbol" w:hAnsi="Symbol" w:hint="default"/>
      </w:rPr>
    </w:lvl>
    <w:lvl w:ilvl="2">
      <w:start w:val="1"/>
      <w:numFmt w:val="bullet"/>
      <w:lvlText w:val=""/>
      <w:lvlJc w:val="left"/>
      <w:pPr>
        <w:ind w:left="2154" w:hanging="720"/>
      </w:pPr>
      <w:rPr>
        <w:rFonts w:ascii="Symbol" w:hAnsi="Symbol" w:hint="default"/>
      </w:rPr>
    </w:lvl>
    <w:lvl w:ilvl="3">
      <w:start w:val="1"/>
      <w:numFmt w:val="decimal"/>
      <w:lvlText w:val="%1.%2.%3.%4"/>
      <w:lvlJc w:val="left"/>
      <w:pPr>
        <w:ind w:left="2871" w:hanging="72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6" w15:restartNumberingAfterBreak="0">
    <w:nsid w:val="2DB124BD"/>
    <w:multiLevelType w:val="hybridMultilevel"/>
    <w:tmpl w:val="405EE9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494726"/>
    <w:multiLevelType w:val="hybridMultilevel"/>
    <w:tmpl w:val="96000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E563C28"/>
    <w:multiLevelType w:val="hybridMultilevel"/>
    <w:tmpl w:val="BCACB894"/>
    <w:lvl w:ilvl="0" w:tplc="B31478D6">
      <w:start w:val="1"/>
      <w:numFmt w:val="bullet"/>
      <w:pStyle w:val="Tablebullet"/>
      <w:lvlText w:val=""/>
      <w:lvlJc w:val="left"/>
      <w:pPr>
        <w:tabs>
          <w:tab w:val="num" w:pos="3600"/>
        </w:tabs>
        <w:ind w:left="36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076243F"/>
    <w:multiLevelType w:val="hybridMultilevel"/>
    <w:tmpl w:val="6A022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55F213B"/>
    <w:multiLevelType w:val="hybridMultilevel"/>
    <w:tmpl w:val="364AF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7084532"/>
    <w:multiLevelType w:val="hybridMultilevel"/>
    <w:tmpl w:val="88D4C5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9AC09F7"/>
    <w:multiLevelType w:val="hybridMultilevel"/>
    <w:tmpl w:val="D3D8C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466E52"/>
    <w:multiLevelType w:val="singleLevel"/>
    <w:tmpl w:val="4338416C"/>
    <w:lvl w:ilvl="0">
      <w:start w:val="1"/>
      <w:numFmt w:val="bullet"/>
      <w:pStyle w:val="Tablebulletsmall"/>
      <w:lvlText w:val=""/>
      <w:lvlJc w:val="left"/>
      <w:pPr>
        <w:tabs>
          <w:tab w:val="num" w:pos="360"/>
        </w:tabs>
        <w:ind w:left="360" w:hanging="360"/>
      </w:pPr>
      <w:rPr>
        <w:rFonts w:ascii="Symbol" w:hAnsi="Symbol" w:hint="default"/>
      </w:rPr>
    </w:lvl>
  </w:abstractNum>
  <w:abstractNum w:abstractNumId="14" w15:restartNumberingAfterBreak="0">
    <w:nsid w:val="52566919"/>
    <w:multiLevelType w:val="hybridMultilevel"/>
    <w:tmpl w:val="C9B84758"/>
    <w:lvl w:ilvl="0" w:tplc="4698CC2A">
      <w:start w:val="1"/>
      <w:numFmt w:val="bullet"/>
      <w:pStyle w:val="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F2C7240"/>
    <w:multiLevelType w:val="hybridMultilevel"/>
    <w:tmpl w:val="9AC29F38"/>
    <w:lvl w:ilvl="0" w:tplc="DDDE155C">
      <w:start w:val="1"/>
      <w:numFmt w:val="bullet"/>
      <w:pStyle w:val="Notebullet"/>
      <w:lvlText w:val=""/>
      <w:lvlJc w:val="left"/>
      <w:pPr>
        <w:tabs>
          <w:tab w:val="num" w:pos="890"/>
        </w:tabs>
        <w:ind w:left="890" w:hanging="360"/>
      </w:pPr>
      <w:rPr>
        <w:rFonts w:ascii="Symbol" w:hAnsi="Symbol" w:hint="default"/>
      </w:rPr>
    </w:lvl>
    <w:lvl w:ilvl="1" w:tplc="04090003" w:tentative="1">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16" w15:restartNumberingAfterBreak="0">
    <w:nsid w:val="620232D6"/>
    <w:multiLevelType w:val="hybridMultilevel"/>
    <w:tmpl w:val="0FDCA7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7F90AA2"/>
    <w:multiLevelType w:val="hybridMultilevel"/>
    <w:tmpl w:val="373EB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8CA64DC"/>
    <w:multiLevelType w:val="hybridMultilevel"/>
    <w:tmpl w:val="CEF04B70"/>
    <w:lvl w:ilvl="0" w:tplc="8746EFDA">
      <w:start w:val="1"/>
      <w:numFmt w:val="bullet"/>
      <w:pStyle w:val="Bullet1"/>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AF67FFB"/>
    <w:multiLevelType w:val="hybridMultilevel"/>
    <w:tmpl w:val="3A3C7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BF0778C"/>
    <w:multiLevelType w:val="hybridMultilevel"/>
    <w:tmpl w:val="357E94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8"/>
  </w:num>
  <w:num w:numId="4">
    <w:abstractNumId w:val="15"/>
  </w:num>
  <w:num w:numId="5">
    <w:abstractNumId w:val="2"/>
  </w:num>
  <w:num w:numId="6">
    <w:abstractNumId w:val="19"/>
  </w:num>
  <w:num w:numId="7">
    <w:abstractNumId w:val="14"/>
  </w:num>
  <w:num w:numId="8">
    <w:abstractNumId w:val="6"/>
  </w:num>
  <w:num w:numId="9">
    <w:abstractNumId w:val="17"/>
  </w:num>
  <w:num w:numId="10">
    <w:abstractNumId w:val="7"/>
  </w:num>
  <w:num w:numId="11">
    <w:abstractNumId w:val="3"/>
  </w:num>
  <w:num w:numId="12">
    <w:abstractNumId w:val="10"/>
  </w:num>
  <w:num w:numId="13">
    <w:abstractNumId w:val="5"/>
  </w:num>
  <w:num w:numId="14">
    <w:abstractNumId w:val="16"/>
  </w:num>
  <w:num w:numId="15">
    <w:abstractNumId w:val="0"/>
  </w:num>
  <w:num w:numId="16">
    <w:abstractNumId w:val="4"/>
  </w:num>
  <w:num w:numId="17">
    <w:abstractNumId w:val="11"/>
  </w:num>
  <w:num w:numId="18">
    <w:abstractNumId w:val="1"/>
  </w:num>
  <w:num w:numId="19">
    <w:abstractNumId w:val="20"/>
  </w:num>
  <w:num w:numId="20">
    <w:abstractNumId w:val="9"/>
  </w:num>
  <w:num w:numId="21">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2289">
      <o:colormru v:ext="edit" colors="#00386e,#73c800,#c6eaa8"/>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378"/>
    <w:rsid w:val="00000224"/>
    <w:rsid w:val="000002AD"/>
    <w:rsid w:val="00000762"/>
    <w:rsid w:val="00000DF6"/>
    <w:rsid w:val="00000E57"/>
    <w:rsid w:val="000010F5"/>
    <w:rsid w:val="00001346"/>
    <w:rsid w:val="000015C6"/>
    <w:rsid w:val="000015CC"/>
    <w:rsid w:val="00001851"/>
    <w:rsid w:val="00001E4B"/>
    <w:rsid w:val="00003204"/>
    <w:rsid w:val="00003C4B"/>
    <w:rsid w:val="000041F1"/>
    <w:rsid w:val="000043A6"/>
    <w:rsid w:val="00004784"/>
    <w:rsid w:val="000047A0"/>
    <w:rsid w:val="0000520F"/>
    <w:rsid w:val="00005814"/>
    <w:rsid w:val="00005C12"/>
    <w:rsid w:val="000060C8"/>
    <w:rsid w:val="00010019"/>
    <w:rsid w:val="00010815"/>
    <w:rsid w:val="0001104E"/>
    <w:rsid w:val="000114ED"/>
    <w:rsid w:val="00011523"/>
    <w:rsid w:val="00011A4E"/>
    <w:rsid w:val="0001207D"/>
    <w:rsid w:val="00012417"/>
    <w:rsid w:val="00012B0E"/>
    <w:rsid w:val="0001306D"/>
    <w:rsid w:val="00013383"/>
    <w:rsid w:val="00013848"/>
    <w:rsid w:val="00013DA7"/>
    <w:rsid w:val="00013F14"/>
    <w:rsid w:val="0001425A"/>
    <w:rsid w:val="000142BC"/>
    <w:rsid w:val="00014349"/>
    <w:rsid w:val="000143E3"/>
    <w:rsid w:val="0001455E"/>
    <w:rsid w:val="00014882"/>
    <w:rsid w:val="00014C12"/>
    <w:rsid w:val="00015F5F"/>
    <w:rsid w:val="0001716B"/>
    <w:rsid w:val="000176D8"/>
    <w:rsid w:val="00017866"/>
    <w:rsid w:val="00020348"/>
    <w:rsid w:val="00020415"/>
    <w:rsid w:val="000204F2"/>
    <w:rsid w:val="0002063F"/>
    <w:rsid w:val="000207D7"/>
    <w:rsid w:val="00020DF3"/>
    <w:rsid w:val="000214D8"/>
    <w:rsid w:val="00021DF0"/>
    <w:rsid w:val="0002233F"/>
    <w:rsid w:val="00022D7D"/>
    <w:rsid w:val="00023063"/>
    <w:rsid w:val="00023924"/>
    <w:rsid w:val="00023AB6"/>
    <w:rsid w:val="00023C62"/>
    <w:rsid w:val="00023C9A"/>
    <w:rsid w:val="00023D7A"/>
    <w:rsid w:val="000246A7"/>
    <w:rsid w:val="00024716"/>
    <w:rsid w:val="000249DA"/>
    <w:rsid w:val="00024E3B"/>
    <w:rsid w:val="00024E49"/>
    <w:rsid w:val="00025619"/>
    <w:rsid w:val="00026934"/>
    <w:rsid w:val="00026AA4"/>
    <w:rsid w:val="00026AFA"/>
    <w:rsid w:val="00027512"/>
    <w:rsid w:val="00027930"/>
    <w:rsid w:val="00030167"/>
    <w:rsid w:val="00030735"/>
    <w:rsid w:val="00030C05"/>
    <w:rsid w:val="00030D9B"/>
    <w:rsid w:val="000328F9"/>
    <w:rsid w:val="00032CB9"/>
    <w:rsid w:val="00032EF8"/>
    <w:rsid w:val="00034537"/>
    <w:rsid w:val="000345EA"/>
    <w:rsid w:val="000348AE"/>
    <w:rsid w:val="00034F58"/>
    <w:rsid w:val="000353D7"/>
    <w:rsid w:val="000357FE"/>
    <w:rsid w:val="000363DF"/>
    <w:rsid w:val="0003640D"/>
    <w:rsid w:val="00036590"/>
    <w:rsid w:val="00036C26"/>
    <w:rsid w:val="00036EFD"/>
    <w:rsid w:val="000372D3"/>
    <w:rsid w:val="00037AC9"/>
    <w:rsid w:val="00037D70"/>
    <w:rsid w:val="00040396"/>
    <w:rsid w:val="00040574"/>
    <w:rsid w:val="0004089F"/>
    <w:rsid w:val="000409DA"/>
    <w:rsid w:val="000409ED"/>
    <w:rsid w:val="00040AA9"/>
    <w:rsid w:val="00040F2B"/>
    <w:rsid w:val="00041935"/>
    <w:rsid w:val="00041BAB"/>
    <w:rsid w:val="00041D3D"/>
    <w:rsid w:val="00042614"/>
    <w:rsid w:val="00042E2E"/>
    <w:rsid w:val="00043385"/>
    <w:rsid w:val="00043558"/>
    <w:rsid w:val="00043884"/>
    <w:rsid w:val="00043B76"/>
    <w:rsid w:val="000440E9"/>
    <w:rsid w:val="000442A7"/>
    <w:rsid w:val="00044792"/>
    <w:rsid w:val="00044817"/>
    <w:rsid w:val="00044DBB"/>
    <w:rsid w:val="00044EDD"/>
    <w:rsid w:val="00044F1C"/>
    <w:rsid w:val="00045016"/>
    <w:rsid w:val="000451FE"/>
    <w:rsid w:val="00045289"/>
    <w:rsid w:val="00045486"/>
    <w:rsid w:val="0004556A"/>
    <w:rsid w:val="00045CAC"/>
    <w:rsid w:val="00045D8C"/>
    <w:rsid w:val="00045F8D"/>
    <w:rsid w:val="0004656D"/>
    <w:rsid w:val="00046866"/>
    <w:rsid w:val="000469C8"/>
    <w:rsid w:val="00046C56"/>
    <w:rsid w:val="00050102"/>
    <w:rsid w:val="0005062C"/>
    <w:rsid w:val="0005147D"/>
    <w:rsid w:val="0005161C"/>
    <w:rsid w:val="00051C1D"/>
    <w:rsid w:val="0005244B"/>
    <w:rsid w:val="00052498"/>
    <w:rsid w:val="00052A6D"/>
    <w:rsid w:val="000536CE"/>
    <w:rsid w:val="00053973"/>
    <w:rsid w:val="00054007"/>
    <w:rsid w:val="0005475F"/>
    <w:rsid w:val="000549BF"/>
    <w:rsid w:val="00054CA5"/>
    <w:rsid w:val="00054E24"/>
    <w:rsid w:val="00055DE6"/>
    <w:rsid w:val="00055FB5"/>
    <w:rsid w:val="000560D8"/>
    <w:rsid w:val="00056468"/>
    <w:rsid w:val="000573A8"/>
    <w:rsid w:val="000577E2"/>
    <w:rsid w:val="000579B9"/>
    <w:rsid w:val="00057D1A"/>
    <w:rsid w:val="000600E2"/>
    <w:rsid w:val="00060179"/>
    <w:rsid w:val="000601A8"/>
    <w:rsid w:val="00060D6F"/>
    <w:rsid w:val="00061544"/>
    <w:rsid w:val="00061B2F"/>
    <w:rsid w:val="00061B3E"/>
    <w:rsid w:val="000620A7"/>
    <w:rsid w:val="00062562"/>
    <w:rsid w:val="00062AA1"/>
    <w:rsid w:val="00062ABB"/>
    <w:rsid w:val="00062AD6"/>
    <w:rsid w:val="00062BD7"/>
    <w:rsid w:val="000630B3"/>
    <w:rsid w:val="00063670"/>
    <w:rsid w:val="00063A20"/>
    <w:rsid w:val="00063B2B"/>
    <w:rsid w:val="00063F92"/>
    <w:rsid w:val="00064BAB"/>
    <w:rsid w:val="000651CD"/>
    <w:rsid w:val="00065B76"/>
    <w:rsid w:val="00067750"/>
    <w:rsid w:val="00067E39"/>
    <w:rsid w:val="00067F11"/>
    <w:rsid w:val="00070300"/>
    <w:rsid w:val="0007030A"/>
    <w:rsid w:val="00070774"/>
    <w:rsid w:val="00070CDD"/>
    <w:rsid w:val="0007100A"/>
    <w:rsid w:val="0007106B"/>
    <w:rsid w:val="00071864"/>
    <w:rsid w:val="0007210F"/>
    <w:rsid w:val="000727ED"/>
    <w:rsid w:val="00072C20"/>
    <w:rsid w:val="00072DEA"/>
    <w:rsid w:val="000732CA"/>
    <w:rsid w:val="00073356"/>
    <w:rsid w:val="000734DE"/>
    <w:rsid w:val="00073F1A"/>
    <w:rsid w:val="0007404B"/>
    <w:rsid w:val="00074608"/>
    <w:rsid w:val="0007499B"/>
    <w:rsid w:val="00074BDE"/>
    <w:rsid w:val="00074F83"/>
    <w:rsid w:val="000752EE"/>
    <w:rsid w:val="000757B2"/>
    <w:rsid w:val="00075C1A"/>
    <w:rsid w:val="00075C67"/>
    <w:rsid w:val="000760CC"/>
    <w:rsid w:val="0007612F"/>
    <w:rsid w:val="000763E6"/>
    <w:rsid w:val="0007676C"/>
    <w:rsid w:val="000768DF"/>
    <w:rsid w:val="00076AC3"/>
    <w:rsid w:val="0007716B"/>
    <w:rsid w:val="0007725B"/>
    <w:rsid w:val="000773C4"/>
    <w:rsid w:val="000775D1"/>
    <w:rsid w:val="00077DB8"/>
    <w:rsid w:val="00080293"/>
    <w:rsid w:val="00082738"/>
    <w:rsid w:val="00082A62"/>
    <w:rsid w:val="00082AAC"/>
    <w:rsid w:val="00083538"/>
    <w:rsid w:val="00083539"/>
    <w:rsid w:val="0008525C"/>
    <w:rsid w:val="00085357"/>
    <w:rsid w:val="00085624"/>
    <w:rsid w:val="00085652"/>
    <w:rsid w:val="000858AC"/>
    <w:rsid w:val="00085A84"/>
    <w:rsid w:val="00085D9B"/>
    <w:rsid w:val="000865D4"/>
    <w:rsid w:val="00087647"/>
    <w:rsid w:val="00087A7C"/>
    <w:rsid w:val="00087CBB"/>
    <w:rsid w:val="0009088B"/>
    <w:rsid w:val="00090ABE"/>
    <w:rsid w:val="00090CAA"/>
    <w:rsid w:val="00091258"/>
    <w:rsid w:val="000915EA"/>
    <w:rsid w:val="00091990"/>
    <w:rsid w:val="00091DED"/>
    <w:rsid w:val="000921A3"/>
    <w:rsid w:val="00092B06"/>
    <w:rsid w:val="00093BB5"/>
    <w:rsid w:val="00093D18"/>
    <w:rsid w:val="00093D54"/>
    <w:rsid w:val="000940CB"/>
    <w:rsid w:val="0009455A"/>
    <w:rsid w:val="00094F0F"/>
    <w:rsid w:val="00095440"/>
    <w:rsid w:val="000959DD"/>
    <w:rsid w:val="000964E7"/>
    <w:rsid w:val="00096F04"/>
    <w:rsid w:val="000970B0"/>
    <w:rsid w:val="00097557"/>
    <w:rsid w:val="000A00AD"/>
    <w:rsid w:val="000A0286"/>
    <w:rsid w:val="000A06FC"/>
    <w:rsid w:val="000A1490"/>
    <w:rsid w:val="000A15F5"/>
    <w:rsid w:val="000A17E1"/>
    <w:rsid w:val="000A19AF"/>
    <w:rsid w:val="000A1C00"/>
    <w:rsid w:val="000A1C67"/>
    <w:rsid w:val="000A1EE2"/>
    <w:rsid w:val="000A2121"/>
    <w:rsid w:val="000A229E"/>
    <w:rsid w:val="000A2773"/>
    <w:rsid w:val="000A29CB"/>
    <w:rsid w:val="000A30E6"/>
    <w:rsid w:val="000A3627"/>
    <w:rsid w:val="000A3931"/>
    <w:rsid w:val="000A3AB6"/>
    <w:rsid w:val="000A3C14"/>
    <w:rsid w:val="000A4560"/>
    <w:rsid w:val="000A4C56"/>
    <w:rsid w:val="000A4DBC"/>
    <w:rsid w:val="000A4EE0"/>
    <w:rsid w:val="000A5DF3"/>
    <w:rsid w:val="000A5F91"/>
    <w:rsid w:val="000A6518"/>
    <w:rsid w:val="000A6BB8"/>
    <w:rsid w:val="000A6EF2"/>
    <w:rsid w:val="000A6FED"/>
    <w:rsid w:val="000A7217"/>
    <w:rsid w:val="000A77EA"/>
    <w:rsid w:val="000A7947"/>
    <w:rsid w:val="000B007E"/>
    <w:rsid w:val="000B04A1"/>
    <w:rsid w:val="000B0EED"/>
    <w:rsid w:val="000B1498"/>
    <w:rsid w:val="000B2510"/>
    <w:rsid w:val="000B2572"/>
    <w:rsid w:val="000B2D04"/>
    <w:rsid w:val="000B3A05"/>
    <w:rsid w:val="000B4365"/>
    <w:rsid w:val="000B4539"/>
    <w:rsid w:val="000B4568"/>
    <w:rsid w:val="000B4963"/>
    <w:rsid w:val="000B4CCD"/>
    <w:rsid w:val="000B5843"/>
    <w:rsid w:val="000B587E"/>
    <w:rsid w:val="000B5A9C"/>
    <w:rsid w:val="000B5C04"/>
    <w:rsid w:val="000B5C4B"/>
    <w:rsid w:val="000B5EBC"/>
    <w:rsid w:val="000B5FCA"/>
    <w:rsid w:val="000B6EFA"/>
    <w:rsid w:val="000B6FFF"/>
    <w:rsid w:val="000B79A3"/>
    <w:rsid w:val="000C0302"/>
    <w:rsid w:val="000C0630"/>
    <w:rsid w:val="000C07C7"/>
    <w:rsid w:val="000C0E59"/>
    <w:rsid w:val="000C10AA"/>
    <w:rsid w:val="000C1633"/>
    <w:rsid w:val="000C16E3"/>
    <w:rsid w:val="000C194C"/>
    <w:rsid w:val="000C1B87"/>
    <w:rsid w:val="000C1DE8"/>
    <w:rsid w:val="000C20B0"/>
    <w:rsid w:val="000C24B2"/>
    <w:rsid w:val="000C2891"/>
    <w:rsid w:val="000C29D9"/>
    <w:rsid w:val="000C2CC0"/>
    <w:rsid w:val="000C3045"/>
    <w:rsid w:val="000C36CB"/>
    <w:rsid w:val="000C3C08"/>
    <w:rsid w:val="000C3FF2"/>
    <w:rsid w:val="000C4105"/>
    <w:rsid w:val="000C4261"/>
    <w:rsid w:val="000C4433"/>
    <w:rsid w:val="000C46C5"/>
    <w:rsid w:val="000C4830"/>
    <w:rsid w:val="000C502C"/>
    <w:rsid w:val="000C53BF"/>
    <w:rsid w:val="000C5F9D"/>
    <w:rsid w:val="000C664C"/>
    <w:rsid w:val="000C666A"/>
    <w:rsid w:val="000C673C"/>
    <w:rsid w:val="000C6AA0"/>
    <w:rsid w:val="000C726F"/>
    <w:rsid w:val="000C72BC"/>
    <w:rsid w:val="000C7BEC"/>
    <w:rsid w:val="000C7F5B"/>
    <w:rsid w:val="000D08EC"/>
    <w:rsid w:val="000D105E"/>
    <w:rsid w:val="000D1640"/>
    <w:rsid w:val="000D24B2"/>
    <w:rsid w:val="000D2DE3"/>
    <w:rsid w:val="000D359D"/>
    <w:rsid w:val="000D3B28"/>
    <w:rsid w:val="000D42DC"/>
    <w:rsid w:val="000D4611"/>
    <w:rsid w:val="000D4A45"/>
    <w:rsid w:val="000D5265"/>
    <w:rsid w:val="000D528C"/>
    <w:rsid w:val="000D52B9"/>
    <w:rsid w:val="000D538D"/>
    <w:rsid w:val="000D5EA9"/>
    <w:rsid w:val="000D614F"/>
    <w:rsid w:val="000D632D"/>
    <w:rsid w:val="000D64E5"/>
    <w:rsid w:val="000D694D"/>
    <w:rsid w:val="000D735C"/>
    <w:rsid w:val="000D7849"/>
    <w:rsid w:val="000E07CA"/>
    <w:rsid w:val="000E09E8"/>
    <w:rsid w:val="000E0E5F"/>
    <w:rsid w:val="000E1713"/>
    <w:rsid w:val="000E1AD2"/>
    <w:rsid w:val="000E1D95"/>
    <w:rsid w:val="000E2671"/>
    <w:rsid w:val="000E2A3A"/>
    <w:rsid w:val="000E2A50"/>
    <w:rsid w:val="000E2AEB"/>
    <w:rsid w:val="000E3206"/>
    <w:rsid w:val="000E3443"/>
    <w:rsid w:val="000E3705"/>
    <w:rsid w:val="000E49C4"/>
    <w:rsid w:val="000E4BD3"/>
    <w:rsid w:val="000E4BFC"/>
    <w:rsid w:val="000E52BA"/>
    <w:rsid w:val="000E59FC"/>
    <w:rsid w:val="000E5E77"/>
    <w:rsid w:val="000E6389"/>
    <w:rsid w:val="000E6405"/>
    <w:rsid w:val="000E768D"/>
    <w:rsid w:val="000E7B48"/>
    <w:rsid w:val="000E7D42"/>
    <w:rsid w:val="000E7FAD"/>
    <w:rsid w:val="000F04C9"/>
    <w:rsid w:val="000F06F3"/>
    <w:rsid w:val="000F0C87"/>
    <w:rsid w:val="000F115B"/>
    <w:rsid w:val="000F1EF5"/>
    <w:rsid w:val="000F207B"/>
    <w:rsid w:val="000F2AA3"/>
    <w:rsid w:val="000F2D57"/>
    <w:rsid w:val="000F33A5"/>
    <w:rsid w:val="000F3EFA"/>
    <w:rsid w:val="000F43E8"/>
    <w:rsid w:val="000F44FE"/>
    <w:rsid w:val="000F501A"/>
    <w:rsid w:val="000F518C"/>
    <w:rsid w:val="000F52B5"/>
    <w:rsid w:val="000F53B1"/>
    <w:rsid w:val="000F53F5"/>
    <w:rsid w:val="000F553E"/>
    <w:rsid w:val="000F58EF"/>
    <w:rsid w:val="000F5F79"/>
    <w:rsid w:val="000F6833"/>
    <w:rsid w:val="000F6DD8"/>
    <w:rsid w:val="000F7430"/>
    <w:rsid w:val="000F7C51"/>
    <w:rsid w:val="0010008A"/>
    <w:rsid w:val="0010062F"/>
    <w:rsid w:val="00100D77"/>
    <w:rsid w:val="00101655"/>
    <w:rsid w:val="00101996"/>
    <w:rsid w:val="001019D1"/>
    <w:rsid w:val="00101F19"/>
    <w:rsid w:val="001024DB"/>
    <w:rsid w:val="00103101"/>
    <w:rsid w:val="001031D6"/>
    <w:rsid w:val="00103C08"/>
    <w:rsid w:val="00103E7E"/>
    <w:rsid w:val="001045CB"/>
    <w:rsid w:val="00104F44"/>
    <w:rsid w:val="001053F7"/>
    <w:rsid w:val="00105418"/>
    <w:rsid w:val="00105743"/>
    <w:rsid w:val="00105C9A"/>
    <w:rsid w:val="00105D55"/>
    <w:rsid w:val="00106517"/>
    <w:rsid w:val="001070AD"/>
    <w:rsid w:val="0010760F"/>
    <w:rsid w:val="00107989"/>
    <w:rsid w:val="001079FE"/>
    <w:rsid w:val="00107AFD"/>
    <w:rsid w:val="00107CAF"/>
    <w:rsid w:val="001101F4"/>
    <w:rsid w:val="00110281"/>
    <w:rsid w:val="00110582"/>
    <w:rsid w:val="001106B6"/>
    <w:rsid w:val="00110890"/>
    <w:rsid w:val="00111757"/>
    <w:rsid w:val="00111BAC"/>
    <w:rsid w:val="00112079"/>
    <w:rsid w:val="00112119"/>
    <w:rsid w:val="00113803"/>
    <w:rsid w:val="001138EE"/>
    <w:rsid w:val="0011399B"/>
    <w:rsid w:val="00113F0F"/>
    <w:rsid w:val="00115DFF"/>
    <w:rsid w:val="00115E52"/>
    <w:rsid w:val="00116466"/>
    <w:rsid w:val="00116697"/>
    <w:rsid w:val="001169C0"/>
    <w:rsid w:val="00116E35"/>
    <w:rsid w:val="0011702B"/>
    <w:rsid w:val="00117FCF"/>
    <w:rsid w:val="001213F1"/>
    <w:rsid w:val="001214B7"/>
    <w:rsid w:val="001214E0"/>
    <w:rsid w:val="00121955"/>
    <w:rsid w:val="00122376"/>
    <w:rsid w:val="0012249B"/>
    <w:rsid w:val="00122687"/>
    <w:rsid w:val="001226B6"/>
    <w:rsid w:val="001228BA"/>
    <w:rsid w:val="00123665"/>
    <w:rsid w:val="00123750"/>
    <w:rsid w:val="0012377C"/>
    <w:rsid w:val="0012397D"/>
    <w:rsid w:val="00123D53"/>
    <w:rsid w:val="00123DA2"/>
    <w:rsid w:val="00123DA9"/>
    <w:rsid w:val="001241BB"/>
    <w:rsid w:val="00124534"/>
    <w:rsid w:val="00124611"/>
    <w:rsid w:val="00124857"/>
    <w:rsid w:val="00124BFD"/>
    <w:rsid w:val="00124CBC"/>
    <w:rsid w:val="00125151"/>
    <w:rsid w:val="001263EF"/>
    <w:rsid w:val="0012724A"/>
    <w:rsid w:val="00130515"/>
    <w:rsid w:val="00130541"/>
    <w:rsid w:val="0013091C"/>
    <w:rsid w:val="00130D96"/>
    <w:rsid w:val="00130EE3"/>
    <w:rsid w:val="0013106B"/>
    <w:rsid w:val="001310FD"/>
    <w:rsid w:val="00131623"/>
    <w:rsid w:val="00131752"/>
    <w:rsid w:val="00131881"/>
    <w:rsid w:val="00132378"/>
    <w:rsid w:val="00132D4E"/>
    <w:rsid w:val="00133226"/>
    <w:rsid w:val="00133294"/>
    <w:rsid w:val="001337C9"/>
    <w:rsid w:val="00134016"/>
    <w:rsid w:val="0013434A"/>
    <w:rsid w:val="00134385"/>
    <w:rsid w:val="0013523E"/>
    <w:rsid w:val="00136064"/>
    <w:rsid w:val="00136377"/>
    <w:rsid w:val="001366C2"/>
    <w:rsid w:val="0013680C"/>
    <w:rsid w:val="0013680E"/>
    <w:rsid w:val="0013699B"/>
    <w:rsid w:val="00136AB2"/>
    <w:rsid w:val="00136AED"/>
    <w:rsid w:val="00136C58"/>
    <w:rsid w:val="001378BB"/>
    <w:rsid w:val="00137EEA"/>
    <w:rsid w:val="00140493"/>
    <w:rsid w:val="00140F91"/>
    <w:rsid w:val="00141DF4"/>
    <w:rsid w:val="00142461"/>
    <w:rsid w:val="0014290B"/>
    <w:rsid w:val="00142A54"/>
    <w:rsid w:val="00142C01"/>
    <w:rsid w:val="00143579"/>
    <w:rsid w:val="001435ED"/>
    <w:rsid w:val="0014379E"/>
    <w:rsid w:val="00143A30"/>
    <w:rsid w:val="001440A5"/>
    <w:rsid w:val="00144346"/>
    <w:rsid w:val="00144482"/>
    <w:rsid w:val="00144587"/>
    <w:rsid w:val="00144C2D"/>
    <w:rsid w:val="00144F5E"/>
    <w:rsid w:val="0014519A"/>
    <w:rsid w:val="00145411"/>
    <w:rsid w:val="00145AA2"/>
    <w:rsid w:val="0014682A"/>
    <w:rsid w:val="00147048"/>
    <w:rsid w:val="001474FB"/>
    <w:rsid w:val="00150390"/>
    <w:rsid w:val="00150AD7"/>
    <w:rsid w:val="00150D41"/>
    <w:rsid w:val="00151139"/>
    <w:rsid w:val="001518A7"/>
    <w:rsid w:val="00151D8B"/>
    <w:rsid w:val="00151F8A"/>
    <w:rsid w:val="00152675"/>
    <w:rsid w:val="00152971"/>
    <w:rsid w:val="00153193"/>
    <w:rsid w:val="00153364"/>
    <w:rsid w:val="00153895"/>
    <w:rsid w:val="00154301"/>
    <w:rsid w:val="001544D7"/>
    <w:rsid w:val="00154E1F"/>
    <w:rsid w:val="00155E66"/>
    <w:rsid w:val="00155FEE"/>
    <w:rsid w:val="00156179"/>
    <w:rsid w:val="00156432"/>
    <w:rsid w:val="0015654D"/>
    <w:rsid w:val="00156F99"/>
    <w:rsid w:val="00157882"/>
    <w:rsid w:val="001579BD"/>
    <w:rsid w:val="00157BA5"/>
    <w:rsid w:val="00157F05"/>
    <w:rsid w:val="00160524"/>
    <w:rsid w:val="00160E90"/>
    <w:rsid w:val="001614E1"/>
    <w:rsid w:val="001618E4"/>
    <w:rsid w:val="00161F38"/>
    <w:rsid w:val="00162C13"/>
    <w:rsid w:val="00163657"/>
    <w:rsid w:val="001636FB"/>
    <w:rsid w:val="00163EA6"/>
    <w:rsid w:val="00164258"/>
    <w:rsid w:val="00164675"/>
    <w:rsid w:val="0016515C"/>
    <w:rsid w:val="0016523D"/>
    <w:rsid w:val="001657DD"/>
    <w:rsid w:val="001658F2"/>
    <w:rsid w:val="00165BC5"/>
    <w:rsid w:val="00166B70"/>
    <w:rsid w:val="00166F9B"/>
    <w:rsid w:val="0016738B"/>
    <w:rsid w:val="001675E6"/>
    <w:rsid w:val="00167B06"/>
    <w:rsid w:val="00167DF0"/>
    <w:rsid w:val="001701CE"/>
    <w:rsid w:val="00170241"/>
    <w:rsid w:val="00170B94"/>
    <w:rsid w:val="00171F27"/>
    <w:rsid w:val="00172064"/>
    <w:rsid w:val="00172831"/>
    <w:rsid w:val="00172A5D"/>
    <w:rsid w:val="00173E3F"/>
    <w:rsid w:val="00173EBB"/>
    <w:rsid w:val="001747FB"/>
    <w:rsid w:val="00174835"/>
    <w:rsid w:val="00175247"/>
    <w:rsid w:val="001757B2"/>
    <w:rsid w:val="001758B2"/>
    <w:rsid w:val="00175C16"/>
    <w:rsid w:val="00176ABD"/>
    <w:rsid w:val="001770E2"/>
    <w:rsid w:val="00177539"/>
    <w:rsid w:val="00177576"/>
    <w:rsid w:val="00177642"/>
    <w:rsid w:val="001777B9"/>
    <w:rsid w:val="0017783B"/>
    <w:rsid w:val="001779C7"/>
    <w:rsid w:val="001800CC"/>
    <w:rsid w:val="001805F6"/>
    <w:rsid w:val="00181260"/>
    <w:rsid w:val="0018150D"/>
    <w:rsid w:val="0018153B"/>
    <w:rsid w:val="00181637"/>
    <w:rsid w:val="001821C9"/>
    <w:rsid w:val="0018223F"/>
    <w:rsid w:val="00182685"/>
    <w:rsid w:val="00183A10"/>
    <w:rsid w:val="00183DB5"/>
    <w:rsid w:val="00183FF4"/>
    <w:rsid w:val="00184510"/>
    <w:rsid w:val="00184630"/>
    <w:rsid w:val="00184750"/>
    <w:rsid w:val="00184A7E"/>
    <w:rsid w:val="00185032"/>
    <w:rsid w:val="0018606D"/>
    <w:rsid w:val="00186213"/>
    <w:rsid w:val="00186566"/>
    <w:rsid w:val="001868F8"/>
    <w:rsid w:val="001869BF"/>
    <w:rsid w:val="00186D68"/>
    <w:rsid w:val="00186EEB"/>
    <w:rsid w:val="00187502"/>
    <w:rsid w:val="001875BF"/>
    <w:rsid w:val="001878D7"/>
    <w:rsid w:val="00187D82"/>
    <w:rsid w:val="0019091A"/>
    <w:rsid w:val="00190D82"/>
    <w:rsid w:val="00191304"/>
    <w:rsid w:val="00192359"/>
    <w:rsid w:val="00192886"/>
    <w:rsid w:val="00192ADF"/>
    <w:rsid w:val="00192CF4"/>
    <w:rsid w:val="0019333C"/>
    <w:rsid w:val="00193BBC"/>
    <w:rsid w:val="00193CD8"/>
    <w:rsid w:val="00193EEB"/>
    <w:rsid w:val="00195224"/>
    <w:rsid w:val="00195290"/>
    <w:rsid w:val="001953FD"/>
    <w:rsid w:val="001956E1"/>
    <w:rsid w:val="00195822"/>
    <w:rsid w:val="001969CE"/>
    <w:rsid w:val="00196C53"/>
    <w:rsid w:val="0019777B"/>
    <w:rsid w:val="00197BE2"/>
    <w:rsid w:val="00197F3D"/>
    <w:rsid w:val="001A06DA"/>
    <w:rsid w:val="001A09A3"/>
    <w:rsid w:val="001A0FE4"/>
    <w:rsid w:val="001A1867"/>
    <w:rsid w:val="001A1AC8"/>
    <w:rsid w:val="001A2161"/>
    <w:rsid w:val="001A24DB"/>
    <w:rsid w:val="001A260C"/>
    <w:rsid w:val="001A2686"/>
    <w:rsid w:val="001A299C"/>
    <w:rsid w:val="001A3249"/>
    <w:rsid w:val="001A335C"/>
    <w:rsid w:val="001A3556"/>
    <w:rsid w:val="001A454E"/>
    <w:rsid w:val="001A4564"/>
    <w:rsid w:val="001A4933"/>
    <w:rsid w:val="001A57A6"/>
    <w:rsid w:val="001A58B2"/>
    <w:rsid w:val="001A6221"/>
    <w:rsid w:val="001A6D73"/>
    <w:rsid w:val="001A6E7C"/>
    <w:rsid w:val="001A72BD"/>
    <w:rsid w:val="001A7B1F"/>
    <w:rsid w:val="001B0113"/>
    <w:rsid w:val="001B0116"/>
    <w:rsid w:val="001B05B4"/>
    <w:rsid w:val="001B0641"/>
    <w:rsid w:val="001B1B35"/>
    <w:rsid w:val="001B2162"/>
    <w:rsid w:val="001B24F8"/>
    <w:rsid w:val="001B2834"/>
    <w:rsid w:val="001B2EC3"/>
    <w:rsid w:val="001B3325"/>
    <w:rsid w:val="001B3A06"/>
    <w:rsid w:val="001B43FE"/>
    <w:rsid w:val="001B4BD9"/>
    <w:rsid w:val="001B4E06"/>
    <w:rsid w:val="001B5470"/>
    <w:rsid w:val="001B568E"/>
    <w:rsid w:val="001B58A3"/>
    <w:rsid w:val="001B5AB9"/>
    <w:rsid w:val="001B6615"/>
    <w:rsid w:val="001B6E2C"/>
    <w:rsid w:val="001B76F2"/>
    <w:rsid w:val="001B7A13"/>
    <w:rsid w:val="001B7AB4"/>
    <w:rsid w:val="001B7CEE"/>
    <w:rsid w:val="001C027A"/>
    <w:rsid w:val="001C048C"/>
    <w:rsid w:val="001C06B2"/>
    <w:rsid w:val="001C09E2"/>
    <w:rsid w:val="001C0B18"/>
    <w:rsid w:val="001C0C15"/>
    <w:rsid w:val="001C10C5"/>
    <w:rsid w:val="001C116F"/>
    <w:rsid w:val="001C1985"/>
    <w:rsid w:val="001C1BDD"/>
    <w:rsid w:val="001C1D67"/>
    <w:rsid w:val="001C24E1"/>
    <w:rsid w:val="001C2594"/>
    <w:rsid w:val="001C25F3"/>
    <w:rsid w:val="001C3277"/>
    <w:rsid w:val="001C37E1"/>
    <w:rsid w:val="001C3825"/>
    <w:rsid w:val="001C3AAB"/>
    <w:rsid w:val="001C3CAD"/>
    <w:rsid w:val="001C4013"/>
    <w:rsid w:val="001C403B"/>
    <w:rsid w:val="001C420E"/>
    <w:rsid w:val="001C4327"/>
    <w:rsid w:val="001C4871"/>
    <w:rsid w:val="001C4C62"/>
    <w:rsid w:val="001C4D2C"/>
    <w:rsid w:val="001C56B2"/>
    <w:rsid w:val="001C5F1D"/>
    <w:rsid w:val="001C6707"/>
    <w:rsid w:val="001C73EF"/>
    <w:rsid w:val="001D01F5"/>
    <w:rsid w:val="001D04CF"/>
    <w:rsid w:val="001D0726"/>
    <w:rsid w:val="001D0F6E"/>
    <w:rsid w:val="001D13B9"/>
    <w:rsid w:val="001D19B2"/>
    <w:rsid w:val="001D2A2D"/>
    <w:rsid w:val="001D2BAC"/>
    <w:rsid w:val="001D2DB2"/>
    <w:rsid w:val="001D3009"/>
    <w:rsid w:val="001D30BB"/>
    <w:rsid w:val="001D31A9"/>
    <w:rsid w:val="001D33C5"/>
    <w:rsid w:val="001D48A9"/>
    <w:rsid w:val="001D49D1"/>
    <w:rsid w:val="001D4A69"/>
    <w:rsid w:val="001D4B4F"/>
    <w:rsid w:val="001D4C36"/>
    <w:rsid w:val="001D4FB8"/>
    <w:rsid w:val="001D51F7"/>
    <w:rsid w:val="001D57ED"/>
    <w:rsid w:val="001D588C"/>
    <w:rsid w:val="001D5C6D"/>
    <w:rsid w:val="001D5DD6"/>
    <w:rsid w:val="001D63E8"/>
    <w:rsid w:val="001D6920"/>
    <w:rsid w:val="001D6C57"/>
    <w:rsid w:val="001D71C1"/>
    <w:rsid w:val="001D753F"/>
    <w:rsid w:val="001D77D5"/>
    <w:rsid w:val="001D7912"/>
    <w:rsid w:val="001D7ADC"/>
    <w:rsid w:val="001E10B3"/>
    <w:rsid w:val="001E1840"/>
    <w:rsid w:val="001E307D"/>
    <w:rsid w:val="001E3201"/>
    <w:rsid w:val="001E3773"/>
    <w:rsid w:val="001E4627"/>
    <w:rsid w:val="001E4A9B"/>
    <w:rsid w:val="001E4D10"/>
    <w:rsid w:val="001E5B6D"/>
    <w:rsid w:val="001E68F9"/>
    <w:rsid w:val="001E6D77"/>
    <w:rsid w:val="001F07B9"/>
    <w:rsid w:val="001F2420"/>
    <w:rsid w:val="001F290F"/>
    <w:rsid w:val="001F2C58"/>
    <w:rsid w:val="001F34AC"/>
    <w:rsid w:val="001F3691"/>
    <w:rsid w:val="001F36CA"/>
    <w:rsid w:val="001F3C09"/>
    <w:rsid w:val="001F3D3A"/>
    <w:rsid w:val="001F418A"/>
    <w:rsid w:val="001F4752"/>
    <w:rsid w:val="001F4D85"/>
    <w:rsid w:val="001F5297"/>
    <w:rsid w:val="001F5983"/>
    <w:rsid w:val="001F6B7D"/>
    <w:rsid w:val="001F6F59"/>
    <w:rsid w:val="001F7AB3"/>
    <w:rsid w:val="001F7E0C"/>
    <w:rsid w:val="00200222"/>
    <w:rsid w:val="0020036E"/>
    <w:rsid w:val="00201ADB"/>
    <w:rsid w:val="00201F0F"/>
    <w:rsid w:val="00202990"/>
    <w:rsid w:val="00202F28"/>
    <w:rsid w:val="0020328E"/>
    <w:rsid w:val="00203390"/>
    <w:rsid w:val="0020379E"/>
    <w:rsid w:val="00203B6A"/>
    <w:rsid w:val="00203E36"/>
    <w:rsid w:val="00204831"/>
    <w:rsid w:val="00204FE8"/>
    <w:rsid w:val="0020531F"/>
    <w:rsid w:val="00206113"/>
    <w:rsid w:val="00207113"/>
    <w:rsid w:val="00207714"/>
    <w:rsid w:val="002078FC"/>
    <w:rsid w:val="00207CBA"/>
    <w:rsid w:val="00207F38"/>
    <w:rsid w:val="0021033F"/>
    <w:rsid w:val="002103E9"/>
    <w:rsid w:val="002107F0"/>
    <w:rsid w:val="00210EF3"/>
    <w:rsid w:val="0021114A"/>
    <w:rsid w:val="00211E56"/>
    <w:rsid w:val="00212098"/>
    <w:rsid w:val="00212259"/>
    <w:rsid w:val="00212425"/>
    <w:rsid w:val="002128FA"/>
    <w:rsid w:val="00212A9A"/>
    <w:rsid w:val="00212F79"/>
    <w:rsid w:val="0021341D"/>
    <w:rsid w:val="002135BE"/>
    <w:rsid w:val="002137F0"/>
    <w:rsid w:val="00213857"/>
    <w:rsid w:val="00213E3E"/>
    <w:rsid w:val="00214171"/>
    <w:rsid w:val="002143AF"/>
    <w:rsid w:val="002144C7"/>
    <w:rsid w:val="00214DC5"/>
    <w:rsid w:val="0021574F"/>
    <w:rsid w:val="00215C6E"/>
    <w:rsid w:val="002160D2"/>
    <w:rsid w:val="00216501"/>
    <w:rsid w:val="002165C1"/>
    <w:rsid w:val="00216B8F"/>
    <w:rsid w:val="00216FBF"/>
    <w:rsid w:val="0021733B"/>
    <w:rsid w:val="0021736F"/>
    <w:rsid w:val="0021792B"/>
    <w:rsid w:val="00217CD8"/>
    <w:rsid w:val="00217DE7"/>
    <w:rsid w:val="00220012"/>
    <w:rsid w:val="00220353"/>
    <w:rsid w:val="00220D24"/>
    <w:rsid w:val="002213B5"/>
    <w:rsid w:val="002218B3"/>
    <w:rsid w:val="002218C3"/>
    <w:rsid w:val="00221AF2"/>
    <w:rsid w:val="0022227F"/>
    <w:rsid w:val="00222462"/>
    <w:rsid w:val="002226B2"/>
    <w:rsid w:val="00222C9E"/>
    <w:rsid w:val="00222D44"/>
    <w:rsid w:val="00222FE6"/>
    <w:rsid w:val="0022335A"/>
    <w:rsid w:val="00223486"/>
    <w:rsid w:val="00224125"/>
    <w:rsid w:val="0022416B"/>
    <w:rsid w:val="00224532"/>
    <w:rsid w:val="00224DF4"/>
    <w:rsid w:val="0022550F"/>
    <w:rsid w:val="002257DE"/>
    <w:rsid w:val="00226048"/>
    <w:rsid w:val="0022644B"/>
    <w:rsid w:val="002268F6"/>
    <w:rsid w:val="00226A85"/>
    <w:rsid w:val="00226EB1"/>
    <w:rsid w:val="00227037"/>
    <w:rsid w:val="002272FC"/>
    <w:rsid w:val="00227BAE"/>
    <w:rsid w:val="002303C8"/>
    <w:rsid w:val="002308FA"/>
    <w:rsid w:val="0023135F"/>
    <w:rsid w:val="0023167C"/>
    <w:rsid w:val="00231A35"/>
    <w:rsid w:val="00232691"/>
    <w:rsid w:val="00232CEC"/>
    <w:rsid w:val="00232DAC"/>
    <w:rsid w:val="00232E98"/>
    <w:rsid w:val="002330FA"/>
    <w:rsid w:val="002335D0"/>
    <w:rsid w:val="00233811"/>
    <w:rsid w:val="00233C3C"/>
    <w:rsid w:val="00234DDA"/>
    <w:rsid w:val="00234E51"/>
    <w:rsid w:val="002357B8"/>
    <w:rsid w:val="00235BD3"/>
    <w:rsid w:val="00235E83"/>
    <w:rsid w:val="002368A5"/>
    <w:rsid w:val="00236AE7"/>
    <w:rsid w:val="00236E52"/>
    <w:rsid w:val="002370F0"/>
    <w:rsid w:val="0023724D"/>
    <w:rsid w:val="00237450"/>
    <w:rsid w:val="0023779C"/>
    <w:rsid w:val="00237BAF"/>
    <w:rsid w:val="002402F2"/>
    <w:rsid w:val="0024059F"/>
    <w:rsid w:val="00240C4F"/>
    <w:rsid w:val="00240D21"/>
    <w:rsid w:val="00240EBC"/>
    <w:rsid w:val="002413DD"/>
    <w:rsid w:val="00241FAC"/>
    <w:rsid w:val="002420BA"/>
    <w:rsid w:val="002420FF"/>
    <w:rsid w:val="00242510"/>
    <w:rsid w:val="002427D6"/>
    <w:rsid w:val="00242AF7"/>
    <w:rsid w:val="00242BDB"/>
    <w:rsid w:val="0024351E"/>
    <w:rsid w:val="002435AE"/>
    <w:rsid w:val="002435C0"/>
    <w:rsid w:val="00243C08"/>
    <w:rsid w:val="00243CA4"/>
    <w:rsid w:val="002440F8"/>
    <w:rsid w:val="00244257"/>
    <w:rsid w:val="00244497"/>
    <w:rsid w:val="00244966"/>
    <w:rsid w:val="0024568A"/>
    <w:rsid w:val="00246036"/>
    <w:rsid w:val="00246089"/>
    <w:rsid w:val="002468BB"/>
    <w:rsid w:val="002476EC"/>
    <w:rsid w:val="00247708"/>
    <w:rsid w:val="00247C07"/>
    <w:rsid w:val="00247C5E"/>
    <w:rsid w:val="002502CC"/>
    <w:rsid w:val="00250766"/>
    <w:rsid w:val="002511C2"/>
    <w:rsid w:val="0025149A"/>
    <w:rsid w:val="002515A8"/>
    <w:rsid w:val="00251728"/>
    <w:rsid w:val="00251C47"/>
    <w:rsid w:val="00251CD4"/>
    <w:rsid w:val="00251FEC"/>
    <w:rsid w:val="00252346"/>
    <w:rsid w:val="00252856"/>
    <w:rsid w:val="002529BF"/>
    <w:rsid w:val="00252AD6"/>
    <w:rsid w:val="00253016"/>
    <w:rsid w:val="00253340"/>
    <w:rsid w:val="0025427F"/>
    <w:rsid w:val="002546E8"/>
    <w:rsid w:val="00254C8B"/>
    <w:rsid w:val="0025513A"/>
    <w:rsid w:val="00255494"/>
    <w:rsid w:val="00255622"/>
    <w:rsid w:val="00255C61"/>
    <w:rsid w:val="00256051"/>
    <w:rsid w:val="00256076"/>
    <w:rsid w:val="002560AB"/>
    <w:rsid w:val="0025671C"/>
    <w:rsid w:val="002570A4"/>
    <w:rsid w:val="00257EBF"/>
    <w:rsid w:val="00260973"/>
    <w:rsid w:val="0026135D"/>
    <w:rsid w:val="00261629"/>
    <w:rsid w:val="00261AC4"/>
    <w:rsid w:val="00262415"/>
    <w:rsid w:val="00262B6C"/>
    <w:rsid w:val="00262CF7"/>
    <w:rsid w:val="0026314E"/>
    <w:rsid w:val="00263247"/>
    <w:rsid w:val="00263480"/>
    <w:rsid w:val="00263794"/>
    <w:rsid w:val="00263AC3"/>
    <w:rsid w:val="00263C2B"/>
    <w:rsid w:val="00263C59"/>
    <w:rsid w:val="00263D19"/>
    <w:rsid w:val="00264EBE"/>
    <w:rsid w:val="00264F60"/>
    <w:rsid w:val="00264F9E"/>
    <w:rsid w:val="00265359"/>
    <w:rsid w:val="0026553E"/>
    <w:rsid w:val="00265869"/>
    <w:rsid w:val="00265B60"/>
    <w:rsid w:val="00266046"/>
    <w:rsid w:val="0026656A"/>
    <w:rsid w:val="0026668D"/>
    <w:rsid w:val="00266885"/>
    <w:rsid w:val="00266F79"/>
    <w:rsid w:val="00267880"/>
    <w:rsid w:val="00267B31"/>
    <w:rsid w:val="00270907"/>
    <w:rsid w:val="00270EC5"/>
    <w:rsid w:val="00271AE7"/>
    <w:rsid w:val="0027203D"/>
    <w:rsid w:val="00272615"/>
    <w:rsid w:val="00272EA0"/>
    <w:rsid w:val="00272F63"/>
    <w:rsid w:val="002734A4"/>
    <w:rsid w:val="00273E5D"/>
    <w:rsid w:val="0027449B"/>
    <w:rsid w:val="00274602"/>
    <w:rsid w:val="00274720"/>
    <w:rsid w:val="00274ACA"/>
    <w:rsid w:val="00274FC0"/>
    <w:rsid w:val="002750EC"/>
    <w:rsid w:val="002750F8"/>
    <w:rsid w:val="00275B7D"/>
    <w:rsid w:val="002764C6"/>
    <w:rsid w:val="002769BC"/>
    <w:rsid w:val="00276EAA"/>
    <w:rsid w:val="00276F0C"/>
    <w:rsid w:val="00277849"/>
    <w:rsid w:val="00277D39"/>
    <w:rsid w:val="00277E67"/>
    <w:rsid w:val="00277F49"/>
    <w:rsid w:val="0028040B"/>
    <w:rsid w:val="00280C99"/>
    <w:rsid w:val="00280E77"/>
    <w:rsid w:val="002810AA"/>
    <w:rsid w:val="002810F3"/>
    <w:rsid w:val="0028189C"/>
    <w:rsid w:val="00281BA2"/>
    <w:rsid w:val="00282757"/>
    <w:rsid w:val="00282BEE"/>
    <w:rsid w:val="00282D8B"/>
    <w:rsid w:val="00283082"/>
    <w:rsid w:val="00283136"/>
    <w:rsid w:val="002832D8"/>
    <w:rsid w:val="002837EA"/>
    <w:rsid w:val="00283E5C"/>
    <w:rsid w:val="002843EC"/>
    <w:rsid w:val="00284B37"/>
    <w:rsid w:val="00284C7D"/>
    <w:rsid w:val="002851F5"/>
    <w:rsid w:val="00285782"/>
    <w:rsid w:val="002866AF"/>
    <w:rsid w:val="00286ADE"/>
    <w:rsid w:val="00286CA3"/>
    <w:rsid w:val="00286FFD"/>
    <w:rsid w:val="0028720D"/>
    <w:rsid w:val="0028739B"/>
    <w:rsid w:val="00287450"/>
    <w:rsid w:val="00290207"/>
    <w:rsid w:val="002904F3"/>
    <w:rsid w:val="002907B3"/>
    <w:rsid w:val="00291189"/>
    <w:rsid w:val="00291881"/>
    <w:rsid w:val="0029238E"/>
    <w:rsid w:val="00292B41"/>
    <w:rsid w:val="00293614"/>
    <w:rsid w:val="002936DF"/>
    <w:rsid w:val="00293766"/>
    <w:rsid w:val="00294075"/>
    <w:rsid w:val="002941AC"/>
    <w:rsid w:val="0029445D"/>
    <w:rsid w:val="00294A17"/>
    <w:rsid w:val="00294B09"/>
    <w:rsid w:val="00294E6C"/>
    <w:rsid w:val="00295166"/>
    <w:rsid w:val="0029565D"/>
    <w:rsid w:val="00295C36"/>
    <w:rsid w:val="00296285"/>
    <w:rsid w:val="00296B4D"/>
    <w:rsid w:val="00296DDA"/>
    <w:rsid w:val="002974D2"/>
    <w:rsid w:val="00297DD1"/>
    <w:rsid w:val="002A08B7"/>
    <w:rsid w:val="002A0B21"/>
    <w:rsid w:val="002A10A4"/>
    <w:rsid w:val="002A10CC"/>
    <w:rsid w:val="002A14F0"/>
    <w:rsid w:val="002A1796"/>
    <w:rsid w:val="002A1BB6"/>
    <w:rsid w:val="002A2310"/>
    <w:rsid w:val="002A333E"/>
    <w:rsid w:val="002A3599"/>
    <w:rsid w:val="002A35B7"/>
    <w:rsid w:val="002A3653"/>
    <w:rsid w:val="002A441C"/>
    <w:rsid w:val="002A4DD3"/>
    <w:rsid w:val="002A4E5B"/>
    <w:rsid w:val="002A6022"/>
    <w:rsid w:val="002A62F2"/>
    <w:rsid w:val="002A6D7D"/>
    <w:rsid w:val="002A6F4F"/>
    <w:rsid w:val="002A7862"/>
    <w:rsid w:val="002A7A62"/>
    <w:rsid w:val="002B00BC"/>
    <w:rsid w:val="002B098F"/>
    <w:rsid w:val="002B135E"/>
    <w:rsid w:val="002B1F9B"/>
    <w:rsid w:val="002B2288"/>
    <w:rsid w:val="002B2A96"/>
    <w:rsid w:val="002B2FBA"/>
    <w:rsid w:val="002B33B2"/>
    <w:rsid w:val="002B36BB"/>
    <w:rsid w:val="002B394A"/>
    <w:rsid w:val="002B3AF8"/>
    <w:rsid w:val="002B44E4"/>
    <w:rsid w:val="002B479F"/>
    <w:rsid w:val="002B511D"/>
    <w:rsid w:val="002B5456"/>
    <w:rsid w:val="002B644D"/>
    <w:rsid w:val="002B65FC"/>
    <w:rsid w:val="002B6A6D"/>
    <w:rsid w:val="002C0661"/>
    <w:rsid w:val="002C1527"/>
    <w:rsid w:val="002C2B64"/>
    <w:rsid w:val="002C3094"/>
    <w:rsid w:val="002C3780"/>
    <w:rsid w:val="002C39DE"/>
    <w:rsid w:val="002C3BA0"/>
    <w:rsid w:val="002C416A"/>
    <w:rsid w:val="002C44BF"/>
    <w:rsid w:val="002C4806"/>
    <w:rsid w:val="002C637C"/>
    <w:rsid w:val="002C6814"/>
    <w:rsid w:val="002C6E42"/>
    <w:rsid w:val="002C73C2"/>
    <w:rsid w:val="002C741E"/>
    <w:rsid w:val="002C7884"/>
    <w:rsid w:val="002C7E7F"/>
    <w:rsid w:val="002D0064"/>
    <w:rsid w:val="002D00E3"/>
    <w:rsid w:val="002D0AAB"/>
    <w:rsid w:val="002D1FBB"/>
    <w:rsid w:val="002D21C9"/>
    <w:rsid w:val="002D22AF"/>
    <w:rsid w:val="002D2AE5"/>
    <w:rsid w:val="002D36B6"/>
    <w:rsid w:val="002D38BB"/>
    <w:rsid w:val="002D3BF0"/>
    <w:rsid w:val="002D3E6C"/>
    <w:rsid w:val="002D4ACE"/>
    <w:rsid w:val="002D4C49"/>
    <w:rsid w:val="002D4C77"/>
    <w:rsid w:val="002D517B"/>
    <w:rsid w:val="002D5327"/>
    <w:rsid w:val="002D54B0"/>
    <w:rsid w:val="002D565E"/>
    <w:rsid w:val="002D581C"/>
    <w:rsid w:val="002D586C"/>
    <w:rsid w:val="002D5D92"/>
    <w:rsid w:val="002D5E58"/>
    <w:rsid w:val="002D66E3"/>
    <w:rsid w:val="002D67CF"/>
    <w:rsid w:val="002D7465"/>
    <w:rsid w:val="002D74F4"/>
    <w:rsid w:val="002D7555"/>
    <w:rsid w:val="002D7639"/>
    <w:rsid w:val="002D7C32"/>
    <w:rsid w:val="002E0242"/>
    <w:rsid w:val="002E1282"/>
    <w:rsid w:val="002E1A96"/>
    <w:rsid w:val="002E2D48"/>
    <w:rsid w:val="002E2D64"/>
    <w:rsid w:val="002E2F5D"/>
    <w:rsid w:val="002E3AF9"/>
    <w:rsid w:val="002E3BB4"/>
    <w:rsid w:val="002E3F10"/>
    <w:rsid w:val="002E4119"/>
    <w:rsid w:val="002E421A"/>
    <w:rsid w:val="002E49C5"/>
    <w:rsid w:val="002E4BC8"/>
    <w:rsid w:val="002E5033"/>
    <w:rsid w:val="002E5680"/>
    <w:rsid w:val="002E59D3"/>
    <w:rsid w:val="002E5D37"/>
    <w:rsid w:val="002E5D91"/>
    <w:rsid w:val="002E5EA5"/>
    <w:rsid w:val="002E5F8B"/>
    <w:rsid w:val="002E6010"/>
    <w:rsid w:val="002E6914"/>
    <w:rsid w:val="002E7176"/>
    <w:rsid w:val="002E732B"/>
    <w:rsid w:val="002E73BA"/>
    <w:rsid w:val="002E73D0"/>
    <w:rsid w:val="002E7C3A"/>
    <w:rsid w:val="002F0172"/>
    <w:rsid w:val="002F0B5E"/>
    <w:rsid w:val="002F0BF5"/>
    <w:rsid w:val="002F1024"/>
    <w:rsid w:val="002F115A"/>
    <w:rsid w:val="002F11EC"/>
    <w:rsid w:val="002F14FC"/>
    <w:rsid w:val="002F3089"/>
    <w:rsid w:val="002F3551"/>
    <w:rsid w:val="002F3745"/>
    <w:rsid w:val="002F399E"/>
    <w:rsid w:val="002F3E70"/>
    <w:rsid w:val="002F4B3F"/>
    <w:rsid w:val="002F4D74"/>
    <w:rsid w:val="002F5699"/>
    <w:rsid w:val="002F573E"/>
    <w:rsid w:val="002F5824"/>
    <w:rsid w:val="002F67FE"/>
    <w:rsid w:val="002F69D6"/>
    <w:rsid w:val="002F6C7B"/>
    <w:rsid w:val="002F7076"/>
    <w:rsid w:val="002F7B88"/>
    <w:rsid w:val="00300737"/>
    <w:rsid w:val="00300B12"/>
    <w:rsid w:val="00300BD7"/>
    <w:rsid w:val="003010FD"/>
    <w:rsid w:val="0030163C"/>
    <w:rsid w:val="00301B60"/>
    <w:rsid w:val="0030341F"/>
    <w:rsid w:val="00303902"/>
    <w:rsid w:val="00303BC4"/>
    <w:rsid w:val="00303CFE"/>
    <w:rsid w:val="00303E21"/>
    <w:rsid w:val="003044EE"/>
    <w:rsid w:val="00304BFC"/>
    <w:rsid w:val="003052C7"/>
    <w:rsid w:val="00305817"/>
    <w:rsid w:val="00305FBB"/>
    <w:rsid w:val="003066AB"/>
    <w:rsid w:val="00306D19"/>
    <w:rsid w:val="003071D0"/>
    <w:rsid w:val="003072B1"/>
    <w:rsid w:val="00307546"/>
    <w:rsid w:val="0031042E"/>
    <w:rsid w:val="00310481"/>
    <w:rsid w:val="00310617"/>
    <w:rsid w:val="003106FA"/>
    <w:rsid w:val="00310724"/>
    <w:rsid w:val="00310E63"/>
    <w:rsid w:val="00310EFF"/>
    <w:rsid w:val="0031108B"/>
    <w:rsid w:val="0031125E"/>
    <w:rsid w:val="003112C1"/>
    <w:rsid w:val="00311497"/>
    <w:rsid w:val="00311824"/>
    <w:rsid w:val="00312357"/>
    <w:rsid w:val="00312A50"/>
    <w:rsid w:val="003134E5"/>
    <w:rsid w:val="00313636"/>
    <w:rsid w:val="0031426F"/>
    <w:rsid w:val="00314422"/>
    <w:rsid w:val="003155DC"/>
    <w:rsid w:val="003159F5"/>
    <w:rsid w:val="00315B52"/>
    <w:rsid w:val="00315FAA"/>
    <w:rsid w:val="00316DCC"/>
    <w:rsid w:val="00316E4F"/>
    <w:rsid w:val="00317725"/>
    <w:rsid w:val="00320437"/>
    <w:rsid w:val="003205BC"/>
    <w:rsid w:val="00320D49"/>
    <w:rsid w:val="00320DF6"/>
    <w:rsid w:val="00321454"/>
    <w:rsid w:val="00322122"/>
    <w:rsid w:val="00322305"/>
    <w:rsid w:val="00322501"/>
    <w:rsid w:val="003227DC"/>
    <w:rsid w:val="00323184"/>
    <w:rsid w:val="003231C8"/>
    <w:rsid w:val="00323CEC"/>
    <w:rsid w:val="00323DE0"/>
    <w:rsid w:val="00324541"/>
    <w:rsid w:val="00324741"/>
    <w:rsid w:val="00324969"/>
    <w:rsid w:val="00324BC8"/>
    <w:rsid w:val="00324FB0"/>
    <w:rsid w:val="003253E6"/>
    <w:rsid w:val="0032555D"/>
    <w:rsid w:val="00325736"/>
    <w:rsid w:val="00325CC9"/>
    <w:rsid w:val="003264D9"/>
    <w:rsid w:val="00326A07"/>
    <w:rsid w:val="00326B07"/>
    <w:rsid w:val="003274F6"/>
    <w:rsid w:val="00327A63"/>
    <w:rsid w:val="0033124E"/>
    <w:rsid w:val="0033162F"/>
    <w:rsid w:val="003318A8"/>
    <w:rsid w:val="0033268E"/>
    <w:rsid w:val="00332894"/>
    <w:rsid w:val="003329A8"/>
    <w:rsid w:val="00332ECB"/>
    <w:rsid w:val="0033314D"/>
    <w:rsid w:val="003331F8"/>
    <w:rsid w:val="00333282"/>
    <w:rsid w:val="003332ED"/>
    <w:rsid w:val="0033367B"/>
    <w:rsid w:val="00333993"/>
    <w:rsid w:val="00333B2B"/>
    <w:rsid w:val="003348C9"/>
    <w:rsid w:val="00336351"/>
    <w:rsid w:val="00336448"/>
    <w:rsid w:val="00336740"/>
    <w:rsid w:val="0033688E"/>
    <w:rsid w:val="003368D4"/>
    <w:rsid w:val="00336918"/>
    <w:rsid w:val="00336D1E"/>
    <w:rsid w:val="00337335"/>
    <w:rsid w:val="00337BF8"/>
    <w:rsid w:val="00340148"/>
    <w:rsid w:val="00340229"/>
    <w:rsid w:val="003408E7"/>
    <w:rsid w:val="00340F8B"/>
    <w:rsid w:val="00341737"/>
    <w:rsid w:val="00341766"/>
    <w:rsid w:val="0034193E"/>
    <w:rsid w:val="00341954"/>
    <w:rsid w:val="00341EB1"/>
    <w:rsid w:val="003422A7"/>
    <w:rsid w:val="00342C6B"/>
    <w:rsid w:val="00343002"/>
    <w:rsid w:val="0034382A"/>
    <w:rsid w:val="00343F68"/>
    <w:rsid w:val="00344213"/>
    <w:rsid w:val="00344655"/>
    <w:rsid w:val="0034466D"/>
    <w:rsid w:val="003446B0"/>
    <w:rsid w:val="003447D9"/>
    <w:rsid w:val="00344A1A"/>
    <w:rsid w:val="00344BE4"/>
    <w:rsid w:val="00344DD3"/>
    <w:rsid w:val="00345274"/>
    <w:rsid w:val="00345579"/>
    <w:rsid w:val="003457A9"/>
    <w:rsid w:val="00345E31"/>
    <w:rsid w:val="00346D51"/>
    <w:rsid w:val="003470B3"/>
    <w:rsid w:val="0034723F"/>
    <w:rsid w:val="00347309"/>
    <w:rsid w:val="003476A7"/>
    <w:rsid w:val="00347872"/>
    <w:rsid w:val="00347ADC"/>
    <w:rsid w:val="00347D8C"/>
    <w:rsid w:val="00350197"/>
    <w:rsid w:val="003501AA"/>
    <w:rsid w:val="003502DC"/>
    <w:rsid w:val="003503E8"/>
    <w:rsid w:val="003509A8"/>
    <w:rsid w:val="00350F7B"/>
    <w:rsid w:val="003517D8"/>
    <w:rsid w:val="0035191E"/>
    <w:rsid w:val="00352129"/>
    <w:rsid w:val="003522F3"/>
    <w:rsid w:val="00352634"/>
    <w:rsid w:val="00352991"/>
    <w:rsid w:val="00353254"/>
    <w:rsid w:val="003533CF"/>
    <w:rsid w:val="003534B3"/>
    <w:rsid w:val="003538E6"/>
    <w:rsid w:val="003546D3"/>
    <w:rsid w:val="003554C0"/>
    <w:rsid w:val="0035556B"/>
    <w:rsid w:val="00355733"/>
    <w:rsid w:val="00355917"/>
    <w:rsid w:val="00355A53"/>
    <w:rsid w:val="0035706B"/>
    <w:rsid w:val="003579F5"/>
    <w:rsid w:val="00357CE3"/>
    <w:rsid w:val="003600E1"/>
    <w:rsid w:val="0036023F"/>
    <w:rsid w:val="003603B9"/>
    <w:rsid w:val="003610E5"/>
    <w:rsid w:val="00361976"/>
    <w:rsid w:val="00361AB1"/>
    <w:rsid w:val="00361C44"/>
    <w:rsid w:val="00361D58"/>
    <w:rsid w:val="00362055"/>
    <w:rsid w:val="003621D7"/>
    <w:rsid w:val="00362930"/>
    <w:rsid w:val="00362CE6"/>
    <w:rsid w:val="00363425"/>
    <w:rsid w:val="0036344F"/>
    <w:rsid w:val="00363A5D"/>
    <w:rsid w:val="00363DC9"/>
    <w:rsid w:val="00363E51"/>
    <w:rsid w:val="00363EE2"/>
    <w:rsid w:val="003642B9"/>
    <w:rsid w:val="00364444"/>
    <w:rsid w:val="00364781"/>
    <w:rsid w:val="00364F3D"/>
    <w:rsid w:val="00365178"/>
    <w:rsid w:val="0036696F"/>
    <w:rsid w:val="00366C6E"/>
    <w:rsid w:val="003670FC"/>
    <w:rsid w:val="00367976"/>
    <w:rsid w:val="003679AE"/>
    <w:rsid w:val="003679CB"/>
    <w:rsid w:val="00367F8E"/>
    <w:rsid w:val="00370434"/>
    <w:rsid w:val="003704C5"/>
    <w:rsid w:val="00370697"/>
    <w:rsid w:val="00370A2C"/>
    <w:rsid w:val="00370B95"/>
    <w:rsid w:val="00370C4F"/>
    <w:rsid w:val="00370C7E"/>
    <w:rsid w:val="00370C8B"/>
    <w:rsid w:val="003712A3"/>
    <w:rsid w:val="0037247B"/>
    <w:rsid w:val="00372821"/>
    <w:rsid w:val="003728FC"/>
    <w:rsid w:val="00372FF0"/>
    <w:rsid w:val="00373233"/>
    <w:rsid w:val="00373847"/>
    <w:rsid w:val="00373D1E"/>
    <w:rsid w:val="00374406"/>
    <w:rsid w:val="00374C14"/>
    <w:rsid w:val="00374CC3"/>
    <w:rsid w:val="003750BC"/>
    <w:rsid w:val="00375C7D"/>
    <w:rsid w:val="00375F84"/>
    <w:rsid w:val="003764C1"/>
    <w:rsid w:val="003764D3"/>
    <w:rsid w:val="003767B8"/>
    <w:rsid w:val="00376872"/>
    <w:rsid w:val="0037688A"/>
    <w:rsid w:val="00377C9F"/>
    <w:rsid w:val="00377DBE"/>
    <w:rsid w:val="00380013"/>
    <w:rsid w:val="00380584"/>
    <w:rsid w:val="003807DA"/>
    <w:rsid w:val="003808D1"/>
    <w:rsid w:val="00381450"/>
    <w:rsid w:val="00381582"/>
    <w:rsid w:val="0038165D"/>
    <w:rsid w:val="00381705"/>
    <w:rsid w:val="00381D3F"/>
    <w:rsid w:val="0038218C"/>
    <w:rsid w:val="003824E2"/>
    <w:rsid w:val="00382745"/>
    <w:rsid w:val="003830DF"/>
    <w:rsid w:val="003836E3"/>
    <w:rsid w:val="00383802"/>
    <w:rsid w:val="00383BDA"/>
    <w:rsid w:val="00383F54"/>
    <w:rsid w:val="00384169"/>
    <w:rsid w:val="00384383"/>
    <w:rsid w:val="0038446B"/>
    <w:rsid w:val="00384661"/>
    <w:rsid w:val="0038473F"/>
    <w:rsid w:val="0038497E"/>
    <w:rsid w:val="00384D5B"/>
    <w:rsid w:val="00384FF7"/>
    <w:rsid w:val="0038569C"/>
    <w:rsid w:val="003857CA"/>
    <w:rsid w:val="00385F40"/>
    <w:rsid w:val="00386234"/>
    <w:rsid w:val="00386BF8"/>
    <w:rsid w:val="00387A4A"/>
    <w:rsid w:val="00387A4D"/>
    <w:rsid w:val="003908A2"/>
    <w:rsid w:val="00390D55"/>
    <w:rsid w:val="0039125A"/>
    <w:rsid w:val="00391411"/>
    <w:rsid w:val="003918B0"/>
    <w:rsid w:val="00392712"/>
    <w:rsid w:val="00392715"/>
    <w:rsid w:val="00392EC6"/>
    <w:rsid w:val="00393374"/>
    <w:rsid w:val="0039450A"/>
    <w:rsid w:val="00394575"/>
    <w:rsid w:val="0039499B"/>
    <w:rsid w:val="003949AB"/>
    <w:rsid w:val="00394A7B"/>
    <w:rsid w:val="00395130"/>
    <w:rsid w:val="0039579A"/>
    <w:rsid w:val="00395A70"/>
    <w:rsid w:val="00395FAA"/>
    <w:rsid w:val="00396253"/>
    <w:rsid w:val="0039669F"/>
    <w:rsid w:val="00396703"/>
    <w:rsid w:val="00396756"/>
    <w:rsid w:val="0039689E"/>
    <w:rsid w:val="00396920"/>
    <w:rsid w:val="00396D8F"/>
    <w:rsid w:val="003971F5"/>
    <w:rsid w:val="003974FB"/>
    <w:rsid w:val="00397B17"/>
    <w:rsid w:val="003A0112"/>
    <w:rsid w:val="003A01FE"/>
    <w:rsid w:val="003A0A7A"/>
    <w:rsid w:val="003A0BDB"/>
    <w:rsid w:val="003A0C1D"/>
    <w:rsid w:val="003A12C1"/>
    <w:rsid w:val="003A1CAC"/>
    <w:rsid w:val="003A1EA1"/>
    <w:rsid w:val="003A21B3"/>
    <w:rsid w:val="003A2471"/>
    <w:rsid w:val="003A2575"/>
    <w:rsid w:val="003A2754"/>
    <w:rsid w:val="003A2D12"/>
    <w:rsid w:val="003A3A67"/>
    <w:rsid w:val="003A445F"/>
    <w:rsid w:val="003A5B7E"/>
    <w:rsid w:val="003A631F"/>
    <w:rsid w:val="003A6DAB"/>
    <w:rsid w:val="003A6EA5"/>
    <w:rsid w:val="003A70BA"/>
    <w:rsid w:val="003A73A0"/>
    <w:rsid w:val="003B02FA"/>
    <w:rsid w:val="003B033F"/>
    <w:rsid w:val="003B06D7"/>
    <w:rsid w:val="003B0B20"/>
    <w:rsid w:val="003B10CF"/>
    <w:rsid w:val="003B18E3"/>
    <w:rsid w:val="003B1989"/>
    <w:rsid w:val="003B1C2E"/>
    <w:rsid w:val="003B1C7D"/>
    <w:rsid w:val="003B1E08"/>
    <w:rsid w:val="003B1F67"/>
    <w:rsid w:val="003B21D1"/>
    <w:rsid w:val="003B26AF"/>
    <w:rsid w:val="003B2907"/>
    <w:rsid w:val="003B2AD0"/>
    <w:rsid w:val="003B2D5F"/>
    <w:rsid w:val="003B3821"/>
    <w:rsid w:val="003B3B38"/>
    <w:rsid w:val="003B4B9D"/>
    <w:rsid w:val="003B51A9"/>
    <w:rsid w:val="003B6FBA"/>
    <w:rsid w:val="003B7181"/>
    <w:rsid w:val="003B74FF"/>
    <w:rsid w:val="003B78A4"/>
    <w:rsid w:val="003B78F8"/>
    <w:rsid w:val="003B79EF"/>
    <w:rsid w:val="003B7B24"/>
    <w:rsid w:val="003C0528"/>
    <w:rsid w:val="003C0925"/>
    <w:rsid w:val="003C12F5"/>
    <w:rsid w:val="003C1354"/>
    <w:rsid w:val="003C1AF8"/>
    <w:rsid w:val="003C1D8B"/>
    <w:rsid w:val="003C4208"/>
    <w:rsid w:val="003C4478"/>
    <w:rsid w:val="003C4B38"/>
    <w:rsid w:val="003C5836"/>
    <w:rsid w:val="003C5CD9"/>
    <w:rsid w:val="003C5EBE"/>
    <w:rsid w:val="003C626B"/>
    <w:rsid w:val="003C64FA"/>
    <w:rsid w:val="003C6D65"/>
    <w:rsid w:val="003C7336"/>
    <w:rsid w:val="003C7D14"/>
    <w:rsid w:val="003C7E2C"/>
    <w:rsid w:val="003D0AA4"/>
    <w:rsid w:val="003D0C0B"/>
    <w:rsid w:val="003D10E0"/>
    <w:rsid w:val="003D1423"/>
    <w:rsid w:val="003D1B72"/>
    <w:rsid w:val="003D1C2A"/>
    <w:rsid w:val="003D202E"/>
    <w:rsid w:val="003D228E"/>
    <w:rsid w:val="003D2410"/>
    <w:rsid w:val="003D38DE"/>
    <w:rsid w:val="003D4601"/>
    <w:rsid w:val="003D476A"/>
    <w:rsid w:val="003D4B58"/>
    <w:rsid w:val="003D4B6C"/>
    <w:rsid w:val="003D4C81"/>
    <w:rsid w:val="003D4C88"/>
    <w:rsid w:val="003D4CA3"/>
    <w:rsid w:val="003D60AF"/>
    <w:rsid w:val="003D6346"/>
    <w:rsid w:val="003D6C5B"/>
    <w:rsid w:val="003D6E3B"/>
    <w:rsid w:val="003D6FE7"/>
    <w:rsid w:val="003D7568"/>
    <w:rsid w:val="003D75F0"/>
    <w:rsid w:val="003D769F"/>
    <w:rsid w:val="003D797F"/>
    <w:rsid w:val="003D7A4D"/>
    <w:rsid w:val="003E06E8"/>
    <w:rsid w:val="003E071C"/>
    <w:rsid w:val="003E0BE6"/>
    <w:rsid w:val="003E0C3C"/>
    <w:rsid w:val="003E14E3"/>
    <w:rsid w:val="003E18D5"/>
    <w:rsid w:val="003E1EF7"/>
    <w:rsid w:val="003E2157"/>
    <w:rsid w:val="003E2C06"/>
    <w:rsid w:val="003E2D9C"/>
    <w:rsid w:val="003E2F7B"/>
    <w:rsid w:val="003E3A48"/>
    <w:rsid w:val="003E3BD6"/>
    <w:rsid w:val="003E3DE2"/>
    <w:rsid w:val="003E4238"/>
    <w:rsid w:val="003E54E3"/>
    <w:rsid w:val="003E59D4"/>
    <w:rsid w:val="003E59FB"/>
    <w:rsid w:val="003E60D1"/>
    <w:rsid w:val="003E65D9"/>
    <w:rsid w:val="003E6CA9"/>
    <w:rsid w:val="003E7351"/>
    <w:rsid w:val="003E7DBB"/>
    <w:rsid w:val="003F1B55"/>
    <w:rsid w:val="003F1CE7"/>
    <w:rsid w:val="003F1F02"/>
    <w:rsid w:val="003F25A2"/>
    <w:rsid w:val="003F387E"/>
    <w:rsid w:val="003F3D6A"/>
    <w:rsid w:val="003F3D8D"/>
    <w:rsid w:val="003F3E93"/>
    <w:rsid w:val="003F413B"/>
    <w:rsid w:val="003F4287"/>
    <w:rsid w:val="003F4B5B"/>
    <w:rsid w:val="003F4E2F"/>
    <w:rsid w:val="003F5BC6"/>
    <w:rsid w:val="003F5DE2"/>
    <w:rsid w:val="003F622A"/>
    <w:rsid w:val="003F65D6"/>
    <w:rsid w:val="003F738F"/>
    <w:rsid w:val="003F743F"/>
    <w:rsid w:val="003F745D"/>
    <w:rsid w:val="003F7B35"/>
    <w:rsid w:val="003F7E82"/>
    <w:rsid w:val="004000A4"/>
    <w:rsid w:val="004001D4"/>
    <w:rsid w:val="00400D7F"/>
    <w:rsid w:val="00400DEA"/>
    <w:rsid w:val="0040125D"/>
    <w:rsid w:val="0040178F"/>
    <w:rsid w:val="00401BB6"/>
    <w:rsid w:val="00401E01"/>
    <w:rsid w:val="004023D7"/>
    <w:rsid w:val="004032FF"/>
    <w:rsid w:val="0040347B"/>
    <w:rsid w:val="004036B2"/>
    <w:rsid w:val="00403951"/>
    <w:rsid w:val="00403C72"/>
    <w:rsid w:val="00403E9E"/>
    <w:rsid w:val="004050AB"/>
    <w:rsid w:val="004050DD"/>
    <w:rsid w:val="004053C5"/>
    <w:rsid w:val="004054EC"/>
    <w:rsid w:val="004058A0"/>
    <w:rsid w:val="004058BA"/>
    <w:rsid w:val="00405CC7"/>
    <w:rsid w:val="00405FC0"/>
    <w:rsid w:val="00406039"/>
    <w:rsid w:val="004065BD"/>
    <w:rsid w:val="004065F4"/>
    <w:rsid w:val="0040675C"/>
    <w:rsid w:val="00406851"/>
    <w:rsid w:val="00406A67"/>
    <w:rsid w:val="004075A2"/>
    <w:rsid w:val="00410161"/>
    <w:rsid w:val="00410756"/>
    <w:rsid w:val="0041146E"/>
    <w:rsid w:val="0041175D"/>
    <w:rsid w:val="00411AB5"/>
    <w:rsid w:val="00412315"/>
    <w:rsid w:val="00413CFD"/>
    <w:rsid w:val="00414374"/>
    <w:rsid w:val="004143F2"/>
    <w:rsid w:val="004148D4"/>
    <w:rsid w:val="00414A8C"/>
    <w:rsid w:val="00414ACC"/>
    <w:rsid w:val="00414B11"/>
    <w:rsid w:val="00414DAD"/>
    <w:rsid w:val="00415B79"/>
    <w:rsid w:val="0041642B"/>
    <w:rsid w:val="0041667C"/>
    <w:rsid w:val="004167A9"/>
    <w:rsid w:val="00416E7E"/>
    <w:rsid w:val="0041702D"/>
    <w:rsid w:val="004179E3"/>
    <w:rsid w:val="00417AF7"/>
    <w:rsid w:val="00420425"/>
    <w:rsid w:val="004204E6"/>
    <w:rsid w:val="00420615"/>
    <w:rsid w:val="00420EC8"/>
    <w:rsid w:val="00421234"/>
    <w:rsid w:val="004213CF"/>
    <w:rsid w:val="0042194B"/>
    <w:rsid w:val="00421BB7"/>
    <w:rsid w:val="00422D76"/>
    <w:rsid w:val="00422E1E"/>
    <w:rsid w:val="0042335B"/>
    <w:rsid w:val="00423F80"/>
    <w:rsid w:val="004242E3"/>
    <w:rsid w:val="004249AB"/>
    <w:rsid w:val="004252CE"/>
    <w:rsid w:val="00425912"/>
    <w:rsid w:val="0042701C"/>
    <w:rsid w:val="004272E9"/>
    <w:rsid w:val="00427D3D"/>
    <w:rsid w:val="004302E3"/>
    <w:rsid w:val="004303F1"/>
    <w:rsid w:val="00431AB0"/>
    <w:rsid w:val="00431C27"/>
    <w:rsid w:val="00432037"/>
    <w:rsid w:val="004325BF"/>
    <w:rsid w:val="004333DC"/>
    <w:rsid w:val="00433823"/>
    <w:rsid w:val="00434160"/>
    <w:rsid w:val="00434559"/>
    <w:rsid w:val="00434931"/>
    <w:rsid w:val="0043493C"/>
    <w:rsid w:val="00434CFB"/>
    <w:rsid w:val="00434D8D"/>
    <w:rsid w:val="0043514A"/>
    <w:rsid w:val="004354A0"/>
    <w:rsid w:val="004359AF"/>
    <w:rsid w:val="00435DDC"/>
    <w:rsid w:val="004368A5"/>
    <w:rsid w:val="00436C61"/>
    <w:rsid w:val="00436DC8"/>
    <w:rsid w:val="004370E5"/>
    <w:rsid w:val="00437351"/>
    <w:rsid w:val="00437444"/>
    <w:rsid w:val="0043756E"/>
    <w:rsid w:val="004377C5"/>
    <w:rsid w:val="00437E66"/>
    <w:rsid w:val="004410FC"/>
    <w:rsid w:val="004417CC"/>
    <w:rsid w:val="00441A5E"/>
    <w:rsid w:val="00442423"/>
    <w:rsid w:val="00442D23"/>
    <w:rsid w:val="00442EE0"/>
    <w:rsid w:val="004431C3"/>
    <w:rsid w:val="004436DB"/>
    <w:rsid w:val="00444168"/>
    <w:rsid w:val="0044480D"/>
    <w:rsid w:val="00444890"/>
    <w:rsid w:val="00444B6F"/>
    <w:rsid w:val="00445178"/>
    <w:rsid w:val="0044544B"/>
    <w:rsid w:val="004455C5"/>
    <w:rsid w:val="004456D3"/>
    <w:rsid w:val="00446112"/>
    <w:rsid w:val="0044648E"/>
    <w:rsid w:val="004466C9"/>
    <w:rsid w:val="00450ED0"/>
    <w:rsid w:val="004512FE"/>
    <w:rsid w:val="0045138C"/>
    <w:rsid w:val="00451558"/>
    <w:rsid w:val="00451988"/>
    <w:rsid w:val="00451D25"/>
    <w:rsid w:val="004520E7"/>
    <w:rsid w:val="0045295C"/>
    <w:rsid w:val="00452B69"/>
    <w:rsid w:val="00452C71"/>
    <w:rsid w:val="00453166"/>
    <w:rsid w:val="004539FF"/>
    <w:rsid w:val="00453D9F"/>
    <w:rsid w:val="00454119"/>
    <w:rsid w:val="0045481D"/>
    <w:rsid w:val="00454CAD"/>
    <w:rsid w:val="004555AF"/>
    <w:rsid w:val="00455CD8"/>
    <w:rsid w:val="00456181"/>
    <w:rsid w:val="00456AD3"/>
    <w:rsid w:val="00456C68"/>
    <w:rsid w:val="00457414"/>
    <w:rsid w:val="00457935"/>
    <w:rsid w:val="00457DDB"/>
    <w:rsid w:val="00457EFC"/>
    <w:rsid w:val="004600F1"/>
    <w:rsid w:val="004601D8"/>
    <w:rsid w:val="00460E08"/>
    <w:rsid w:val="00460FDF"/>
    <w:rsid w:val="00461234"/>
    <w:rsid w:val="00461419"/>
    <w:rsid w:val="00461658"/>
    <w:rsid w:val="00461C96"/>
    <w:rsid w:val="00462416"/>
    <w:rsid w:val="00462C97"/>
    <w:rsid w:val="00463433"/>
    <w:rsid w:val="004634EB"/>
    <w:rsid w:val="00463796"/>
    <w:rsid w:val="004648A9"/>
    <w:rsid w:val="00465104"/>
    <w:rsid w:val="0046544B"/>
    <w:rsid w:val="00465A19"/>
    <w:rsid w:val="00466E14"/>
    <w:rsid w:val="00470F4F"/>
    <w:rsid w:val="004717DE"/>
    <w:rsid w:val="00471F8C"/>
    <w:rsid w:val="00472417"/>
    <w:rsid w:val="0047264B"/>
    <w:rsid w:val="00472ABD"/>
    <w:rsid w:val="00472BB1"/>
    <w:rsid w:val="00472EE6"/>
    <w:rsid w:val="00473195"/>
    <w:rsid w:val="004737DE"/>
    <w:rsid w:val="00473FDB"/>
    <w:rsid w:val="0047426F"/>
    <w:rsid w:val="00474B94"/>
    <w:rsid w:val="00474C28"/>
    <w:rsid w:val="00474CD6"/>
    <w:rsid w:val="0047616E"/>
    <w:rsid w:val="00476384"/>
    <w:rsid w:val="0047683F"/>
    <w:rsid w:val="00476FCF"/>
    <w:rsid w:val="00477DA1"/>
    <w:rsid w:val="00480AFA"/>
    <w:rsid w:val="00480B27"/>
    <w:rsid w:val="00481A5A"/>
    <w:rsid w:val="0048222E"/>
    <w:rsid w:val="004826DC"/>
    <w:rsid w:val="004829FF"/>
    <w:rsid w:val="00482B27"/>
    <w:rsid w:val="00482C2E"/>
    <w:rsid w:val="004832E5"/>
    <w:rsid w:val="004832FE"/>
    <w:rsid w:val="00483942"/>
    <w:rsid w:val="004859D9"/>
    <w:rsid w:val="00485AC6"/>
    <w:rsid w:val="00485EBD"/>
    <w:rsid w:val="00485ECD"/>
    <w:rsid w:val="00486DEE"/>
    <w:rsid w:val="0048701D"/>
    <w:rsid w:val="0048785F"/>
    <w:rsid w:val="00487C96"/>
    <w:rsid w:val="0049035D"/>
    <w:rsid w:val="004905D7"/>
    <w:rsid w:val="004916CF"/>
    <w:rsid w:val="00491A2D"/>
    <w:rsid w:val="00492CE8"/>
    <w:rsid w:val="00492CEA"/>
    <w:rsid w:val="00493A7E"/>
    <w:rsid w:val="00493DEB"/>
    <w:rsid w:val="00494161"/>
    <w:rsid w:val="004945FF"/>
    <w:rsid w:val="004948C7"/>
    <w:rsid w:val="00494AE5"/>
    <w:rsid w:val="0049664B"/>
    <w:rsid w:val="00496653"/>
    <w:rsid w:val="00496874"/>
    <w:rsid w:val="00496AC5"/>
    <w:rsid w:val="00496CF0"/>
    <w:rsid w:val="0049755C"/>
    <w:rsid w:val="0049773F"/>
    <w:rsid w:val="004977E6"/>
    <w:rsid w:val="00497AE1"/>
    <w:rsid w:val="00497CB1"/>
    <w:rsid w:val="004A020B"/>
    <w:rsid w:val="004A0446"/>
    <w:rsid w:val="004A04A3"/>
    <w:rsid w:val="004A06E8"/>
    <w:rsid w:val="004A0ECC"/>
    <w:rsid w:val="004A0F68"/>
    <w:rsid w:val="004A1044"/>
    <w:rsid w:val="004A1234"/>
    <w:rsid w:val="004A1C73"/>
    <w:rsid w:val="004A1C79"/>
    <w:rsid w:val="004A31E2"/>
    <w:rsid w:val="004A4092"/>
    <w:rsid w:val="004A48CD"/>
    <w:rsid w:val="004A5AFB"/>
    <w:rsid w:val="004A5CFA"/>
    <w:rsid w:val="004A603F"/>
    <w:rsid w:val="004A6075"/>
    <w:rsid w:val="004A6C11"/>
    <w:rsid w:val="004A7F45"/>
    <w:rsid w:val="004B0A25"/>
    <w:rsid w:val="004B0FEF"/>
    <w:rsid w:val="004B1116"/>
    <w:rsid w:val="004B1335"/>
    <w:rsid w:val="004B146A"/>
    <w:rsid w:val="004B188F"/>
    <w:rsid w:val="004B1E48"/>
    <w:rsid w:val="004B23B6"/>
    <w:rsid w:val="004B34FE"/>
    <w:rsid w:val="004B355A"/>
    <w:rsid w:val="004B40D4"/>
    <w:rsid w:val="004B4105"/>
    <w:rsid w:val="004B431D"/>
    <w:rsid w:val="004B4809"/>
    <w:rsid w:val="004B492B"/>
    <w:rsid w:val="004B4E12"/>
    <w:rsid w:val="004B4F0A"/>
    <w:rsid w:val="004B5129"/>
    <w:rsid w:val="004B53CC"/>
    <w:rsid w:val="004B55CD"/>
    <w:rsid w:val="004B6A1B"/>
    <w:rsid w:val="004B7204"/>
    <w:rsid w:val="004B7F9A"/>
    <w:rsid w:val="004C06B7"/>
    <w:rsid w:val="004C0893"/>
    <w:rsid w:val="004C0947"/>
    <w:rsid w:val="004C0D1A"/>
    <w:rsid w:val="004C10B0"/>
    <w:rsid w:val="004C1326"/>
    <w:rsid w:val="004C15D0"/>
    <w:rsid w:val="004C27F3"/>
    <w:rsid w:val="004C2862"/>
    <w:rsid w:val="004C38A9"/>
    <w:rsid w:val="004C52C2"/>
    <w:rsid w:val="004C53BA"/>
    <w:rsid w:val="004C594D"/>
    <w:rsid w:val="004C64B2"/>
    <w:rsid w:val="004C6762"/>
    <w:rsid w:val="004C6A0A"/>
    <w:rsid w:val="004C6EFD"/>
    <w:rsid w:val="004C791A"/>
    <w:rsid w:val="004C7A4D"/>
    <w:rsid w:val="004C7A9B"/>
    <w:rsid w:val="004C7BDA"/>
    <w:rsid w:val="004D06DB"/>
    <w:rsid w:val="004D071D"/>
    <w:rsid w:val="004D0AC7"/>
    <w:rsid w:val="004D0B1A"/>
    <w:rsid w:val="004D0C76"/>
    <w:rsid w:val="004D1328"/>
    <w:rsid w:val="004D22B1"/>
    <w:rsid w:val="004D267C"/>
    <w:rsid w:val="004D291A"/>
    <w:rsid w:val="004D2D79"/>
    <w:rsid w:val="004D2E5D"/>
    <w:rsid w:val="004D2FDA"/>
    <w:rsid w:val="004D3874"/>
    <w:rsid w:val="004D41B9"/>
    <w:rsid w:val="004D4589"/>
    <w:rsid w:val="004D491F"/>
    <w:rsid w:val="004D49C7"/>
    <w:rsid w:val="004D50DE"/>
    <w:rsid w:val="004D5A94"/>
    <w:rsid w:val="004D5C93"/>
    <w:rsid w:val="004D5CEB"/>
    <w:rsid w:val="004D6371"/>
    <w:rsid w:val="004D6972"/>
    <w:rsid w:val="004D6F2F"/>
    <w:rsid w:val="004D76FB"/>
    <w:rsid w:val="004D78E0"/>
    <w:rsid w:val="004D7908"/>
    <w:rsid w:val="004D7C16"/>
    <w:rsid w:val="004E00D0"/>
    <w:rsid w:val="004E0562"/>
    <w:rsid w:val="004E0AE3"/>
    <w:rsid w:val="004E0B7F"/>
    <w:rsid w:val="004E13A1"/>
    <w:rsid w:val="004E2255"/>
    <w:rsid w:val="004E241F"/>
    <w:rsid w:val="004E25ED"/>
    <w:rsid w:val="004E25F4"/>
    <w:rsid w:val="004E264C"/>
    <w:rsid w:val="004E288A"/>
    <w:rsid w:val="004E2A85"/>
    <w:rsid w:val="004E2B8A"/>
    <w:rsid w:val="004E30D4"/>
    <w:rsid w:val="004E3266"/>
    <w:rsid w:val="004E3296"/>
    <w:rsid w:val="004E36DF"/>
    <w:rsid w:val="004E4230"/>
    <w:rsid w:val="004E436A"/>
    <w:rsid w:val="004E4990"/>
    <w:rsid w:val="004E4A46"/>
    <w:rsid w:val="004E4CD1"/>
    <w:rsid w:val="004E50E9"/>
    <w:rsid w:val="004E514C"/>
    <w:rsid w:val="004E55DE"/>
    <w:rsid w:val="004E5AFB"/>
    <w:rsid w:val="004E5F3D"/>
    <w:rsid w:val="004E6482"/>
    <w:rsid w:val="004E6706"/>
    <w:rsid w:val="004E6DF6"/>
    <w:rsid w:val="004E6FDA"/>
    <w:rsid w:val="004E70AA"/>
    <w:rsid w:val="004E75A4"/>
    <w:rsid w:val="004E780F"/>
    <w:rsid w:val="004F0535"/>
    <w:rsid w:val="004F06D1"/>
    <w:rsid w:val="004F0938"/>
    <w:rsid w:val="004F247E"/>
    <w:rsid w:val="004F28C0"/>
    <w:rsid w:val="004F2A1D"/>
    <w:rsid w:val="004F30BD"/>
    <w:rsid w:val="004F32CA"/>
    <w:rsid w:val="004F34AB"/>
    <w:rsid w:val="004F363D"/>
    <w:rsid w:val="004F47CE"/>
    <w:rsid w:val="004F4E24"/>
    <w:rsid w:val="004F5093"/>
    <w:rsid w:val="004F513C"/>
    <w:rsid w:val="004F5FC1"/>
    <w:rsid w:val="004F6214"/>
    <w:rsid w:val="004F6D52"/>
    <w:rsid w:val="004F742C"/>
    <w:rsid w:val="004F74EA"/>
    <w:rsid w:val="004F76C2"/>
    <w:rsid w:val="004F79E6"/>
    <w:rsid w:val="00500421"/>
    <w:rsid w:val="0050043D"/>
    <w:rsid w:val="005010E8"/>
    <w:rsid w:val="00501396"/>
    <w:rsid w:val="0050147B"/>
    <w:rsid w:val="0050164D"/>
    <w:rsid w:val="005026C5"/>
    <w:rsid w:val="0050293D"/>
    <w:rsid w:val="005036BB"/>
    <w:rsid w:val="0050438A"/>
    <w:rsid w:val="0050443E"/>
    <w:rsid w:val="00504601"/>
    <w:rsid w:val="00504E72"/>
    <w:rsid w:val="005057D4"/>
    <w:rsid w:val="005061CF"/>
    <w:rsid w:val="00506BAA"/>
    <w:rsid w:val="00506CAB"/>
    <w:rsid w:val="005072D9"/>
    <w:rsid w:val="00507596"/>
    <w:rsid w:val="0050761F"/>
    <w:rsid w:val="00507992"/>
    <w:rsid w:val="00507B0A"/>
    <w:rsid w:val="005103B0"/>
    <w:rsid w:val="00510830"/>
    <w:rsid w:val="00510869"/>
    <w:rsid w:val="00510AF5"/>
    <w:rsid w:val="00510E01"/>
    <w:rsid w:val="00511480"/>
    <w:rsid w:val="00511B03"/>
    <w:rsid w:val="0051259B"/>
    <w:rsid w:val="0051285B"/>
    <w:rsid w:val="00512AD4"/>
    <w:rsid w:val="00513827"/>
    <w:rsid w:val="005146B1"/>
    <w:rsid w:val="00514BDC"/>
    <w:rsid w:val="00515D20"/>
    <w:rsid w:val="00516A99"/>
    <w:rsid w:val="00516ED1"/>
    <w:rsid w:val="00517263"/>
    <w:rsid w:val="0051776C"/>
    <w:rsid w:val="0051778C"/>
    <w:rsid w:val="00517DEA"/>
    <w:rsid w:val="00517E58"/>
    <w:rsid w:val="00517E8A"/>
    <w:rsid w:val="00520421"/>
    <w:rsid w:val="00520968"/>
    <w:rsid w:val="00520C1C"/>
    <w:rsid w:val="0052122D"/>
    <w:rsid w:val="00521D04"/>
    <w:rsid w:val="00521DBC"/>
    <w:rsid w:val="005222A5"/>
    <w:rsid w:val="00522CE3"/>
    <w:rsid w:val="005235CA"/>
    <w:rsid w:val="00523707"/>
    <w:rsid w:val="0052383A"/>
    <w:rsid w:val="00523C39"/>
    <w:rsid w:val="00523C72"/>
    <w:rsid w:val="00524454"/>
    <w:rsid w:val="005244D5"/>
    <w:rsid w:val="00524DCE"/>
    <w:rsid w:val="00524EF6"/>
    <w:rsid w:val="0052538E"/>
    <w:rsid w:val="005260CF"/>
    <w:rsid w:val="00526320"/>
    <w:rsid w:val="00526E1D"/>
    <w:rsid w:val="00527C70"/>
    <w:rsid w:val="00530039"/>
    <w:rsid w:val="00530F20"/>
    <w:rsid w:val="0053135A"/>
    <w:rsid w:val="0053148E"/>
    <w:rsid w:val="0053151C"/>
    <w:rsid w:val="0053154C"/>
    <w:rsid w:val="005315F9"/>
    <w:rsid w:val="0053268B"/>
    <w:rsid w:val="0053269C"/>
    <w:rsid w:val="0053422A"/>
    <w:rsid w:val="005342B8"/>
    <w:rsid w:val="005346C5"/>
    <w:rsid w:val="00534780"/>
    <w:rsid w:val="005347AB"/>
    <w:rsid w:val="00534CC9"/>
    <w:rsid w:val="0053697F"/>
    <w:rsid w:val="00536993"/>
    <w:rsid w:val="00537252"/>
    <w:rsid w:val="0053757E"/>
    <w:rsid w:val="00537948"/>
    <w:rsid w:val="00537AB1"/>
    <w:rsid w:val="00537B02"/>
    <w:rsid w:val="00537CA7"/>
    <w:rsid w:val="00540599"/>
    <w:rsid w:val="0054064E"/>
    <w:rsid w:val="00540D9E"/>
    <w:rsid w:val="005412A6"/>
    <w:rsid w:val="00541AFF"/>
    <w:rsid w:val="00541E3B"/>
    <w:rsid w:val="00541E91"/>
    <w:rsid w:val="00542420"/>
    <w:rsid w:val="00542597"/>
    <w:rsid w:val="00542FED"/>
    <w:rsid w:val="00543455"/>
    <w:rsid w:val="005434BC"/>
    <w:rsid w:val="00543C87"/>
    <w:rsid w:val="00543F0F"/>
    <w:rsid w:val="00544D77"/>
    <w:rsid w:val="00545427"/>
    <w:rsid w:val="00545F91"/>
    <w:rsid w:val="00546761"/>
    <w:rsid w:val="00546BE4"/>
    <w:rsid w:val="0055004A"/>
    <w:rsid w:val="005501D4"/>
    <w:rsid w:val="00550881"/>
    <w:rsid w:val="005509D1"/>
    <w:rsid w:val="00550D33"/>
    <w:rsid w:val="0055110A"/>
    <w:rsid w:val="0055141F"/>
    <w:rsid w:val="00551539"/>
    <w:rsid w:val="005517B9"/>
    <w:rsid w:val="00551C5C"/>
    <w:rsid w:val="00551E32"/>
    <w:rsid w:val="005523D8"/>
    <w:rsid w:val="00552753"/>
    <w:rsid w:val="00552BC5"/>
    <w:rsid w:val="00552C11"/>
    <w:rsid w:val="005531E4"/>
    <w:rsid w:val="005535F5"/>
    <w:rsid w:val="00554DA2"/>
    <w:rsid w:val="00555622"/>
    <w:rsid w:val="00555D50"/>
    <w:rsid w:val="005566E4"/>
    <w:rsid w:val="0056004F"/>
    <w:rsid w:val="00560CDA"/>
    <w:rsid w:val="00561190"/>
    <w:rsid w:val="005613B3"/>
    <w:rsid w:val="0056143C"/>
    <w:rsid w:val="00561485"/>
    <w:rsid w:val="0056148E"/>
    <w:rsid w:val="00561AB7"/>
    <w:rsid w:val="00561AB8"/>
    <w:rsid w:val="00561ACB"/>
    <w:rsid w:val="00561FFE"/>
    <w:rsid w:val="005621B3"/>
    <w:rsid w:val="005622CA"/>
    <w:rsid w:val="005625BF"/>
    <w:rsid w:val="00562BAE"/>
    <w:rsid w:val="005635DC"/>
    <w:rsid w:val="00563703"/>
    <w:rsid w:val="00563C7D"/>
    <w:rsid w:val="005649AE"/>
    <w:rsid w:val="00564BB3"/>
    <w:rsid w:val="00564D79"/>
    <w:rsid w:val="00565BF5"/>
    <w:rsid w:val="00565E86"/>
    <w:rsid w:val="00566B83"/>
    <w:rsid w:val="005674A8"/>
    <w:rsid w:val="005674F6"/>
    <w:rsid w:val="0057007E"/>
    <w:rsid w:val="00570406"/>
    <w:rsid w:val="0057050E"/>
    <w:rsid w:val="00570607"/>
    <w:rsid w:val="005706D2"/>
    <w:rsid w:val="00570BC3"/>
    <w:rsid w:val="00570E4D"/>
    <w:rsid w:val="0057211D"/>
    <w:rsid w:val="0057225B"/>
    <w:rsid w:val="00572444"/>
    <w:rsid w:val="00572B39"/>
    <w:rsid w:val="005736C7"/>
    <w:rsid w:val="00574127"/>
    <w:rsid w:val="00574198"/>
    <w:rsid w:val="0057453E"/>
    <w:rsid w:val="00574A0D"/>
    <w:rsid w:val="00574C58"/>
    <w:rsid w:val="00574D4B"/>
    <w:rsid w:val="00574EE3"/>
    <w:rsid w:val="00574FC3"/>
    <w:rsid w:val="00575559"/>
    <w:rsid w:val="005758F2"/>
    <w:rsid w:val="00575C72"/>
    <w:rsid w:val="0057604C"/>
    <w:rsid w:val="00576248"/>
    <w:rsid w:val="00576643"/>
    <w:rsid w:val="0057687D"/>
    <w:rsid w:val="00576884"/>
    <w:rsid w:val="005769ED"/>
    <w:rsid w:val="00576FED"/>
    <w:rsid w:val="00577DF3"/>
    <w:rsid w:val="005800D8"/>
    <w:rsid w:val="00580648"/>
    <w:rsid w:val="00580F17"/>
    <w:rsid w:val="00581E75"/>
    <w:rsid w:val="00582E69"/>
    <w:rsid w:val="00582FCA"/>
    <w:rsid w:val="00583071"/>
    <w:rsid w:val="005833D2"/>
    <w:rsid w:val="00583DA1"/>
    <w:rsid w:val="00583E52"/>
    <w:rsid w:val="00584084"/>
    <w:rsid w:val="00584192"/>
    <w:rsid w:val="00584890"/>
    <w:rsid w:val="005848C5"/>
    <w:rsid w:val="00584B96"/>
    <w:rsid w:val="00585290"/>
    <w:rsid w:val="005852FF"/>
    <w:rsid w:val="005856B5"/>
    <w:rsid w:val="00585A1E"/>
    <w:rsid w:val="00585CB5"/>
    <w:rsid w:val="00585D11"/>
    <w:rsid w:val="00585F0F"/>
    <w:rsid w:val="0058604F"/>
    <w:rsid w:val="005860ED"/>
    <w:rsid w:val="005861D2"/>
    <w:rsid w:val="0058663F"/>
    <w:rsid w:val="00586D7A"/>
    <w:rsid w:val="005871C2"/>
    <w:rsid w:val="00587926"/>
    <w:rsid w:val="00587A3C"/>
    <w:rsid w:val="00587ED8"/>
    <w:rsid w:val="00587F06"/>
    <w:rsid w:val="0059038D"/>
    <w:rsid w:val="005911E0"/>
    <w:rsid w:val="0059133B"/>
    <w:rsid w:val="0059178B"/>
    <w:rsid w:val="005919D7"/>
    <w:rsid w:val="00591DBD"/>
    <w:rsid w:val="005926C1"/>
    <w:rsid w:val="00592D8B"/>
    <w:rsid w:val="0059332B"/>
    <w:rsid w:val="005935B4"/>
    <w:rsid w:val="0059361A"/>
    <w:rsid w:val="0059394C"/>
    <w:rsid w:val="0059395F"/>
    <w:rsid w:val="00593AA7"/>
    <w:rsid w:val="00593CDF"/>
    <w:rsid w:val="00593E79"/>
    <w:rsid w:val="00594098"/>
    <w:rsid w:val="00594351"/>
    <w:rsid w:val="005946F6"/>
    <w:rsid w:val="00594B07"/>
    <w:rsid w:val="00594EF7"/>
    <w:rsid w:val="0059511F"/>
    <w:rsid w:val="00595702"/>
    <w:rsid w:val="0059608F"/>
    <w:rsid w:val="00596C7B"/>
    <w:rsid w:val="00596CE5"/>
    <w:rsid w:val="005978DC"/>
    <w:rsid w:val="00597D21"/>
    <w:rsid w:val="005A05FC"/>
    <w:rsid w:val="005A0628"/>
    <w:rsid w:val="005A0702"/>
    <w:rsid w:val="005A1939"/>
    <w:rsid w:val="005A2B9F"/>
    <w:rsid w:val="005A2DE3"/>
    <w:rsid w:val="005A2F98"/>
    <w:rsid w:val="005A31F1"/>
    <w:rsid w:val="005A3A40"/>
    <w:rsid w:val="005A3C8C"/>
    <w:rsid w:val="005A45E1"/>
    <w:rsid w:val="005A48DD"/>
    <w:rsid w:val="005A535E"/>
    <w:rsid w:val="005A5818"/>
    <w:rsid w:val="005A5A59"/>
    <w:rsid w:val="005A5F6E"/>
    <w:rsid w:val="005A74C6"/>
    <w:rsid w:val="005A75DA"/>
    <w:rsid w:val="005A79DD"/>
    <w:rsid w:val="005A7A5E"/>
    <w:rsid w:val="005B0282"/>
    <w:rsid w:val="005B0422"/>
    <w:rsid w:val="005B05C8"/>
    <w:rsid w:val="005B07B2"/>
    <w:rsid w:val="005B09A2"/>
    <w:rsid w:val="005B1177"/>
    <w:rsid w:val="005B1539"/>
    <w:rsid w:val="005B1872"/>
    <w:rsid w:val="005B2019"/>
    <w:rsid w:val="005B22AA"/>
    <w:rsid w:val="005B28BA"/>
    <w:rsid w:val="005B290E"/>
    <w:rsid w:val="005B2A87"/>
    <w:rsid w:val="005B2B37"/>
    <w:rsid w:val="005B312A"/>
    <w:rsid w:val="005B3309"/>
    <w:rsid w:val="005B34F9"/>
    <w:rsid w:val="005B3EBF"/>
    <w:rsid w:val="005B44C3"/>
    <w:rsid w:val="005B495C"/>
    <w:rsid w:val="005B5027"/>
    <w:rsid w:val="005B5BD2"/>
    <w:rsid w:val="005B5FBA"/>
    <w:rsid w:val="005B65BC"/>
    <w:rsid w:val="005B6936"/>
    <w:rsid w:val="005B6AC4"/>
    <w:rsid w:val="005B7118"/>
    <w:rsid w:val="005B775D"/>
    <w:rsid w:val="005B7AD0"/>
    <w:rsid w:val="005C0474"/>
    <w:rsid w:val="005C0BDC"/>
    <w:rsid w:val="005C2082"/>
    <w:rsid w:val="005C21C4"/>
    <w:rsid w:val="005C3098"/>
    <w:rsid w:val="005C30D4"/>
    <w:rsid w:val="005C37CF"/>
    <w:rsid w:val="005C3813"/>
    <w:rsid w:val="005C39D4"/>
    <w:rsid w:val="005C40D9"/>
    <w:rsid w:val="005C4AFC"/>
    <w:rsid w:val="005C50D2"/>
    <w:rsid w:val="005C5FE6"/>
    <w:rsid w:val="005C6265"/>
    <w:rsid w:val="005C635A"/>
    <w:rsid w:val="005C68B7"/>
    <w:rsid w:val="005C6A31"/>
    <w:rsid w:val="005C708B"/>
    <w:rsid w:val="005C7488"/>
    <w:rsid w:val="005C7F97"/>
    <w:rsid w:val="005D0159"/>
    <w:rsid w:val="005D0561"/>
    <w:rsid w:val="005D0674"/>
    <w:rsid w:val="005D0C24"/>
    <w:rsid w:val="005D0D2A"/>
    <w:rsid w:val="005D0DB8"/>
    <w:rsid w:val="005D139F"/>
    <w:rsid w:val="005D1D32"/>
    <w:rsid w:val="005D20CF"/>
    <w:rsid w:val="005D26E9"/>
    <w:rsid w:val="005D331F"/>
    <w:rsid w:val="005D34F0"/>
    <w:rsid w:val="005D35DD"/>
    <w:rsid w:val="005D4CC1"/>
    <w:rsid w:val="005D535F"/>
    <w:rsid w:val="005D56B0"/>
    <w:rsid w:val="005D5F43"/>
    <w:rsid w:val="005D6002"/>
    <w:rsid w:val="005D6948"/>
    <w:rsid w:val="005D6D71"/>
    <w:rsid w:val="005D6DBF"/>
    <w:rsid w:val="005D6ECF"/>
    <w:rsid w:val="005D6F31"/>
    <w:rsid w:val="005D7860"/>
    <w:rsid w:val="005E00C9"/>
    <w:rsid w:val="005E00E3"/>
    <w:rsid w:val="005E0409"/>
    <w:rsid w:val="005E082C"/>
    <w:rsid w:val="005E0B00"/>
    <w:rsid w:val="005E0E09"/>
    <w:rsid w:val="005E137F"/>
    <w:rsid w:val="005E13D2"/>
    <w:rsid w:val="005E17BD"/>
    <w:rsid w:val="005E275D"/>
    <w:rsid w:val="005E2964"/>
    <w:rsid w:val="005E32B7"/>
    <w:rsid w:val="005E3ECC"/>
    <w:rsid w:val="005E50A0"/>
    <w:rsid w:val="005E58A1"/>
    <w:rsid w:val="005E5ACF"/>
    <w:rsid w:val="005E5AD3"/>
    <w:rsid w:val="005E5B4D"/>
    <w:rsid w:val="005E5BDE"/>
    <w:rsid w:val="005E605C"/>
    <w:rsid w:val="005E6395"/>
    <w:rsid w:val="005E644B"/>
    <w:rsid w:val="005E67B3"/>
    <w:rsid w:val="005E69BF"/>
    <w:rsid w:val="005E6BFC"/>
    <w:rsid w:val="005E7896"/>
    <w:rsid w:val="005E7AE7"/>
    <w:rsid w:val="005E7F0D"/>
    <w:rsid w:val="005E7FD9"/>
    <w:rsid w:val="005F0B95"/>
    <w:rsid w:val="005F0F01"/>
    <w:rsid w:val="005F0F7A"/>
    <w:rsid w:val="005F14DF"/>
    <w:rsid w:val="005F1860"/>
    <w:rsid w:val="005F1A7F"/>
    <w:rsid w:val="005F1C94"/>
    <w:rsid w:val="005F1CD1"/>
    <w:rsid w:val="005F21F8"/>
    <w:rsid w:val="005F2D7D"/>
    <w:rsid w:val="005F3B69"/>
    <w:rsid w:val="005F40E4"/>
    <w:rsid w:val="005F42AA"/>
    <w:rsid w:val="005F49FD"/>
    <w:rsid w:val="005F4CA5"/>
    <w:rsid w:val="005F51C4"/>
    <w:rsid w:val="005F53B5"/>
    <w:rsid w:val="005F5A78"/>
    <w:rsid w:val="005F5BE4"/>
    <w:rsid w:val="005F5DE1"/>
    <w:rsid w:val="005F6745"/>
    <w:rsid w:val="005F68C2"/>
    <w:rsid w:val="005F6D85"/>
    <w:rsid w:val="005F7270"/>
    <w:rsid w:val="005F7388"/>
    <w:rsid w:val="005F7963"/>
    <w:rsid w:val="005F7DF7"/>
    <w:rsid w:val="0060044E"/>
    <w:rsid w:val="006004DB"/>
    <w:rsid w:val="006005B5"/>
    <w:rsid w:val="006009AD"/>
    <w:rsid w:val="00600ED5"/>
    <w:rsid w:val="00600F2F"/>
    <w:rsid w:val="006010E5"/>
    <w:rsid w:val="00601317"/>
    <w:rsid w:val="00601B52"/>
    <w:rsid w:val="00601F2F"/>
    <w:rsid w:val="00602809"/>
    <w:rsid w:val="00602EA8"/>
    <w:rsid w:val="00602ED1"/>
    <w:rsid w:val="00603757"/>
    <w:rsid w:val="00603BE4"/>
    <w:rsid w:val="00604B06"/>
    <w:rsid w:val="00604FBB"/>
    <w:rsid w:val="00605C71"/>
    <w:rsid w:val="00605DD2"/>
    <w:rsid w:val="00606092"/>
    <w:rsid w:val="006062EC"/>
    <w:rsid w:val="00606611"/>
    <w:rsid w:val="00606673"/>
    <w:rsid w:val="00607311"/>
    <w:rsid w:val="006073C7"/>
    <w:rsid w:val="0060740F"/>
    <w:rsid w:val="00607706"/>
    <w:rsid w:val="006077AF"/>
    <w:rsid w:val="00607E16"/>
    <w:rsid w:val="006101BD"/>
    <w:rsid w:val="00610BAE"/>
    <w:rsid w:val="00610C09"/>
    <w:rsid w:val="00610D36"/>
    <w:rsid w:val="00610D5B"/>
    <w:rsid w:val="00610E27"/>
    <w:rsid w:val="00610E42"/>
    <w:rsid w:val="0061145C"/>
    <w:rsid w:val="00611641"/>
    <w:rsid w:val="00611F5F"/>
    <w:rsid w:val="0061286F"/>
    <w:rsid w:val="00612EA6"/>
    <w:rsid w:val="00612F6A"/>
    <w:rsid w:val="00612FB5"/>
    <w:rsid w:val="006130F7"/>
    <w:rsid w:val="00614680"/>
    <w:rsid w:val="00614726"/>
    <w:rsid w:val="00615158"/>
    <w:rsid w:val="00615358"/>
    <w:rsid w:val="00615746"/>
    <w:rsid w:val="00615758"/>
    <w:rsid w:val="006157E5"/>
    <w:rsid w:val="00615F09"/>
    <w:rsid w:val="006161EB"/>
    <w:rsid w:val="006162E7"/>
    <w:rsid w:val="0061638E"/>
    <w:rsid w:val="006177EF"/>
    <w:rsid w:val="00620032"/>
    <w:rsid w:val="0062009D"/>
    <w:rsid w:val="006202B7"/>
    <w:rsid w:val="00620507"/>
    <w:rsid w:val="00620631"/>
    <w:rsid w:val="00620A0C"/>
    <w:rsid w:val="00620CB4"/>
    <w:rsid w:val="00621016"/>
    <w:rsid w:val="00621A7E"/>
    <w:rsid w:val="00622360"/>
    <w:rsid w:val="00622621"/>
    <w:rsid w:val="006226F2"/>
    <w:rsid w:val="006235C4"/>
    <w:rsid w:val="00623ED5"/>
    <w:rsid w:val="006241E8"/>
    <w:rsid w:val="00624E41"/>
    <w:rsid w:val="00625358"/>
    <w:rsid w:val="0062646F"/>
    <w:rsid w:val="006269FE"/>
    <w:rsid w:val="006273C7"/>
    <w:rsid w:val="00627471"/>
    <w:rsid w:val="00627CFC"/>
    <w:rsid w:val="00630375"/>
    <w:rsid w:val="00630DBD"/>
    <w:rsid w:val="00630EC8"/>
    <w:rsid w:val="00631483"/>
    <w:rsid w:val="00631670"/>
    <w:rsid w:val="00631CCC"/>
    <w:rsid w:val="00631F6A"/>
    <w:rsid w:val="00632AC2"/>
    <w:rsid w:val="00632BE9"/>
    <w:rsid w:val="00633D78"/>
    <w:rsid w:val="00633FD6"/>
    <w:rsid w:val="0063430E"/>
    <w:rsid w:val="00634484"/>
    <w:rsid w:val="00634993"/>
    <w:rsid w:val="006354B0"/>
    <w:rsid w:val="0063554E"/>
    <w:rsid w:val="006356D6"/>
    <w:rsid w:val="0063584E"/>
    <w:rsid w:val="006365E9"/>
    <w:rsid w:val="00636AC9"/>
    <w:rsid w:val="00636AE3"/>
    <w:rsid w:val="0063762A"/>
    <w:rsid w:val="00637C9F"/>
    <w:rsid w:val="00637CEB"/>
    <w:rsid w:val="00637EBD"/>
    <w:rsid w:val="00640013"/>
    <w:rsid w:val="0064005E"/>
    <w:rsid w:val="00640503"/>
    <w:rsid w:val="00641773"/>
    <w:rsid w:val="00641937"/>
    <w:rsid w:val="00642632"/>
    <w:rsid w:val="00642CC6"/>
    <w:rsid w:val="00642D09"/>
    <w:rsid w:val="00642D9E"/>
    <w:rsid w:val="006430B7"/>
    <w:rsid w:val="00643BDA"/>
    <w:rsid w:val="00643E77"/>
    <w:rsid w:val="00644222"/>
    <w:rsid w:val="006446EB"/>
    <w:rsid w:val="006447CD"/>
    <w:rsid w:val="00644C11"/>
    <w:rsid w:val="00644C1B"/>
    <w:rsid w:val="00645251"/>
    <w:rsid w:val="006463C4"/>
    <w:rsid w:val="00646527"/>
    <w:rsid w:val="006465EE"/>
    <w:rsid w:val="006466F0"/>
    <w:rsid w:val="00646B20"/>
    <w:rsid w:val="00646F16"/>
    <w:rsid w:val="00647503"/>
    <w:rsid w:val="0065050E"/>
    <w:rsid w:val="00650895"/>
    <w:rsid w:val="00650C74"/>
    <w:rsid w:val="006512C8"/>
    <w:rsid w:val="00651D7D"/>
    <w:rsid w:val="00651D7F"/>
    <w:rsid w:val="00652646"/>
    <w:rsid w:val="00652961"/>
    <w:rsid w:val="00652D6C"/>
    <w:rsid w:val="00652E08"/>
    <w:rsid w:val="00652FFD"/>
    <w:rsid w:val="00653722"/>
    <w:rsid w:val="0065388A"/>
    <w:rsid w:val="00653D7F"/>
    <w:rsid w:val="006540C0"/>
    <w:rsid w:val="0065414C"/>
    <w:rsid w:val="006549F9"/>
    <w:rsid w:val="00654B39"/>
    <w:rsid w:val="00654C27"/>
    <w:rsid w:val="00654E22"/>
    <w:rsid w:val="00655652"/>
    <w:rsid w:val="0065594F"/>
    <w:rsid w:val="00655A5B"/>
    <w:rsid w:val="00655E85"/>
    <w:rsid w:val="00656436"/>
    <w:rsid w:val="006568A3"/>
    <w:rsid w:val="00656B49"/>
    <w:rsid w:val="0065777B"/>
    <w:rsid w:val="006578FF"/>
    <w:rsid w:val="006579F2"/>
    <w:rsid w:val="00657A1F"/>
    <w:rsid w:val="00657C72"/>
    <w:rsid w:val="00660056"/>
    <w:rsid w:val="00660184"/>
    <w:rsid w:val="0066077B"/>
    <w:rsid w:val="00660985"/>
    <w:rsid w:val="00661FA8"/>
    <w:rsid w:val="00662520"/>
    <w:rsid w:val="00662626"/>
    <w:rsid w:val="00662697"/>
    <w:rsid w:val="0066290A"/>
    <w:rsid w:val="00662C5C"/>
    <w:rsid w:val="00663049"/>
    <w:rsid w:val="00663312"/>
    <w:rsid w:val="0066355A"/>
    <w:rsid w:val="00664824"/>
    <w:rsid w:val="00664DD5"/>
    <w:rsid w:val="006650ED"/>
    <w:rsid w:val="0066541B"/>
    <w:rsid w:val="00665479"/>
    <w:rsid w:val="006654AF"/>
    <w:rsid w:val="006654B9"/>
    <w:rsid w:val="00665DD3"/>
    <w:rsid w:val="00665ED0"/>
    <w:rsid w:val="0066659F"/>
    <w:rsid w:val="006667B5"/>
    <w:rsid w:val="00666865"/>
    <w:rsid w:val="00666CFB"/>
    <w:rsid w:val="00666EE6"/>
    <w:rsid w:val="0066739E"/>
    <w:rsid w:val="0066766D"/>
    <w:rsid w:val="006678B5"/>
    <w:rsid w:val="00667E62"/>
    <w:rsid w:val="0067023D"/>
    <w:rsid w:val="0067029F"/>
    <w:rsid w:val="00670410"/>
    <w:rsid w:val="0067063D"/>
    <w:rsid w:val="0067076C"/>
    <w:rsid w:val="00670A94"/>
    <w:rsid w:val="00670D56"/>
    <w:rsid w:val="00670E4A"/>
    <w:rsid w:val="0067180F"/>
    <w:rsid w:val="00671AAC"/>
    <w:rsid w:val="006726DA"/>
    <w:rsid w:val="00672CF9"/>
    <w:rsid w:val="00673618"/>
    <w:rsid w:val="00673700"/>
    <w:rsid w:val="00673862"/>
    <w:rsid w:val="00673ABB"/>
    <w:rsid w:val="00674538"/>
    <w:rsid w:val="0067506D"/>
    <w:rsid w:val="00675343"/>
    <w:rsid w:val="00676095"/>
    <w:rsid w:val="0067615E"/>
    <w:rsid w:val="006764F0"/>
    <w:rsid w:val="0067720B"/>
    <w:rsid w:val="00677494"/>
    <w:rsid w:val="0067752C"/>
    <w:rsid w:val="00677A96"/>
    <w:rsid w:val="00680B67"/>
    <w:rsid w:val="00680F10"/>
    <w:rsid w:val="006816DF"/>
    <w:rsid w:val="00681D31"/>
    <w:rsid w:val="00682238"/>
    <w:rsid w:val="00682282"/>
    <w:rsid w:val="00682B89"/>
    <w:rsid w:val="00682C0A"/>
    <w:rsid w:val="00682C79"/>
    <w:rsid w:val="00682D6B"/>
    <w:rsid w:val="00682F78"/>
    <w:rsid w:val="00683325"/>
    <w:rsid w:val="00683384"/>
    <w:rsid w:val="006838B0"/>
    <w:rsid w:val="00683E5B"/>
    <w:rsid w:val="00684313"/>
    <w:rsid w:val="00684C54"/>
    <w:rsid w:val="00684E12"/>
    <w:rsid w:val="00684EFA"/>
    <w:rsid w:val="00684FA6"/>
    <w:rsid w:val="00685269"/>
    <w:rsid w:val="006855E6"/>
    <w:rsid w:val="006857A7"/>
    <w:rsid w:val="006857C3"/>
    <w:rsid w:val="00685A47"/>
    <w:rsid w:val="006863F4"/>
    <w:rsid w:val="00686436"/>
    <w:rsid w:val="006867AF"/>
    <w:rsid w:val="00690547"/>
    <w:rsid w:val="0069098E"/>
    <w:rsid w:val="00690E86"/>
    <w:rsid w:val="00690FE4"/>
    <w:rsid w:val="00691F48"/>
    <w:rsid w:val="00692B23"/>
    <w:rsid w:val="006934BF"/>
    <w:rsid w:val="006937B4"/>
    <w:rsid w:val="00693A6A"/>
    <w:rsid w:val="00693ACA"/>
    <w:rsid w:val="00693BFA"/>
    <w:rsid w:val="00693C1D"/>
    <w:rsid w:val="00693CF9"/>
    <w:rsid w:val="00693E71"/>
    <w:rsid w:val="00693FF6"/>
    <w:rsid w:val="00694AEE"/>
    <w:rsid w:val="00694F59"/>
    <w:rsid w:val="0069523E"/>
    <w:rsid w:val="006954CD"/>
    <w:rsid w:val="0069565E"/>
    <w:rsid w:val="00696573"/>
    <w:rsid w:val="0069686A"/>
    <w:rsid w:val="00696EB6"/>
    <w:rsid w:val="00697110"/>
    <w:rsid w:val="00697987"/>
    <w:rsid w:val="00697E4E"/>
    <w:rsid w:val="006A0038"/>
    <w:rsid w:val="006A0307"/>
    <w:rsid w:val="006A0B0D"/>
    <w:rsid w:val="006A1101"/>
    <w:rsid w:val="006A12A2"/>
    <w:rsid w:val="006A132E"/>
    <w:rsid w:val="006A226C"/>
    <w:rsid w:val="006A22BA"/>
    <w:rsid w:val="006A27E7"/>
    <w:rsid w:val="006A2CBA"/>
    <w:rsid w:val="006A33A1"/>
    <w:rsid w:val="006A34B0"/>
    <w:rsid w:val="006A3BA0"/>
    <w:rsid w:val="006A4522"/>
    <w:rsid w:val="006A4BE8"/>
    <w:rsid w:val="006A4E8D"/>
    <w:rsid w:val="006A53F5"/>
    <w:rsid w:val="006A573A"/>
    <w:rsid w:val="006A6147"/>
    <w:rsid w:val="006A64BB"/>
    <w:rsid w:val="006A68BE"/>
    <w:rsid w:val="006A6C54"/>
    <w:rsid w:val="006A6CBD"/>
    <w:rsid w:val="006A6DFA"/>
    <w:rsid w:val="006A709E"/>
    <w:rsid w:val="006A7FB9"/>
    <w:rsid w:val="006B03C5"/>
    <w:rsid w:val="006B0FE3"/>
    <w:rsid w:val="006B11FF"/>
    <w:rsid w:val="006B146A"/>
    <w:rsid w:val="006B17E1"/>
    <w:rsid w:val="006B26E7"/>
    <w:rsid w:val="006B2780"/>
    <w:rsid w:val="006B324A"/>
    <w:rsid w:val="006B36EE"/>
    <w:rsid w:val="006B400C"/>
    <w:rsid w:val="006B4278"/>
    <w:rsid w:val="006B4B1A"/>
    <w:rsid w:val="006B4BA4"/>
    <w:rsid w:val="006B5562"/>
    <w:rsid w:val="006B70D2"/>
    <w:rsid w:val="006B7527"/>
    <w:rsid w:val="006C0488"/>
    <w:rsid w:val="006C0CE8"/>
    <w:rsid w:val="006C2BBD"/>
    <w:rsid w:val="006C395D"/>
    <w:rsid w:val="006C3F14"/>
    <w:rsid w:val="006C43C1"/>
    <w:rsid w:val="006C43C8"/>
    <w:rsid w:val="006C49F7"/>
    <w:rsid w:val="006C4E88"/>
    <w:rsid w:val="006C57B2"/>
    <w:rsid w:val="006C5899"/>
    <w:rsid w:val="006C5C3E"/>
    <w:rsid w:val="006C5F84"/>
    <w:rsid w:val="006C6674"/>
    <w:rsid w:val="006C66BD"/>
    <w:rsid w:val="006C66F5"/>
    <w:rsid w:val="006C689B"/>
    <w:rsid w:val="006C68EF"/>
    <w:rsid w:val="006C6FAC"/>
    <w:rsid w:val="006C71C9"/>
    <w:rsid w:val="006C72E3"/>
    <w:rsid w:val="006C72E9"/>
    <w:rsid w:val="006C7A3C"/>
    <w:rsid w:val="006C7BB4"/>
    <w:rsid w:val="006D0085"/>
    <w:rsid w:val="006D0333"/>
    <w:rsid w:val="006D04F1"/>
    <w:rsid w:val="006D0530"/>
    <w:rsid w:val="006D126C"/>
    <w:rsid w:val="006D223E"/>
    <w:rsid w:val="006D2293"/>
    <w:rsid w:val="006D235B"/>
    <w:rsid w:val="006D2900"/>
    <w:rsid w:val="006D3C5B"/>
    <w:rsid w:val="006D3F5E"/>
    <w:rsid w:val="006D41B9"/>
    <w:rsid w:val="006D49F0"/>
    <w:rsid w:val="006D4A64"/>
    <w:rsid w:val="006D5CB2"/>
    <w:rsid w:val="006D6109"/>
    <w:rsid w:val="006D61BD"/>
    <w:rsid w:val="006D7297"/>
    <w:rsid w:val="006D7332"/>
    <w:rsid w:val="006D73ED"/>
    <w:rsid w:val="006D74B3"/>
    <w:rsid w:val="006D7939"/>
    <w:rsid w:val="006E01E3"/>
    <w:rsid w:val="006E0A85"/>
    <w:rsid w:val="006E0D7C"/>
    <w:rsid w:val="006E0F2C"/>
    <w:rsid w:val="006E15B7"/>
    <w:rsid w:val="006E1742"/>
    <w:rsid w:val="006E193C"/>
    <w:rsid w:val="006E204F"/>
    <w:rsid w:val="006E20AB"/>
    <w:rsid w:val="006E20F5"/>
    <w:rsid w:val="006E22D1"/>
    <w:rsid w:val="006E264B"/>
    <w:rsid w:val="006E26FC"/>
    <w:rsid w:val="006E28CB"/>
    <w:rsid w:val="006E2DB9"/>
    <w:rsid w:val="006E496D"/>
    <w:rsid w:val="006E4E44"/>
    <w:rsid w:val="006E53C6"/>
    <w:rsid w:val="006E57D3"/>
    <w:rsid w:val="006E5AE4"/>
    <w:rsid w:val="006E5BD5"/>
    <w:rsid w:val="006E6349"/>
    <w:rsid w:val="006E6893"/>
    <w:rsid w:val="006E70A4"/>
    <w:rsid w:val="006E7628"/>
    <w:rsid w:val="006E79CA"/>
    <w:rsid w:val="006F0416"/>
    <w:rsid w:val="006F06CB"/>
    <w:rsid w:val="006F107E"/>
    <w:rsid w:val="006F131C"/>
    <w:rsid w:val="006F17F9"/>
    <w:rsid w:val="006F25FA"/>
    <w:rsid w:val="006F271A"/>
    <w:rsid w:val="006F3C88"/>
    <w:rsid w:val="006F4670"/>
    <w:rsid w:val="006F4863"/>
    <w:rsid w:val="006F4865"/>
    <w:rsid w:val="006F48D8"/>
    <w:rsid w:val="006F5135"/>
    <w:rsid w:val="006F560B"/>
    <w:rsid w:val="006F5EF5"/>
    <w:rsid w:val="006F6126"/>
    <w:rsid w:val="006F68D5"/>
    <w:rsid w:val="006F7163"/>
    <w:rsid w:val="006F7832"/>
    <w:rsid w:val="006F7F91"/>
    <w:rsid w:val="00700017"/>
    <w:rsid w:val="00700F7D"/>
    <w:rsid w:val="00701A87"/>
    <w:rsid w:val="00701F74"/>
    <w:rsid w:val="00702164"/>
    <w:rsid w:val="00702314"/>
    <w:rsid w:val="0070283B"/>
    <w:rsid w:val="00703EA6"/>
    <w:rsid w:val="00703ED8"/>
    <w:rsid w:val="0070420A"/>
    <w:rsid w:val="007050EB"/>
    <w:rsid w:val="0070520B"/>
    <w:rsid w:val="0070597D"/>
    <w:rsid w:val="00705B43"/>
    <w:rsid w:val="00705E99"/>
    <w:rsid w:val="00705F35"/>
    <w:rsid w:val="007065FF"/>
    <w:rsid w:val="00706704"/>
    <w:rsid w:val="00706850"/>
    <w:rsid w:val="007069C5"/>
    <w:rsid w:val="00706C16"/>
    <w:rsid w:val="00706CB1"/>
    <w:rsid w:val="007076AA"/>
    <w:rsid w:val="00707FDF"/>
    <w:rsid w:val="00707FF2"/>
    <w:rsid w:val="00711244"/>
    <w:rsid w:val="00711725"/>
    <w:rsid w:val="007118D3"/>
    <w:rsid w:val="00711962"/>
    <w:rsid w:val="00711C6A"/>
    <w:rsid w:val="00711DDB"/>
    <w:rsid w:val="007124D7"/>
    <w:rsid w:val="00712D8B"/>
    <w:rsid w:val="0071301A"/>
    <w:rsid w:val="00713D81"/>
    <w:rsid w:val="00714472"/>
    <w:rsid w:val="00714500"/>
    <w:rsid w:val="007146C3"/>
    <w:rsid w:val="007146EA"/>
    <w:rsid w:val="00714B61"/>
    <w:rsid w:val="00714DBA"/>
    <w:rsid w:val="00714F3B"/>
    <w:rsid w:val="007153E1"/>
    <w:rsid w:val="007156C8"/>
    <w:rsid w:val="0071586D"/>
    <w:rsid w:val="007158A1"/>
    <w:rsid w:val="00715C12"/>
    <w:rsid w:val="00716E33"/>
    <w:rsid w:val="00717066"/>
    <w:rsid w:val="00717C21"/>
    <w:rsid w:val="0072094D"/>
    <w:rsid w:val="00720DE8"/>
    <w:rsid w:val="007210CE"/>
    <w:rsid w:val="00721D9C"/>
    <w:rsid w:val="00721DED"/>
    <w:rsid w:val="007220FD"/>
    <w:rsid w:val="00722B1C"/>
    <w:rsid w:val="007233FF"/>
    <w:rsid w:val="007234DA"/>
    <w:rsid w:val="00723574"/>
    <w:rsid w:val="007238EE"/>
    <w:rsid w:val="00723F53"/>
    <w:rsid w:val="00724429"/>
    <w:rsid w:val="007248BE"/>
    <w:rsid w:val="00724D54"/>
    <w:rsid w:val="00724F54"/>
    <w:rsid w:val="007254C6"/>
    <w:rsid w:val="007257C0"/>
    <w:rsid w:val="00725D44"/>
    <w:rsid w:val="00725EED"/>
    <w:rsid w:val="007267E6"/>
    <w:rsid w:val="00727C11"/>
    <w:rsid w:val="0073058F"/>
    <w:rsid w:val="00730EA8"/>
    <w:rsid w:val="007312BB"/>
    <w:rsid w:val="007315A4"/>
    <w:rsid w:val="007315B7"/>
    <w:rsid w:val="007319DC"/>
    <w:rsid w:val="007329F0"/>
    <w:rsid w:val="0073307A"/>
    <w:rsid w:val="0073394E"/>
    <w:rsid w:val="0073443B"/>
    <w:rsid w:val="00734845"/>
    <w:rsid w:val="00734E0F"/>
    <w:rsid w:val="00734EA7"/>
    <w:rsid w:val="0073509A"/>
    <w:rsid w:val="00735253"/>
    <w:rsid w:val="00735E26"/>
    <w:rsid w:val="0073627F"/>
    <w:rsid w:val="00736310"/>
    <w:rsid w:val="00737470"/>
    <w:rsid w:val="007375C5"/>
    <w:rsid w:val="0073799C"/>
    <w:rsid w:val="00737E66"/>
    <w:rsid w:val="007407AF"/>
    <w:rsid w:val="00740AB8"/>
    <w:rsid w:val="00740CBD"/>
    <w:rsid w:val="00740D59"/>
    <w:rsid w:val="0074122C"/>
    <w:rsid w:val="00741880"/>
    <w:rsid w:val="007418D0"/>
    <w:rsid w:val="00742901"/>
    <w:rsid w:val="00742A08"/>
    <w:rsid w:val="00742F6F"/>
    <w:rsid w:val="00743234"/>
    <w:rsid w:val="00743976"/>
    <w:rsid w:val="00743A9A"/>
    <w:rsid w:val="00743E6F"/>
    <w:rsid w:val="00745434"/>
    <w:rsid w:val="00745CF8"/>
    <w:rsid w:val="007461B8"/>
    <w:rsid w:val="00746ADE"/>
    <w:rsid w:val="00746C0A"/>
    <w:rsid w:val="00747018"/>
    <w:rsid w:val="0074724B"/>
    <w:rsid w:val="00747299"/>
    <w:rsid w:val="007476EA"/>
    <w:rsid w:val="00750043"/>
    <w:rsid w:val="0075073E"/>
    <w:rsid w:val="00750823"/>
    <w:rsid w:val="007508B1"/>
    <w:rsid w:val="00750EF1"/>
    <w:rsid w:val="00751096"/>
    <w:rsid w:val="00751492"/>
    <w:rsid w:val="00751573"/>
    <w:rsid w:val="007516E5"/>
    <w:rsid w:val="00751BCE"/>
    <w:rsid w:val="00751F36"/>
    <w:rsid w:val="00752151"/>
    <w:rsid w:val="007527E6"/>
    <w:rsid w:val="0075348B"/>
    <w:rsid w:val="0075368A"/>
    <w:rsid w:val="007540FD"/>
    <w:rsid w:val="00755658"/>
    <w:rsid w:val="007565B5"/>
    <w:rsid w:val="00756829"/>
    <w:rsid w:val="0075695B"/>
    <w:rsid w:val="00757F3D"/>
    <w:rsid w:val="0076056D"/>
    <w:rsid w:val="00760F9C"/>
    <w:rsid w:val="007613D6"/>
    <w:rsid w:val="007614C6"/>
    <w:rsid w:val="007615C6"/>
    <w:rsid w:val="00761A0E"/>
    <w:rsid w:val="00761B46"/>
    <w:rsid w:val="00762FD0"/>
    <w:rsid w:val="00763B51"/>
    <w:rsid w:val="00763FD5"/>
    <w:rsid w:val="0076442B"/>
    <w:rsid w:val="00764C92"/>
    <w:rsid w:val="00765A79"/>
    <w:rsid w:val="00766454"/>
    <w:rsid w:val="0076680E"/>
    <w:rsid w:val="00770B1D"/>
    <w:rsid w:val="00770C60"/>
    <w:rsid w:val="00770DB5"/>
    <w:rsid w:val="00771404"/>
    <w:rsid w:val="00771FEE"/>
    <w:rsid w:val="007721B4"/>
    <w:rsid w:val="007729DC"/>
    <w:rsid w:val="00772A66"/>
    <w:rsid w:val="0077301B"/>
    <w:rsid w:val="00773895"/>
    <w:rsid w:val="00773996"/>
    <w:rsid w:val="0077419A"/>
    <w:rsid w:val="00774739"/>
    <w:rsid w:val="00774D7F"/>
    <w:rsid w:val="0077573D"/>
    <w:rsid w:val="00776084"/>
    <w:rsid w:val="0077666C"/>
    <w:rsid w:val="00776A5D"/>
    <w:rsid w:val="00776E53"/>
    <w:rsid w:val="00777174"/>
    <w:rsid w:val="00777201"/>
    <w:rsid w:val="007772BA"/>
    <w:rsid w:val="00780A32"/>
    <w:rsid w:val="00780B27"/>
    <w:rsid w:val="00780D5D"/>
    <w:rsid w:val="0078105D"/>
    <w:rsid w:val="007818B5"/>
    <w:rsid w:val="00782F2E"/>
    <w:rsid w:val="00783A01"/>
    <w:rsid w:val="00783C16"/>
    <w:rsid w:val="00783FF3"/>
    <w:rsid w:val="007841C4"/>
    <w:rsid w:val="00784440"/>
    <w:rsid w:val="007846B3"/>
    <w:rsid w:val="007847CA"/>
    <w:rsid w:val="007848E1"/>
    <w:rsid w:val="00784E40"/>
    <w:rsid w:val="00784E41"/>
    <w:rsid w:val="0078529C"/>
    <w:rsid w:val="00785B35"/>
    <w:rsid w:val="00785E0F"/>
    <w:rsid w:val="00785F84"/>
    <w:rsid w:val="00785FD7"/>
    <w:rsid w:val="00786553"/>
    <w:rsid w:val="00787691"/>
    <w:rsid w:val="0079079D"/>
    <w:rsid w:val="00791B52"/>
    <w:rsid w:val="00791B96"/>
    <w:rsid w:val="00793575"/>
    <w:rsid w:val="00793B46"/>
    <w:rsid w:val="00793C9E"/>
    <w:rsid w:val="0079467D"/>
    <w:rsid w:val="007951A5"/>
    <w:rsid w:val="007955A6"/>
    <w:rsid w:val="007956A9"/>
    <w:rsid w:val="00795B76"/>
    <w:rsid w:val="0079604D"/>
    <w:rsid w:val="007966A6"/>
    <w:rsid w:val="007966D7"/>
    <w:rsid w:val="00796F37"/>
    <w:rsid w:val="00796F66"/>
    <w:rsid w:val="0079713C"/>
    <w:rsid w:val="0079719C"/>
    <w:rsid w:val="007971A3"/>
    <w:rsid w:val="007974FC"/>
    <w:rsid w:val="007975C4"/>
    <w:rsid w:val="00797AAF"/>
    <w:rsid w:val="00797F4A"/>
    <w:rsid w:val="007A00ED"/>
    <w:rsid w:val="007A04A6"/>
    <w:rsid w:val="007A0701"/>
    <w:rsid w:val="007A0720"/>
    <w:rsid w:val="007A0DB1"/>
    <w:rsid w:val="007A0F39"/>
    <w:rsid w:val="007A0F6E"/>
    <w:rsid w:val="007A1B94"/>
    <w:rsid w:val="007A1C1E"/>
    <w:rsid w:val="007A26D6"/>
    <w:rsid w:val="007A27B6"/>
    <w:rsid w:val="007A2952"/>
    <w:rsid w:val="007A29A0"/>
    <w:rsid w:val="007A2D4A"/>
    <w:rsid w:val="007A3011"/>
    <w:rsid w:val="007A392D"/>
    <w:rsid w:val="007A3DD6"/>
    <w:rsid w:val="007A4199"/>
    <w:rsid w:val="007A47F5"/>
    <w:rsid w:val="007A4806"/>
    <w:rsid w:val="007A4831"/>
    <w:rsid w:val="007A4A17"/>
    <w:rsid w:val="007A4F7E"/>
    <w:rsid w:val="007A5B41"/>
    <w:rsid w:val="007A6040"/>
    <w:rsid w:val="007A6295"/>
    <w:rsid w:val="007A651C"/>
    <w:rsid w:val="007A6770"/>
    <w:rsid w:val="007A69EA"/>
    <w:rsid w:val="007A72A2"/>
    <w:rsid w:val="007A733F"/>
    <w:rsid w:val="007A73EB"/>
    <w:rsid w:val="007A74DA"/>
    <w:rsid w:val="007A766A"/>
    <w:rsid w:val="007A7750"/>
    <w:rsid w:val="007A7B0F"/>
    <w:rsid w:val="007B0453"/>
    <w:rsid w:val="007B05C2"/>
    <w:rsid w:val="007B098A"/>
    <w:rsid w:val="007B1B15"/>
    <w:rsid w:val="007B1C1F"/>
    <w:rsid w:val="007B21CE"/>
    <w:rsid w:val="007B2C7D"/>
    <w:rsid w:val="007B31D4"/>
    <w:rsid w:val="007B3C76"/>
    <w:rsid w:val="007B40B0"/>
    <w:rsid w:val="007B50BE"/>
    <w:rsid w:val="007B53D6"/>
    <w:rsid w:val="007B6078"/>
    <w:rsid w:val="007B6151"/>
    <w:rsid w:val="007B617D"/>
    <w:rsid w:val="007B634C"/>
    <w:rsid w:val="007B6659"/>
    <w:rsid w:val="007B6E29"/>
    <w:rsid w:val="007B7082"/>
    <w:rsid w:val="007B72E2"/>
    <w:rsid w:val="007C0028"/>
    <w:rsid w:val="007C0D93"/>
    <w:rsid w:val="007C1B7B"/>
    <w:rsid w:val="007C1B97"/>
    <w:rsid w:val="007C1C8A"/>
    <w:rsid w:val="007C2080"/>
    <w:rsid w:val="007C2672"/>
    <w:rsid w:val="007C289A"/>
    <w:rsid w:val="007C29DF"/>
    <w:rsid w:val="007C329F"/>
    <w:rsid w:val="007C3924"/>
    <w:rsid w:val="007C3978"/>
    <w:rsid w:val="007C3A25"/>
    <w:rsid w:val="007C3AC9"/>
    <w:rsid w:val="007C3C41"/>
    <w:rsid w:val="007C3DB9"/>
    <w:rsid w:val="007C40D0"/>
    <w:rsid w:val="007C40DD"/>
    <w:rsid w:val="007C4BE9"/>
    <w:rsid w:val="007C548E"/>
    <w:rsid w:val="007C54AF"/>
    <w:rsid w:val="007C5F26"/>
    <w:rsid w:val="007C62DE"/>
    <w:rsid w:val="007C633B"/>
    <w:rsid w:val="007C6D44"/>
    <w:rsid w:val="007C7946"/>
    <w:rsid w:val="007D06F1"/>
    <w:rsid w:val="007D0798"/>
    <w:rsid w:val="007D0C14"/>
    <w:rsid w:val="007D12F9"/>
    <w:rsid w:val="007D15A2"/>
    <w:rsid w:val="007D1CC7"/>
    <w:rsid w:val="007D1DA7"/>
    <w:rsid w:val="007D20BB"/>
    <w:rsid w:val="007D2300"/>
    <w:rsid w:val="007D2C28"/>
    <w:rsid w:val="007D2DC2"/>
    <w:rsid w:val="007D304E"/>
    <w:rsid w:val="007D426F"/>
    <w:rsid w:val="007D42C2"/>
    <w:rsid w:val="007D4309"/>
    <w:rsid w:val="007D4409"/>
    <w:rsid w:val="007D470A"/>
    <w:rsid w:val="007D4BC3"/>
    <w:rsid w:val="007D4F86"/>
    <w:rsid w:val="007D50A5"/>
    <w:rsid w:val="007D5768"/>
    <w:rsid w:val="007D7836"/>
    <w:rsid w:val="007D7934"/>
    <w:rsid w:val="007D7F68"/>
    <w:rsid w:val="007E02F4"/>
    <w:rsid w:val="007E0409"/>
    <w:rsid w:val="007E056C"/>
    <w:rsid w:val="007E066F"/>
    <w:rsid w:val="007E0882"/>
    <w:rsid w:val="007E0AD0"/>
    <w:rsid w:val="007E0CD7"/>
    <w:rsid w:val="007E0EBD"/>
    <w:rsid w:val="007E127F"/>
    <w:rsid w:val="007E162D"/>
    <w:rsid w:val="007E1929"/>
    <w:rsid w:val="007E1933"/>
    <w:rsid w:val="007E1D73"/>
    <w:rsid w:val="007E1E7F"/>
    <w:rsid w:val="007E22D2"/>
    <w:rsid w:val="007E28A4"/>
    <w:rsid w:val="007E2914"/>
    <w:rsid w:val="007E310D"/>
    <w:rsid w:val="007E3135"/>
    <w:rsid w:val="007E35A5"/>
    <w:rsid w:val="007E3A8B"/>
    <w:rsid w:val="007E4EDD"/>
    <w:rsid w:val="007E5B2B"/>
    <w:rsid w:val="007E6380"/>
    <w:rsid w:val="007E6D0B"/>
    <w:rsid w:val="007E6E59"/>
    <w:rsid w:val="007E6E99"/>
    <w:rsid w:val="007E70DC"/>
    <w:rsid w:val="007E754E"/>
    <w:rsid w:val="007E758A"/>
    <w:rsid w:val="007E7BF9"/>
    <w:rsid w:val="007F00E5"/>
    <w:rsid w:val="007F0757"/>
    <w:rsid w:val="007F084E"/>
    <w:rsid w:val="007F0ADF"/>
    <w:rsid w:val="007F0DAE"/>
    <w:rsid w:val="007F15D8"/>
    <w:rsid w:val="007F2754"/>
    <w:rsid w:val="007F2C33"/>
    <w:rsid w:val="007F3288"/>
    <w:rsid w:val="007F35A6"/>
    <w:rsid w:val="007F38C8"/>
    <w:rsid w:val="007F3A7E"/>
    <w:rsid w:val="007F4A32"/>
    <w:rsid w:val="007F4D36"/>
    <w:rsid w:val="007F50BC"/>
    <w:rsid w:val="007F5143"/>
    <w:rsid w:val="007F52B3"/>
    <w:rsid w:val="007F5B67"/>
    <w:rsid w:val="007F6322"/>
    <w:rsid w:val="007F63B9"/>
    <w:rsid w:val="007F752A"/>
    <w:rsid w:val="007F7596"/>
    <w:rsid w:val="0080046B"/>
    <w:rsid w:val="008014A0"/>
    <w:rsid w:val="00801808"/>
    <w:rsid w:val="00801A5E"/>
    <w:rsid w:val="00801C6E"/>
    <w:rsid w:val="00801CCC"/>
    <w:rsid w:val="00801D73"/>
    <w:rsid w:val="00802435"/>
    <w:rsid w:val="00802AA8"/>
    <w:rsid w:val="00802B57"/>
    <w:rsid w:val="00803190"/>
    <w:rsid w:val="00804169"/>
    <w:rsid w:val="0080489E"/>
    <w:rsid w:val="008053AB"/>
    <w:rsid w:val="00805668"/>
    <w:rsid w:val="00805D6E"/>
    <w:rsid w:val="00806393"/>
    <w:rsid w:val="008063B6"/>
    <w:rsid w:val="008065B8"/>
    <w:rsid w:val="00806EEB"/>
    <w:rsid w:val="0081012D"/>
    <w:rsid w:val="00810272"/>
    <w:rsid w:val="0081054F"/>
    <w:rsid w:val="00810DD2"/>
    <w:rsid w:val="00810E47"/>
    <w:rsid w:val="00811097"/>
    <w:rsid w:val="00811212"/>
    <w:rsid w:val="00811629"/>
    <w:rsid w:val="008117AF"/>
    <w:rsid w:val="0081215B"/>
    <w:rsid w:val="008134DA"/>
    <w:rsid w:val="0081361E"/>
    <w:rsid w:val="00813760"/>
    <w:rsid w:val="008141A6"/>
    <w:rsid w:val="00814730"/>
    <w:rsid w:val="00815A72"/>
    <w:rsid w:val="008163E6"/>
    <w:rsid w:val="00816727"/>
    <w:rsid w:val="008167BB"/>
    <w:rsid w:val="008170AA"/>
    <w:rsid w:val="0081739C"/>
    <w:rsid w:val="008178C9"/>
    <w:rsid w:val="00820164"/>
    <w:rsid w:val="00820E21"/>
    <w:rsid w:val="00821575"/>
    <w:rsid w:val="008218FB"/>
    <w:rsid w:val="00821D9A"/>
    <w:rsid w:val="008224B0"/>
    <w:rsid w:val="00822AB9"/>
    <w:rsid w:val="00822ABC"/>
    <w:rsid w:val="00822B90"/>
    <w:rsid w:val="00824012"/>
    <w:rsid w:val="0082429C"/>
    <w:rsid w:val="00824ED4"/>
    <w:rsid w:val="00825BE0"/>
    <w:rsid w:val="008265F0"/>
    <w:rsid w:val="00826745"/>
    <w:rsid w:val="00826DFE"/>
    <w:rsid w:val="00826E59"/>
    <w:rsid w:val="00827609"/>
    <w:rsid w:val="00827841"/>
    <w:rsid w:val="00827B1E"/>
    <w:rsid w:val="0083083E"/>
    <w:rsid w:val="00830C41"/>
    <w:rsid w:val="008313AD"/>
    <w:rsid w:val="00831423"/>
    <w:rsid w:val="00831730"/>
    <w:rsid w:val="008319C9"/>
    <w:rsid w:val="00831D75"/>
    <w:rsid w:val="00832C2A"/>
    <w:rsid w:val="00832E99"/>
    <w:rsid w:val="00833263"/>
    <w:rsid w:val="00833A5E"/>
    <w:rsid w:val="00833BD6"/>
    <w:rsid w:val="00834651"/>
    <w:rsid w:val="008346E6"/>
    <w:rsid w:val="008347CA"/>
    <w:rsid w:val="008356DE"/>
    <w:rsid w:val="00835A71"/>
    <w:rsid w:val="00836004"/>
    <w:rsid w:val="0083687C"/>
    <w:rsid w:val="008368C9"/>
    <w:rsid w:val="00836A03"/>
    <w:rsid w:val="00836AE4"/>
    <w:rsid w:val="008378AB"/>
    <w:rsid w:val="00837A93"/>
    <w:rsid w:val="00840087"/>
    <w:rsid w:val="008403C4"/>
    <w:rsid w:val="0084057B"/>
    <w:rsid w:val="00840D69"/>
    <w:rsid w:val="008416BB"/>
    <w:rsid w:val="008418EE"/>
    <w:rsid w:val="00841D6D"/>
    <w:rsid w:val="00842409"/>
    <w:rsid w:val="00842484"/>
    <w:rsid w:val="0084328D"/>
    <w:rsid w:val="0084366D"/>
    <w:rsid w:val="00843680"/>
    <w:rsid w:val="00843740"/>
    <w:rsid w:val="00843B8F"/>
    <w:rsid w:val="00843C31"/>
    <w:rsid w:val="00843F03"/>
    <w:rsid w:val="0084451D"/>
    <w:rsid w:val="008461B0"/>
    <w:rsid w:val="00846356"/>
    <w:rsid w:val="0084641B"/>
    <w:rsid w:val="00850025"/>
    <w:rsid w:val="008502A0"/>
    <w:rsid w:val="00850439"/>
    <w:rsid w:val="00850668"/>
    <w:rsid w:val="008508DE"/>
    <w:rsid w:val="00850FCC"/>
    <w:rsid w:val="0085165B"/>
    <w:rsid w:val="00851BA8"/>
    <w:rsid w:val="00851E17"/>
    <w:rsid w:val="00852709"/>
    <w:rsid w:val="00852985"/>
    <w:rsid w:val="00852A57"/>
    <w:rsid w:val="00852EDC"/>
    <w:rsid w:val="008530C5"/>
    <w:rsid w:val="008537B2"/>
    <w:rsid w:val="0085395B"/>
    <w:rsid w:val="008542DC"/>
    <w:rsid w:val="00854879"/>
    <w:rsid w:val="00855571"/>
    <w:rsid w:val="00855F77"/>
    <w:rsid w:val="008561F1"/>
    <w:rsid w:val="0085659C"/>
    <w:rsid w:val="008568FB"/>
    <w:rsid w:val="00856CD6"/>
    <w:rsid w:val="00856F35"/>
    <w:rsid w:val="008574FE"/>
    <w:rsid w:val="00857D7F"/>
    <w:rsid w:val="00860253"/>
    <w:rsid w:val="0086051E"/>
    <w:rsid w:val="008605C0"/>
    <w:rsid w:val="00860B40"/>
    <w:rsid w:val="00860E6A"/>
    <w:rsid w:val="00860F2B"/>
    <w:rsid w:val="0086147E"/>
    <w:rsid w:val="0086155A"/>
    <w:rsid w:val="008615AD"/>
    <w:rsid w:val="008617C7"/>
    <w:rsid w:val="008618F2"/>
    <w:rsid w:val="00861BDD"/>
    <w:rsid w:val="00861EE1"/>
    <w:rsid w:val="00861EF1"/>
    <w:rsid w:val="008621CF"/>
    <w:rsid w:val="0086230E"/>
    <w:rsid w:val="00862322"/>
    <w:rsid w:val="008625A6"/>
    <w:rsid w:val="00862997"/>
    <w:rsid w:val="00864812"/>
    <w:rsid w:val="00864B2F"/>
    <w:rsid w:val="00864C60"/>
    <w:rsid w:val="00865893"/>
    <w:rsid w:val="00866480"/>
    <w:rsid w:val="00866A85"/>
    <w:rsid w:val="00866BA8"/>
    <w:rsid w:val="00866D69"/>
    <w:rsid w:val="00866EF0"/>
    <w:rsid w:val="00867B60"/>
    <w:rsid w:val="008703FB"/>
    <w:rsid w:val="0087053B"/>
    <w:rsid w:val="00870C51"/>
    <w:rsid w:val="00870DE8"/>
    <w:rsid w:val="00870E1E"/>
    <w:rsid w:val="008713DF"/>
    <w:rsid w:val="008713EA"/>
    <w:rsid w:val="0087233E"/>
    <w:rsid w:val="00872464"/>
    <w:rsid w:val="008724EE"/>
    <w:rsid w:val="00872A44"/>
    <w:rsid w:val="00872B33"/>
    <w:rsid w:val="00872BEB"/>
    <w:rsid w:val="00872E20"/>
    <w:rsid w:val="008734D7"/>
    <w:rsid w:val="008738BB"/>
    <w:rsid w:val="008740B9"/>
    <w:rsid w:val="00874437"/>
    <w:rsid w:val="00874AC1"/>
    <w:rsid w:val="0087511C"/>
    <w:rsid w:val="008753B5"/>
    <w:rsid w:val="0087580F"/>
    <w:rsid w:val="00875EF5"/>
    <w:rsid w:val="00876DB8"/>
    <w:rsid w:val="00877334"/>
    <w:rsid w:val="00877925"/>
    <w:rsid w:val="008802CE"/>
    <w:rsid w:val="00880861"/>
    <w:rsid w:val="008808B6"/>
    <w:rsid w:val="00880C44"/>
    <w:rsid w:val="00880E4D"/>
    <w:rsid w:val="00880FC9"/>
    <w:rsid w:val="008810B0"/>
    <w:rsid w:val="008810B8"/>
    <w:rsid w:val="0088154D"/>
    <w:rsid w:val="00881611"/>
    <w:rsid w:val="008816D2"/>
    <w:rsid w:val="00881739"/>
    <w:rsid w:val="008820C2"/>
    <w:rsid w:val="00882165"/>
    <w:rsid w:val="0088218F"/>
    <w:rsid w:val="00882302"/>
    <w:rsid w:val="008827C0"/>
    <w:rsid w:val="0088285A"/>
    <w:rsid w:val="00882D8D"/>
    <w:rsid w:val="00883AF1"/>
    <w:rsid w:val="00883FA2"/>
    <w:rsid w:val="008857EE"/>
    <w:rsid w:val="008860A3"/>
    <w:rsid w:val="008860A6"/>
    <w:rsid w:val="008868FD"/>
    <w:rsid w:val="00886939"/>
    <w:rsid w:val="00886F1B"/>
    <w:rsid w:val="0088781E"/>
    <w:rsid w:val="00887CBC"/>
    <w:rsid w:val="00890432"/>
    <w:rsid w:val="008907D9"/>
    <w:rsid w:val="0089100B"/>
    <w:rsid w:val="008910E6"/>
    <w:rsid w:val="00891130"/>
    <w:rsid w:val="0089171E"/>
    <w:rsid w:val="00891F3B"/>
    <w:rsid w:val="0089229E"/>
    <w:rsid w:val="00892430"/>
    <w:rsid w:val="00892C3A"/>
    <w:rsid w:val="0089346F"/>
    <w:rsid w:val="0089403B"/>
    <w:rsid w:val="0089408D"/>
    <w:rsid w:val="00894576"/>
    <w:rsid w:val="008947FA"/>
    <w:rsid w:val="00895709"/>
    <w:rsid w:val="008957D2"/>
    <w:rsid w:val="00896220"/>
    <w:rsid w:val="008963DA"/>
    <w:rsid w:val="008969E4"/>
    <w:rsid w:val="008969EC"/>
    <w:rsid w:val="008972BC"/>
    <w:rsid w:val="008974A9"/>
    <w:rsid w:val="00897BF5"/>
    <w:rsid w:val="008A0886"/>
    <w:rsid w:val="008A1018"/>
    <w:rsid w:val="008A118C"/>
    <w:rsid w:val="008A18E8"/>
    <w:rsid w:val="008A1C6E"/>
    <w:rsid w:val="008A1FCF"/>
    <w:rsid w:val="008A2739"/>
    <w:rsid w:val="008A2954"/>
    <w:rsid w:val="008A2BE8"/>
    <w:rsid w:val="008A3285"/>
    <w:rsid w:val="008A3CFB"/>
    <w:rsid w:val="008A4480"/>
    <w:rsid w:val="008A4EB0"/>
    <w:rsid w:val="008A4F9F"/>
    <w:rsid w:val="008A527B"/>
    <w:rsid w:val="008A5899"/>
    <w:rsid w:val="008A5E67"/>
    <w:rsid w:val="008A5F1C"/>
    <w:rsid w:val="008A60DA"/>
    <w:rsid w:val="008A6443"/>
    <w:rsid w:val="008A65E7"/>
    <w:rsid w:val="008A65F9"/>
    <w:rsid w:val="008A76B4"/>
    <w:rsid w:val="008A787C"/>
    <w:rsid w:val="008A78D4"/>
    <w:rsid w:val="008A78FA"/>
    <w:rsid w:val="008A7CBB"/>
    <w:rsid w:val="008B00E3"/>
    <w:rsid w:val="008B020A"/>
    <w:rsid w:val="008B03AE"/>
    <w:rsid w:val="008B0584"/>
    <w:rsid w:val="008B117B"/>
    <w:rsid w:val="008B2217"/>
    <w:rsid w:val="008B28AF"/>
    <w:rsid w:val="008B3231"/>
    <w:rsid w:val="008B3814"/>
    <w:rsid w:val="008B39EA"/>
    <w:rsid w:val="008B4BB6"/>
    <w:rsid w:val="008B4BC5"/>
    <w:rsid w:val="008B4E03"/>
    <w:rsid w:val="008B4EE4"/>
    <w:rsid w:val="008B501C"/>
    <w:rsid w:val="008B5521"/>
    <w:rsid w:val="008B62F3"/>
    <w:rsid w:val="008B6318"/>
    <w:rsid w:val="008B6DEE"/>
    <w:rsid w:val="008B6E0F"/>
    <w:rsid w:val="008B6F75"/>
    <w:rsid w:val="008B7107"/>
    <w:rsid w:val="008B711B"/>
    <w:rsid w:val="008B7520"/>
    <w:rsid w:val="008B7671"/>
    <w:rsid w:val="008C0349"/>
    <w:rsid w:val="008C079C"/>
    <w:rsid w:val="008C0A39"/>
    <w:rsid w:val="008C0CB1"/>
    <w:rsid w:val="008C178C"/>
    <w:rsid w:val="008C1AA9"/>
    <w:rsid w:val="008C2178"/>
    <w:rsid w:val="008C2377"/>
    <w:rsid w:val="008C2801"/>
    <w:rsid w:val="008C2812"/>
    <w:rsid w:val="008C2CD0"/>
    <w:rsid w:val="008C3102"/>
    <w:rsid w:val="008C3B58"/>
    <w:rsid w:val="008C3C6D"/>
    <w:rsid w:val="008C43E8"/>
    <w:rsid w:val="008C49C4"/>
    <w:rsid w:val="008C4E3E"/>
    <w:rsid w:val="008C5394"/>
    <w:rsid w:val="008C58AD"/>
    <w:rsid w:val="008C5A20"/>
    <w:rsid w:val="008C641A"/>
    <w:rsid w:val="008C6441"/>
    <w:rsid w:val="008C6805"/>
    <w:rsid w:val="008C6AEE"/>
    <w:rsid w:val="008C70AF"/>
    <w:rsid w:val="008C7F8D"/>
    <w:rsid w:val="008D0C9C"/>
    <w:rsid w:val="008D0F26"/>
    <w:rsid w:val="008D0FE3"/>
    <w:rsid w:val="008D12A2"/>
    <w:rsid w:val="008D13BF"/>
    <w:rsid w:val="008D14E5"/>
    <w:rsid w:val="008D1BD8"/>
    <w:rsid w:val="008D1E05"/>
    <w:rsid w:val="008D1F95"/>
    <w:rsid w:val="008D22DD"/>
    <w:rsid w:val="008D234B"/>
    <w:rsid w:val="008D2CCF"/>
    <w:rsid w:val="008D3396"/>
    <w:rsid w:val="008D34C7"/>
    <w:rsid w:val="008D3F1A"/>
    <w:rsid w:val="008D400D"/>
    <w:rsid w:val="008D4027"/>
    <w:rsid w:val="008D4D4D"/>
    <w:rsid w:val="008D4DED"/>
    <w:rsid w:val="008D4F12"/>
    <w:rsid w:val="008D5091"/>
    <w:rsid w:val="008D5C94"/>
    <w:rsid w:val="008D6DD6"/>
    <w:rsid w:val="008D7606"/>
    <w:rsid w:val="008D7A13"/>
    <w:rsid w:val="008D7BA8"/>
    <w:rsid w:val="008E033F"/>
    <w:rsid w:val="008E0C98"/>
    <w:rsid w:val="008E1572"/>
    <w:rsid w:val="008E1A52"/>
    <w:rsid w:val="008E299A"/>
    <w:rsid w:val="008E3639"/>
    <w:rsid w:val="008E42A7"/>
    <w:rsid w:val="008E4521"/>
    <w:rsid w:val="008E515E"/>
    <w:rsid w:val="008E52AF"/>
    <w:rsid w:val="008E53CA"/>
    <w:rsid w:val="008E599B"/>
    <w:rsid w:val="008E5F92"/>
    <w:rsid w:val="008E606F"/>
    <w:rsid w:val="008E616C"/>
    <w:rsid w:val="008E65AA"/>
    <w:rsid w:val="008E661E"/>
    <w:rsid w:val="008E6CBF"/>
    <w:rsid w:val="008E76DC"/>
    <w:rsid w:val="008F071B"/>
    <w:rsid w:val="008F078B"/>
    <w:rsid w:val="008F153C"/>
    <w:rsid w:val="008F168B"/>
    <w:rsid w:val="008F2144"/>
    <w:rsid w:val="008F229A"/>
    <w:rsid w:val="008F278B"/>
    <w:rsid w:val="008F27BF"/>
    <w:rsid w:val="008F2936"/>
    <w:rsid w:val="008F323A"/>
    <w:rsid w:val="008F37D8"/>
    <w:rsid w:val="008F3FE8"/>
    <w:rsid w:val="008F43F0"/>
    <w:rsid w:val="008F4693"/>
    <w:rsid w:val="008F5919"/>
    <w:rsid w:val="008F599B"/>
    <w:rsid w:val="008F59A2"/>
    <w:rsid w:val="008F6D57"/>
    <w:rsid w:val="008F7706"/>
    <w:rsid w:val="008F77CB"/>
    <w:rsid w:val="008F783D"/>
    <w:rsid w:val="008F7C4E"/>
    <w:rsid w:val="0090075D"/>
    <w:rsid w:val="009009F1"/>
    <w:rsid w:val="00900BBD"/>
    <w:rsid w:val="0090176D"/>
    <w:rsid w:val="00901AC0"/>
    <w:rsid w:val="0090205E"/>
    <w:rsid w:val="00902BAF"/>
    <w:rsid w:val="00902DF2"/>
    <w:rsid w:val="00902F1E"/>
    <w:rsid w:val="0090370E"/>
    <w:rsid w:val="00904DE3"/>
    <w:rsid w:val="00904E2E"/>
    <w:rsid w:val="00905405"/>
    <w:rsid w:val="0090573F"/>
    <w:rsid w:val="00905938"/>
    <w:rsid w:val="00905FA2"/>
    <w:rsid w:val="0090610D"/>
    <w:rsid w:val="0090630F"/>
    <w:rsid w:val="0090648A"/>
    <w:rsid w:val="009068AD"/>
    <w:rsid w:val="00906E69"/>
    <w:rsid w:val="00906F82"/>
    <w:rsid w:val="00907494"/>
    <w:rsid w:val="009078CD"/>
    <w:rsid w:val="009107F2"/>
    <w:rsid w:val="0091156C"/>
    <w:rsid w:val="0091171C"/>
    <w:rsid w:val="0091192F"/>
    <w:rsid w:val="0091200D"/>
    <w:rsid w:val="009120A3"/>
    <w:rsid w:val="00912675"/>
    <w:rsid w:val="00913259"/>
    <w:rsid w:val="00913372"/>
    <w:rsid w:val="009134D7"/>
    <w:rsid w:val="00913B48"/>
    <w:rsid w:val="00913DA5"/>
    <w:rsid w:val="009140BA"/>
    <w:rsid w:val="00914365"/>
    <w:rsid w:val="009147CB"/>
    <w:rsid w:val="009149A2"/>
    <w:rsid w:val="009154E0"/>
    <w:rsid w:val="00916185"/>
    <w:rsid w:val="00916B0F"/>
    <w:rsid w:val="00917714"/>
    <w:rsid w:val="00920387"/>
    <w:rsid w:val="00920479"/>
    <w:rsid w:val="00920CA0"/>
    <w:rsid w:val="009212E2"/>
    <w:rsid w:val="00921868"/>
    <w:rsid w:val="009219F1"/>
    <w:rsid w:val="00921AAF"/>
    <w:rsid w:val="00922260"/>
    <w:rsid w:val="00922333"/>
    <w:rsid w:val="00923606"/>
    <w:rsid w:val="00923D93"/>
    <w:rsid w:val="00924315"/>
    <w:rsid w:val="009247D1"/>
    <w:rsid w:val="00924C47"/>
    <w:rsid w:val="009255FF"/>
    <w:rsid w:val="00927825"/>
    <w:rsid w:val="0093060A"/>
    <w:rsid w:val="00930670"/>
    <w:rsid w:val="0093083A"/>
    <w:rsid w:val="0093098D"/>
    <w:rsid w:val="00931C94"/>
    <w:rsid w:val="00931D6A"/>
    <w:rsid w:val="009325A7"/>
    <w:rsid w:val="00932903"/>
    <w:rsid w:val="00932D0F"/>
    <w:rsid w:val="009334CF"/>
    <w:rsid w:val="0093354A"/>
    <w:rsid w:val="0093367E"/>
    <w:rsid w:val="00933B51"/>
    <w:rsid w:val="00933B8D"/>
    <w:rsid w:val="00933BC8"/>
    <w:rsid w:val="00933CB3"/>
    <w:rsid w:val="00934240"/>
    <w:rsid w:val="0093462C"/>
    <w:rsid w:val="009354FB"/>
    <w:rsid w:val="00935768"/>
    <w:rsid w:val="00935808"/>
    <w:rsid w:val="009359E4"/>
    <w:rsid w:val="00935FB8"/>
    <w:rsid w:val="00936BBB"/>
    <w:rsid w:val="0093718C"/>
    <w:rsid w:val="00937546"/>
    <w:rsid w:val="009375A4"/>
    <w:rsid w:val="00937ADD"/>
    <w:rsid w:val="00940217"/>
    <w:rsid w:val="009406A4"/>
    <w:rsid w:val="0094148B"/>
    <w:rsid w:val="00941526"/>
    <w:rsid w:val="00941F34"/>
    <w:rsid w:val="00942F75"/>
    <w:rsid w:val="009432E3"/>
    <w:rsid w:val="0094376B"/>
    <w:rsid w:val="0094377A"/>
    <w:rsid w:val="009439B3"/>
    <w:rsid w:val="00943CFB"/>
    <w:rsid w:val="0094439F"/>
    <w:rsid w:val="0094462E"/>
    <w:rsid w:val="00944971"/>
    <w:rsid w:val="00944EEF"/>
    <w:rsid w:val="009450AE"/>
    <w:rsid w:val="00945574"/>
    <w:rsid w:val="00945872"/>
    <w:rsid w:val="009458EF"/>
    <w:rsid w:val="00945CF5"/>
    <w:rsid w:val="0094662E"/>
    <w:rsid w:val="009467D6"/>
    <w:rsid w:val="00946B36"/>
    <w:rsid w:val="00946D2A"/>
    <w:rsid w:val="00946F32"/>
    <w:rsid w:val="009473FD"/>
    <w:rsid w:val="009476B1"/>
    <w:rsid w:val="00947B48"/>
    <w:rsid w:val="009501D2"/>
    <w:rsid w:val="0095065A"/>
    <w:rsid w:val="009508A6"/>
    <w:rsid w:val="00950D99"/>
    <w:rsid w:val="00950DAE"/>
    <w:rsid w:val="009513F2"/>
    <w:rsid w:val="00951619"/>
    <w:rsid w:val="00951B6E"/>
    <w:rsid w:val="00951C21"/>
    <w:rsid w:val="0095202E"/>
    <w:rsid w:val="00952136"/>
    <w:rsid w:val="00953FDC"/>
    <w:rsid w:val="0095404C"/>
    <w:rsid w:val="00954259"/>
    <w:rsid w:val="0095454A"/>
    <w:rsid w:val="0095462B"/>
    <w:rsid w:val="00954974"/>
    <w:rsid w:val="00955405"/>
    <w:rsid w:val="00955A0F"/>
    <w:rsid w:val="00956073"/>
    <w:rsid w:val="009574EF"/>
    <w:rsid w:val="009577F6"/>
    <w:rsid w:val="00960529"/>
    <w:rsid w:val="009606CF"/>
    <w:rsid w:val="009609C6"/>
    <w:rsid w:val="00960C80"/>
    <w:rsid w:val="00960D73"/>
    <w:rsid w:val="0096191B"/>
    <w:rsid w:val="009619C4"/>
    <w:rsid w:val="00961DA2"/>
    <w:rsid w:val="00961EE4"/>
    <w:rsid w:val="00961FFE"/>
    <w:rsid w:val="00962289"/>
    <w:rsid w:val="00962587"/>
    <w:rsid w:val="0096271F"/>
    <w:rsid w:val="00962839"/>
    <w:rsid w:val="00962AB5"/>
    <w:rsid w:val="00962C70"/>
    <w:rsid w:val="009634E3"/>
    <w:rsid w:val="0096445C"/>
    <w:rsid w:val="0096454C"/>
    <w:rsid w:val="009647AC"/>
    <w:rsid w:val="00964B37"/>
    <w:rsid w:val="00964F51"/>
    <w:rsid w:val="00965705"/>
    <w:rsid w:val="00965BB6"/>
    <w:rsid w:val="00966101"/>
    <w:rsid w:val="00966735"/>
    <w:rsid w:val="00966D6B"/>
    <w:rsid w:val="00967797"/>
    <w:rsid w:val="00967E94"/>
    <w:rsid w:val="00970387"/>
    <w:rsid w:val="00970CF2"/>
    <w:rsid w:val="0097132F"/>
    <w:rsid w:val="00971AF2"/>
    <w:rsid w:val="00971B3C"/>
    <w:rsid w:val="0097207F"/>
    <w:rsid w:val="00972694"/>
    <w:rsid w:val="009726F3"/>
    <w:rsid w:val="0097278D"/>
    <w:rsid w:val="00972E64"/>
    <w:rsid w:val="00973127"/>
    <w:rsid w:val="0097327C"/>
    <w:rsid w:val="00973573"/>
    <w:rsid w:val="00973DAD"/>
    <w:rsid w:val="009741B0"/>
    <w:rsid w:val="009746EF"/>
    <w:rsid w:val="009747BC"/>
    <w:rsid w:val="009759A0"/>
    <w:rsid w:val="00975D8C"/>
    <w:rsid w:val="00975F7E"/>
    <w:rsid w:val="00976B66"/>
    <w:rsid w:val="00977569"/>
    <w:rsid w:val="0097777F"/>
    <w:rsid w:val="00977E4F"/>
    <w:rsid w:val="00977E72"/>
    <w:rsid w:val="00980A02"/>
    <w:rsid w:val="00980B7A"/>
    <w:rsid w:val="00981024"/>
    <w:rsid w:val="00981EFE"/>
    <w:rsid w:val="00982449"/>
    <w:rsid w:val="00982C22"/>
    <w:rsid w:val="00982CDA"/>
    <w:rsid w:val="00983A0E"/>
    <w:rsid w:val="00983A3E"/>
    <w:rsid w:val="00983C2A"/>
    <w:rsid w:val="00983C3A"/>
    <w:rsid w:val="00983D02"/>
    <w:rsid w:val="0098407A"/>
    <w:rsid w:val="00984562"/>
    <w:rsid w:val="00984A35"/>
    <w:rsid w:val="00984C07"/>
    <w:rsid w:val="00984EC9"/>
    <w:rsid w:val="00985ACE"/>
    <w:rsid w:val="00985C45"/>
    <w:rsid w:val="00986F76"/>
    <w:rsid w:val="0098706D"/>
    <w:rsid w:val="00987787"/>
    <w:rsid w:val="0098799C"/>
    <w:rsid w:val="00987BAD"/>
    <w:rsid w:val="00987BF6"/>
    <w:rsid w:val="00987DA2"/>
    <w:rsid w:val="00990300"/>
    <w:rsid w:val="009905E8"/>
    <w:rsid w:val="009909D3"/>
    <w:rsid w:val="00990CB5"/>
    <w:rsid w:val="00990CE2"/>
    <w:rsid w:val="00990CEB"/>
    <w:rsid w:val="00990F1B"/>
    <w:rsid w:val="00992D8B"/>
    <w:rsid w:val="00992EC4"/>
    <w:rsid w:val="00993E07"/>
    <w:rsid w:val="00993E29"/>
    <w:rsid w:val="00993EC8"/>
    <w:rsid w:val="00994807"/>
    <w:rsid w:val="00995F58"/>
    <w:rsid w:val="009976FB"/>
    <w:rsid w:val="0099787A"/>
    <w:rsid w:val="009A0E7F"/>
    <w:rsid w:val="009A1048"/>
    <w:rsid w:val="009A144A"/>
    <w:rsid w:val="009A15D9"/>
    <w:rsid w:val="009A17DE"/>
    <w:rsid w:val="009A198E"/>
    <w:rsid w:val="009A217B"/>
    <w:rsid w:val="009A27A1"/>
    <w:rsid w:val="009A2C0E"/>
    <w:rsid w:val="009A2E5A"/>
    <w:rsid w:val="009A34C0"/>
    <w:rsid w:val="009A49C7"/>
    <w:rsid w:val="009A4E3B"/>
    <w:rsid w:val="009A5184"/>
    <w:rsid w:val="009A5280"/>
    <w:rsid w:val="009A5546"/>
    <w:rsid w:val="009A6814"/>
    <w:rsid w:val="009A6922"/>
    <w:rsid w:val="009A6D13"/>
    <w:rsid w:val="009A6F89"/>
    <w:rsid w:val="009A7018"/>
    <w:rsid w:val="009A70B8"/>
    <w:rsid w:val="009A717F"/>
    <w:rsid w:val="009A727E"/>
    <w:rsid w:val="009A7324"/>
    <w:rsid w:val="009A7727"/>
    <w:rsid w:val="009A77F5"/>
    <w:rsid w:val="009B002B"/>
    <w:rsid w:val="009B003D"/>
    <w:rsid w:val="009B0D97"/>
    <w:rsid w:val="009B0F70"/>
    <w:rsid w:val="009B1375"/>
    <w:rsid w:val="009B1C72"/>
    <w:rsid w:val="009B1C79"/>
    <w:rsid w:val="009B20DF"/>
    <w:rsid w:val="009B216E"/>
    <w:rsid w:val="009B21C7"/>
    <w:rsid w:val="009B2C18"/>
    <w:rsid w:val="009B3150"/>
    <w:rsid w:val="009B40F6"/>
    <w:rsid w:val="009B421B"/>
    <w:rsid w:val="009B43B3"/>
    <w:rsid w:val="009B44BC"/>
    <w:rsid w:val="009B4514"/>
    <w:rsid w:val="009B4913"/>
    <w:rsid w:val="009B4E92"/>
    <w:rsid w:val="009B502D"/>
    <w:rsid w:val="009B514C"/>
    <w:rsid w:val="009B572D"/>
    <w:rsid w:val="009B58A1"/>
    <w:rsid w:val="009B5B85"/>
    <w:rsid w:val="009B6438"/>
    <w:rsid w:val="009B64CD"/>
    <w:rsid w:val="009B667B"/>
    <w:rsid w:val="009B6939"/>
    <w:rsid w:val="009B69FE"/>
    <w:rsid w:val="009B77D9"/>
    <w:rsid w:val="009B789F"/>
    <w:rsid w:val="009B7D06"/>
    <w:rsid w:val="009B7F08"/>
    <w:rsid w:val="009C0118"/>
    <w:rsid w:val="009C02B0"/>
    <w:rsid w:val="009C03A8"/>
    <w:rsid w:val="009C06EA"/>
    <w:rsid w:val="009C1786"/>
    <w:rsid w:val="009C1913"/>
    <w:rsid w:val="009C199D"/>
    <w:rsid w:val="009C1BB6"/>
    <w:rsid w:val="009C2701"/>
    <w:rsid w:val="009C2BA8"/>
    <w:rsid w:val="009C3019"/>
    <w:rsid w:val="009C3146"/>
    <w:rsid w:val="009C3316"/>
    <w:rsid w:val="009C37E5"/>
    <w:rsid w:val="009C3BCC"/>
    <w:rsid w:val="009C50AA"/>
    <w:rsid w:val="009C56DB"/>
    <w:rsid w:val="009C5E39"/>
    <w:rsid w:val="009C6262"/>
    <w:rsid w:val="009C642E"/>
    <w:rsid w:val="009C67AC"/>
    <w:rsid w:val="009C698E"/>
    <w:rsid w:val="009C6AC5"/>
    <w:rsid w:val="009C783E"/>
    <w:rsid w:val="009C7F42"/>
    <w:rsid w:val="009C7F91"/>
    <w:rsid w:val="009D03D7"/>
    <w:rsid w:val="009D0B95"/>
    <w:rsid w:val="009D0FD6"/>
    <w:rsid w:val="009D12B2"/>
    <w:rsid w:val="009D1498"/>
    <w:rsid w:val="009D181C"/>
    <w:rsid w:val="009D2804"/>
    <w:rsid w:val="009D2FD7"/>
    <w:rsid w:val="009D3452"/>
    <w:rsid w:val="009D36DF"/>
    <w:rsid w:val="009D3AB8"/>
    <w:rsid w:val="009D4142"/>
    <w:rsid w:val="009D463C"/>
    <w:rsid w:val="009D47C3"/>
    <w:rsid w:val="009D4C27"/>
    <w:rsid w:val="009D4E97"/>
    <w:rsid w:val="009D5E57"/>
    <w:rsid w:val="009D624B"/>
    <w:rsid w:val="009D6A11"/>
    <w:rsid w:val="009D717D"/>
    <w:rsid w:val="009D720A"/>
    <w:rsid w:val="009D7511"/>
    <w:rsid w:val="009D756D"/>
    <w:rsid w:val="009D7CDA"/>
    <w:rsid w:val="009E052B"/>
    <w:rsid w:val="009E0E79"/>
    <w:rsid w:val="009E1CC1"/>
    <w:rsid w:val="009E1E4E"/>
    <w:rsid w:val="009E2A44"/>
    <w:rsid w:val="009E2E7C"/>
    <w:rsid w:val="009E3F05"/>
    <w:rsid w:val="009E43D8"/>
    <w:rsid w:val="009E4460"/>
    <w:rsid w:val="009E4922"/>
    <w:rsid w:val="009E4992"/>
    <w:rsid w:val="009E4B67"/>
    <w:rsid w:val="009E4F6C"/>
    <w:rsid w:val="009E57BD"/>
    <w:rsid w:val="009E613D"/>
    <w:rsid w:val="009E6394"/>
    <w:rsid w:val="009E6449"/>
    <w:rsid w:val="009E66F8"/>
    <w:rsid w:val="009E6988"/>
    <w:rsid w:val="009E75DD"/>
    <w:rsid w:val="009E7939"/>
    <w:rsid w:val="009E7BA4"/>
    <w:rsid w:val="009E7F5C"/>
    <w:rsid w:val="009F0245"/>
    <w:rsid w:val="009F0A42"/>
    <w:rsid w:val="009F0C45"/>
    <w:rsid w:val="009F0CEA"/>
    <w:rsid w:val="009F0E56"/>
    <w:rsid w:val="009F1E0E"/>
    <w:rsid w:val="009F290E"/>
    <w:rsid w:val="009F2A44"/>
    <w:rsid w:val="009F2E37"/>
    <w:rsid w:val="009F2FDC"/>
    <w:rsid w:val="009F2FE7"/>
    <w:rsid w:val="009F3269"/>
    <w:rsid w:val="009F3823"/>
    <w:rsid w:val="009F39E0"/>
    <w:rsid w:val="009F425F"/>
    <w:rsid w:val="009F468C"/>
    <w:rsid w:val="009F4C57"/>
    <w:rsid w:val="009F5CBE"/>
    <w:rsid w:val="009F6318"/>
    <w:rsid w:val="009F6E09"/>
    <w:rsid w:val="009F7764"/>
    <w:rsid w:val="009F78B5"/>
    <w:rsid w:val="00A0029E"/>
    <w:rsid w:val="00A00703"/>
    <w:rsid w:val="00A00B31"/>
    <w:rsid w:val="00A01286"/>
    <w:rsid w:val="00A01DE0"/>
    <w:rsid w:val="00A023FF"/>
    <w:rsid w:val="00A02977"/>
    <w:rsid w:val="00A02CD1"/>
    <w:rsid w:val="00A02E42"/>
    <w:rsid w:val="00A035C7"/>
    <w:rsid w:val="00A03761"/>
    <w:rsid w:val="00A03B8D"/>
    <w:rsid w:val="00A03CA2"/>
    <w:rsid w:val="00A0417F"/>
    <w:rsid w:val="00A04192"/>
    <w:rsid w:val="00A04510"/>
    <w:rsid w:val="00A04625"/>
    <w:rsid w:val="00A055E5"/>
    <w:rsid w:val="00A05A48"/>
    <w:rsid w:val="00A05D55"/>
    <w:rsid w:val="00A05D89"/>
    <w:rsid w:val="00A06284"/>
    <w:rsid w:val="00A0633D"/>
    <w:rsid w:val="00A06508"/>
    <w:rsid w:val="00A06951"/>
    <w:rsid w:val="00A06C05"/>
    <w:rsid w:val="00A06E55"/>
    <w:rsid w:val="00A06F0C"/>
    <w:rsid w:val="00A07589"/>
    <w:rsid w:val="00A079EF"/>
    <w:rsid w:val="00A1060B"/>
    <w:rsid w:val="00A10984"/>
    <w:rsid w:val="00A109D9"/>
    <w:rsid w:val="00A10D7C"/>
    <w:rsid w:val="00A10DDC"/>
    <w:rsid w:val="00A11304"/>
    <w:rsid w:val="00A11881"/>
    <w:rsid w:val="00A12E0D"/>
    <w:rsid w:val="00A1317C"/>
    <w:rsid w:val="00A1334D"/>
    <w:rsid w:val="00A1359B"/>
    <w:rsid w:val="00A136B4"/>
    <w:rsid w:val="00A1430F"/>
    <w:rsid w:val="00A1453C"/>
    <w:rsid w:val="00A145A2"/>
    <w:rsid w:val="00A149F5"/>
    <w:rsid w:val="00A14BB7"/>
    <w:rsid w:val="00A15A34"/>
    <w:rsid w:val="00A15F2A"/>
    <w:rsid w:val="00A16C42"/>
    <w:rsid w:val="00A16ECE"/>
    <w:rsid w:val="00A16F63"/>
    <w:rsid w:val="00A174C1"/>
    <w:rsid w:val="00A1759B"/>
    <w:rsid w:val="00A1779C"/>
    <w:rsid w:val="00A207B6"/>
    <w:rsid w:val="00A20807"/>
    <w:rsid w:val="00A20F24"/>
    <w:rsid w:val="00A20F77"/>
    <w:rsid w:val="00A210D2"/>
    <w:rsid w:val="00A21115"/>
    <w:rsid w:val="00A21177"/>
    <w:rsid w:val="00A211DE"/>
    <w:rsid w:val="00A2162C"/>
    <w:rsid w:val="00A221CA"/>
    <w:rsid w:val="00A225EB"/>
    <w:rsid w:val="00A22AB6"/>
    <w:rsid w:val="00A22D87"/>
    <w:rsid w:val="00A2405C"/>
    <w:rsid w:val="00A24573"/>
    <w:rsid w:val="00A25754"/>
    <w:rsid w:val="00A26618"/>
    <w:rsid w:val="00A271F9"/>
    <w:rsid w:val="00A27F55"/>
    <w:rsid w:val="00A27F97"/>
    <w:rsid w:val="00A30324"/>
    <w:rsid w:val="00A30DBA"/>
    <w:rsid w:val="00A311B7"/>
    <w:rsid w:val="00A31698"/>
    <w:rsid w:val="00A31FC8"/>
    <w:rsid w:val="00A320A2"/>
    <w:rsid w:val="00A32907"/>
    <w:rsid w:val="00A329DE"/>
    <w:rsid w:val="00A336F7"/>
    <w:rsid w:val="00A339F8"/>
    <w:rsid w:val="00A33A7C"/>
    <w:rsid w:val="00A33C8A"/>
    <w:rsid w:val="00A34CCD"/>
    <w:rsid w:val="00A35449"/>
    <w:rsid w:val="00A3565A"/>
    <w:rsid w:val="00A35AC8"/>
    <w:rsid w:val="00A35AE7"/>
    <w:rsid w:val="00A365E9"/>
    <w:rsid w:val="00A36B29"/>
    <w:rsid w:val="00A36C7E"/>
    <w:rsid w:val="00A36FAB"/>
    <w:rsid w:val="00A37052"/>
    <w:rsid w:val="00A377E3"/>
    <w:rsid w:val="00A40668"/>
    <w:rsid w:val="00A406F0"/>
    <w:rsid w:val="00A40BC1"/>
    <w:rsid w:val="00A4124C"/>
    <w:rsid w:val="00A413A0"/>
    <w:rsid w:val="00A41421"/>
    <w:rsid w:val="00A4199C"/>
    <w:rsid w:val="00A41EFF"/>
    <w:rsid w:val="00A42D14"/>
    <w:rsid w:val="00A4309B"/>
    <w:rsid w:val="00A433E0"/>
    <w:rsid w:val="00A4362B"/>
    <w:rsid w:val="00A43D5D"/>
    <w:rsid w:val="00A441F1"/>
    <w:rsid w:val="00A44409"/>
    <w:rsid w:val="00A4454B"/>
    <w:rsid w:val="00A44A6E"/>
    <w:rsid w:val="00A44D6B"/>
    <w:rsid w:val="00A4513B"/>
    <w:rsid w:val="00A45418"/>
    <w:rsid w:val="00A45551"/>
    <w:rsid w:val="00A45B07"/>
    <w:rsid w:val="00A45BC8"/>
    <w:rsid w:val="00A46A86"/>
    <w:rsid w:val="00A46E10"/>
    <w:rsid w:val="00A477DC"/>
    <w:rsid w:val="00A479C2"/>
    <w:rsid w:val="00A47AE7"/>
    <w:rsid w:val="00A47DCE"/>
    <w:rsid w:val="00A50843"/>
    <w:rsid w:val="00A51104"/>
    <w:rsid w:val="00A515C8"/>
    <w:rsid w:val="00A5192C"/>
    <w:rsid w:val="00A51C4E"/>
    <w:rsid w:val="00A51CDB"/>
    <w:rsid w:val="00A51E59"/>
    <w:rsid w:val="00A526B2"/>
    <w:rsid w:val="00A52B65"/>
    <w:rsid w:val="00A52D6B"/>
    <w:rsid w:val="00A53088"/>
    <w:rsid w:val="00A542C6"/>
    <w:rsid w:val="00A55194"/>
    <w:rsid w:val="00A55649"/>
    <w:rsid w:val="00A556E9"/>
    <w:rsid w:val="00A559D3"/>
    <w:rsid w:val="00A55D0F"/>
    <w:rsid w:val="00A5632F"/>
    <w:rsid w:val="00A565B1"/>
    <w:rsid w:val="00A56980"/>
    <w:rsid w:val="00A56A83"/>
    <w:rsid w:val="00A56A89"/>
    <w:rsid w:val="00A5702C"/>
    <w:rsid w:val="00A5744C"/>
    <w:rsid w:val="00A60962"/>
    <w:rsid w:val="00A6166A"/>
    <w:rsid w:val="00A61AE0"/>
    <w:rsid w:val="00A61CCD"/>
    <w:rsid w:val="00A625D6"/>
    <w:rsid w:val="00A62A29"/>
    <w:rsid w:val="00A62E0F"/>
    <w:rsid w:val="00A62EC5"/>
    <w:rsid w:val="00A63BE5"/>
    <w:rsid w:val="00A63C3C"/>
    <w:rsid w:val="00A63E62"/>
    <w:rsid w:val="00A647E3"/>
    <w:rsid w:val="00A64D7E"/>
    <w:rsid w:val="00A65113"/>
    <w:rsid w:val="00A654E6"/>
    <w:rsid w:val="00A65CA7"/>
    <w:rsid w:val="00A6612E"/>
    <w:rsid w:val="00A665CB"/>
    <w:rsid w:val="00A666D7"/>
    <w:rsid w:val="00A66A18"/>
    <w:rsid w:val="00A66B9B"/>
    <w:rsid w:val="00A66BEE"/>
    <w:rsid w:val="00A66CB8"/>
    <w:rsid w:val="00A675A4"/>
    <w:rsid w:val="00A679F5"/>
    <w:rsid w:val="00A67C6D"/>
    <w:rsid w:val="00A67EFE"/>
    <w:rsid w:val="00A700BA"/>
    <w:rsid w:val="00A70B6E"/>
    <w:rsid w:val="00A710C6"/>
    <w:rsid w:val="00A7194F"/>
    <w:rsid w:val="00A71C14"/>
    <w:rsid w:val="00A71E3A"/>
    <w:rsid w:val="00A72B3B"/>
    <w:rsid w:val="00A72E52"/>
    <w:rsid w:val="00A73565"/>
    <w:rsid w:val="00A73A38"/>
    <w:rsid w:val="00A73B44"/>
    <w:rsid w:val="00A74698"/>
    <w:rsid w:val="00A74A87"/>
    <w:rsid w:val="00A75665"/>
    <w:rsid w:val="00A75EC2"/>
    <w:rsid w:val="00A75EE9"/>
    <w:rsid w:val="00A763F2"/>
    <w:rsid w:val="00A76703"/>
    <w:rsid w:val="00A76EBD"/>
    <w:rsid w:val="00A771BA"/>
    <w:rsid w:val="00A772C2"/>
    <w:rsid w:val="00A77C31"/>
    <w:rsid w:val="00A80182"/>
    <w:rsid w:val="00A80316"/>
    <w:rsid w:val="00A80472"/>
    <w:rsid w:val="00A805C3"/>
    <w:rsid w:val="00A80804"/>
    <w:rsid w:val="00A8094A"/>
    <w:rsid w:val="00A80A16"/>
    <w:rsid w:val="00A80AC6"/>
    <w:rsid w:val="00A8170D"/>
    <w:rsid w:val="00A81E9C"/>
    <w:rsid w:val="00A81FDA"/>
    <w:rsid w:val="00A82850"/>
    <w:rsid w:val="00A82F08"/>
    <w:rsid w:val="00A82FD6"/>
    <w:rsid w:val="00A832AB"/>
    <w:rsid w:val="00A833C3"/>
    <w:rsid w:val="00A83AF7"/>
    <w:rsid w:val="00A841B7"/>
    <w:rsid w:val="00A84F1D"/>
    <w:rsid w:val="00A84FAA"/>
    <w:rsid w:val="00A85390"/>
    <w:rsid w:val="00A860D3"/>
    <w:rsid w:val="00A86A8E"/>
    <w:rsid w:val="00A86BF9"/>
    <w:rsid w:val="00A86F29"/>
    <w:rsid w:val="00A8798B"/>
    <w:rsid w:val="00A87C84"/>
    <w:rsid w:val="00A87C91"/>
    <w:rsid w:val="00A87F0D"/>
    <w:rsid w:val="00A87FF7"/>
    <w:rsid w:val="00A901C3"/>
    <w:rsid w:val="00A901D9"/>
    <w:rsid w:val="00A9048E"/>
    <w:rsid w:val="00A90ECA"/>
    <w:rsid w:val="00A916B1"/>
    <w:rsid w:val="00A920B1"/>
    <w:rsid w:val="00A93061"/>
    <w:rsid w:val="00A93C76"/>
    <w:rsid w:val="00A943B8"/>
    <w:rsid w:val="00A94940"/>
    <w:rsid w:val="00A94A10"/>
    <w:rsid w:val="00A94D3D"/>
    <w:rsid w:val="00A94D46"/>
    <w:rsid w:val="00A94E20"/>
    <w:rsid w:val="00A952B6"/>
    <w:rsid w:val="00A955B5"/>
    <w:rsid w:val="00A95CC1"/>
    <w:rsid w:val="00A95CC9"/>
    <w:rsid w:val="00A95D78"/>
    <w:rsid w:val="00A96506"/>
    <w:rsid w:val="00A96557"/>
    <w:rsid w:val="00A96747"/>
    <w:rsid w:val="00A96ABF"/>
    <w:rsid w:val="00A97453"/>
    <w:rsid w:val="00A975E7"/>
    <w:rsid w:val="00A97708"/>
    <w:rsid w:val="00AA0662"/>
    <w:rsid w:val="00AA105D"/>
    <w:rsid w:val="00AA17B3"/>
    <w:rsid w:val="00AA1899"/>
    <w:rsid w:val="00AA21F6"/>
    <w:rsid w:val="00AA272A"/>
    <w:rsid w:val="00AA2781"/>
    <w:rsid w:val="00AA2E34"/>
    <w:rsid w:val="00AA35EE"/>
    <w:rsid w:val="00AA42AC"/>
    <w:rsid w:val="00AA5005"/>
    <w:rsid w:val="00AA5230"/>
    <w:rsid w:val="00AA535C"/>
    <w:rsid w:val="00AA5AE5"/>
    <w:rsid w:val="00AA68D5"/>
    <w:rsid w:val="00AA6C40"/>
    <w:rsid w:val="00AA7430"/>
    <w:rsid w:val="00AA7659"/>
    <w:rsid w:val="00AA77F0"/>
    <w:rsid w:val="00AA7BAF"/>
    <w:rsid w:val="00AB0214"/>
    <w:rsid w:val="00AB082F"/>
    <w:rsid w:val="00AB099A"/>
    <w:rsid w:val="00AB0B3F"/>
    <w:rsid w:val="00AB3234"/>
    <w:rsid w:val="00AB3262"/>
    <w:rsid w:val="00AB35F8"/>
    <w:rsid w:val="00AB4893"/>
    <w:rsid w:val="00AB4994"/>
    <w:rsid w:val="00AB5623"/>
    <w:rsid w:val="00AB5B0E"/>
    <w:rsid w:val="00AB5C9A"/>
    <w:rsid w:val="00AB5F95"/>
    <w:rsid w:val="00AB749E"/>
    <w:rsid w:val="00AB754F"/>
    <w:rsid w:val="00AB772E"/>
    <w:rsid w:val="00AB78E0"/>
    <w:rsid w:val="00AB7AE8"/>
    <w:rsid w:val="00AC0316"/>
    <w:rsid w:val="00AC05C8"/>
    <w:rsid w:val="00AC0841"/>
    <w:rsid w:val="00AC0923"/>
    <w:rsid w:val="00AC0956"/>
    <w:rsid w:val="00AC09CE"/>
    <w:rsid w:val="00AC0DD2"/>
    <w:rsid w:val="00AC0FAD"/>
    <w:rsid w:val="00AC17D2"/>
    <w:rsid w:val="00AC1EDD"/>
    <w:rsid w:val="00AC34D4"/>
    <w:rsid w:val="00AC369D"/>
    <w:rsid w:val="00AC40E7"/>
    <w:rsid w:val="00AC4138"/>
    <w:rsid w:val="00AC4300"/>
    <w:rsid w:val="00AC44B0"/>
    <w:rsid w:val="00AC5289"/>
    <w:rsid w:val="00AC52AD"/>
    <w:rsid w:val="00AC57C1"/>
    <w:rsid w:val="00AC5C03"/>
    <w:rsid w:val="00AC5D1D"/>
    <w:rsid w:val="00AC6C4F"/>
    <w:rsid w:val="00AC7267"/>
    <w:rsid w:val="00AC78F2"/>
    <w:rsid w:val="00AC79A7"/>
    <w:rsid w:val="00AD1134"/>
    <w:rsid w:val="00AD1571"/>
    <w:rsid w:val="00AD2046"/>
    <w:rsid w:val="00AD21F7"/>
    <w:rsid w:val="00AD2D2C"/>
    <w:rsid w:val="00AD348F"/>
    <w:rsid w:val="00AD3F0A"/>
    <w:rsid w:val="00AD41E4"/>
    <w:rsid w:val="00AD4B81"/>
    <w:rsid w:val="00AD4DF9"/>
    <w:rsid w:val="00AD4EB3"/>
    <w:rsid w:val="00AD5E0C"/>
    <w:rsid w:val="00AD5F7D"/>
    <w:rsid w:val="00AD6101"/>
    <w:rsid w:val="00AD623A"/>
    <w:rsid w:val="00AD73A6"/>
    <w:rsid w:val="00AD76D0"/>
    <w:rsid w:val="00AD7870"/>
    <w:rsid w:val="00AD7B59"/>
    <w:rsid w:val="00AD7B5C"/>
    <w:rsid w:val="00AD7BD6"/>
    <w:rsid w:val="00AE0BAD"/>
    <w:rsid w:val="00AE1B0C"/>
    <w:rsid w:val="00AE1E3A"/>
    <w:rsid w:val="00AE263E"/>
    <w:rsid w:val="00AE3021"/>
    <w:rsid w:val="00AE3241"/>
    <w:rsid w:val="00AE33D5"/>
    <w:rsid w:val="00AE378E"/>
    <w:rsid w:val="00AE3C45"/>
    <w:rsid w:val="00AE3DAA"/>
    <w:rsid w:val="00AE412B"/>
    <w:rsid w:val="00AE44D4"/>
    <w:rsid w:val="00AE4655"/>
    <w:rsid w:val="00AE49BF"/>
    <w:rsid w:val="00AE551B"/>
    <w:rsid w:val="00AE57D9"/>
    <w:rsid w:val="00AE611A"/>
    <w:rsid w:val="00AE6608"/>
    <w:rsid w:val="00AE6B80"/>
    <w:rsid w:val="00AE6DBC"/>
    <w:rsid w:val="00AE7747"/>
    <w:rsid w:val="00AE7D39"/>
    <w:rsid w:val="00AF1200"/>
    <w:rsid w:val="00AF192E"/>
    <w:rsid w:val="00AF1E6C"/>
    <w:rsid w:val="00AF237F"/>
    <w:rsid w:val="00AF267C"/>
    <w:rsid w:val="00AF26E4"/>
    <w:rsid w:val="00AF328D"/>
    <w:rsid w:val="00AF32C0"/>
    <w:rsid w:val="00AF35C2"/>
    <w:rsid w:val="00AF3656"/>
    <w:rsid w:val="00AF39B4"/>
    <w:rsid w:val="00AF409B"/>
    <w:rsid w:val="00AF48E0"/>
    <w:rsid w:val="00AF5423"/>
    <w:rsid w:val="00AF54C8"/>
    <w:rsid w:val="00AF5595"/>
    <w:rsid w:val="00AF567C"/>
    <w:rsid w:val="00AF57D3"/>
    <w:rsid w:val="00AF5D7D"/>
    <w:rsid w:val="00AF5E2B"/>
    <w:rsid w:val="00AF5F73"/>
    <w:rsid w:val="00AF6F19"/>
    <w:rsid w:val="00AF7559"/>
    <w:rsid w:val="00AF79A1"/>
    <w:rsid w:val="00AF7E06"/>
    <w:rsid w:val="00B00838"/>
    <w:rsid w:val="00B00CE3"/>
    <w:rsid w:val="00B00DA1"/>
    <w:rsid w:val="00B01193"/>
    <w:rsid w:val="00B017AB"/>
    <w:rsid w:val="00B02769"/>
    <w:rsid w:val="00B02A07"/>
    <w:rsid w:val="00B03436"/>
    <w:rsid w:val="00B036AF"/>
    <w:rsid w:val="00B038F7"/>
    <w:rsid w:val="00B03F7C"/>
    <w:rsid w:val="00B04217"/>
    <w:rsid w:val="00B0441F"/>
    <w:rsid w:val="00B046EA"/>
    <w:rsid w:val="00B051C5"/>
    <w:rsid w:val="00B05A41"/>
    <w:rsid w:val="00B05BD1"/>
    <w:rsid w:val="00B05C58"/>
    <w:rsid w:val="00B0628E"/>
    <w:rsid w:val="00B06619"/>
    <w:rsid w:val="00B06642"/>
    <w:rsid w:val="00B067BB"/>
    <w:rsid w:val="00B069AA"/>
    <w:rsid w:val="00B06B03"/>
    <w:rsid w:val="00B06E59"/>
    <w:rsid w:val="00B06FAB"/>
    <w:rsid w:val="00B072AF"/>
    <w:rsid w:val="00B07D8D"/>
    <w:rsid w:val="00B07EBC"/>
    <w:rsid w:val="00B1030A"/>
    <w:rsid w:val="00B10592"/>
    <w:rsid w:val="00B10963"/>
    <w:rsid w:val="00B11117"/>
    <w:rsid w:val="00B11308"/>
    <w:rsid w:val="00B114D4"/>
    <w:rsid w:val="00B122C0"/>
    <w:rsid w:val="00B125DE"/>
    <w:rsid w:val="00B12CD0"/>
    <w:rsid w:val="00B12F70"/>
    <w:rsid w:val="00B13577"/>
    <w:rsid w:val="00B135D7"/>
    <w:rsid w:val="00B1367F"/>
    <w:rsid w:val="00B137D6"/>
    <w:rsid w:val="00B13F51"/>
    <w:rsid w:val="00B14422"/>
    <w:rsid w:val="00B14AB7"/>
    <w:rsid w:val="00B14B14"/>
    <w:rsid w:val="00B14CF6"/>
    <w:rsid w:val="00B154CC"/>
    <w:rsid w:val="00B15F65"/>
    <w:rsid w:val="00B16061"/>
    <w:rsid w:val="00B162FE"/>
    <w:rsid w:val="00B17499"/>
    <w:rsid w:val="00B175EA"/>
    <w:rsid w:val="00B176F0"/>
    <w:rsid w:val="00B17B6A"/>
    <w:rsid w:val="00B20400"/>
    <w:rsid w:val="00B209EA"/>
    <w:rsid w:val="00B20AEE"/>
    <w:rsid w:val="00B20E02"/>
    <w:rsid w:val="00B2120A"/>
    <w:rsid w:val="00B212C6"/>
    <w:rsid w:val="00B2242B"/>
    <w:rsid w:val="00B224D4"/>
    <w:rsid w:val="00B2271E"/>
    <w:rsid w:val="00B22D18"/>
    <w:rsid w:val="00B23050"/>
    <w:rsid w:val="00B23691"/>
    <w:rsid w:val="00B238A6"/>
    <w:rsid w:val="00B23B1D"/>
    <w:rsid w:val="00B23B4D"/>
    <w:rsid w:val="00B247CF"/>
    <w:rsid w:val="00B2515E"/>
    <w:rsid w:val="00B257C5"/>
    <w:rsid w:val="00B25F76"/>
    <w:rsid w:val="00B2602D"/>
    <w:rsid w:val="00B26099"/>
    <w:rsid w:val="00B263B5"/>
    <w:rsid w:val="00B2708B"/>
    <w:rsid w:val="00B27487"/>
    <w:rsid w:val="00B27559"/>
    <w:rsid w:val="00B2766A"/>
    <w:rsid w:val="00B27DDF"/>
    <w:rsid w:val="00B30517"/>
    <w:rsid w:val="00B30704"/>
    <w:rsid w:val="00B30B4D"/>
    <w:rsid w:val="00B30B5A"/>
    <w:rsid w:val="00B32134"/>
    <w:rsid w:val="00B326ED"/>
    <w:rsid w:val="00B330D0"/>
    <w:rsid w:val="00B3397D"/>
    <w:rsid w:val="00B33B90"/>
    <w:rsid w:val="00B342DB"/>
    <w:rsid w:val="00B3453F"/>
    <w:rsid w:val="00B352AC"/>
    <w:rsid w:val="00B355FC"/>
    <w:rsid w:val="00B3564E"/>
    <w:rsid w:val="00B37082"/>
    <w:rsid w:val="00B379C1"/>
    <w:rsid w:val="00B37C1C"/>
    <w:rsid w:val="00B403B8"/>
    <w:rsid w:val="00B404EF"/>
    <w:rsid w:val="00B409FD"/>
    <w:rsid w:val="00B40FB4"/>
    <w:rsid w:val="00B417FE"/>
    <w:rsid w:val="00B41FC2"/>
    <w:rsid w:val="00B4226B"/>
    <w:rsid w:val="00B42423"/>
    <w:rsid w:val="00B424C8"/>
    <w:rsid w:val="00B42850"/>
    <w:rsid w:val="00B42FB3"/>
    <w:rsid w:val="00B43970"/>
    <w:rsid w:val="00B4466A"/>
    <w:rsid w:val="00B44AA2"/>
    <w:rsid w:val="00B44BEB"/>
    <w:rsid w:val="00B452F0"/>
    <w:rsid w:val="00B45914"/>
    <w:rsid w:val="00B45FAC"/>
    <w:rsid w:val="00B46023"/>
    <w:rsid w:val="00B4670B"/>
    <w:rsid w:val="00B46E9B"/>
    <w:rsid w:val="00B4795D"/>
    <w:rsid w:val="00B47BC2"/>
    <w:rsid w:val="00B47D45"/>
    <w:rsid w:val="00B47FA9"/>
    <w:rsid w:val="00B47FE6"/>
    <w:rsid w:val="00B50110"/>
    <w:rsid w:val="00B5071A"/>
    <w:rsid w:val="00B50B1F"/>
    <w:rsid w:val="00B50E9F"/>
    <w:rsid w:val="00B512AB"/>
    <w:rsid w:val="00B517B4"/>
    <w:rsid w:val="00B51A61"/>
    <w:rsid w:val="00B51D72"/>
    <w:rsid w:val="00B51F13"/>
    <w:rsid w:val="00B52B0F"/>
    <w:rsid w:val="00B53094"/>
    <w:rsid w:val="00B53568"/>
    <w:rsid w:val="00B535AA"/>
    <w:rsid w:val="00B537FD"/>
    <w:rsid w:val="00B53F48"/>
    <w:rsid w:val="00B53F7F"/>
    <w:rsid w:val="00B5414A"/>
    <w:rsid w:val="00B542ED"/>
    <w:rsid w:val="00B5441A"/>
    <w:rsid w:val="00B5450F"/>
    <w:rsid w:val="00B5516A"/>
    <w:rsid w:val="00B55324"/>
    <w:rsid w:val="00B553BC"/>
    <w:rsid w:val="00B55815"/>
    <w:rsid w:val="00B55909"/>
    <w:rsid w:val="00B55985"/>
    <w:rsid w:val="00B562F2"/>
    <w:rsid w:val="00B56A20"/>
    <w:rsid w:val="00B56F9D"/>
    <w:rsid w:val="00B570DB"/>
    <w:rsid w:val="00B57237"/>
    <w:rsid w:val="00B57A04"/>
    <w:rsid w:val="00B57D8D"/>
    <w:rsid w:val="00B6034C"/>
    <w:rsid w:val="00B612DA"/>
    <w:rsid w:val="00B61871"/>
    <w:rsid w:val="00B61A27"/>
    <w:rsid w:val="00B62438"/>
    <w:rsid w:val="00B6250D"/>
    <w:rsid w:val="00B629E1"/>
    <w:rsid w:val="00B62A9B"/>
    <w:rsid w:val="00B630EB"/>
    <w:rsid w:val="00B632A7"/>
    <w:rsid w:val="00B634C6"/>
    <w:rsid w:val="00B6369C"/>
    <w:rsid w:val="00B63941"/>
    <w:rsid w:val="00B63D71"/>
    <w:rsid w:val="00B645D4"/>
    <w:rsid w:val="00B645E7"/>
    <w:rsid w:val="00B64FF0"/>
    <w:rsid w:val="00B65396"/>
    <w:rsid w:val="00B65689"/>
    <w:rsid w:val="00B657DF"/>
    <w:rsid w:val="00B65BDF"/>
    <w:rsid w:val="00B65EA9"/>
    <w:rsid w:val="00B6605C"/>
    <w:rsid w:val="00B66496"/>
    <w:rsid w:val="00B665ED"/>
    <w:rsid w:val="00B6688A"/>
    <w:rsid w:val="00B66F85"/>
    <w:rsid w:val="00B66F94"/>
    <w:rsid w:val="00B675ED"/>
    <w:rsid w:val="00B67E1E"/>
    <w:rsid w:val="00B70233"/>
    <w:rsid w:val="00B7041E"/>
    <w:rsid w:val="00B7083B"/>
    <w:rsid w:val="00B70AAD"/>
    <w:rsid w:val="00B71506"/>
    <w:rsid w:val="00B71AF7"/>
    <w:rsid w:val="00B71BEE"/>
    <w:rsid w:val="00B71F35"/>
    <w:rsid w:val="00B728BC"/>
    <w:rsid w:val="00B72B0B"/>
    <w:rsid w:val="00B72B0C"/>
    <w:rsid w:val="00B72BFB"/>
    <w:rsid w:val="00B73967"/>
    <w:rsid w:val="00B73E0A"/>
    <w:rsid w:val="00B74437"/>
    <w:rsid w:val="00B74B1D"/>
    <w:rsid w:val="00B7529A"/>
    <w:rsid w:val="00B75448"/>
    <w:rsid w:val="00B755DB"/>
    <w:rsid w:val="00B75714"/>
    <w:rsid w:val="00B76C89"/>
    <w:rsid w:val="00B76D4E"/>
    <w:rsid w:val="00B772D9"/>
    <w:rsid w:val="00B77309"/>
    <w:rsid w:val="00B7738E"/>
    <w:rsid w:val="00B77880"/>
    <w:rsid w:val="00B77F6E"/>
    <w:rsid w:val="00B77FA2"/>
    <w:rsid w:val="00B809FE"/>
    <w:rsid w:val="00B80A27"/>
    <w:rsid w:val="00B80D45"/>
    <w:rsid w:val="00B80FA2"/>
    <w:rsid w:val="00B8149A"/>
    <w:rsid w:val="00B81F49"/>
    <w:rsid w:val="00B82266"/>
    <w:rsid w:val="00B82638"/>
    <w:rsid w:val="00B83243"/>
    <w:rsid w:val="00B835D6"/>
    <w:rsid w:val="00B83716"/>
    <w:rsid w:val="00B840EF"/>
    <w:rsid w:val="00B848D9"/>
    <w:rsid w:val="00B84A34"/>
    <w:rsid w:val="00B84D4A"/>
    <w:rsid w:val="00B85D23"/>
    <w:rsid w:val="00B85EEF"/>
    <w:rsid w:val="00B864DE"/>
    <w:rsid w:val="00B869AF"/>
    <w:rsid w:val="00B86A63"/>
    <w:rsid w:val="00B86C6B"/>
    <w:rsid w:val="00B9037B"/>
    <w:rsid w:val="00B90573"/>
    <w:rsid w:val="00B906A5"/>
    <w:rsid w:val="00B90938"/>
    <w:rsid w:val="00B90A7A"/>
    <w:rsid w:val="00B90B85"/>
    <w:rsid w:val="00B90C59"/>
    <w:rsid w:val="00B90D74"/>
    <w:rsid w:val="00B90E93"/>
    <w:rsid w:val="00B90FEE"/>
    <w:rsid w:val="00B910DA"/>
    <w:rsid w:val="00B9118B"/>
    <w:rsid w:val="00B9131A"/>
    <w:rsid w:val="00B91981"/>
    <w:rsid w:val="00B91C46"/>
    <w:rsid w:val="00B93037"/>
    <w:rsid w:val="00B9354E"/>
    <w:rsid w:val="00B93986"/>
    <w:rsid w:val="00B93D67"/>
    <w:rsid w:val="00B94265"/>
    <w:rsid w:val="00B9431D"/>
    <w:rsid w:val="00B94BC4"/>
    <w:rsid w:val="00B95470"/>
    <w:rsid w:val="00B958A9"/>
    <w:rsid w:val="00B95E15"/>
    <w:rsid w:val="00B96A65"/>
    <w:rsid w:val="00BA069F"/>
    <w:rsid w:val="00BA1063"/>
    <w:rsid w:val="00BA1CE2"/>
    <w:rsid w:val="00BA1F31"/>
    <w:rsid w:val="00BA25FD"/>
    <w:rsid w:val="00BA2945"/>
    <w:rsid w:val="00BA36B3"/>
    <w:rsid w:val="00BA3CA8"/>
    <w:rsid w:val="00BA3E33"/>
    <w:rsid w:val="00BA42A9"/>
    <w:rsid w:val="00BA4E2A"/>
    <w:rsid w:val="00BA62FE"/>
    <w:rsid w:val="00BA6837"/>
    <w:rsid w:val="00BA6B30"/>
    <w:rsid w:val="00BA6F7A"/>
    <w:rsid w:val="00BA7530"/>
    <w:rsid w:val="00BA7626"/>
    <w:rsid w:val="00BA78A5"/>
    <w:rsid w:val="00BB03E3"/>
    <w:rsid w:val="00BB0E82"/>
    <w:rsid w:val="00BB1678"/>
    <w:rsid w:val="00BB16EB"/>
    <w:rsid w:val="00BB1F21"/>
    <w:rsid w:val="00BB239E"/>
    <w:rsid w:val="00BB2D63"/>
    <w:rsid w:val="00BB2DA2"/>
    <w:rsid w:val="00BB3117"/>
    <w:rsid w:val="00BB3341"/>
    <w:rsid w:val="00BB4265"/>
    <w:rsid w:val="00BB4B1A"/>
    <w:rsid w:val="00BB5133"/>
    <w:rsid w:val="00BB575E"/>
    <w:rsid w:val="00BB5A71"/>
    <w:rsid w:val="00BB6DB7"/>
    <w:rsid w:val="00BB7222"/>
    <w:rsid w:val="00BB7665"/>
    <w:rsid w:val="00BB7994"/>
    <w:rsid w:val="00BC0079"/>
    <w:rsid w:val="00BC0093"/>
    <w:rsid w:val="00BC051E"/>
    <w:rsid w:val="00BC11A6"/>
    <w:rsid w:val="00BC1A3B"/>
    <w:rsid w:val="00BC1A83"/>
    <w:rsid w:val="00BC1C94"/>
    <w:rsid w:val="00BC278C"/>
    <w:rsid w:val="00BC2A2E"/>
    <w:rsid w:val="00BC3672"/>
    <w:rsid w:val="00BC3C38"/>
    <w:rsid w:val="00BC4683"/>
    <w:rsid w:val="00BC4EA5"/>
    <w:rsid w:val="00BC56F8"/>
    <w:rsid w:val="00BC5955"/>
    <w:rsid w:val="00BC5C74"/>
    <w:rsid w:val="00BC72C0"/>
    <w:rsid w:val="00BC7D55"/>
    <w:rsid w:val="00BC7DA9"/>
    <w:rsid w:val="00BD014A"/>
    <w:rsid w:val="00BD03EB"/>
    <w:rsid w:val="00BD0475"/>
    <w:rsid w:val="00BD223A"/>
    <w:rsid w:val="00BD25B0"/>
    <w:rsid w:val="00BD2B7B"/>
    <w:rsid w:val="00BD346E"/>
    <w:rsid w:val="00BD3AD6"/>
    <w:rsid w:val="00BD3E7E"/>
    <w:rsid w:val="00BD4EF5"/>
    <w:rsid w:val="00BD4FF0"/>
    <w:rsid w:val="00BD52F1"/>
    <w:rsid w:val="00BD58C7"/>
    <w:rsid w:val="00BD5C8F"/>
    <w:rsid w:val="00BD691B"/>
    <w:rsid w:val="00BD6C78"/>
    <w:rsid w:val="00BD6C84"/>
    <w:rsid w:val="00BD6D61"/>
    <w:rsid w:val="00BD6E6F"/>
    <w:rsid w:val="00BD7ED2"/>
    <w:rsid w:val="00BE0EEC"/>
    <w:rsid w:val="00BE115A"/>
    <w:rsid w:val="00BE186B"/>
    <w:rsid w:val="00BE1994"/>
    <w:rsid w:val="00BE1E31"/>
    <w:rsid w:val="00BE259B"/>
    <w:rsid w:val="00BE33FE"/>
    <w:rsid w:val="00BE3D5C"/>
    <w:rsid w:val="00BE3DB8"/>
    <w:rsid w:val="00BE3DCF"/>
    <w:rsid w:val="00BE3F20"/>
    <w:rsid w:val="00BE4073"/>
    <w:rsid w:val="00BE49AE"/>
    <w:rsid w:val="00BE4B68"/>
    <w:rsid w:val="00BE530F"/>
    <w:rsid w:val="00BE5575"/>
    <w:rsid w:val="00BE55D9"/>
    <w:rsid w:val="00BE5CAF"/>
    <w:rsid w:val="00BE61D6"/>
    <w:rsid w:val="00BE682A"/>
    <w:rsid w:val="00BE697C"/>
    <w:rsid w:val="00BE7139"/>
    <w:rsid w:val="00BE7194"/>
    <w:rsid w:val="00BE7447"/>
    <w:rsid w:val="00BE7803"/>
    <w:rsid w:val="00BE7995"/>
    <w:rsid w:val="00BE79A7"/>
    <w:rsid w:val="00BE7BB8"/>
    <w:rsid w:val="00BE7FDE"/>
    <w:rsid w:val="00BF0354"/>
    <w:rsid w:val="00BF0415"/>
    <w:rsid w:val="00BF0587"/>
    <w:rsid w:val="00BF0737"/>
    <w:rsid w:val="00BF0838"/>
    <w:rsid w:val="00BF0A36"/>
    <w:rsid w:val="00BF0D01"/>
    <w:rsid w:val="00BF1389"/>
    <w:rsid w:val="00BF1524"/>
    <w:rsid w:val="00BF1BD1"/>
    <w:rsid w:val="00BF272E"/>
    <w:rsid w:val="00BF2932"/>
    <w:rsid w:val="00BF2F47"/>
    <w:rsid w:val="00BF3511"/>
    <w:rsid w:val="00BF3CE2"/>
    <w:rsid w:val="00BF4240"/>
    <w:rsid w:val="00BF464E"/>
    <w:rsid w:val="00BF4DC9"/>
    <w:rsid w:val="00BF512D"/>
    <w:rsid w:val="00BF58E5"/>
    <w:rsid w:val="00BF6031"/>
    <w:rsid w:val="00BF603C"/>
    <w:rsid w:val="00BF6122"/>
    <w:rsid w:val="00BF6E8C"/>
    <w:rsid w:val="00BF70FC"/>
    <w:rsid w:val="00BF754E"/>
    <w:rsid w:val="00BF75BF"/>
    <w:rsid w:val="00BF7A83"/>
    <w:rsid w:val="00BF7F5B"/>
    <w:rsid w:val="00C0068C"/>
    <w:rsid w:val="00C00B4D"/>
    <w:rsid w:val="00C00BC2"/>
    <w:rsid w:val="00C01254"/>
    <w:rsid w:val="00C01B59"/>
    <w:rsid w:val="00C01ECA"/>
    <w:rsid w:val="00C0248D"/>
    <w:rsid w:val="00C027CE"/>
    <w:rsid w:val="00C027F4"/>
    <w:rsid w:val="00C0426E"/>
    <w:rsid w:val="00C04442"/>
    <w:rsid w:val="00C04B9B"/>
    <w:rsid w:val="00C04C59"/>
    <w:rsid w:val="00C0510A"/>
    <w:rsid w:val="00C054E1"/>
    <w:rsid w:val="00C0588E"/>
    <w:rsid w:val="00C0652A"/>
    <w:rsid w:val="00C06DD0"/>
    <w:rsid w:val="00C071D5"/>
    <w:rsid w:val="00C07543"/>
    <w:rsid w:val="00C10197"/>
    <w:rsid w:val="00C10C4B"/>
    <w:rsid w:val="00C10EBC"/>
    <w:rsid w:val="00C11149"/>
    <w:rsid w:val="00C11393"/>
    <w:rsid w:val="00C11B4D"/>
    <w:rsid w:val="00C11D96"/>
    <w:rsid w:val="00C1251E"/>
    <w:rsid w:val="00C12F07"/>
    <w:rsid w:val="00C1318B"/>
    <w:rsid w:val="00C132CB"/>
    <w:rsid w:val="00C13AB0"/>
    <w:rsid w:val="00C158E1"/>
    <w:rsid w:val="00C15A75"/>
    <w:rsid w:val="00C15D4F"/>
    <w:rsid w:val="00C15E97"/>
    <w:rsid w:val="00C15EC3"/>
    <w:rsid w:val="00C1600E"/>
    <w:rsid w:val="00C16173"/>
    <w:rsid w:val="00C161A5"/>
    <w:rsid w:val="00C163E1"/>
    <w:rsid w:val="00C1641C"/>
    <w:rsid w:val="00C165C5"/>
    <w:rsid w:val="00C165DA"/>
    <w:rsid w:val="00C16FF2"/>
    <w:rsid w:val="00C17407"/>
    <w:rsid w:val="00C17456"/>
    <w:rsid w:val="00C177F2"/>
    <w:rsid w:val="00C17AC6"/>
    <w:rsid w:val="00C17BAA"/>
    <w:rsid w:val="00C2035A"/>
    <w:rsid w:val="00C208E3"/>
    <w:rsid w:val="00C20C8B"/>
    <w:rsid w:val="00C20EFA"/>
    <w:rsid w:val="00C20F8D"/>
    <w:rsid w:val="00C20FD0"/>
    <w:rsid w:val="00C20FD8"/>
    <w:rsid w:val="00C2105B"/>
    <w:rsid w:val="00C21137"/>
    <w:rsid w:val="00C2151B"/>
    <w:rsid w:val="00C218FD"/>
    <w:rsid w:val="00C21AB4"/>
    <w:rsid w:val="00C230C2"/>
    <w:rsid w:val="00C230C4"/>
    <w:rsid w:val="00C2320E"/>
    <w:rsid w:val="00C236AE"/>
    <w:rsid w:val="00C23848"/>
    <w:rsid w:val="00C2385C"/>
    <w:rsid w:val="00C23D80"/>
    <w:rsid w:val="00C24040"/>
    <w:rsid w:val="00C2419E"/>
    <w:rsid w:val="00C2476B"/>
    <w:rsid w:val="00C24938"/>
    <w:rsid w:val="00C24AA9"/>
    <w:rsid w:val="00C24B33"/>
    <w:rsid w:val="00C24C73"/>
    <w:rsid w:val="00C254C6"/>
    <w:rsid w:val="00C25B01"/>
    <w:rsid w:val="00C25E8C"/>
    <w:rsid w:val="00C25F6C"/>
    <w:rsid w:val="00C26171"/>
    <w:rsid w:val="00C267C1"/>
    <w:rsid w:val="00C269B9"/>
    <w:rsid w:val="00C26D1A"/>
    <w:rsid w:val="00C26DDE"/>
    <w:rsid w:val="00C2735F"/>
    <w:rsid w:val="00C274DB"/>
    <w:rsid w:val="00C27649"/>
    <w:rsid w:val="00C27963"/>
    <w:rsid w:val="00C27C0E"/>
    <w:rsid w:val="00C300B8"/>
    <w:rsid w:val="00C308AA"/>
    <w:rsid w:val="00C30980"/>
    <w:rsid w:val="00C31143"/>
    <w:rsid w:val="00C315E3"/>
    <w:rsid w:val="00C31DA2"/>
    <w:rsid w:val="00C31E25"/>
    <w:rsid w:val="00C32236"/>
    <w:rsid w:val="00C32925"/>
    <w:rsid w:val="00C32A1B"/>
    <w:rsid w:val="00C32C8D"/>
    <w:rsid w:val="00C33775"/>
    <w:rsid w:val="00C33A40"/>
    <w:rsid w:val="00C33D6F"/>
    <w:rsid w:val="00C3524C"/>
    <w:rsid w:val="00C353C6"/>
    <w:rsid w:val="00C3550B"/>
    <w:rsid w:val="00C3592F"/>
    <w:rsid w:val="00C35C7A"/>
    <w:rsid w:val="00C364C6"/>
    <w:rsid w:val="00C36613"/>
    <w:rsid w:val="00C3703D"/>
    <w:rsid w:val="00C3712F"/>
    <w:rsid w:val="00C37538"/>
    <w:rsid w:val="00C37D30"/>
    <w:rsid w:val="00C37D4D"/>
    <w:rsid w:val="00C400C8"/>
    <w:rsid w:val="00C4074F"/>
    <w:rsid w:val="00C40BF4"/>
    <w:rsid w:val="00C40CB9"/>
    <w:rsid w:val="00C41B5A"/>
    <w:rsid w:val="00C41B8C"/>
    <w:rsid w:val="00C41BAE"/>
    <w:rsid w:val="00C41D06"/>
    <w:rsid w:val="00C4230B"/>
    <w:rsid w:val="00C43133"/>
    <w:rsid w:val="00C4316B"/>
    <w:rsid w:val="00C43435"/>
    <w:rsid w:val="00C435F6"/>
    <w:rsid w:val="00C43CF3"/>
    <w:rsid w:val="00C44379"/>
    <w:rsid w:val="00C443D3"/>
    <w:rsid w:val="00C4477E"/>
    <w:rsid w:val="00C44A0A"/>
    <w:rsid w:val="00C44B77"/>
    <w:rsid w:val="00C45161"/>
    <w:rsid w:val="00C454FA"/>
    <w:rsid w:val="00C45CA3"/>
    <w:rsid w:val="00C45E14"/>
    <w:rsid w:val="00C45FF8"/>
    <w:rsid w:val="00C464DE"/>
    <w:rsid w:val="00C469A3"/>
    <w:rsid w:val="00C46D6D"/>
    <w:rsid w:val="00C46EFE"/>
    <w:rsid w:val="00C477F3"/>
    <w:rsid w:val="00C47953"/>
    <w:rsid w:val="00C47AAA"/>
    <w:rsid w:val="00C47D81"/>
    <w:rsid w:val="00C47EAA"/>
    <w:rsid w:val="00C517C7"/>
    <w:rsid w:val="00C5302F"/>
    <w:rsid w:val="00C536EC"/>
    <w:rsid w:val="00C53B30"/>
    <w:rsid w:val="00C54657"/>
    <w:rsid w:val="00C5501D"/>
    <w:rsid w:val="00C552F8"/>
    <w:rsid w:val="00C55441"/>
    <w:rsid w:val="00C55824"/>
    <w:rsid w:val="00C55A3B"/>
    <w:rsid w:val="00C56287"/>
    <w:rsid w:val="00C56549"/>
    <w:rsid w:val="00C57C6B"/>
    <w:rsid w:val="00C57F08"/>
    <w:rsid w:val="00C6129A"/>
    <w:rsid w:val="00C6171D"/>
    <w:rsid w:val="00C61DB3"/>
    <w:rsid w:val="00C6212A"/>
    <w:rsid w:val="00C62644"/>
    <w:rsid w:val="00C627B3"/>
    <w:rsid w:val="00C628AE"/>
    <w:rsid w:val="00C62B85"/>
    <w:rsid w:val="00C6326B"/>
    <w:rsid w:val="00C6369B"/>
    <w:rsid w:val="00C6380E"/>
    <w:rsid w:val="00C639E1"/>
    <w:rsid w:val="00C63A26"/>
    <w:rsid w:val="00C64363"/>
    <w:rsid w:val="00C6455D"/>
    <w:rsid w:val="00C646F0"/>
    <w:rsid w:val="00C6554F"/>
    <w:rsid w:val="00C65792"/>
    <w:rsid w:val="00C657E4"/>
    <w:rsid w:val="00C65BC6"/>
    <w:rsid w:val="00C66616"/>
    <w:rsid w:val="00C66E63"/>
    <w:rsid w:val="00C67AE2"/>
    <w:rsid w:val="00C67D82"/>
    <w:rsid w:val="00C71F34"/>
    <w:rsid w:val="00C72159"/>
    <w:rsid w:val="00C723C9"/>
    <w:rsid w:val="00C7257B"/>
    <w:rsid w:val="00C727F7"/>
    <w:rsid w:val="00C7293C"/>
    <w:rsid w:val="00C72A76"/>
    <w:rsid w:val="00C7320B"/>
    <w:rsid w:val="00C73499"/>
    <w:rsid w:val="00C74276"/>
    <w:rsid w:val="00C74AF8"/>
    <w:rsid w:val="00C74C73"/>
    <w:rsid w:val="00C74CFF"/>
    <w:rsid w:val="00C74D68"/>
    <w:rsid w:val="00C750C5"/>
    <w:rsid w:val="00C752D8"/>
    <w:rsid w:val="00C75B7E"/>
    <w:rsid w:val="00C75F55"/>
    <w:rsid w:val="00C76548"/>
    <w:rsid w:val="00C7670F"/>
    <w:rsid w:val="00C77750"/>
    <w:rsid w:val="00C77B05"/>
    <w:rsid w:val="00C77B1E"/>
    <w:rsid w:val="00C77DAD"/>
    <w:rsid w:val="00C800C5"/>
    <w:rsid w:val="00C8012C"/>
    <w:rsid w:val="00C808DC"/>
    <w:rsid w:val="00C8173E"/>
    <w:rsid w:val="00C81886"/>
    <w:rsid w:val="00C81957"/>
    <w:rsid w:val="00C819F9"/>
    <w:rsid w:val="00C81D99"/>
    <w:rsid w:val="00C82211"/>
    <w:rsid w:val="00C82881"/>
    <w:rsid w:val="00C82BC7"/>
    <w:rsid w:val="00C82F90"/>
    <w:rsid w:val="00C833CB"/>
    <w:rsid w:val="00C835D9"/>
    <w:rsid w:val="00C83E48"/>
    <w:rsid w:val="00C844DC"/>
    <w:rsid w:val="00C84A3F"/>
    <w:rsid w:val="00C84C6D"/>
    <w:rsid w:val="00C84C9F"/>
    <w:rsid w:val="00C86007"/>
    <w:rsid w:val="00C861FE"/>
    <w:rsid w:val="00C8626D"/>
    <w:rsid w:val="00C867C5"/>
    <w:rsid w:val="00C869BB"/>
    <w:rsid w:val="00C8706A"/>
    <w:rsid w:val="00C87290"/>
    <w:rsid w:val="00C878A5"/>
    <w:rsid w:val="00C87F08"/>
    <w:rsid w:val="00C87F71"/>
    <w:rsid w:val="00C90375"/>
    <w:rsid w:val="00C91563"/>
    <w:rsid w:val="00C91967"/>
    <w:rsid w:val="00C926AE"/>
    <w:rsid w:val="00C927E8"/>
    <w:rsid w:val="00C9352C"/>
    <w:rsid w:val="00C9394B"/>
    <w:rsid w:val="00C93AED"/>
    <w:rsid w:val="00C94119"/>
    <w:rsid w:val="00C94353"/>
    <w:rsid w:val="00C944DF"/>
    <w:rsid w:val="00C94AF3"/>
    <w:rsid w:val="00C94BDD"/>
    <w:rsid w:val="00C952A1"/>
    <w:rsid w:val="00C95958"/>
    <w:rsid w:val="00C95AD0"/>
    <w:rsid w:val="00C95B99"/>
    <w:rsid w:val="00C9616D"/>
    <w:rsid w:val="00C9661C"/>
    <w:rsid w:val="00C969EF"/>
    <w:rsid w:val="00C97C21"/>
    <w:rsid w:val="00CA01CF"/>
    <w:rsid w:val="00CA05B9"/>
    <w:rsid w:val="00CA0FA5"/>
    <w:rsid w:val="00CA1235"/>
    <w:rsid w:val="00CA14D6"/>
    <w:rsid w:val="00CA1516"/>
    <w:rsid w:val="00CA1E4A"/>
    <w:rsid w:val="00CA1FC2"/>
    <w:rsid w:val="00CA23EC"/>
    <w:rsid w:val="00CA2BE5"/>
    <w:rsid w:val="00CA359E"/>
    <w:rsid w:val="00CA3DA6"/>
    <w:rsid w:val="00CA46ED"/>
    <w:rsid w:val="00CA4735"/>
    <w:rsid w:val="00CA4796"/>
    <w:rsid w:val="00CA47DA"/>
    <w:rsid w:val="00CA49A8"/>
    <w:rsid w:val="00CA6A3E"/>
    <w:rsid w:val="00CA6D16"/>
    <w:rsid w:val="00CA7182"/>
    <w:rsid w:val="00CA7336"/>
    <w:rsid w:val="00CA738A"/>
    <w:rsid w:val="00CA7767"/>
    <w:rsid w:val="00CA78DC"/>
    <w:rsid w:val="00CA7AFB"/>
    <w:rsid w:val="00CA7BE2"/>
    <w:rsid w:val="00CB185C"/>
    <w:rsid w:val="00CB197B"/>
    <w:rsid w:val="00CB1A44"/>
    <w:rsid w:val="00CB1FD0"/>
    <w:rsid w:val="00CB2540"/>
    <w:rsid w:val="00CB2A86"/>
    <w:rsid w:val="00CB2DF8"/>
    <w:rsid w:val="00CB32B9"/>
    <w:rsid w:val="00CB362B"/>
    <w:rsid w:val="00CB3C77"/>
    <w:rsid w:val="00CB4050"/>
    <w:rsid w:val="00CB4713"/>
    <w:rsid w:val="00CB4B2D"/>
    <w:rsid w:val="00CB4B38"/>
    <w:rsid w:val="00CB4D46"/>
    <w:rsid w:val="00CB4F25"/>
    <w:rsid w:val="00CB588A"/>
    <w:rsid w:val="00CB5A24"/>
    <w:rsid w:val="00CB67A9"/>
    <w:rsid w:val="00CB6DD7"/>
    <w:rsid w:val="00CB7128"/>
    <w:rsid w:val="00CB74BD"/>
    <w:rsid w:val="00CB7910"/>
    <w:rsid w:val="00CB7C9E"/>
    <w:rsid w:val="00CC017F"/>
    <w:rsid w:val="00CC0885"/>
    <w:rsid w:val="00CC14CE"/>
    <w:rsid w:val="00CC1821"/>
    <w:rsid w:val="00CC1DD2"/>
    <w:rsid w:val="00CC21B4"/>
    <w:rsid w:val="00CC2261"/>
    <w:rsid w:val="00CC2E3F"/>
    <w:rsid w:val="00CC3583"/>
    <w:rsid w:val="00CC3A26"/>
    <w:rsid w:val="00CC3B73"/>
    <w:rsid w:val="00CC3BCA"/>
    <w:rsid w:val="00CC3BEE"/>
    <w:rsid w:val="00CC454A"/>
    <w:rsid w:val="00CC5368"/>
    <w:rsid w:val="00CC5732"/>
    <w:rsid w:val="00CC5BEB"/>
    <w:rsid w:val="00CC5BF1"/>
    <w:rsid w:val="00CC6057"/>
    <w:rsid w:val="00CC788C"/>
    <w:rsid w:val="00CC7E4C"/>
    <w:rsid w:val="00CD0C1A"/>
    <w:rsid w:val="00CD0FE8"/>
    <w:rsid w:val="00CD1493"/>
    <w:rsid w:val="00CD1661"/>
    <w:rsid w:val="00CD1798"/>
    <w:rsid w:val="00CD19F1"/>
    <w:rsid w:val="00CD1BD3"/>
    <w:rsid w:val="00CD1E51"/>
    <w:rsid w:val="00CD27A3"/>
    <w:rsid w:val="00CD27AE"/>
    <w:rsid w:val="00CD285B"/>
    <w:rsid w:val="00CD2AA7"/>
    <w:rsid w:val="00CD2C07"/>
    <w:rsid w:val="00CD30E4"/>
    <w:rsid w:val="00CD3479"/>
    <w:rsid w:val="00CD3560"/>
    <w:rsid w:val="00CD45D6"/>
    <w:rsid w:val="00CD485C"/>
    <w:rsid w:val="00CD4D69"/>
    <w:rsid w:val="00CD5790"/>
    <w:rsid w:val="00CD68D5"/>
    <w:rsid w:val="00CD6F42"/>
    <w:rsid w:val="00CD7241"/>
    <w:rsid w:val="00CD753F"/>
    <w:rsid w:val="00CE0663"/>
    <w:rsid w:val="00CE1304"/>
    <w:rsid w:val="00CE1E47"/>
    <w:rsid w:val="00CE2517"/>
    <w:rsid w:val="00CE27EC"/>
    <w:rsid w:val="00CE3E1B"/>
    <w:rsid w:val="00CE3FAB"/>
    <w:rsid w:val="00CE4561"/>
    <w:rsid w:val="00CE466B"/>
    <w:rsid w:val="00CE479B"/>
    <w:rsid w:val="00CE4A6C"/>
    <w:rsid w:val="00CE4D96"/>
    <w:rsid w:val="00CE57E5"/>
    <w:rsid w:val="00CE5E94"/>
    <w:rsid w:val="00CE601F"/>
    <w:rsid w:val="00CE6028"/>
    <w:rsid w:val="00CE6F05"/>
    <w:rsid w:val="00CE70FB"/>
    <w:rsid w:val="00CE7208"/>
    <w:rsid w:val="00CE760F"/>
    <w:rsid w:val="00CE7D33"/>
    <w:rsid w:val="00CE7D81"/>
    <w:rsid w:val="00CF1156"/>
    <w:rsid w:val="00CF1B93"/>
    <w:rsid w:val="00CF231F"/>
    <w:rsid w:val="00CF23C5"/>
    <w:rsid w:val="00CF24E9"/>
    <w:rsid w:val="00CF25E0"/>
    <w:rsid w:val="00CF298F"/>
    <w:rsid w:val="00CF3659"/>
    <w:rsid w:val="00CF3D89"/>
    <w:rsid w:val="00CF3DEE"/>
    <w:rsid w:val="00CF45A1"/>
    <w:rsid w:val="00CF4ADD"/>
    <w:rsid w:val="00CF4CDC"/>
    <w:rsid w:val="00CF509C"/>
    <w:rsid w:val="00CF52E5"/>
    <w:rsid w:val="00CF536C"/>
    <w:rsid w:val="00CF576E"/>
    <w:rsid w:val="00CF57A0"/>
    <w:rsid w:val="00CF637C"/>
    <w:rsid w:val="00CF65F0"/>
    <w:rsid w:val="00CF67F4"/>
    <w:rsid w:val="00CF721B"/>
    <w:rsid w:val="00CF73D1"/>
    <w:rsid w:val="00CF7793"/>
    <w:rsid w:val="00CF7E9E"/>
    <w:rsid w:val="00CF7F1F"/>
    <w:rsid w:val="00D00FD1"/>
    <w:rsid w:val="00D011D1"/>
    <w:rsid w:val="00D02062"/>
    <w:rsid w:val="00D02A3A"/>
    <w:rsid w:val="00D02BA5"/>
    <w:rsid w:val="00D02DEE"/>
    <w:rsid w:val="00D0336E"/>
    <w:rsid w:val="00D03626"/>
    <w:rsid w:val="00D0381E"/>
    <w:rsid w:val="00D03CC8"/>
    <w:rsid w:val="00D0416B"/>
    <w:rsid w:val="00D04289"/>
    <w:rsid w:val="00D04728"/>
    <w:rsid w:val="00D04D75"/>
    <w:rsid w:val="00D059F2"/>
    <w:rsid w:val="00D05A26"/>
    <w:rsid w:val="00D05E20"/>
    <w:rsid w:val="00D06234"/>
    <w:rsid w:val="00D0675E"/>
    <w:rsid w:val="00D0684E"/>
    <w:rsid w:val="00D06C1B"/>
    <w:rsid w:val="00D07026"/>
    <w:rsid w:val="00D072B9"/>
    <w:rsid w:val="00D10404"/>
    <w:rsid w:val="00D106BA"/>
    <w:rsid w:val="00D107F7"/>
    <w:rsid w:val="00D10CE6"/>
    <w:rsid w:val="00D11261"/>
    <w:rsid w:val="00D1130E"/>
    <w:rsid w:val="00D11419"/>
    <w:rsid w:val="00D1151A"/>
    <w:rsid w:val="00D127CC"/>
    <w:rsid w:val="00D129DE"/>
    <w:rsid w:val="00D12B29"/>
    <w:rsid w:val="00D12DED"/>
    <w:rsid w:val="00D14F7B"/>
    <w:rsid w:val="00D15134"/>
    <w:rsid w:val="00D15987"/>
    <w:rsid w:val="00D15D7C"/>
    <w:rsid w:val="00D16601"/>
    <w:rsid w:val="00D2103E"/>
    <w:rsid w:val="00D210B1"/>
    <w:rsid w:val="00D2120D"/>
    <w:rsid w:val="00D21816"/>
    <w:rsid w:val="00D21851"/>
    <w:rsid w:val="00D21EE9"/>
    <w:rsid w:val="00D21FAE"/>
    <w:rsid w:val="00D22296"/>
    <w:rsid w:val="00D22488"/>
    <w:rsid w:val="00D2265F"/>
    <w:rsid w:val="00D22E88"/>
    <w:rsid w:val="00D23613"/>
    <w:rsid w:val="00D23761"/>
    <w:rsid w:val="00D24733"/>
    <w:rsid w:val="00D24A91"/>
    <w:rsid w:val="00D257FA"/>
    <w:rsid w:val="00D2599D"/>
    <w:rsid w:val="00D25A3D"/>
    <w:rsid w:val="00D25A47"/>
    <w:rsid w:val="00D2696D"/>
    <w:rsid w:val="00D26A02"/>
    <w:rsid w:val="00D26F11"/>
    <w:rsid w:val="00D27356"/>
    <w:rsid w:val="00D27F3C"/>
    <w:rsid w:val="00D301DD"/>
    <w:rsid w:val="00D3058E"/>
    <w:rsid w:val="00D312BC"/>
    <w:rsid w:val="00D31909"/>
    <w:rsid w:val="00D31F07"/>
    <w:rsid w:val="00D32018"/>
    <w:rsid w:val="00D32938"/>
    <w:rsid w:val="00D32A97"/>
    <w:rsid w:val="00D32CBD"/>
    <w:rsid w:val="00D341E8"/>
    <w:rsid w:val="00D3445F"/>
    <w:rsid w:val="00D34743"/>
    <w:rsid w:val="00D355F4"/>
    <w:rsid w:val="00D35B00"/>
    <w:rsid w:val="00D36F96"/>
    <w:rsid w:val="00D37078"/>
    <w:rsid w:val="00D370CC"/>
    <w:rsid w:val="00D3736A"/>
    <w:rsid w:val="00D37465"/>
    <w:rsid w:val="00D37505"/>
    <w:rsid w:val="00D3780C"/>
    <w:rsid w:val="00D40209"/>
    <w:rsid w:val="00D40955"/>
    <w:rsid w:val="00D40A0B"/>
    <w:rsid w:val="00D4161C"/>
    <w:rsid w:val="00D416E5"/>
    <w:rsid w:val="00D417FD"/>
    <w:rsid w:val="00D418AD"/>
    <w:rsid w:val="00D41B51"/>
    <w:rsid w:val="00D41E31"/>
    <w:rsid w:val="00D425DB"/>
    <w:rsid w:val="00D42C65"/>
    <w:rsid w:val="00D42C76"/>
    <w:rsid w:val="00D42CD2"/>
    <w:rsid w:val="00D43F3D"/>
    <w:rsid w:val="00D43FE9"/>
    <w:rsid w:val="00D440B7"/>
    <w:rsid w:val="00D442DC"/>
    <w:rsid w:val="00D45396"/>
    <w:rsid w:val="00D4577D"/>
    <w:rsid w:val="00D45788"/>
    <w:rsid w:val="00D458AA"/>
    <w:rsid w:val="00D45AF1"/>
    <w:rsid w:val="00D45B70"/>
    <w:rsid w:val="00D46872"/>
    <w:rsid w:val="00D46E27"/>
    <w:rsid w:val="00D47D93"/>
    <w:rsid w:val="00D50642"/>
    <w:rsid w:val="00D50BCD"/>
    <w:rsid w:val="00D50BE7"/>
    <w:rsid w:val="00D50C62"/>
    <w:rsid w:val="00D5137B"/>
    <w:rsid w:val="00D51714"/>
    <w:rsid w:val="00D51824"/>
    <w:rsid w:val="00D519F0"/>
    <w:rsid w:val="00D51AAE"/>
    <w:rsid w:val="00D51C0A"/>
    <w:rsid w:val="00D52045"/>
    <w:rsid w:val="00D5211B"/>
    <w:rsid w:val="00D522CC"/>
    <w:rsid w:val="00D52BC8"/>
    <w:rsid w:val="00D5316E"/>
    <w:rsid w:val="00D533A8"/>
    <w:rsid w:val="00D53708"/>
    <w:rsid w:val="00D53890"/>
    <w:rsid w:val="00D54882"/>
    <w:rsid w:val="00D54D90"/>
    <w:rsid w:val="00D54F00"/>
    <w:rsid w:val="00D55906"/>
    <w:rsid w:val="00D55DA9"/>
    <w:rsid w:val="00D566F5"/>
    <w:rsid w:val="00D56CCD"/>
    <w:rsid w:val="00D56EF8"/>
    <w:rsid w:val="00D57A17"/>
    <w:rsid w:val="00D57C1E"/>
    <w:rsid w:val="00D57FCF"/>
    <w:rsid w:val="00D60ED6"/>
    <w:rsid w:val="00D61262"/>
    <w:rsid w:val="00D61268"/>
    <w:rsid w:val="00D61AB8"/>
    <w:rsid w:val="00D61BC2"/>
    <w:rsid w:val="00D62767"/>
    <w:rsid w:val="00D6373F"/>
    <w:rsid w:val="00D643FA"/>
    <w:rsid w:val="00D644D7"/>
    <w:rsid w:val="00D65CF1"/>
    <w:rsid w:val="00D6618C"/>
    <w:rsid w:val="00D668AE"/>
    <w:rsid w:val="00D66C83"/>
    <w:rsid w:val="00D6733C"/>
    <w:rsid w:val="00D67814"/>
    <w:rsid w:val="00D67ECC"/>
    <w:rsid w:val="00D70290"/>
    <w:rsid w:val="00D706A4"/>
    <w:rsid w:val="00D70750"/>
    <w:rsid w:val="00D70FF7"/>
    <w:rsid w:val="00D71109"/>
    <w:rsid w:val="00D71929"/>
    <w:rsid w:val="00D72BF9"/>
    <w:rsid w:val="00D737B4"/>
    <w:rsid w:val="00D74351"/>
    <w:rsid w:val="00D756AF"/>
    <w:rsid w:val="00D7587D"/>
    <w:rsid w:val="00D75AF4"/>
    <w:rsid w:val="00D75D30"/>
    <w:rsid w:val="00D77E24"/>
    <w:rsid w:val="00D80859"/>
    <w:rsid w:val="00D81BF9"/>
    <w:rsid w:val="00D81D43"/>
    <w:rsid w:val="00D8225A"/>
    <w:rsid w:val="00D834E5"/>
    <w:rsid w:val="00D83E87"/>
    <w:rsid w:val="00D842FE"/>
    <w:rsid w:val="00D84427"/>
    <w:rsid w:val="00D8476A"/>
    <w:rsid w:val="00D84770"/>
    <w:rsid w:val="00D84D5F"/>
    <w:rsid w:val="00D85296"/>
    <w:rsid w:val="00D8534B"/>
    <w:rsid w:val="00D85ADB"/>
    <w:rsid w:val="00D86118"/>
    <w:rsid w:val="00D862BF"/>
    <w:rsid w:val="00D86631"/>
    <w:rsid w:val="00D87507"/>
    <w:rsid w:val="00D87F8D"/>
    <w:rsid w:val="00D900A7"/>
    <w:rsid w:val="00D90130"/>
    <w:rsid w:val="00D906EE"/>
    <w:rsid w:val="00D90AA2"/>
    <w:rsid w:val="00D90BBA"/>
    <w:rsid w:val="00D90DDE"/>
    <w:rsid w:val="00D912CC"/>
    <w:rsid w:val="00D91686"/>
    <w:rsid w:val="00D91694"/>
    <w:rsid w:val="00D916E5"/>
    <w:rsid w:val="00D92325"/>
    <w:rsid w:val="00D92AEF"/>
    <w:rsid w:val="00D92DAD"/>
    <w:rsid w:val="00D92E38"/>
    <w:rsid w:val="00D936C4"/>
    <w:rsid w:val="00D93C11"/>
    <w:rsid w:val="00D94EAE"/>
    <w:rsid w:val="00D95030"/>
    <w:rsid w:val="00D95826"/>
    <w:rsid w:val="00D96712"/>
    <w:rsid w:val="00D96C33"/>
    <w:rsid w:val="00D971A2"/>
    <w:rsid w:val="00D975C4"/>
    <w:rsid w:val="00DA0561"/>
    <w:rsid w:val="00DA1099"/>
    <w:rsid w:val="00DA1837"/>
    <w:rsid w:val="00DA1AB8"/>
    <w:rsid w:val="00DA24D1"/>
    <w:rsid w:val="00DA28E6"/>
    <w:rsid w:val="00DA3295"/>
    <w:rsid w:val="00DA354F"/>
    <w:rsid w:val="00DA3661"/>
    <w:rsid w:val="00DA39F1"/>
    <w:rsid w:val="00DA3B88"/>
    <w:rsid w:val="00DA4033"/>
    <w:rsid w:val="00DA4164"/>
    <w:rsid w:val="00DA4285"/>
    <w:rsid w:val="00DA56ED"/>
    <w:rsid w:val="00DA5C89"/>
    <w:rsid w:val="00DA5DD9"/>
    <w:rsid w:val="00DA602D"/>
    <w:rsid w:val="00DA61EC"/>
    <w:rsid w:val="00DA693B"/>
    <w:rsid w:val="00DA6A83"/>
    <w:rsid w:val="00DA75C9"/>
    <w:rsid w:val="00DA79A9"/>
    <w:rsid w:val="00DA7B05"/>
    <w:rsid w:val="00DA7D49"/>
    <w:rsid w:val="00DB0FF2"/>
    <w:rsid w:val="00DB114F"/>
    <w:rsid w:val="00DB12AD"/>
    <w:rsid w:val="00DB144B"/>
    <w:rsid w:val="00DB1450"/>
    <w:rsid w:val="00DB1AFC"/>
    <w:rsid w:val="00DB2432"/>
    <w:rsid w:val="00DB26DF"/>
    <w:rsid w:val="00DB27F3"/>
    <w:rsid w:val="00DB2C3F"/>
    <w:rsid w:val="00DB2C57"/>
    <w:rsid w:val="00DB349D"/>
    <w:rsid w:val="00DB37C9"/>
    <w:rsid w:val="00DB43BE"/>
    <w:rsid w:val="00DB45D0"/>
    <w:rsid w:val="00DB48C0"/>
    <w:rsid w:val="00DB4AE1"/>
    <w:rsid w:val="00DB55C2"/>
    <w:rsid w:val="00DB59E4"/>
    <w:rsid w:val="00DB63F6"/>
    <w:rsid w:val="00DB6862"/>
    <w:rsid w:val="00DB6B8C"/>
    <w:rsid w:val="00DB6D94"/>
    <w:rsid w:val="00DB7468"/>
    <w:rsid w:val="00DB74AE"/>
    <w:rsid w:val="00DC0208"/>
    <w:rsid w:val="00DC0391"/>
    <w:rsid w:val="00DC03F6"/>
    <w:rsid w:val="00DC0B00"/>
    <w:rsid w:val="00DC1440"/>
    <w:rsid w:val="00DC16FF"/>
    <w:rsid w:val="00DC1BD9"/>
    <w:rsid w:val="00DC2AA5"/>
    <w:rsid w:val="00DC2C19"/>
    <w:rsid w:val="00DC36A0"/>
    <w:rsid w:val="00DC40F6"/>
    <w:rsid w:val="00DC42B8"/>
    <w:rsid w:val="00DC4EE5"/>
    <w:rsid w:val="00DC508C"/>
    <w:rsid w:val="00DC5602"/>
    <w:rsid w:val="00DC56B2"/>
    <w:rsid w:val="00DC6E66"/>
    <w:rsid w:val="00DC74DE"/>
    <w:rsid w:val="00DC75FB"/>
    <w:rsid w:val="00DC7CDE"/>
    <w:rsid w:val="00DD011C"/>
    <w:rsid w:val="00DD0A2F"/>
    <w:rsid w:val="00DD0E7C"/>
    <w:rsid w:val="00DD2D8C"/>
    <w:rsid w:val="00DD3991"/>
    <w:rsid w:val="00DD4870"/>
    <w:rsid w:val="00DD5653"/>
    <w:rsid w:val="00DD5E4B"/>
    <w:rsid w:val="00DD6982"/>
    <w:rsid w:val="00DD6B43"/>
    <w:rsid w:val="00DD7132"/>
    <w:rsid w:val="00DD758C"/>
    <w:rsid w:val="00DE02C7"/>
    <w:rsid w:val="00DE046F"/>
    <w:rsid w:val="00DE165B"/>
    <w:rsid w:val="00DE1754"/>
    <w:rsid w:val="00DE1ABE"/>
    <w:rsid w:val="00DE1BDE"/>
    <w:rsid w:val="00DE1D08"/>
    <w:rsid w:val="00DE1F65"/>
    <w:rsid w:val="00DE2D12"/>
    <w:rsid w:val="00DE2E80"/>
    <w:rsid w:val="00DE387E"/>
    <w:rsid w:val="00DE3D30"/>
    <w:rsid w:val="00DE4124"/>
    <w:rsid w:val="00DE4975"/>
    <w:rsid w:val="00DE49CD"/>
    <w:rsid w:val="00DE4C07"/>
    <w:rsid w:val="00DE545E"/>
    <w:rsid w:val="00DE59EE"/>
    <w:rsid w:val="00DE79AA"/>
    <w:rsid w:val="00DF0874"/>
    <w:rsid w:val="00DF1126"/>
    <w:rsid w:val="00DF1378"/>
    <w:rsid w:val="00DF18C3"/>
    <w:rsid w:val="00DF19A6"/>
    <w:rsid w:val="00DF299F"/>
    <w:rsid w:val="00DF375F"/>
    <w:rsid w:val="00DF37B5"/>
    <w:rsid w:val="00DF382C"/>
    <w:rsid w:val="00DF4402"/>
    <w:rsid w:val="00DF491C"/>
    <w:rsid w:val="00DF4FA1"/>
    <w:rsid w:val="00DF538E"/>
    <w:rsid w:val="00DF5813"/>
    <w:rsid w:val="00DF59FE"/>
    <w:rsid w:val="00DF5CE9"/>
    <w:rsid w:val="00DF607E"/>
    <w:rsid w:val="00DF62B1"/>
    <w:rsid w:val="00DF667F"/>
    <w:rsid w:val="00DF68D9"/>
    <w:rsid w:val="00DF73EC"/>
    <w:rsid w:val="00DF764D"/>
    <w:rsid w:val="00DF778F"/>
    <w:rsid w:val="00DF77A3"/>
    <w:rsid w:val="00DF780A"/>
    <w:rsid w:val="00DF7D12"/>
    <w:rsid w:val="00E00344"/>
    <w:rsid w:val="00E00EF0"/>
    <w:rsid w:val="00E01660"/>
    <w:rsid w:val="00E017AF"/>
    <w:rsid w:val="00E01A0A"/>
    <w:rsid w:val="00E01A81"/>
    <w:rsid w:val="00E01E1F"/>
    <w:rsid w:val="00E02200"/>
    <w:rsid w:val="00E0239D"/>
    <w:rsid w:val="00E02678"/>
    <w:rsid w:val="00E02A82"/>
    <w:rsid w:val="00E02B63"/>
    <w:rsid w:val="00E02EC1"/>
    <w:rsid w:val="00E031DA"/>
    <w:rsid w:val="00E03A0B"/>
    <w:rsid w:val="00E0468F"/>
    <w:rsid w:val="00E049F0"/>
    <w:rsid w:val="00E04B1D"/>
    <w:rsid w:val="00E04B61"/>
    <w:rsid w:val="00E0574C"/>
    <w:rsid w:val="00E05C2D"/>
    <w:rsid w:val="00E05E88"/>
    <w:rsid w:val="00E071C3"/>
    <w:rsid w:val="00E071CC"/>
    <w:rsid w:val="00E07D6B"/>
    <w:rsid w:val="00E07DE4"/>
    <w:rsid w:val="00E10345"/>
    <w:rsid w:val="00E10F0C"/>
    <w:rsid w:val="00E11488"/>
    <w:rsid w:val="00E116D0"/>
    <w:rsid w:val="00E11CE2"/>
    <w:rsid w:val="00E11FD4"/>
    <w:rsid w:val="00E121EC"/>
    <w:rsid w:val="00E12597"/>
    <w:rsid w:val="00E13B4C"/>
    <w:rsid w:val="00E13C1E"/>
    <w:rsid w:val="00E143BB"/>
    <w:rsid w:val="00E143C5"/>
    <w:rsid w:val="00E149DB"/>
    <w:rsid w:val="00E14B42"/>
    <w:rsid w:val="00E14B83"/>
    <w:rsid w:val="00E14D31"/>
    <w:rsid w:val="00E150C8"/>
    <w:rsid w:val="00E1523A"/>
    <w:rsid w:val="00E15A21"/>
    <w:rsid w:val="00E15AAE"/>
    <w:rsid w:val="00E1622A"/>
    <w:rsid w:val="00E17467"/>
    <w:rsid w:val="00E17547"/>
    <w:rsid w:val="00E17C38"/>
    <w:rsid w:val="00E17EAD"/>
    <w:rsid w:val="00E2019E"/>
    <w:rsid w:val="00E205F2"/>
    <w:rsid w:val="00E207C9"/>
    <w:rsid w:val="00E208FC"/>
    <w:rsid w:val="00E20D04"/>
    <w:rsid w:val="00E21271"/>
    <w:rsid w:val="00E217EC"/>
    <w:rsid w:val="00E21A8F"/>
    <w:rsid w:val="00E223A3"/>
    <w:rsid w:val="00E2282A"/>
    <w:rsid w:val="00E22E4A"/>
    <w:rsid w:val="00E235C3"/>
    <w:rsid w:val="00E23E57"/>
    <w:rsid w:val="00E24A00"/>
    <w:rsid w:val="00E255F3"/>
    <w:rsid w:val="00E2576D"/>
    <w:rsid w:val="00E25B6C"/>
    <w:rsid w:val="00E260F6"/>
    <w:rsid w:val="00E2664E"/>
    <w:rsid w:val="00E26833"/>
    <w:rsid w:val="00E26B91"/>
    <w:rsid w:val="00E26D88"/>
    <w:rsid w:val="00E26E49"/>
    <w:rsid w:val="00E306B6"/>
    <w:rsid w:val="00E30D4A"/>
    <w:rsid w:val="00E3112F"/>
    <w:rsid w:val="00E31714"/>
    <w:rsid w:val="00E31B87"/>
    <w:rsid w:val="00E31B8E"/>
    <w:rsid w:val="00E32E5A"/>
    <w:rsid w:val="00E333AC"/>
    <w:rsid w:val="00E33695"/>
    <w:rsid w:val="00E33A72"/>
    <w:rsid w:val="00E33B3C"/>
    <w:rsid w:val="00E3464C"/>
    <w:rsid w:val="00E3491E"/>
    <w:rsid w:val="00E34BC6"/>
    <w:rsid w:val="00E34D0C"/>
    <w:rsid w:val="00E350DC"/>
    <w:rsid w:val="00E354B8"/>
    <w:rsid w:val="00E35784"/>
    <w:rsid w:val="00E35978"/>
    <w:rsid w:val="00E364E4"/>
    <w:rsid w:val="00E365D1"/>
    <w:rsid w:val="00E366B9"/>
    <w:rsid w:val="00E36A80"/>
    <w:rsid w:val="00E36ADB"/>
    <w:rsid w:val="00E37B4B"/>
    <w:rsid w:val="00E37D9B"/>
    <w:rsid w:val="00E40E96"/>
    <w:rsid w:val="00E4154E"/>
    <w:rsid w:val="00E41A84"/>
    <w:rsid w:val="00E42056"/>
    <w:rsid w:val="00E42191"/>
    <w:rsid w:val="00E4238A"/>
    <w:rsid w:val="00E425DB"/>
    <w:rsid w:val="00E428FE"/>
    <w:rsid w:val="00E439F5"/>
    <w:rsid w:val="00E43CCF"/>
    <w:rsid w:val="00E440D2"/>
    <w:rsid w:val="00E44389"/>
    <w:rsid w:val="00E44426"/>
    <w:rsid w:val="00E44507"/>
    <w:rsid w:val="00E4474E"/>
    <w:rsid w:val="00E447CF"/>
    <w:rsid w:val="00E44DC4"/>
    <w:rsid w:val="00E452C8"/>
    <w:rsid w:val="00E4535A"/>
    <w:rsid w:val="00E456BA"/>
    <w:rsid w:val="00E45DEE"/>
    <w:rsid w:val="00E45E92"/>
    <w:rsid w:val="00E47612"/>
    <w:rsid w:val="00E47BBE"/>
    <w:rsid w:val="00E507D6"/>
    <w:rsid w:val="00E5170A"/>
    <w:rsid w:val="00E51AA0"/>
    <w:rsid w:val="00E5203B"/>
    <w:rsid w:val="00E5218A"/>
    <w:rsid w:val="00E52394"/>
    <w:rsid w:val="00E525B1"/>
    <w:rsid w:val="00E52DD7"/>
    <w:rsid w:val="00E52EA6"/>
    <w:rsid w:val="00E52F03"/>
    <w:rsid w:val="00E52F93"/>
    <w:rsid w:val="00E52FFD"/>
    <w:rsid w:val="00E536A2"/>
    <w:rsid w:val="00E53D07"/>
    <w:rsid w:val="00E54F9A"/>
    <w:rsid w:val="00E55034"/>
    <w:rsid w:val="00E55C8C"/>
    <w:rsid w:val="00E55D68"/>
    <w:rsid w:val="00E55D7D"/>
    <w:rsid w:val="00E56008"/>
    <w:rsid w:val="00E563A5"/>
    <w:rsid w:val="00E5649A"/>
    <w:rsid w:val="00E564F5"/>
    <w:rsid w:val="00E566AB"/>
    <w:rsid w:val="00E566F5"/>
    <w:rsid w:val="00E56CF5"/>
    <w:rsid w:val="00E570A0"/>
    <w:rsid w:val="00E578C6"/>
    <w:rsid w:val="00E578FA"/>
    <w:rsid w:val="00E6017F"/>
    <w:rsid w:val="00E605FB"/>
    <w:rsid w:val="00E6065F"/>
    <w:rsid w:val="00E60C78"/>
    <w:rsid w:val="00E61296"/>
    <w:rsid w:val="00E61443"/>
    <w:rsid w:val="00E621CD"/>
    <w:rsid w:val="00E6226B"/>
    <w:rsid w:val="00E62420"/>
    <w:rsid w:val="00E62985"/>
    <w:rsid w:val="00E62A68"/>
    <w:rsid w:val="00E62B2D"/>
    <w:rsid w:val="00E62BB6"/>
    <w:rsid w:val="00E63A29"/>
    <w:rsid w:val="00E63D6E"/>
    <w:rsid w:val="00E63F16"/>
    <w:rsid w:val="00E64183"/>
    <w:rsid w:val="00E6473E"/>
    <w:rsid w:val="00E6475A"/>
    <w:rsid w:val="00E64935"/>
    <w:rsid w:val="00E657B6"/>
    <w:rsid w:val="00E657E5"/>
    <w:rsid w:val="00E65B45"/>
    <w:rsid w:val="00E65CC7"/>
    <w:rsid w:val="00E65F4B"/>
    <w:rsid w:val="00E66521"/>
    <w:rsid w:val="00E667DB"/>
    <w:rsid w:val="00E66ACB"/>
    <w:rsid w:val="00E66EF8"/>
    <w:rsid w:val="00E672F2"/>
    <w:rsid w:val="00E673BE"/>
    <w:rsid w:val="00E676D4"/>
    <w:rsid w:val="00E67703"/>
    <w:rsid w:val="00E67DF5"/>
    <w:rsid w:val="00E67F80"/>
    <w:rsid w:val="00E70970"/>
    <w:rsid w:val="00E71629"/>
    <w:rsid w:val="00E7187C"/>
    <w:rsid w:val="00E7197B"/>
    <w:rsid w:val="00E72576"/>
    <w:rsid w:val="00E727C3"/>
    <w:rsid w:val="00E72ADE"/>
    <w:rsid w:val="00E72DF2"/>
    <w:rsid w:val="00E72E06"/>
    <w:rsid w:val="00E7335F"/>
    <w:rsid w:val="00E73393"/>
    <w:rsid w:val="00E75504"/>
    <w:rsid w:val="00E75A41"/>
    <w:rsid w:val="00E76338"/>
    <w:rsid w:val="00E765AC"/>
    <w:rsid w:val="00E769B2"/>
    <w:rsid w:val="00E76BD8"/>
    <w:rsid w:val="00E76D5D"/>
    <w:rsid w:val="00E76E4C"/>
    <w:rsid w:val="00E77622"/>
    <w:rsid w:val="00E8008B"/>
    <w:rsid w:val="00E80391"/>
    <w:rsid w:val="00E805E6"/>
    <w:rsid w:val="00E80634"/>
    <w:rsid w:val="00E80836"/>
    <w:rsid w:val="00E8089C"/>
    <w:rsid w:val="00E80C97"/>
    <w:rsid w:val="00E80E4F"/>
    <w:rsid w:val="00E81800"/>
    <w:rsid w:val="00E81B37"/>
    <w:rsid w:val="00E81F21"/>
    <w:rsid w:val="00E8222B"/>
    <w:rsid w:val="00E82698"/>
    <w:rsid w:val="00E844BD"/>
    <w:rsid w:val="00E85167"/>
    <w:rsid w:val="00E8569C"/>
    <w:rsid w:val="00E8570C"/>
    <w:rsid w:val="00E85906"/>
    <w:rsid w:val="00E859E1"/>
    <w:rsid w:val="00E85D76"/>
    <w:rsid w:val="00E86204"/>
    <w:rsid w:val="00E86491"/>
    <w:rsid w:val="00E86A0C"/>
    <w:rsid w:val="00E903BC"/>
    <w:rsid w:val="00E90499"/>
    <w:rsid w:val="00E904B2"/>
    <w:rsid w:val="00E9080E"/>
    <w:rsid w:val="00E926CF"/>
    <w:rsid w:val="00E9277B"/>
    <w:rsid w:val="00E92C84"/>
    <w:rsid w:val="00E92E94"/>
    <w:rsid w:val="00E92EBB"/>
    <w:rsid w:val="00E93336"/>
    <w:rsid w:val="00E9349D"/>
    <w:rsid w:val="00E93728"/>
    <w:rsid w:val="00E93A38"/>
    <w:rsid w:val="00E93B42"/>
    <w:rsid w:val="00E93C8E"/>
    <w:rsid w:val="00E93D57"/>
    <w:rsid w:val="00E93FD4"/>
    <w:rsid w:val="00E94E06"/>
    <w:rsid w:val="00E957B0"/>
    <w:rsid w:val="00E958EE"/>
    <w:rsid w:val="00E959D2"/>
    <w:rsid w:val="00E95C25"/>
    <w:rsid w:val="00E96159"/>
    <w:rsid w:val="00E968C6"/>
    <w:rsid w:val="00E969DF"/>
    <w:rsid w:val="00E96B85"/>
    <w:rsid w:val="00EA0028"/>
    <w:rsid w:val="00EA03B5"/>
    <w:rsid w:val="00EA0813"/>
    <w:rsid w:val="00EA0D58"/>
    <w:rsid w:val="00EA0D59"/>
    <w:rsid w:val="00EA0D6D"/>
    <w:rsid w:val="00EA101E"/>
    <w:rsid w:val="00EA16F9"/>
    <w:rsid w:val="00EA254B"/>
    <w:rsid w:val="00EA2846"/>
    <w:rsid w:val="00EA2925"/>
    <w:rsid w:val="00EA2EDE"/>
    <w:rsid w:val="00EA2F0C"/>
    <w:rsid w:val="00EA340C"/>
    <w:rsid w:val="00EA35BA"/>
    <w:rsid w:val="00EA3C62"/>
    <w:rsid w:val="00EA3D1F"/>
    <w:rsid w:val="00EA3E53"/>
    <w:rsid w:val="00EA4BBD"/>
    <w:rsid w:val="00EA50AE"/>
    <w:rsid w:val="00EA5385"/>
    <w:rsid w:val="00EA694C"/>
    <w:rsid w:val="00EA74D7"/>
    <w:rsid w:val="00EA7612"/>
    <w:rsid w:val="00EA77C6"/>
    <w:rsid w:val="00EA79CE"/>
    <w:rsid w:val="00EA7D44"/>
    <w:rsid w:val="00EA7DEC"/>
    <w:rsid w:val="00EA7ED3"/>
    <w:rsid w:val="00EB003B"/>
    <w:rsid w:val="00EB0130"/>
    <w:rsid w:val="00EB0A37"/>
    <w:rsid w:val="00EB0E65"/>
    <w:rsid w:val="00EB14ED"/>
    <w:rsid w:val="00EB2975"/>
    <w:rsid w:val="00EB2DD8"/>
    <w:rsid w:val="00EB3001"/>
    <w:rsid w:val="00EB3C45"/>
    <w:rsid w:val="00EB4F28"/>
    <w:rsid w:val="00EB53D8"/>
    <w:rsid w:val="00EB5587"/>
    <w:rsid w:val="00EB58E8"/>
    <w:rsid w:val="00EB5B53"/>
    <w:rsid w:val="00EB5EB6"/>
    <w:rsid w:val="00EB5FCC"/>
    <w:rsid w:val="00EB678B"/>
    <w:rsid w:val="00EB688B"/>
    <w:rsid w:val="00EB6A48"/>
    <w:rsid w:val="00EB6C76"/>
    <w:rsid w:val="00EB72AF"/>
    <w:rsid w:val="00EB7503"/>
    <w:rsid w:val="00EB7690"/>
    <w:rsid w:val="00EB78B6"/>
    <w:rsid w:val="00EB795F"/>
    <w:rsid w:val="00EB79A2"/>
    <w:rsid w:val="00EC0420"/>
    <w:rsid w:val="00EC0568"/>
    <w:rsid w:val="00EC067D"/>
    <w:rsid w:val="00EC06EB"/>
    <w:rsid w:val="00EC0AB9"/>
    <w:rsid w:val="00EC0C7F"/>
    <w:rsid w:val="00EC0EAF"/>
    <w:rsid w:val="00EC1178"/>
    <w:rsid w:val="00EC1690"/>
    <w:rsid w:val="00EC172A"/>
    <w:rsid w:val="00EC1EAF"/>
    <w:rsid w:val="00EC2086"/>
    <w:rsid w:val="00EC2770"/>
    <w:rsid w:val="00EC2A41"/>
    <w:rsid w:val="00EC31AE"/>
    <w:rsid w:val="00EC35ED"/>
    <w:rsid w:val="00EC3A52"/>
    <w:rsid w:val="00EC3B5F"/>
    <w:rsid w:val="00EC3FAB"/>
    <w:rsid w:val="00EC3FD0"/>
    <w:rsid w:val="00EC3FFD"/>
    <w:rsid w:val="00EC4194"/>
    <w:rsid w:val="00EC4705"/>
    <w:rsid w:val="00EC495C"/>
    <w:rsid w:val="00EC4993"/>
    <w:rsid w:val="00EC4D39"/>
    <w:rsid w:val="00EC4F59"/>
    <w:rsid w:val="00EC5538"/>
    <w:rsid w:val="00EC58AC"/>
    <w:rsid w:val="00EC613B"/>
    <w:rsid w:val="00EC66EC"/>
    <w:rsid w:val="00EC6D87"/>
    <w:rsid w:val="00EC6EBC"/>
    <w:rsid w:val="00EC6EEB"/>
    <w:rsid w:val="00EC6F3D"/>
    <w:rsid w:val="00EC7750"/>
    <w:rsid w:val="00EC79D9"/>
    <w:rsid w:val="00EC7ECA"/>
    <w:rsid w:val="00ED008B"/>
    <w:rsid w:val="00ED01C8"/>
    <w:rsid w:val="00ED02A5"/>
    <w:rsid w:val="00ED036F"/>
    <w:rsid w:val="00ED054F"/>
    <w:rsid w:val="00ED0668"/>
    <w:rsid w:val="00ED0B25"/>
    <w:rsid w:val="00ED0DC0"/>
    <w:rsid w:val="00ED1C86"/>
    <w:rsid w:val="00ED1E5E"/>
    <w:rsid w:val="00ED2A27"/>
    <w:rsid w:val="00ED2FCB"/>
    <w:rsid w:val="00ED34D8"/>
    <w:rsid w:val="00ED352B"/>
    <w:rsid w:val="00ED366A"/>
    <w:rsid w:val="00ED396D"/>
    <w:rsid w:val="00ED3D91"/>
    <w:rsid w:val="00ED438F"/>
    <w:rsid w:val="00ED447C"/>
    <w:rsid w:val="00ED44B5"/>
    <w:rsid w:val="00ED4781"/>
    <w:rsid w:val="00ED53EE"/>
    <w:rsid w:val="00ED56D6"/>
    <w:rsid w:val="00ED60AE"/>
    <w:rsid w:val="00ED6280"/>
    <w:rsid w:val="00ED681A"/>
    <w:rsid w:val="00ED68D6"/>
    <w:rsid w:val="00ED6B46"/>
    <w:rsid w:val="00ED6FA3"/>
    <w:rsid w:val="00ED700D"/>
    <w:rsid w:val="00ED720A"/>
    <w:rsid w:val="00ED73A9"/>
    <w:rsid w:val="00ED74A4"/>
    <w:rsid w:val="00ED7D34"/>
    <w:rsid w:val="00ED7F9B"/>
    <w:rsid w:val="00EE04FE"/>
    <w:rsid w:val="00EE0C08"/>
    <w:rsid w:val="00EE1033"/>
    <w:rsid w:val="00EE10CF"/>
    <w:rsid w:val="00EE16C9"/>
    <w:rsid w:val="00EE19E1"/>
    <w:rsid w:val="00EE3159"/>
    <w:rsid w:val="00EE35A2"/>
    <w:rsid w:val="00EE379A"/>
    <w:rsid w:val="00EE4F24"/>
    <w:rsid w:val="00EE4F7C"/>
    <w:rsid w:val="00EE4FA8"/>
    <w:rsid w:val="00EE5407"/>
    <w:rsid w:val="00EE6879"/>
    <w:rsid w:val="00EE6B25"/>
    <w:rsid w:val="00EE6FCD"/>
    <w:rsid w:val="00EE7C33"/>
    <w:rsid w:val="00EE7EF4"/>
    <w:rsid w:val="00EF020B"/>
    <w:rsid w:val="00EF073F"/>
    <w:rsid w:val="00EF0F88"/>
    <w:rsid w:val="00EF130D"/>
    <w:rsid w:val="00EF17DA"/>
    <w:rsid w:val="00EF1DB1"/>
    <w:rsid w:val="00EF1E50"/>
    <w:rsid w:val="00EF2541"/>
    <w:rsid w:val="00EF263F"/>
    <w:rsid w:val="00EF32AD"/>
    <w:rsid w:val="00EF3399"/>
    <w:rsid w:val="00EF35A2"/>
    <w:rsid w:val="00EF35AF"/>
    <w:rsid w:val="00EF38DF"/>
    <w:rsid w:val="00EF3ED2"/>
    <w:rsid w:val="00EF4158"/>
    <w:rsid w:val="00EF4464"/>
    <w:rsid w:val="00EF48A7"/>
    <w:rsid w:val="00EF513C"/>
    <w:rsid w:val="00EF5631"/>
    <w:rsid w:val="00EF5842"/>
    <w:rsid w:val="00EF5EDD"/>
    <w:rsid w:val="00EF721B"/>
    <w:rsid w:val="00EF7A46"/>
    <w:rsid w:val="00EF7B37"/>
    <w:rsid w:val="00EF7CDE"/>
    <w:rsid w:val="00F00938"/>
    <w:rsid w:val="00F01107"/>
    <w:rsid w:val="00F0119C"/>
    <w:rsid w:val="00F011BF"/>
    <w:rsid w:val="00F0148B"/>
    <w:rsid w:val="00F0186A"/>
    <w:rsid w:val="00F022D5"/>
    <w:rsid w:val="00F02470"/>
    <w:rsid w:val="00F02D34"/>
    <w:rsid w:val="00F036D8"/>
    <w:rsid w:val="00F036F9"/>
    <w:rsid w:val="00F0422C"/>
    <w:rsid w:val="00F0448F"/>
    <w:rsid w:val="00F04A98"/>
    <w:rsid w:val="00F05265"/>
    <w:rsid w:val="00F056D6"/>
    <w:rsid w:val="00F060E5"/>
    <w:rsid w:val="00F06479"/>
    <w:rsid w:val="00F06534"/>
    <w:rsid w:val="00F06684"/>
    <w:rsid w:val="00F07C7D"/>
    <w:rsid w:val="00F10289"/>
    <w:rsid w:val="00F10CFA"/>
    <w:rsid w:val="00F116B6"/>
    <w:rsid w:val="00F12211"/>
    <w:rsid w:val="00F12DCD"/>
    <w:rsid w:val="00F1372A"/>
    <w:rsid w:val="00F13819"/>
    <w:rsid w:val="00F13E02"/>
    <w:rsid w:val="00F14168"/>
    <w:rsid w:val="00F14ADD"/>
    <w:rsid w:val="00F14D0B"/>
    <w:rsid w:val="00F15D7A"/>
    <w:rsid w:val="00F1609B"/>
    <w:rsid w:val="00F16B09"/>
    <w:rsid w:val="00F1718B"/>
    <w:rsid w:val="00F17569"/>
    <w:rsid w:val="00F1757F"/>
    <w:rsid w:val="00F17657"/>
    <w:rsid w:val="00F17EED"/>
    <w:rsid w:val="00F20604"/>
    <w:rsid w:val="00F20866"/>
    <w:rsid w:val="00F2153A"/>
    <w:rsid w:val="00F216CD"/>
    <w:rsid w:val="00F2181F"/>
    <w:rsid w:val="00F21C6C"/>
    <w:rsid w:val="00F2236C"/>
    <w:rsid w:val="00F22CB5"/>
    <w:rsid w:val="00F23EDB"/>
    <w:rsid w:val="00F23FD3"/>
    <w:rsid w:val="00F2464B"/>
    <w:rsid w:val="00F24773"/>
    <w:rsid w:val="00F24872"/>
    <w:rsid w:val="00F24F05"/>
    <w:rsid w:val="00F251DA"/>
    <w:rsid w:val="00F253AE"/>
    <w:rsid w:val="00F25413"/>
    <w:rsid w:val="00F25D10"/>
    <w:rsid w:val="00F25FE2"/>
    <w:rsid w:val="00F26531"/>
    <w:rsid w:val="00F26B32"/>
    <w:rsid w:val="00F2734A"/>
    <w:rsid w:val="00F273E4"/>
    <w:rsid w:val="00F2740F"/>
    <w:rsid w:val="00F274DB"/>
    <w:rsid w:val="00F2774E"/>
    <w:rsid w:val="00F27BAC"/>
    <w:rsid w:val="00F27BF0"/>
    <w:rsid w:val="00F27C18"/>
    <w:rsid w:val="00F27E6A"/>
    <w:rsid w:val="00F3013B"/>
    <w:rsid w:val="00F308B4"/>
    <w:rsid w:val="00F310BE"/>
    <w:rsid w:val="00F310FB"/>
    <w:rsid w:val="00F31164"/>
    <w:rsid w:val="00F3145B"/>
    <w:rsid w:val="00F314F3"/>
    <w:rsid w:val="00F324E3"/>
    <w:rsid w:val="00F32769"/>
    <w:rsid w:val="00F32EAC"/>
    <w:rsid w:val="00F34452"/>
    <w:rsid w:val="00F3486C"/>
    <w:rsid w:val="00F34BC9"/>
    <w:rsid w:val="00F355D6"/>
    <w:rsid w:val="00F35799"/>
    <w:rsid w:val="00F35ABA"/>
    <w:rsid w:val="00F35FD3"/>
    <w:rsid w:val="00F36EA5"/>
    <w:rsid w:val="00F36F8D"/>
    <w:rsid w:val="00F36FDF"/>
    <w:rsid w:val="00F3715E"/>
    <w:rsid w:val="00F3729E"/>
    <w:rsid w:val="00F372DC"/>
    <w:rsid w:val="00F37DAA"/>
    <w:rsid w:val="00F40A87"/>
    <w:rsid w:val="00F40CA6"/>
    <w:rsid w:val="00F4163A"/>
    <w:rsid w:val="00F421CC"/>
    <w:rsid w:val="00F425A2"/>
    <w:rsid w:val="00F42BCB"/>
    <w:rsid w:val="00F42C93"/>
    <w:rsid w:val="00F42CD9"/>
    <w:rsid w:val="00F42EE2"/>
    <w:rsid w:val="00F43AAD"/>
    <w:rsid w:val="00F4430D"/>
    <w:rsid w:val="00F44904"/>
    <w:rsid w:val="00F44D23"/>
    <w:rsid w:val="00F4502B"/>
    <w:rsid w:val="00F45044"/>
    <w:rsid w:val="00F453F3"/>
    <w:rsid w:val="00F454BC"/>
    <w:rsid w:val="00F457C2"/>
    <w:rsid w:val="00F458AE"/>
    <w:rsid w:val="00F46713"/>
    <w:rsid w:val="00F4696A"/>
    <w:rsid w:val="00F4717D"/>
    <w:rsid w:val="00F50080"/>
    <w:rsid w:val="00F5072B"/>
    <w:rsid w:val="00F50881"/>
    <w:rsid w:val="00F5127A"/>
    <w:rsid w:val="00F51575"/>
    <w:rsid w:val="00F5159D"/>
    <w:rsid w:val="00F51818"/>
    <w:rsid w:val="00F51BFD"/>
    <w:rsid w:val="00F52312"/>
    <w:rsid w:val="00F52605"/>
    <w:rsid w:val="00F536B1"/>
    <w:rsid w:val="00F53BCC"/>
    <w:rsid w:val="00F53C31"/>
    <w:rsid w:val="00F53F08"/>
    <w:rsid w:val="00F542B4"/>
    <w:rsid w:val="00F55046"/>
    <w:rsid w:val="00F550FE"/>
    <w:rsid w:val="00F552DC"/>
    <w:rsid w:val="00F55B05"/>
    <w:rsid w:val="00F55F15"/>
    <w:rsid w:val="00F5620A"/>
    <w:rsid w:val="00F56A16"/>
    <w:rsid w:val="00F56D73"/>
    <w:rsid w:val="00F56DBF"/>
    <w:rsid w:val="00F5702A"/>
    <w:rsid w:val="00F57365"/>
    <w:rsid w:val="00F577C3"/>
    <w:rsid w:val="00F579B6"/>
    <w:rsid w:val="00F57BCC"/>
    <w:rsid w:val="00F57D08"/>
    <w:rsid w:val="00F57DD1"/>
    <w:rsid w:val="00F607A8"/>
    <w:rsid w:val="00F61531"/>
    <w:rsid w:val="00F61C19"/>
    <w:rsid w:val="00F61E1B"/>
    <w:rsid w:val="00F626C4"/>
    <w:rsid w:val="00F62B2F"/>
    <w:rsid w:val="00F62C78"/>
    <w:rsid w:val="00F632F0"/>
    <w:rsid w:val="00F63496"/>
    <w:rsid w:val="00F63D8E"/>
    <w:rsid w:val="00F649DE"/>
    <w:rsid w:val="00F64CE9"/>
    <w:rsid w:val="00F64E54"/>
    <w:rsid w:val="00F658E1"/>
    <w:rsid w:val="00F6629A"/>
    <w:rsid w:val="00F6683C"/>
    <w:rsid w:val="00F66F94"/>
    <w:rsid w:val="00F6728D"/>
    <w:rsid w:val="00F67464"/>
    <w:rsid w:val="00F675A0"/>
    <w:rsid w:val="00F67962"/>
    <w:rsid w:val="00F679EA"/>
    <w:rsid w:val="00F67AF9"/>
    <w:rsid w:val="00F67EC8"/>
    <w:rsid w:val="00F707CC"/>
    <w:rsid w:val="00F70815"/>
    <w:rsid w:val="00F71538"/>
    <w:rsid w:val="00F71B20"/>
    <w:rsid w:val="00F7259D"/>
    <w:rsid w:val="00F726A3"/>
    <w:rsid w:val="00F72A29"/>
    <w:rsid w:val="00F72BF3"/>
    <w:rsid w:val="00F73018"/>
    <w:rsid w:val="00F731C7"/>
    <w:rsid w:val="00F73820"/>
    <w:rsid w:val="00F73986"/>
    <w:rsid w:val="00F73A71"/>
    <w:rsid w:val="00F73EA7"/>
    <w:rsid w:val="00F7431E"/>
    <w:rsid w:val="00F74515"/>
    <w:rsid w:val="00F74D0B"/>
    <w:rsid w:val="00F75BF2"/>
    <w:rsid w:val="00F75C93"/>
    <w:rsid w:val="00F762E6"/>
    <w:rsid w:val="00F76797"/>
    <w:rsid w:val="00F76C1F"/>
    <w:rsid w:val="00F7728D"/>
    <w:rsid w:val="00F77891"/>
    <w:rsid w:val="00F77F6A"/>
    <w:rsid w:val="00F8000F"/>
    <w:rsid w:val="00F800A7"/>
    <w:rsid w:val="00F801C1"/>
    <w:rsid w:val="00F81300"/>
    <w:rsid w:val="00F81461"/>
    <w:rsid w:val="00F81509"/>
    <w:rsid w:val="00F819AA"/>
    <w:rsid w:val="00F81B0E"/>
    <w:rsid w:val="00F823B0"/>
    <w:rsid w:val="00F82FCB"/>
    <w:rsid w:val="00F8311E"/>
    <w:rsid w:val="00F8320F"/>
    <w:rsid w:val="00F832AD"/>
    <w:rsid w:val="00F84582"/>
    <w:rsid w:val="00F86BB3"/>
    <w:rsid w:val="00F86C43"/>
    <w:rsid w:val="00F86C89"/>
    <w:rsid w:val="00F86F40"/>
    <w:rsid w:val="00F87EAC"/>
    <w:rsid w:val="00F87F5C"/>
    <w:rsid w:val="00F90459"/>
    <w:rsid w:val="00F90500"/>
    <w:rsid w:val="00F90BDF"/>
    <w:rsid w:val="00F90E96"/>
    <w:rsid w:val="00F91EE3"/>
    <w:rsid w:val="00F92229"/>
    <w:rsid w:val="00F9232E"/>
    <w:rsid w:val="00F92390"/>
    <w:rsid w:val="00F9262E"/>
    <w:rsid w:val="00F92666"/>
    <w:rsid w:val="00F92A7E"/>
    <w:rsid w:val="00F92C0F"/>
    <w:rsid w:val="00F932F2"/>
    <w:rsid w:val="00F934CB"/>
    <w:rsid w:val="00F93D41"/>
    <w:rsid w:val="00F94417"/>
    <w:rsid w:val="00F9472D"/>
    <w:rsid w:val="00F94DF2"/>
    <w:rsid w:val="00F94FBF"/>
    <w:rsid w:val="00F951DF"/>
    <w:rsid w:val="00F95901"/>
    <w:rsid w:val="00F95934"/>
    <w:rsid w:val="00F96A13"/>
    <w:rsid w:val="00F97770"/>
    <w:rsid w:val="00F979B9"/>
    <w:rsid w:val="00F97A8F"/>
    <w:rsid w:val="00F97EAD"/>
    <w:rsid w:val="00FA0415"/>
    <w:rsid w:val="00FA0F78"/>
    <w:rsid w:val="00FA1319"/>
    <w:rsid w:val="00FA1AEA"/>
    <w:rsid w:val="00FA1E09"/>
    <w:rsid w:val="00FA1E46"/>
    <w:rsid w:val="00FA2245"/>
    <w:rsid w:val="00FA22F8"/>
    <w:rsid w:val="00FA2396"/>
    <w:rsid w:val="00FA2519"/>
    <w:rsid w:val="00FA3196"/>
    <w:rsid w:val="00FA369E"/>
    <w:rsid w:val="00FA3753"/>
    <w:rsid w:val="00FA421C"/>
    <w:rsid w:val="00FA47D6"/>
    <w:rsid w:val="00FA5020"/>
    <w:rsid w:val="00FA6048"/>
    <w:rsid w:val="00FA62F8"/>
    <w:rsid w:val="00FA6493"/>
    <w:rsid w:val="00FA6CE2"/>
    <w:rsid w:val="00FA6F02"/>
    <w:rsid w:val="00FA7363"/>
    <w:rsid w:val="00FA78B8"/>
    <w:rsid w:val="00FA78E6"/>
    <w:rsid w:val="00FA7B97"/>
    <w:rsid w:val="00FA7BEE"/>
    <w:rsid w:val="00FA7C5B"/>
    <w:rsid w:val="00FB0E0E"/>
    <w:rsid w:val="00FB10A5"/>
    <w:rsid w:val="00FB12B5"/>
    <w:rsid w:val="00FB165C"/>
    <w:rsid w:val="00FB1AE3"/>
    <w:rsid w:val="00FB2187"/>
    <w:rsid w:val="00FB2278"/>
    <w:rsid w:val="00FB288C"/>
    <w:rsid w:val="00FB2C22"/>
    <w:rsid w:val="00FB2D30"/>
    <w:rsid w:val="00FB3306"/>
    <w:rsid w:val="00FB363B"/>
    <w:rsid w:val="00FB374E"/>
    <w:rsid w:val="00FB3FA0"/>
    <w:rsid w:val="00FB4206"/>
    <w:rsid w:val="00FB46AA"/>
    <w:rsid w:val="00FB60BF"/>
    <w:rsid w:val="00FB66C0"/>
    <w:rsid w:val="00FB6A6B"/>
    <w:rsid w:val="00FB6C57"/>
    <w:rsid w:val="00FB6CE9"/>
    <w:rsid w:val="00FB7344"/>
    <w:rsid w:val="00FB7409"/>
    <w:rsid w:val="00FB7599"/>
    <w:rsid w:val="00FB7736"/>
    <w:rsid w:val="00FB7E1C"/>
    <w:rsid w:val="00FB7F3E"/>
    <w:rsid w:val="00FC0565"/>
    <w:rsid w:val="00FC0B43"/>
    <w:rsid w:val="00FC0C5C"/>
    <w:rsid w:val="00FC124D"/>
    <w:rsid w:val="00FC168A"/>
    <w:rsid w:val="00FC16D6"/>
    <w:rsid w:val="00FC1DEA"/>
    <w:rsid w:val="00FC1E11"/>
    <w:rsid w:val="00FC293A"/>
    <w:rsid w:val="00FC332F"/>
    <w:rsid w:val="00FC37E8"/>
    <w:rsid w:val="00FC422E"/>
    <w:rsid w:val="00FC46BC"/>
    <w:rsid w:val="00FC5BD0"/>
    <w:rsid w:val="00FC5EEE"/>
    <w:rsid w:val="00FC6447"/>
    <w:rsid w:val="00FC67C6"/>
    <w:rsid w:val="00FC69B8"/>
    <w:rsid w:val="00FC6A17"/>
    <w:rsid w:val="00FC6C38"/>
    <w:rsid w:val="00FC6D1B"/>
    <w:rsid w:val="00FC7690"/>
    <w:rsid w:val="00FC7D93"/>
    <w:rsid w:val="00FD09C4"/>
    <w:rsid w:val="00FD12C6"/>
    <w:rsid w:val="00FD1F65"/>
    <w:rsid w:val="00FD265B"/>
    <w:rsid w:val="00FD29F6"/>
    <w:rsid w:val="00FD32FA"/>
    <w:rsid w:val="00FD341B"/>
    <w:rsid w:val="00FD353B"/>
    <w:rsid w:val="00FD37D3"/>
    <w:rsid w:val="00FD37F0"/>
    <w:rsid w:val="00FD5E2B"/>
    <w:rsid w:val="00FD6079"/>
    <w:rsid w:val="00FD60B6"/>
    <w:rsid w:val="00FD661E"/>
    <w:rsid w:val="00FD7146"/>
    <w:rsid w:val="00FE06C2"/>
    <w:rsid w:val="00FE0B15"/>
    <w:rsid w:val="00FE0B7C"/>
    <w:rsid w:val="00FE22BF"/>
    <w:rsid w:val="00FE2B99"/>
    <w:rsid w:val="00FE33E0"/>
    <w:rsid w:val="00FE3522"/>
    <w:rsid w:val="00FE3C0C"/>
    <w:rsid w:val="00FE4244"/>
    <w:rsid w:val="00FE4498"/>
    <w:rsid w:val="00FE4802"/>
    <w:rsid w:val="00FE4BE2"/>
    <w:rsid w:val="00FE4D5F"/>
    <w:rsid w:val="00FE4FB0"/>
    <w:rsid w:val="00FE527A"/>
    <w:rsid w:val="00FE56F5"/>
    <w:rsid w:val="00FE5D65"/>
    <w:rsid w:val="00FE5F9C"/>
    <w:rsid w:val="00FE658B"/>
    <w:rsid w:val="00FE698B"/>
    <w:rsid w:val="00FE6ABE"/>
    <w:rsid w:val="00FE71F9"/>
    <w:rsid w:val="00FE7349"/>
    <w:rsid w:val="00FE734E"/>
    <w:rsid w:val="00FF01A2"/>
    <w:rsid w:val="00FF0390"/>
    <w:rsid w:val="00FF05CD"/>
    <w:rsid w:val="00FF102F"/>
    <w:rsid w:val="00FF19A5"/>
    <w:rsid w:val="00FF1DF7"/>
    <w:rsid w:val="00FF2291"/>
    <w:rsid w:val="00FF2563"/>
    <w:rsid w:val="00FF2DF5"/>
    <w:rsid w:val="00FF49FB"/>
    <w:rsid w:val="00FF4D44"/>
    <w:rsid w:val="00FF4DBF"/>
    <w:rsid w:val="00FF50C8"/>
    <w:rsid w:val="00FF59FC"/>
    <w:rsid w:val="00FF5B08"/>
    <w:rsid w:val="00FF5CE2"/>
    <w:rsid w:val="00FF5CEC"/>
    <w:rsid w:val="00FF6518"/>
    <w:rsid w:val="00FF6645"/>
    <w:rsid w:val="00FF6747"/>
    <w:rsid w:val="00FF73CA"/>
    <w:rsid w:val="00FF776E"/>
    <w:rsid w:val="00FF7819"/>
    <w:rsid w:val="00FF7DCA"/>
    <w:rsid w:val="00FF7F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00386e,#73c800,#c6eaa8"/>
    </o:shapedefaults>
    <o:shapelayout v:ext="edit">
      <o:idmap v:ext="edit" data="1"/>
    </o:shapelayout>
  </w:shapeDefaults>
  <w:decimalSymbol w:val="."/>
  <w:listSeparator w:val=","/>
  <w14:docId w14:val="4D107BA8"/>
  <w15:docId w15:val="{D6944102-A130-4738-90CB-CEE69C564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2F79"/>
    <w:pPr>
      <w:spacing w:before="120" w:line="240" w:lineRule="atLeast"/>
      <w:ind w:right="1077"/>
    </w:pPr>
    <w:rPr>
      <w:rFonts w:ascii="Arial Nova" w:hAnsi="Arial Nova"/>
      <w:sz w:val="18"/>
      <w:lang w:eastAsia="en-US"/>
    </w:rPr>
  </w:style>
  <w:style w:type="paragraph" w:styleId="Heading1">
    <w:name w:val="heading 1"/>
    <w:next w:val="Normal"/>
    <w:qFormat/>
    <w:rsid w:val="00212F79"/>
    <w:pPr>
      <w:keepNext/>
      <w:spacing w:after="240" w:line="240" w:lineRule="atLeast"/>
      <w:outlineLvl w:val="0"/>
    </w:pPr>
    <w:rPr>
      <w:rFonts w:ascii="Arial Nova" w:hAnsi="Arial Nova"/>
      <w:b/>
      <w:color w:val="00376E"/>
      <w:kern w:val="32"/>
      <w:sz w:val="40"/>
      <w:lang w:eastAsia="en-US"/>
    </w:rPr>
  </w:style>
  <w:style w:type="paragraph" w:styleId="Heading2">
    <w:name w:val="heading 2"/>
    <w:next w:val="Normal"/>
    <w:link w:val="Heading2Char"/>
    <w:qFormat/>
    <w:rsid w:val="009C3146"/>
    <w:pPr>
      <w:keepNext/>
      <w:spacing w:before="360" w:after="60" w:line="300" w:lineRule="atLeast"/>
      <w:outlineLvl w:val="1"/>
    </w:pPr>
    <w:rPr>
      <w:rFonts w:ascii="Arial Nova" w:hAnsi="Arial Nova"/>
      <w:b/>
      <w:color w:val="00376E"/>
      <w:sz w:val="32"/>
      <w:lang w:eastAsia="en-US"/>
    </w:rPr>
  </w:style>
  <w:style w:type="paragraph" w:styleId="Heading3">
    <w:name w:val="heading 3"/>
    <w:next w:val="Normal"/>
    <w:link w:val="Heading3Char"/>
    <w:qFormat/>
    <w:rsid w:val="009C3146"/>
    <w:pPr>
      <w:keepNext/>
      <w:spacing w:before="360" w:line="240" w:lineRule="atLeast"/>
      <w:outlineLvl w:val="2"/>
    </w:pPr>
    <w:rPr>
      <w:rFonts w:ascii="Arial Nova" w:hAnsi="Arial Nova" w:cs="Arial"/>
      <w:i/>
      <w:iCs/>
      <w:color w:val="00376E"/>
      <w:sz w:val="28"/>
      <w:szCs w:val="26"/>
      <w:lang w:eastAsia="en-US"/>
    </w:rPr>
  </w:style>
  <w:style w:type="paragraph" w:styleId="Heading4">
    <w:name w:val="heading 4"/>
    <w:basedOn w:val="Heading3"/>
    <w:next w:val="Normal"/>
    <w:qFormat/>
    <w:rsid w:val="008F2144"/>
    <w:pPr>
      <w:spacing w:before="240" w:after="60"/>
      <w:outlineLvl w:val="3"/>
    </w:pPr>
    <w:rPr>
      <w:b/>
      <w:bCs/>
      <w:i w:val="0"/>
      <w:sz w:val="22"/>
      <w:szCs w:val="28"/>
    </w:rPr>
  </w:style>
  <w:style w:type="paragraph" w:styleId="Heading5">
    <w:name w:val="heading 5"/>
    <w:basedOn w:val="Normal"/>
    <w:next w:val="Normal"/>
    <w:qFormat/>
    <w:rsid w:val="00AD7870"/>
    <w:pPr>
      <w:spacing w:before="240" w:after="60"/>
      <w:outlineLvl w:val="4"/>
    </w:pPr>
    <w:rPr>
      <w:b/>
      <w:bCs/>
      <w:i/>
      <w:iCs/>
      <w:szCs w:val="26"/>
    </w:rPr>
  </w:style>
  <w:style w:type="paragraph" w:styleId="Heading6">
    <w:name w:val="heading 6"/>
    <w:basedOn w:val="Normal"/>
    <w:next w:val="Normal"/>
    <w:qFormat/>
    <w:rsid w:val="00AD7870"/>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B15F65"/>
    <w:pPr>
      <w:tabs>
        <w:tab w:val="right" w:pos="8618"/>
      </w:tabs>
      <w:spacing w:before="60" w:line="240" w:lineRule="auto"/>
      <w:ind w:left="1418" w:right="0"/>
    </w:pPr>
    <w:rPr>
      <w:noProof/>
      <w:color w:val="163758"/>
      <w:szCs w:val="36"/>
    </w:rPr>
  </w:style>
  <w:style w:type="paragraph" w:customStyle="1" w:styleId="Title-green">
    <w:name w:val="Title-green"/>
    <w:rsid w:val="00AD7870"/>
    <w:pPr>
      <w:spacing w:line="520" w:lineRule="exact"/>
    </w:pPr>
    <w:rPr>
      <w:rFonts w:ascii="Trebuchet MS" w:hAnsi="Trebuchet MS"/>
      <w:b/>
      <w:color w:val="72C800"/>
      <w:sz w:val="40"/>
      <w:lang w:eastAsia="en-US"/>
    </w:rPr>
  </w:style>
  <w:style w:type="paragraph" w:styleId="Header">
    <w:name w:val="header"/>
    <w:basedOn w:val="Normal"/>
    <w:rsid w:val="00043558"/>
    <w:pPr>
      <w:tabs>
        <w:tab w:val="center" w:pos="4153"/>
        <w:tab w:val="right" w:pos="8306"/>
      </w:tabs>
      <w:spacing w:before="0" w:line="240" w:lineRule="auto"/>
      <w:ind w:right="0"/>
    </w:pPr>
    <w:rPr>
      <w:rFonts w:ascii="Times New Roman" w:eastAsia="Times New Roman" w:hAnsi="Times New Roman"/>
      <w:sz w:val="24"/>
      <w:szCs w:val="24"/>
      <w:lang w:eastAsia="en-AU"/>
    </w:rPr>
  </w:style>
  <w:style w:type="paragraph" w:styleId="Footer">
    <w:name w:val="footer"/>
    <w:rsid w:val="00AD7870"/>
    <w:pPr>
      <w:tabs>
        <w:tab w:val="center" w:pos="4320"/>
        <w:tab w:val="right" w:pos="9639"/>
      </w:tabs>
      <w:spacing w:line="180" w:lineRule="atLeast"/>
    </w:pPr>
    <w:rPr>
      <w:rFonts w:ascii="Verdana" w:hAnsi="Verdana"/>
      <w:color w:val="00376E"/>
      <w:sz w:val="13"/>
      <w:lang w:eastAsia="en-US"/>
    </w:rPr>
  </w:style>
  <w:style w:type="paragraph" w:customStyle="1" w:styleId="Title-white">
    <w:name w:val="Title-white"/>
    <w:rsid w:val="00AD7870"/>
    <w:pPr>
      <w:spacing w:line="520" w:lineRule="exact"/>
    </w:pPr>
    <w:rPr>
      <w:rFonts w:ascii="Trebuchet MS" w:hAnsi="Trebuchet MS"/>
      <w:b/>
      <w:color w:val="FFFFFF"/>
      <w:sz w:val="40"/>
      <w:lang w:eastAsia="en-US"/>
    </w:rPr>
  </w:style>
  <w:style w:type="paragraph" w:customStyle="1" w:styleId="Tendernumber">
    <w:name w:val="Tender number"/>
    <w:rsid w:val="00AD7870"/>
    <w:pPr>
      <w:spacing w:before="380"/>
    </w:pPr>
    <w:rPr>
      <w:rFonts w:ascii="Trebuchet MS" w:hAnsi="Trebuchet MS"/>
      <w:caps/>
      <w:color w:val="FFFFFF"/>
      <w:sz w:val="24"/>
      <w:lang w:eastAsia="en-US"/>
    </w:rPr>
  </w:style>
  <w:style w:type="paragraph" w:customStyle="1" w:styleId="Reference">
    <w:name w:val="Reference"/>
    <w:rsid w:val="00AD7870"/>
    <w:pPr>
      <w:spacing w:line="240" w:lineRule="atLeast"/>
      <w:ind w:right="1077"/>
    </w:pPr>
    <w:rPr>
      <w:rFonts w:ascii="Verdana" w:hAnsi="Verdana"/>
      <w:i/>
      <w:sz w:val="14"/>
      <w:lang w:eastAsia="en-US"/>
    </w:rPr>
  </w:style>
  <w:style w:type="paragraph" w:customStyle="1" w:styleId="Heading1-continue">
    <w:name w:val="Heading 1-continue"/>
    <w:rsid w:val="00AD7870"/>
    <w:pPr>
      <w:pBdr>
        <w:bottom w:val="single" w:sz="4" w:space="16" w:color="00376E"/>
      </w:pBdr>
      <w:spacing w:before="240" w:after="680" w:line="300" w:lineRule="atLeast"/>
    </w:pPr>
    <w:rPr>
      <w:rFonts w:ascii="Trebuchet MS" w:hAnsi="Trebuchet MS"/>
      <w:color w:val="163758"/>
      <w:sz w:val="24"/>
      <w:lang w:eastAsia="en-US"/>
    </w:rPr>
  </w:style>
  <w:style w:type="paragraph" w:customStyle="1" w:styleId="Note">
    <w:name w:val="Note"/>
    <w:link w:val="NoteChar"/>
    <w:rsid w:val="00AD7870"/>
    <w:pPr>
      <w:widowControl w:val="0"/>
      <w:pBdr>
        <w:top w:val="single" w:sz="4" w:space="8" w:color="C6EAA8"/>
        <w:left w:val="single" w:sz="4" w:space="8" w:color="C6EAA8"/>
        <w:bottom w:val="single" w:sz="4" w:space="8" w:color="C6EAA8"/>
        <w:right w:val="single" w:sz="4" w:space="8" w:color="C6EAA8"/>
      </w:pBdr>
      <w:shd w:val="clear" w:color="auto" w:fill="C6EAA8"/>
      <w:autoSpaceDE w:val="0"/>
      <w:autoSpaceDN w:val="0"/>
      <w:adjustRightInd w:val="0"/>
      <w:spacing w:before="120" w:line="240" w:lineRule="atLeast"/>
      <w:ind w:left="170" w:right="1077"/>
      <w:textAlignment w:val="center"/>
    </w:pPr>
    <w:rPr>
      <w:rFonts w:ascii="Verdana" w:eastAsia="Times New Roman" w:hAnsi="Verdana"/>
      <w:sz w:val="18"/>
      <w:lang w:val="en-GB" w:eastAsia="en-US"/>
    </w:rPr>
  </w:style>
  <w:style w:type="character" w:customStyle="1" w:styleId="NoteChar">
    <w:name w:val="Note Char"/>
    <w:basedOn w:val="DefaultParagraphFont"/>
    <w:link w:val="Note"/>
    <w:rsid w:val="00587ED8"/>
    <w:rPr>
      <w:rFonts w:ascii="Verdana" w:eastAsia="Times New Roman" w:hAnsi="Verdana"/>
      <w:sz w:val="18"/>
      <w:shd w:val="clear" w:color="auto" w:fill="C6EAA8"/>
      <w:lang w:val="en-GB" w:eastAsia="en-US" w:bidi="ar-SA"/>
    </w:rPr>
  </w:style>
  <w:style w:type="paragraph" w:styleId="TOC2">
    <w:name w:val="toc 2"/>
    <w:basedOn w:val="Normal"/>
    <w:next w:val="Normal"/>
    <w:uiPriority w:val="39"/>
    <w:rsid w:val="00B036AF"/>
    <w:pPr>
      <w:tabs>
        <w:tab w:val="right" w:pos="8618"/>
      </w:tabs>
      <w:spacing w:before="0"/>
      <w:ind w:left="1987" w:right="0"/>
    </w:pPr>
    <w:rPr>
      <w:noProof/>
    </w:rPr>
  </w:style>
  <w:style w:type="paragraph" w:customStyle="1" w:styleId="Frontpagebottom">
    <w:name w:val="Frontpagebottom"/>
    <w:rsid w:val="00AD7870"/>
    <w:pPr>
      <w:jc w:val="right"/>
    </w:pPr>
    <w:rPr>
      <w:rFonts w:ascii="Verdana" w:hAnsi="Verdana"/>
      <w:color w:val="00376E"/>
      <w:sz w:val="18"/>
      <w:lang w:eastAsia="en-US"/>
    </w:rPr>
  </w:style>
  <w:style w:type="paragraph" w:customStyle="1" w:styleId="Noteheading">
    <w:name w:val="Noteheading"/>
    <w:basedOn w:val="Note"/>
    <w:rsid w:val="00AD7870"/>
    <w:rPr>
      <w:color w:val="00376E"/>
    </w:rPr>
  </w:style>
  <w:style w:type="paragraph" w:styleId="FootnoteText">
    <w:name w:val="footnote text"/>
    <w:basedOn w:val="Normal"/>
    <w:semiHidden/>
    <w:rsid w:val="005D6F31"/>
    <w:rPr>
      <w:sz w:val="20"/>
    </w:rPr>
  </w:style>
  <w:style w:type="paragraph" w:styleId="TOC3">
    <w:name w:val="toc 3"/>
    <w:basedOn w:val="Normal"/>
    <w:next w:val="Normal"/>
    <w:autoRedefine/>
    <w:semiHidden/>
    <w:rsid w:val="00AD7870"/>
    <w:pPr>
      <w:ind w:left="360"/>
    </w:pPr>
  </w:style>
  <w:style w:type="paragraph" w:styleId="TOC4">
    <w:name w:val="toc 4"/>
    <w:basedOn w:val="Normal"/>
    <w:next w:val="Normal"/>
    <w:autoRedefine/>
    <w:semiHidden/>
    <w:rsid w:val="00AD7870"/>
    <w:pPr>
      <w:ind w:left="540"/>
    </w:pPr>
  </w:style>
  <w:style w:type="paragraph" w:styleId="TOC5">
    <w:name w:val="toc 5"/>
    <w:basedOn w:val="Normal"/>
    <w:next w:val="Normal"/>
    <w:autoRedefine/>
    <w:semiHidden/>
    <w:rsid w:val="00AD7870"/>
    <w:pPr>
      <w:ind w:left="720"/>
    </w:pPr>
  </w:style>
  <w:style w:type="paragraph" w:styleId="TOC6">
    <w:name w:val="toc 6"/>
    <w:basedOn w:val="Normal"/>
    <w:next w:val="Normal"/>
    <w:autoRedefine/>
    <w:semiHidden/>
    <w:rsid w:val="00AD7870"/>
    <w:pPr>
      <w:ind w:left="900"/>
    </w:pPr>
  </w:style>
  <w:style w:type="paragraph" w:styleId="DocumentMap">
    <w:name w:val="Document Map"/>
    <w:basedOn w:val="Normal"/>
    <w:semiHidden/>
    <w:rsid w:val="00AD7870"/>
    <w:pPr>
      <w:shd w:val="clear" w:color="auto" w:fill="000080"/>
    </w:pPr>
    <w:rPr>
      <w:rFonts w:ascii="Tahoma" w:hAnsi="Tahoma" w:cs="Tahoma"/>
    </w:rPr>
  </w:style>
  <w:style w:type="paragraph" w:customStyle="1" w:styleId="Notereference">
    <w:name w:val="Notereference"/>
    <w:basedOn w:val="Note"/>
    <w:rsid w:val="00AD7870"/>
    <w:rPr>
      <w:i/>
      <w:sz w:val="14"/>
    </w:rPr>
  </w:style>
  <w:style w:type="paragraph" w:customStyle="1" w:styleId="Tabletext">
    <w:name w:val="Tabletext"/>
    <w:rsid w:val="000560D8"/>
    <w:pPr>
      <w:spacing w:before="40" w:after="40"/>
    </w:pPr>
    <w:rPr>
      <w:rFonts w:ascii="Verdana" w:hAnsi="Verdana"/>
      <w:sz w:val="16"/>
      <w:lang w:val="en-GB" w:eastAsia="en-US"/>
    </w:rPr>
  </w:style>
  <w:style w:type="paragraph" w:customStyle="1" w:styleId="Tableheading">
    <w:name w:val="Tableheading"/>
    <w:rsid w:val="00EB003B"/>
    <w:pPr>
      <w:spacing w:before="40" w:after="40"/>
    </w:pPr>
    <w:rPr>
      <w:rFonts w:ascii="Verdana" w:hAnsi="Verdana"/>
      <w:caps/>
      <w:color w:val="FFFFFF"/>
      <w:sz w:val="18"/>
      <w:lang w:eastAsia="en-US"/>
    </w:rPr>
  </w:style>
  <w:style w:type="paragraph" w:customStyle="1" w:styleId="Tableheading-Centre">
    <w:name w:val="Tableheading-Centre"/>
    <w:basedOn w:val="Tableheading"/>
    <w:rsid w:val="00AD7870"/>
    <w:pPr>
      <w:jc w:val="center"/>
    </w:pPr>
  </w:style>
  <w:style w:type="paragraph" w:styleId="TOC7">
    <w:name w:val="toc 7"/>
    <w:basedOn w:val="Normal"/>
    <w:next w:val="Normal"/>
    <w:autoRedefine/>
    <w:semiHidden/>
    <w:rsid w:val="00AD7870"/>
    <w:pPr>
      <w:ind w:left="1080"/>
    </w:pPr>
  </w:style>
  <w:style w:type="paragraph" w:styleId="TOC8">
    <w:name w:val="toc 8"/>
    <w:basedOn w:val="Normal"/>
    <w:next w:val="Normal"/>
    <w:autoRedefine/>
    <w:semiHidden/>
    <w:rsid w:val="00AD7870"/>
    <w:pPr>
      <w:ind w:left="1260"/>
    </w:pPr>
  </w:style>
  <w:style w:type="paragraph" w:styleId="TOC9">
    <w:name w:val="toc 9"/>
    <w:basedOn w:val="Normal"/>
    <w:next w:val="Normal"/>
    <w:autoRedefine/>
    <w:semiHidden/>
    <w:rsid w:val="00AD7870"/>
    <w:pPr>
      <w:ind w:left="1440"/>
    </w:pPr>
  </w:style>
  <w:style w:type="paragraph" w:customStyle="1" w:styleId="Front">
    <w:name w:val="Front"/>
    <w:basedOn w:val="Heading1"/>
    <w:rsid w:val="0018606D"/>
    <w:pPr>
      <w:spacing w:before="240" w:after="680" w:line="300" w:lineRule="atLeast"/>
      <w:outlineLvl w:val="8"/>
    </w:pPr>
    <w:rPr>
      <w:color w:val="163758"/>
    </w:rPr>
  </w:style>
  <w:style w:type="character" w:styleId="Hyperlink">
    <w:name w:val="Hyperlink"/>
    <w:basedOn w:val="DefaultParagraphFont"/>
    <w:uiPriority w:val="99"/>
    <w:rsid w:val="00AD7870"/>
    <w:rPr>
      <w:color w:val="0000FF"/>
      <w:u w:val="single"/>
    </w:rPr>
  </w:style>
  <w:style w:type="paragraph" w:customStyle="1" w:styleId="Normalsmall">
    <w:name w:val="Normalsmall"/>
    <w:basedOn w:val="Normal"/>
    <w:rsid w:val="00AD7870"/>
    <w:pPr>
      <w:spacing w:before="0" w:line="240" w:lineRule="auto"/>
      <w:ind w:right="0"/>
    </w:pPr>
    <w:rPr>
      <w:rFonts w:eastAsia="Times New Roman"/>
    </w:rPr>
  </w:style>
  <w:style w:type="paragraph" w:customStyle="1" w:styleId="Tablebulletsmall">
    <w:name w:val="Tablebulletsmall"/>
    <w:basedOn w:val="Normal"/>
    <w:rsid w:val="00AD7870"/>
    <w:pPr>
      <w:numPr>
        <w:numId w:val="2"/>
      </w:numPr>
      <w:tabs>
        <w:tab w:val="clear" w:pos="360"/>
        <w:tab w:val="num" w:pos="142"/>
      </w:tabs>
      <w:spacing w:before="0" w:line="240" w:lineRule="auto"/>
      <w:ind w:left="142" w:right="0" w:hanging="142"/>
    </w:pPr>
    <w:rPr>
      <w:rFonts w:eastAsia="Times New Roman"/>
      <w:sz w:val="14"/>
    </w:rPr>
  </w:style>
  <w:style w:type="paragraph" w:customStyle="1" w:styleId="Bullet1">
    <w:name w:val="Bullet1"/>
    <w:basedOn w:val="Normal"/>
    <w:rsid w:val="00AD7870"/>
    <w:pPr>
      <w:numPr>
        <w:numId w:val="1"/>
      </w:numPr>
    </w:pPr>
  </w:style>
  <w:style w:type="paragraph" w:customStyle="1" w:styleId="Bullet2">
    <w:name w:val="Bullet2"/>
    <w:basedOn w:val="ListParagraph"/>
    <w:rsid w:val="00C819F9"/>
    <w:pPr>
      <w:numPr>
        <w:numId w:val="7"/>
      </w:numPr>
    </w:pPr>
  </w:style>
  <w:style w:type="paragraph" w:customStyle="1" w:styleId="Bullet3">
    <w:name w:val="Bullet3"/>
    <w:basedOn w:val="Bullet2"/>
    <w:rsid w:val="00AD7870"/>
    <w:pPr>
      <w:spacing w:before="60"/>
      <w:ind w:left="567"/>
    </w:pPr>
  </w:style>
  <w:style w:type="table" w:styleId="TableGrid">
    <w:name w:val="Table Grid"/>
    <w:basedOn w:val="TableNormal"/>
    <w:uiPriority w:val="59"/>
    <w:rsid w:val="000560D8"/>
    <w:pPr>
      <w:spacing w:before="120" w:line="240" w:lineRule="atLeast"/>
      <w:ind w:right="107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small">
    <w:name w:val="Tableheadingsmall"/>
    <w:basedOn w:val="Tableheading"/>
    <w:rsid w:val="00AD7870"/>
    <w:pPr>
      <w:ind w:left="57"/>
    </w:pPr>
    <w:rPr>
      <w:rFonts w:eastAsia="Times New Roman" w:cs="Arial"/>
      <w:b/>
      <w:bCs/>
      <w:caps w:val="0"/>
      <w:color w:val="auto"/>
      <w:sz w:val="14"/>
    </w:rPr>
  </w:style>
  <w:style w:type="character" w:styleId="FootnoteReference">
    <w:name w:val="footnote reference"/>
    <w:basedOn w:val="DefaultParagraphFont"/>
    <w:semiHidden/>
    <w:rsid w:val="005D6F31"/>
    <w:rPr>
      <w:vertAlign w:val="superscript"/>
    </w:rPr>
  </w:style>
  <w:style w:type="paragraph" w:customStyle="1" w:styleId="Tabletxtsmall-R">
    <w:name w:val="Tabletxtsmall-R"/>
    <w:basedOn w:val="Tabletext"/>
    <w:rsid w:val="00AD7870"/>
    <w:pPr>
      <w:spacing w:before="20"/>
      <w:jc w:val="right"/>
    </w:pPr>
    <w:rPr>
      <w:rFonts w:eastAsia="Times New Roman"/>
      <w:sz w:val="14"/>
      <w:lang w:val="en-AU"/>
    </w:rPr>
  </w:style>
  <w:style w:type="character" w:styleId="PageNumber">
    <w:name w:val="page number"/>
    <w:basedOn w:val="DefaultParagraphFont"/>
    <w:rsid w:val="00CE601F"/>
  </w:style>
  <w:style w:type="paragraph" w:customStyle="1" w:styleId="Tabletextsmall">
    <w:name w:val="Tabletextsmall"/>
    <w:rsid w:val="00AD7870"/>
    <w:rPr>
      <w:rFonts w:ascii="Verdana" w:hAnsi="Verdana"/>
      <w:sz w:val="14"/>
      <w:lang w:eastAsia="en-US"/>
    </w:rPr>
  </w:style>
  <w:style w:type="paragraph" w:customStyle="1" w:styleId="Tablebullet">
    <w:name w:val="Tablebullet"/>
    <w:basedOn w:val="Tabletext"/>
    <w:rsid w:val="00AD7870"/>
    <w:pPr>
      <w:numPr>
        <w:numId w:val="3"/>
      </w:numPr>
      <w:tabs>
        <w:tab w:val="clear" w:pos="3600"/>
      </w:tabs>
      <w:ind w:left="284" w:hanging="218"/>
    </w:pPr>
  </w:style>
  <w:style w:type="paragraph" w:customStyle="1" w:styleId="Notebullet">
    <w:name w:val="Note bullet"/>
    <w:basedOn w:val="Note"/>
    <w:rsid w:val="0088218F"/>
    <w:pPr>
      <w:numPr>
        <w:numId w:val="4"/>
      </w:numPr>
    </w:pPr>
  </w:style>
  <w:style w:type="paragraph" w:styleId="BalloonText">
    <w:name w:val="Balloon Text"/>
    <w:basedOn w:val="Normal"/>
    <w:semiHidden/>
    <w:rsid w:val="006005B5"/>
    <w:rPr>
      <w:rFonts w:ascii="Tahoma" w:hAnsi="Tahoma" w:cs="Tahoma"/>
      <w:szCs w:val="16"/>
    </w:rPr>
  </w:style>
  <w:style w:type="character" w:styleId="FollowedHyperlink">
    <w:name w:val="FollowedHyperlink"/>
    <w:basedOn w:val="DefaultParagraphFont"/>
    <w:rsid w:val="007E35A5"/>
    <w:rPr>
      <w:color w:val="800080"/>
      <w:u w:val="single"/>
    </w:rPr>
  </w:style>
  <w:style w:type="character" w:customStyle="1" w:styleId="Heading3Char">
    <w:name w:val="Heading 3 Char"/>
    <w:basedOn w:val="DefaultParagraphFont"/>
    <w:link w:val="Heading3"/>
    <w:rsid w:val="009C3146"/>
    <w:rPr>
      <w:rFonts w:ascii="Arial Nova" w:hAnsi="Arial Nova" w:cs="Arial"/>
      <w:i/>
      <w:iCs/>
      <w:color w:val="00376E"/>
      <w:sz w:val="28"/>
      <w:szCs w:val="26"/>
      <w:lang w:eastAsia="en-US"/>
    </w:rPr>
  </w:style>
  <w:style w:type="paragraph" w:styleId="ListBullet3">
    <w:name w:val="List Bullet 3"/>
    <w:basedOn w:val="Normal"/>
    <w:rsid w:val="003D10E0"/>
    <w:pPr>
      <w:numPr>
        <w:numId w:val="5"/>
      </w:numPr>
    </w:pPr>
  </w:style>
  <w:style w:type="paragraph" w:styleId="ListParagraph">
    <w:name w:val="List Paragraph"/>
    <w:aliases w:val="L,Recommendation"/>
    <w:basedOn w:val="Normal"/>
    <w:link w:val="ListParagraphChar"/>
    <w:uiPriority w:val="34"/>
    <w:qFormat/>
    <w:rsid w:val="00FA7BEE"/>
    <w:pPr>
      <w:ind w:left="720"/>
      <w:contextualSpacing/>
    </w:pPr>
  </w:style>
  <w:style w:type="character" w:styleId="CommentReference">
    <w:name w:val="annotation reference"/>
    <w:basedOn w:val="DefaultParagraphFont"/>
    <w:rsid w:val="0023167C"/>
    <w:rPr>
      <w:sz w:val="16"/>
      <w:szCs w:val="16"/>
    </w:rPr>
  </w:style>
  <w:style w:type="paragraph" w:styleId="CommentText">
    <w:name w:val="annotation text"/>
    <w:basedOn w:val="Normal"/>
    <w:link w:val="CommentTextChar"/>
    <w:rsid w:val="0023167C"/>
    <w:pPr>
      <w:spacing w:line="240" w:lineRule="auto"/>
    </w:pPr>
    <w:rPr>
      <w:sz w:val="20"/>
    </w:rPr>
  </w:style>
  <w:style w:type="character" w:customStyle="1" w:styleId="CommentTextChar">
    <w:name w:val="Comment Text Char"/>
    <w:basedOn w:val="DefaultParagraphFont"/>
    <w:link w:val="CommentText"/>
    <w:rsid w:val="0023167C"/>
    <w:rPr>
      <w:rFonts w:ascii="Verdana" w:hAnsi="Verdana"/>
      <w:lang w:eastAsia="en-US"/>
    </w:rPr>
  </w:style>
  <w:style w:type="paragraph" w:styleId="CommentSubject">
    <w:name w:val="annotation subject"/>
    <w:basedOn w:val="CommentText"/>
    <w:next w:val="CommentText"/>
    <w:link w:val="CommentSubjectChar"/>
    <w:rsid w:val="0023167C"/>
    <w:rPr>
      <w:b/>
      <w:bCs/>
    </w:rPr>
  </w:style>
  <w:style w:type="character" w:customStyle="1" w:styleId="CommentSubjectChar">
    <w:name w:val="Comment Subject Char"/>
    <w:basedOn w:val="CommentTextChar"/>
    <w:link w:val="CommentSubject"/>
    <w:rsid w:val="0023167C"/>
    <w:rPr>
      <w:rFonts w:ascii="Verdana" w:hAnsi="Verdana"/>
      <w:b/>
      <w:bCs/>
      <w:lang w:eastAsia="en-US"/>
    </w:rPr>
  </w:style>
  <w:style w:type="character" w:customStyle="1" w:styleId="Heading2Char">
    <w:name w:val="Heading 2 Char"/>
    <w:basedOn w:val="DefaultParagraphFont"/>
    <w:link w:val="Heading2"/>
    <w:rsid w:val="009C3146"/>
    <w:rPr>
      <w:rFonts w:ascii="Arial Nova" w:hAnsi="Arial Nova"/>
      <w:b/>
      <w:color w:val="00376E"/>
      <w:sz w:val="32"/>
      <w:lang w:eastAsia="en-US"/>
    </w:rPr>
  </w:style>
  <w:style w:type="character" w:styleId="Strong">
    <w:name w:val="Strong"/>
    <w:basedOn w:val="DefaultParagraphFont"/>
    <w:uiPriority w:val="22"/>
    <w:qFormat/>
    <w:rsid w:val="004E6DF6"/>
    <w:rPr>
      <w:b/>
      <w:bCs/>
    </w:rPr>
  </w:style>
  <w:style w:type="paragraph" w:styleId="NormalWeb">
    <w:name w:val="Normal (Web)"/>
    <w:basedOn w:val="Normal"/>
    <w:uiPriority w:val="99"/>
    <w:unhideWhenUsed/>
    <w:rsid w:val="00615158"/>
    <w:pPr>
      <w:spacing w:before="100" w:beforeAutospacing="1" w:after="100" w:afterAutospacing="1" w:line="240" w:lineRule="auto"/>
      <w:ind w:right="0"/>
    </w:pPr>
    <w:rPr>
      <w:rFonts w:ascii="Times New Roman" w:eastAsia="Times New Roman" w:hAnsi="Times New Roman"/>
      <w:sz w:val="24"/>
      <w:szCs w:val="24"/>
      <w:lang w:eastAsia="en-AU"/>
    </w:rPr>
  </w:style>
  <w:style w:type="paragraph" w:styleId="Revision">
    <w:name w:val="Revision"/>
    <w:hidden/>
    <w:uiPriority w:val="99"/>
    <w:semiHidden/>
    <w:rsid w:val="000D105E"/>
    <w:rPr>
      <w:rFonts w:ascii="Verdana" w:hAnsi="Verdana"/>
      <w:sz w:val="18"/>
      <w:lang w:eastAsia="en-US"/>
    </w:rPr>
  </w:style>
  <w:style w:type="character" w:styleId="Emphasis">
    <w:name w:val="Emphasis"/>
    <w:basedOn w:val="DefaultParagraphFont"/>
    <w:uiPriority w:val="20"/>
    <w:qFormat/>
    <w:rsid w:val="00202F28"/>
    <w:rPr>
      <w:b/>
      <w:bCs/>
      <w:i w:val="0"/>
      <w:iCs w:val="0"/>
    </w:rPr>
  </w:style>
  <w:style w:type="character" w:customStyle="1" w:styleId="st1">
    <w:name w:val="st1"/>
    <w:basedOn w:val="DefaultParagraphFont"/>
    <w:rsid w:val="00202F28"/>
  </w:style>
  <w:style w:type="character" w:customStyle="1" w:styleId="ListParagraphChar">
    <w:name w:val="List Paragraph Char"/>
    <w:aliases w:val="L Char,Recommendation Char"/>
    <w:basedOn w:val="DefaultParagraphFont"/>
    <w:link w:val="ListParagraph"/>
    <w:uiPriority w:val="34"/>
    <w:rsid w:val="00B72BFB"/>
    <w:rPr>
      <w:rFonts w:ascii="Verdana" w:hAnsi="Verdana"/>
      <w:sz w:val="16"/>
      <w:lang w:eastAsia="en-US"/>
    </w:rPr>
  </w:style>
  <w:style w:type="paragraph" w:customStyle="1" w:styleId="21">
    <w:name w:val="2.1"/>
    <w:basedOn w:val="Normal"/>
    <w:qFormat/>
    <w:rsid w:val="00B72BFB"/>
    <w:pPr>
      <w:tabs>
        <w:tab w:val="left" w:pos="851"/>
      </w:tabs>
      <w:spacing w:before="0" w:line="240" w:lineRule="auto"/>
      <w:ind w:right="0"/>
    </w:pPr>
    <w:rPr>
      <w:rFonts w:ascii="Arial" w:eastAsia="Times New Roman" w:hAnsi="Arial"/>
      <w:sz w:val="22"/>
      <w:szCs w:val="22"/>
      <w:lang w:eastAsia="en-AU"/>
    </w:rPr>
  </w:style>
  <w:style w:type="paragraph" w:styleId="Caption">
    <w:name w:val="caption"/>
    <w:basedOn w:val="Normal"/>
    <w:next w:val="Normal"/>
    <w:unhideWhenUsed/>
    <w:qFormat/>
    <w:rsid w:val="00265B60"/>
    <w:pPr>
      <w:spacing w:before="0" w:after="200" w:line="240" w:lineRule="auto"/>
    </w:pPr>
    <w:rPr>
      <w:i/>
      <w:iCs/>
      <w:color w:val="1F497D" w:themeColor="tex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377">
      <w:bodyDiv w:val="1"/>
      <w:marLeft w:val="0"/>
      <w:marRight w:val="0"/>
      <w:marTop w:val="0"/>
      <w:marBottom w:val="0"/>
      <w:divBdr>
        <w:top w:val="none" w:sz="0" w:space="0" w:color="auto"/>
        <w:left w:val="none" w:sz="0" w:space="0" w:color="auto"/>
        <w:bottom w:val="none" w:sz="0" w:space="0" w:color="auto"/>
        <w:right w:val="none" w:sz="0" w:space="0" w:color="auto"/>
      </w:divBdr>
    </w:div>
    <w:div w:id="1320159">
      <w:bodyDiv w:val="1"/>
      <w:marLeft w:val="0"/>
      <w:marRight w:val="0"/>
      <w:marTop w:val="0"/>
      <w:marBottom w:val="0"/>
      <w:divBdr>
        <w:top w:val="none" w:sz="0" w:space="0" w:color="auto"/>
        <w:left w:val="none" w:sz="0" w:space="0" w:color="auto"/>
        <w:bottom w:val="none" w:sz="0" w:space="0" w:color="auto"/>
        <w:right w:val="none" w:sz="0" w:space="0" w:color="auto"/>
      </w:divBdr>
    </w:div>
    <w:div w:id="13310491">
      <w:bodyDiv w:val="1"/>
      <w:marLeft w:val="0"/>
      <w:marRight w:val="0"/>
      <w:marTop w:val="0"/>
      <w:marBottom w:val="0"/>
      <w:divBdr>
        <w:top w:val="none" w:sz="0" w:space="0" w:color="auto"/>
        <w:left w:val="none" w:sz="0" w:space="0" w:color="auto"/>
        <w:bottom w:val="none" w:sz="0" w:space="0" w:color="auto"/>
        <w:right w:val="none" w:sz="0" w:space="0" w:color="auto"/>
      </w:divBdr>
    </w:div>
    <w:div w:id="17508496">
      <w:bodyDiv w:val="1"/>
      <w:marLeft w:val="0"/>
      <w:marRight w:val="0"/>
      <w:marTop w:val="0"/>
      <w:marBottom w:val="0"/>
      <w:divBdr>
        <w:top w:val="none" w:sz="0" w:space="0" w:color="auto"/>
        <w:left w:val="none" w:sz="0" w:space="0" w:color="auto"/>
        <w:bottom w:val="none" w:sz="0" w:space="0" w:color="auto"/>
        <w:right w:val="none" w:sz="0" w:space="0" w:color="auto"/>
      </w:divBdr>
    </w:div>
    <w:div w:id="23790331">
      <w:bodyDiv w:val="1"/>
      <w:marLeft w:val="0"/>
      <w:marRight w:val="0"/>
      <w:marTop w:val="0"/>
      <w:marBottom w:val="0"/>
      <w:divBdr>
        <w:top w:val="none" w:sz="0" w:space="0" w:color="auto"/>
        <w:left w:val="none" w:sz="0" w:space="0" w:color="auto"/>
        <w:bottom w:val="none" w:sz="0" w:space="0" w:color="auto"/>
        <w:right w:val="none" w:sz="0" w:space="0" w:color="auto"/>
      </w:divBdr>
    </w:div>
    <w:div w:id="25763563">
      <w:bodyDiv w:val="1"/>
      <w:marLeft w:val="0"/>
      <w:marRight w:val="0"/>
      <w:marTop w:val="0"/>
      <w:marBottom w:val="0"/>
      <w:divBdr>
        <w:top w:val="none" w:sz="0" w:space="0" w:color="auto"/>
        <w:left w:val="none" w:sz="0" w:space="0" w:color="auto"/>
        <w:bottom w:val="none" w:sz="0" w:space="0" w:color="auto"/>
        <w:right w:val="none" w:sz="0" w:space="0" w:color="auto"/>
      </w:divBdr>
    </w:div>
    <w:div w:id="26299971">
      <w:bodyDiv w:val="1"/>
      <w:marLeft w:val="0"/>
      <w:marRight w:val="0"/>
      <w:marTop w:val="0"/>
      <w:marBottom w:val="0"/>
      <w:divBdr>
        <w:top w:val="none" w:sz="0" w:space="0" w:color="auto"/>
        <w:left w:val="none" w:sz="0" w:space="0" w:color="auto"/>
        <w:bottom w:val="none" w:sz="0" w:space="0" w:color="auto"/>
        <w:right w:val="none" w:sz="0" w:space="0" w:color="auto"/>
      </w:divBdr>
    </w:div>
    <w:div w:id="27414009">
      <w:bodyDiv w:val="1"/>
      <w:marLeft w:val="0"/>
      <w:marRight w:val="0"/>
      <w:marTop w:val="0"/>
      <w:marBottom w:val="0"/>
      <w:divBdr>
        <w:top w:val="none" w:sz="0" w:space="0" w:color="auto"/>
        <w:left w:val="none" w:sz="0" w:space="0" w:color="auto"/>
        <w:bottom w:val="none" w:sz="0" w:space="0" w:color="auto"/>
        <w:right w:val="none" w:sz="0" w:space="0" w:color="auto"/>
      </w:divBdr>
    </w:div>
    <w:div w:id="33891150">
      <w:bodyDiv w:val="1"/>
      <w:marLeft w:val="0"/>
      <w:marRight w:val="0"/>
      <w:marTop w:val="0"/>
      <w:marBottom w:val="0"/>
      <w:divBdr>
        <w:top w:val="none" w:sz="0" w:space="0" w:color="auto"/>
        <w:left w:val="none" w:sz="0" w:space="0" w:color="auto"/>
        <w:bottom w:val="none" w:sz="0" w:space="0" w:color="auto"/>
        <w:right w:val="none" w:sz="0" w:space="0" w:color="auto"/>
      </w:divBdr>
    </w:div>
    <w:div w:id="46344550">
      <w:bodyDiv w:val="1"/>
      <w:marLeft w:val="0"/>
      <w:marRight w:val="0"/>
      <w:marTop w:val="0"/>
      <w:marBottom w:val="0"/>
      <w:divBdr>
        <w:top w:val="none" w:sz="0" w:space="0" w:color="auto"/>
        <w:left w:val="none" w:sz="0" w:space="0" w:color="auto"/>
        <w:bottom w:val="none" w:sz="0" w:space="0" w:color="auto"/>
        <w:right w:val="none" w:sz="0" w:space="0" w:color="auto"/>
      </w:divBdr>
    </w:div>
    <w:div w:id="48959404">
      <w:bodyDiv w:val="1"/>
      <w:marLeft w:val="0"/>
      <w:marRight w:val="0"/>
      <w:marTop w:val="0"/>
      <w:marBottom w:val="0"/>
      <w:divBdr>
        <w:top w:val="none" w:sz="0" w:space="0" w:color="auto"/>
        <w:left w:val="none" w:sz="0" w:space="0" w:color="auto"/>
        <w:bottom w:val="none" w:sz="0" w:space="0" w:color="auto"/>
        <w:right w:val="none" w:sz="0" w:space="0" w:color="auto"/>
      </w:divBdr>
    </w:div>
    <w:div w:id="57289045">
      <w:bodyDiv w:val="1"/>
      <w:marLeft w:val="0"/>
      <w:marRight w:val="0"/>
      <w:marTop w:val="0"/>
      <w:marBottom w:val="0"/>
      <w:divBdr>
        <w:top w:val="none" w:sz="0" w:space="0" w:color="auto"/>
        <w:left w:val="none" w:sz="0" w:space="0" w:color="auto"/>
        <w:bottom w:val="none" w:sz="0" w:space="0" w:color="auto"/>
        <w:right w:val="none" w:sz="0" w:space="0" w:color="auto"/>
      </w:divBdr>
    </w:div>
    <w:div w:id="58331215">
      <w:bodyDiv w:val="1"/>
      <w:marLeft w:val="0"/>
      <w:marRight w:val="0"/>
      <w:marTop w:val="0"/>
      <w:marBottom w:val="0"/>
      <w:divBdr>
        <w:top w:val="none" w:sz="0" w:space="0" w:color="auto"/>
        <w:left w:val="none" w:sz="0" w:space="0" w:color="auto"/>
        <w:bottom w:val="none" w:sz="0" w:space="0" w:color="auto"/>
        <w:right w:val="none" w:sz="0" w:space="0" w:color="auto"/>
      </w:divBdr>
    </w:div>
    <w:div w:id="66223048">
      <w:bodyDiv w:val="1"/>
      <w:marLeft w:val="0"/>
      <w:marRight w:val="0"/>
      <w:marTop w:val="0"/>
      <w:marBottom w:val="0"/>
      <w:divBdr>
        <w:top w:val="none" w:sz="0" w:space="0" w:color="auto"/>
        <w:left w:val="none" w:sz="0" w:space="0" w:color="auto"/>
        <w:bottom w:val="none" w:sz="0" w:space="0" w:color="auto"/>
        <w:right w:val="none" w:sz="0" w:space="0" w:color="auto"/>
      </w:divBdr>
    </w:div>
    <w:div w:id="87771610">
      <w:bodyDiv w:val="1"/>
      <w:marLeft w:val="0"/>
      <w:marRight w:val="0"/>
      <w:marTop w:val="0"/>
      <w:marBottom w:val="0"/>
      <w:divBdr>
        <w:top w:val="none" w:sz="0" w:space="0" w:color="auto"/>
        <w:left w:val="none" w:sz="0" w:space="0" w:color="auto"/>
        <w:bottom w:val="none" w:sz="0" w:space="0" w:color="auto"/>
        <w:right w:val="none" w:sz="0" w:space="0" w:color="auto"/>
      </w:divBdr>
    </w:div>
    <w:div w:id="103423391">
      <w:bodyDiv w:val="1"/>
      <w:marLeft w:val="0"/>
      <w:marRight w:val="0"/>
      <w:marTop w:val="0"/>
      <w:marBottom w:val="0"/>
      <w:divBdr>
        <w:top w:val="none" w:sz="0" w:space="0" w:color="auto"/>
        <w:left w:val="none" w:sz="0" w:space="0" w:color="auto"/>
        <w:bottom w:val="none" w:sz="0" w:space="0" w:color="auto"/>
        <w:right w:val="none" w:sz="0" w:space="0" w:color="auto"/>
      </w:divBdr>
    </w:div>
    <w:div w:id="105396560">
      <w:bodyDiv w:val="1"/>
      <w:marLeft w:val="0"/>
      <w:marRight w:val="0"/>
      <w:marTop w:val="0"/>
      <w:marBottom w:val="0"/>
      <w:divBdr>
        <w:top w:val="none" w:sz="0" w:space="0" w:color="auto"/>
        <w:left w:val="none" w:sz="0" w:space="0" w:color="auto"/>
        <w:bottom w:val="none" w:sz="0" w:space="0" w:color="auto"/>
        <w:right w:val="none" w:sz="0" w:space="0" w:color="auto"/>
      </w:divBdr>
    </w:div>
    <w:div w:id="108741371">
      <w:bodyDiv w:val="1"/>
      <w:marLeft w:val="0"/>
      <w:marRight w:val="0"/>
      <w:marTop w:val="0"/>
      <w:marBottom w:val="0"/>
      <w:divBdr>
        <w:top w:val="none" w:sz="0" w:space="0" w:color="auto"/>
        <w:left w:val="none" w:sz="0" w:space="0" w:color="auto"/>
        <w:bottom w:val="none" w:sz="0" w:space="0" w:color="auto"/>
        <w:right w:val="none" w:sz="0" w:space="0" w:color="auto"/>
      </w:divBdr>
    </w:div>
    <w:div w:id="113716116">
      <w:bodyDiv w:val="1"/>
      <w:marLeft w:val="0"/>
      <w:marRight w:val="0"/>
      <w:marTop w:val="0"/>
      <w:marBottom w:val="0"/>
      <w:divBdr>
        <w:top w:val="none" w:sz="0" w:space="0" w:color="auto"/>
        <w:left w:val="none" w:sz="0" w:space="0" w:color="auto"/>
        <w:bottom w:val="none" w:sz="0" w:space="0" w:color="auto"/>
        <w:right w:val="none" w:sz="0" w:space="0" w:color="auto"/>
      </w:divBdr>
    </w:div>
    <w:div w:id="115023587">
      <w:bodyDiv w:val="1"/>
      <w:marLeft w:val="0"/>
      <w:marRight w:val="0"/>
      <w:marTop w:val="0"/>
      <w:marBottom w:val="0"/>
      <w:divBdr>
        <w:top w:val="none" w:sz="0" w:space="0" w:color="auto"/>
        <w:left w:val="none" w:sz="0" w:space="0" w:color="auto"/>
        <w:bottom w:val="none" w:sz="0" w:space="0" w:color="auto"/>
        <w:right w:val="none" w:sz="0" w:space="0" w:color="auto"/>
      </w:divBdr>
    </w:div>
    <w:div w:id="116805278">
      <w:bodyDiv w:val="1"/>
      <w:marLeft w:val="0"/>
      <w:marRight w:val="0"/>
      <w:marTop w:val="0"/>
      <w:marBottom w:val="0"/>
      <w:divBdr>
        <w:top w:val="none" w:sz="0" w:space="0" w:color="auto"/>
        <w:left w:val="none" w:sz="0" w:space="0" w:color="auto"/>
        <w:bottom w:val="none" w:sz="0" w:space="0" w:color="auto"/>
        <w:right w:val="none" w:sz="0" w:space="0" w:color="auto"/>
      </w:divBdr>
    </w:div>
    <w:div w:id="120613043">
      <w:bodyDiv w:val="1"/>
      <w:marLeft w:val="0"/>
      <w:marRight w:val="0"/>
      <w:marTop w:val="0"/>
      <w:marBottom w:val="0"/>
      <w:divBdr>
        <w:top w:val="none" w:sz="0" w:space="0" w:color="auto"/>
        <w:left w:val="none" w:sz="0" w:space="0" w:color="auto"/>
        <w:bottom w:val="none" w:sz="0" w:space="0" w:color="auto"/>
        <w:right w:val="none" w:sz="0" w:space="0" w:color="auto"/>
      </w:divBdr>
    </w:div>
    <w:div w:id="126507604">
      <w:bodyDiv w:val="1"/>
      <w:marLeft w:val="0"/>
      <w:marRight w:val="0"/>
      <w:marTop w:val="0"/>
      <w:marBottom w:val="0"/>
      <w:divBdr>
        <w:top w:val="none" w:sz="0" w:space="0" w:color="auto"/>
        <w:left w:val="none" w:sz="0" w:space="0" w:color="auto"/>
        <w:bottom w:val="none" w:sz="0" w:space="0" w:color="auto"/>
        <w:right w:val="none" w:sz="0" w:space="0" w:color="auto"/>
      </w:divBdr>
    </w:div>
    <w:div w:id="128983370">
      <w:bodyDiv w:val="1"/>
      <w:marLeft w:val="0"/>
      <w:marRight w:val="0"/>
      <w:marTop w:val="0"/>
      <w:marBottom w:val="0"/>
      <w:divBdr>
        <w:top w:val="none" w:sz="0" w:space="0" w:color="auto"/>
        <w:left w:val="none" w:sz="0" w:space="0" w:color="auto"/>
        <w:bottom w:val="none" w:sz="0" w:space="0" w:color="auto"/>
        <w:right w:val="none" w:sz="0" w:space="0" w:color="auto"/>
      </w:divBdr>
    </w:div>
    <w:div w:id="133986760">
      <w:bodyDiv w:val="1"/>
      <w:marLeft w:val="0"/>
      <w:marRight w:val="0"/>
      <w:marTop w:val="0"/>
      <w:marBottom w:val="0"/>
      <w:divBdr>
        <w:top w:val="none" w:sz="0" w:space="0" w:color="auto"/>
        <w:left w:val="none" w:sz="0" w:space="0" w:color="auto"/>
        <w:bottom w:val="none" w:sz="0" w:space="0" w:color="auto"/>
        <w:right w:val="none" w:sz="0" w:space="0" w:color="auto"/>
      </w:divBdr>
    </w:div>
    <w:div w:id="134419276">
      <w:bodyDiv w:val="1"/>
      <w:marLeft w:val="0"/>
      <w:marRight w:val="0"/>
      <w:marTop w:val="0"/>
      <w:marBottom w:val="0"/>
      <w:divBdr>
        <w:top w:val="none" w:sz="0" w:space="0" w:color="auto"/>
        <w:left w:val="none" w:sz="0" w:space="0" w:color="auto"/>
        <w:bottom w:val="none" w:sz="0" w:space="0" w:color="auto"/>
        <w:right w:val="none" w:sz="0" w:space="0" w:color="auto"/>
      </w:divBdr>
    </w:div>
    <w:div w:id="136774006">
      <w:bodyDiv w:val="1"/>
      <w:marLeft w:val="0"/>
      <w:marRight w:val="0"/>
      <w:marTop w:val="0"/>
      <w:marBottom w:val="0"/>
      <w:divBdr>
        <w:top w:val="none" w:sz="0" w:space="0" w:color="auto"/>
        <w:left w:val="none" w:sz="0" w:space="0" w:color="auto"/>
        <w:bottom w:val="none" w:sz="0" w:space="0" w:color="auto"/>
        <w:right w:val="none" w:sz="0" w:space="0" w:color="auto"/>
      </w:divBdr>
    </w:div>
    <w:div w:id="137960895">
      <w:bodyDiv w:val="1"/>
      <w:marLeft w:val="0"/>
      <w:marRight w:val="0"/>
      <w:marTop w:val="0"/>
      <w:marBottom w:val="0"/>
      <w:divBdr>
        <w:top w:val="none" w:sz="0" w:space="0" w:color="auto"/>
        <w:left w:val="none" w:sz="0" w:space="0" w:color="auto"/>
        <w:bottom w:val="none" w:sz="0" w:space="0" w:color="auto"/>
        <w:right w:val="none" w:sz="0" w:space="0" w:color="auto"/>
      </w:divBdr>
    </w:div>
    <w:div w:id="153181590">
      <w:bodyDiv w:val="1"/>
      <w:marLeft w:val="0"/>
      <w:marRight w:val="0"/>
      <w:marTop w:val="0"/>
      <w:marBottom w:val="0"/>
      <w:divBdr>
        <w:top w:val="none" w:sz="0" w:space="0" w:color="auto"/>
        <w:left w:val="none" w:sz="0" w:space="0" w:color="auto"/>
        <w:bottom w:val="none" w:sz="0" w:space="0" w:color="auto"/>
        <w:right w:val="none" w:sz="0" w:space="0" w:color="auto"/>
      </w:divBdr>
    </w:div>
    <w:div w:id="155608368">
      <w:bodyDiv w:val="1"/>
      <w:marLeft w:val="0"/>
      <w:marRight w:val="0"/>
      <w:marTop w:val="0"/>
      <w:marBottom w:val="0"/>
      <w:divBdr>
        <w:top w:val="none" w:sz="0" w:space="0" w:color="auto"/>
        <w:left w:val="none" w:sz="0" w:space="0" w:color="auto"/>
        <w:bottom w:val="none" w:sz="0" w:space="0" w:color="auto"/>
        <w:right w:val="none" w:sz="0" w:space="0" w:color="auto"/>
      </w:divBdr>
    </w:div>
    <w:div w:id="157160513">
      <w:bodyDiv w:val="1"/>
      <w:marLeft w:val="0"/>
      <w:marRight w:val="0"/>
      <w:marTop w:val="0"/>
      <w:marBottom w:val="0"/>
      <w:divBdr>
        <w:top w:val="none" w:sz="0" w:space="0" w:color="auto"/>
        <w:left w:val="none" w:sz="0" w:space="0" w:color="auto"/>
        <w:bottom w:val="none" w:sz="0" w:space="0" w:color="auto"/>
        <w:right w:val="none" w:sz="0" w:space="0" w:color="auto"/>
      </w:divBdr>
    </w:div>
    <w:div w:id="161161266">
      <w:bodyDiv w:val="1"/>
      <w:marLeft w:val="0"/>
      <w:marRight w:val="0"/>
      <w:marTop w:val="0"/>
      <w:marBottom w:val="0"/>
      <w:divBdr>
        <w:top w:val="none" w:sz="0" w:space="0" w:color="auto"/>
        <w:left w:val="none" w:sz="0" w:space="0" w:color="auto"/>
        <w:bottom w:val="none" w:sz="0" w:space="0" w:color="auto"/>
        <w:right w:val="none" w:sz="0" w:space="0" w:color="auto"/>
      </w:divBdr>
    </w:div>
    <w:div w:id="169181074">
      <w:bodyDiv w:val="1"/>
      <w:marLeft w:val="0"/>
      <w:marRight w:val="0"/>
      <w:marTop w:val="0"/>
      <w:marBottom w:val="0"/>
      <w:divBdr>
        <w:top w:val="none" w:sz="0" w:space="0" w:color="auto"/>
        <w:left w:val="none" w:sz="0" w:space="0" w:color="auto"/>
        <w:bottom w:val="none" w:sz="0" w:space="0" w:color="auto"/>
        <w:right w:val="none" w:sz="0" w:space="0" w:color="auto"/>
      </w:divBdr>
    </w:div>
    <w:div w:id="171141309">
      <w:bodyDiv w:val="1"/>
      <w:marLeft w:val="0"/>
      <w:marRight w:val="0"/>
      <w:marTop w:val="0"/>
      <w:marBottom w:val="0"/>
      <w:divBdr>
        <w:top w:val="none" w:sz="0" w:space="0" w:color="auto"/>
        <w:left w:val="none" w:sz="0" w:space="0" w:color="auto"/>
        <w:bottom w:val="none" w:sz="0" w:space="0" w:color="auto"/>
        <w:right w:val="none" w:sz="0" w:space="0" w:color="auto"/>
      </w:divBdr>
    </w:div>
    <w:div w:id="175391954">
      <w:bodyDiv w:val="1"/>
      <w:marLeft w:val="0"/>
      <w:marRight w:val="0"/>
      <w:marTop w:val="0"/>
      <w:marBottom w:val="0"/>
      <w:divBdr>
        <w:top w:val="none" w:sz="0" w:space="0" w:color="auto"/>
        <w:left w:val="none" w:sz="0" w:space="0" w:color="auto"/>
        <w:bottom w:val="none" w:sz="0" w:space="0" w:color="auto"/>
        <w:right w:val="none" w:sz="0" w:space="0" w:color="auto"/>
      </w:divBdr>
    </w:div>
    <w:div w:id="177820402">
      <w:bodyDiv w:val="1"/>
      <w:marLeft w:val="0"/>
      <w:marRight w:val="0"/>
      <w:marTop w:val="0"/>
      <w:marBottom w:val="0"/>
      <w:divBdr>
        <w:top w:val="none" w:sz="0" w:space="0" w:color="auto"/>
        <w:left w:val="none" w:sz="0" w:space="0" w:color="auto"/>
        <w:bottom w:val="none" w:sz="0" w:space="0" w:color="auto"/>
        <w:right w:val="none" w:sz="0" w:space="0" w:color="auto"/>
      </w:divBdr>
    </w:div>
    <w:div w:id="180625997">
      <w:bodyDiv w:val="1"/>
      <w:marLeft w:val="0"/>
      <w:marRight w:val="0"/>
      <w:marTop w:val="0"/>
      <w:marBottom w:val="0"/>
      <w:divBdr>
        <w:top w:val="none" w:sz="0" w:space="0" w:color="auto"/>
        <w:left w:val="none" w:sz="0" w:space="0" w:color="auto"/>
        <w:bottom w:val="none" w:sz="0" w:space="0" w:color="auto"/>
        <w:right w:val="none" w:sz="0" w:space="0" w:color="auto"/>
      </w:divBdr>
    </w:div>
    <w:div w:id="192570987">
      <w:bodyDiv w:val="1"/>
      <w:marLeft w:val="0"/>
      <w:marRight w:val="0"/>
      <w:marTop w:val="0"/>
      <w:marBottom w:val="0"/>
      <w:divBdr>
        <w:top w:val="none" w:sz="0" w:space="0" w:color="auto"/>
        <w:left w:val="none" w:sz="0" w:space="0" w:color="auto"/>
        <w:bottom w:val="none" w:sz="0" w:space="0" w:color="auto"/>
        <w:right w:val="none" w:sz="0" w:space="0" w:color="auto"/>
      </w:divBdr>
      <w:divsChild>
        <w:div w:id="167719964">
          <w:marLeft w:val="0"/>
          <w:marRight w:val="0"/>
          <w:marTop w:val="0"/>
          <w:marBottom w:val="0"/>
          <w:divBdr>
            <w:top w:val="none" w:sz="0" w:space="0" w:color="auto"/>
            <w:left w:val="none" w:sz="0" w:space="0" w:color="auto"/>
            <w:bottom w:val="none" w:sz="0" w:space="0" w:color="auto"/>
            <w:right w:val="none" w:sz="0" w:space="0" w:color="auto"/>
          </w:divBdr>
        </w:div>
        <w:div w:id="231045280">
          <w:marLeft w:val="0"/>
          <w:marRight w:val="0"/>
          <w:marTop w:val="0"/>
          <w:marBottom w:val="0"/>
          <w:divBdr>
            <w:top w:val="none" w:sz="0" w:space="0" w:color="auto"/>
            <w:left w:val="none" w:sz="0" w:space="0" w:color="auto"/>
            <w:bottom w:val="none" w:sz="0" w:space="0" w:color="auto"/>
            <w:right w:val="none" w:sz="0" w:space="0" w:color="auto"/>
          </w:divBdr>
        </w:div>
        <w:div w:id="277565405">
          <w:marLeft w:val="0"/>
          <w:marRight w:val="0"/>
          <w:marTop w:val="0"/>
          <w:marBottom w:val="0"/>
          <w:divBdr>
            <w:top w:val="none" w:sz="0" w:space="0" w:color="auto"/>
            <w:left w:val="none" w:sz="0" w:space="0" w:color="auto"/>
            <w:bottom w:val="none" w:sz="0" w:space="0" w:color="auto"/>
            <w:right w:val="none" w:sz="0" w:space="0" w:color="auto"/>
          </w:divBdr>
        </w:div>
        <w:div w:id="335034564">
          <w:marLeft w:val="0"/>
          <w:marRight w:val="0"/>
          <w:marTop w:val="0"/>
          <w:marBottom w:val="0"/>
          <w:divBdr>
            <w:top w:val="none" w:sz="0" w:space="0" w:color="auto"/>
            <w:left w:val="none" w:sz="0" w:space="0" w:color="auto"/>
            <w:bottom w:val="none" w:sz="0" w:space="0" w:color="auto"/>
            <w:right w:val="none" w:sz="0" w:space="0" w:color="auto"/>
          </w:divBdr>
        </w:div>
        <w:div w:id="346517176">
          <w:marLeft w:val="0"/>
          <w:marRight w:val="0"/>
          <w:marTop w:val="0"/>
          <w:marBottom w:val="0"/>
          <w:divBdr>
            <w:top w:val="none" w:sz="0" w:space="0" w:color="auto"/>
            <w:left w:val="none" w:sz="0" w:space="0" w:color="auto"/>
            <w:bottom w:val="none" w:sz="0" w:space="0" w:color="auto"/>
            <w:right w:val="none" w:sz="0" w:space="0" w:color="auto"/>
          </w:divBdr>
        </w:div>
        <w:div w:id="458450126">
          <w:marLeft w:val="0"/>
          <w:marRight w:val="0"/>
          <w:marTop w:val="0"/>
          <w:marBottom w:val="0"/>
          <w:divBdr>
            <w:top w:val="none" w:sz="0" w:space="0" w:color="auto"/>
            <w:left w:val="none" w:sz="0" w:space="0" w:color="auto"/>
            <w:bottom w:val="none" w:sz="0" w:space="0" w:color="auto"/>
            <w:right w:val="none" w:sz="0" w:space="0" w:color="auto"/>
          </w:divBdr>
        </w:div>
        <w:div w:id="504829802">
          <w:marLeft w:val="0"/>
          <w:marRight w:val="0"/>
          <w:marTop w:val="0"/>
          <w:marBottom w:val="0"/>
          <w:divBdr>
            <w:top w:val="none" w:sz="0" w:space="0" w:color="auto"/>
            <w:left w:val="none" w:sz="0" w:space="0" w:color="auto"/>
            <w:bottom w:val="none" w:sz="0" w:space="0" w:color="auto"/>
            <w:right w:val="none" w:sz="0" w:space="0" w:color="auto"/>
          </w:divBdr>
        </w:div>
        <w:div w:id="577442774">
          <w:marLeft w:val="0"/>
          <w:marRight w:val="0"/>
          <w:marTop w:val="0"/>
          <w:marBottom w:val="0"/>
          <w:divBdr>
            <w:top w:val="none" w:sz="0" w:space="0" w:color="auto"/>
            <w:left w:val="none" w:sz="0" w:space="0" w:color="auto"/>
            <w:bottom w:val="none" w:sz="0" w:space="0" w:color="auto"/>
            <w:right w:val="none" w:sz="0" w:space="0" w:color="auto"/>
          </w:divBdr>
        </w:div>
        <w:div w:id="662004248">
          <w:marLeft w:val="0"/>
          <w:marRight w:val="0"/>
          <w:marTop w:val="0"/>
          <w:marBottom w:val="0"/>
          <w:divBdr>
            <w:top w:val="none" w:sz="0" w:space="0" w:color="auto"/>
            <w:left w:val="none" w:sz="0" w:space="0" w:color="auto"/>
            <w:bottom w:val="none" w:sz="0" w:space="0" w:color="auto"/>
            <w:right w:val="none" w:sz="0" w:space="0" w:color="auto"/>
          </w:divBdr>
        </w:div>
        <w:div w:id="696584745">
          <w:marLeft w:val="0"/>
          <w:marRight w:val="0"/>
          <w:marTop w:val="0"/>
          <w:marBottom w:val="0"/>
          <w:divBdr>
            <w:top w:val="none" w:sz="0" w:space="0" w:color="auto"/>
            <w:left w:val="none" w:sz="0" w:space="0" w:color="auto"/>
            <w:bottom w:val="none" w:sz="0" w:space="0" w:color="auto"/>
            <w:right w:val="none" w:sz="0" w:space="0" w:color="auto"/>
          </w:divBdr>
        </w:div>
        <w:div w:id="712463003">
          <w:marLeft w:val="0"/>
          <w:marRight w:val="0"/>
          <w:marTop w:val="0"/>
          <w:marBottom w:val="0"/>
          <w:divBdr>
            <w:top w:val="none" w:sz="0" w:space="0" w:color="auto"/>
            <w:left w:val="none" w:sz="0" w:space="0" w:color="auto"/>
            <w:bottom w:val="none" w:sz="0" w:space="0" w:color="auto"/>
            <w:right w:val="none" w:sz="0" w:space="0" w:color="auto"/>
          </w:divBdr>
        </w:div>
        <w:div w:id="713113266">
          <w:marLeft w:val="0"/>
          <w:marRight w:val="0"/>
          <w:marTop w:val="0"/>
          <w:marBottom w:val="0"/>
          <w:divBdr>
            <w:top w:val="none" w:sz="0" w:space="0" w:color="auto"/>
            <w:left w:val="none" w:sz="0" w:space="0" w:color="auto"/>
            <w:bottom w:val="none" w:sz="0" w:space="0" w:color="auto"/>
            <w:right w:val="none" w:sz="0" w:space="0" w:color="auto"/>
          </w:divBdr>
        </w:div>
        <w:div w:id="887885297">
          <w:marLeft w:val="0"/>
          <w:marRight w:val="0"/>
          <w:marTop w:val="0"/>
          <w:marBottom w:val="0"/>
          <w:divBdr>
            <w:top w:val="none" w:sz="0" w:space="0" w:color="auto"/>
            <w:left w:val="none" w:sz="0" w:space="0" w:color="auto"/>
            <w:bottom w:val="none" w:sz="0" w:space="0" w:color="auto"/>
            <w:right w:val="none" w:sz="0" w:space="0" w:color="auto"/>
          </w:divBdr>
        </w:div>
        <w:div w:id="960114698">
          <w:marLeft w:val="0"/>
          <w:marRight w:val="0"/>
          <w:marTop w:val="0"/>
          <w:marBottom w:val="0"/>
          <w:divBdr>
            <w:top w:val="none" w:sz="0" w:space="0" w:color="auto"/>
            <w:left w:val="none" w:sz="0" w:space="0" w:color="auto"/>
            <w:bottom w:val="none" w:sz="0" w:space="0" w:color="auto"/>
            <w:right w:val="none" w:sz="0" w:space="0" w:color="auto"/>
          </w:divBdr>
        </w:div>
        <w:div w:id="1053651224">
          <w:marLeft w:val="0"/>
          <w:marRight w:val="0"/>
          <w:marTop w:val="0"/>
          <w:marBottom w:val="0"/>
          <w:divBdr>
            <w:top w:val="none" w:sz="0" w:space="0" w:color="auto"/>
            <w:left w:val="none" w:sz="0" w:space="0" w:color="auto"/>
            <w:bottom w:val="none" w:sz="0" w:space="0" w:color="auto"/>
            <w:right w:val="none" w:sz="0" w:space="0" w:color="auto"/>
          </w:divBdr>
        </w:div>
        <w:div w:id="1055424236">
          <w:marLeft w:val="0"/>
          <w:marRight w:val="0"/>
          <w:marTop w:val="0"/>
          <w:marBottom w:val="0"/>
          <w:divBdr>
            <w:top w:val="none" w:sz="0" w:space="0" w:color="auto"/>
            <w:left w:val="none" w:sz="0" w:space="0" w:color="auto"/>
            <w:bottom w:val="none" w:sz="0" w:space="0" w:color="auto"/>
            <w:right w:val="none" w:sz="0" w:space="0" w:color="auto"/>
          </w:divBdr>
        </w:div>
        <w:div w:id="1105881141">
          <w:marLeft w:val="0"/>
          <w:marRight w:val="0"/>
          <w:marTop w:val="0"/>
          <w:marBottom w:val="0"/>
          <w:divBdr>
            <w:top w:val="none" w:sz="0" w:space="0" w:color="auto"/>
            <w:left w:val="none" w:sz="0" w:space="0" w:color="auto"/>
            <w:bottom w:val="none" w:sz="0" w:space="0" w:color="auto"/>
            <w:right w:val="none" w:sz="0" w:space="0" w:color="auto"/>
          </w:divBdr>
        </w:div>
        <w:div w:id="1108087659">
          <w:marLeft w:val="0"/>
          <w:marRight w:val="0"/>
          <w:marTop w:val="0"/>
          <w:marBottom w:val="0"/>
          <w:divBdr>
            <w:top w:val="none" w:sz="0" w:space="0" w:color="auto"/>
            <w:left w:val="none" w:sz="0" w:space="0" w:color="auto"/>
            <w:bottom w:val="none" w:sz="0" w:space="0" w:color="auto"/>
            <w:right w:val="none" w:sz="0" w:space="0" w:color="auto"/>
          </w:divBdr>
        </w:div>
        <w:div w:id="1120339613">
          <w:marLeft w:val="0"/>
          <w:marRight w:val="0"/>
          <w:marTop w:val="0"/>
          <w:marBottom w:val="0"/>
          <w:divBdr>
            <w:top w:val="none" w:sz="0" w:space="0" w:color="auto"/>
            <w:left w:val="none" w:sz="0" w:space="0" w:color="auto"/>
            <w:bottom w:val="none" w:sz="0" w:space="0" w:color="auto"/>
            <w:right w:val="none" w:sz="0" w:space="0" w:color="auto"/>
          </w:divBdr>
        </w:div>
        <w:div w:id="1138301729">
          <w:marLeft w:val="0"/>
          <w:marRight w:val="0"/>
          <w:marTop w:val="0"/>
          <w:marBottom w:val="0"/>
          <w:divBdr>
            <w:top w:val="none" w:sz="0" w:space="0" w:color="auto"/>
            <w:left w:val="none" w:sz="0" w:space="0" w:color="auto"/>
            <w:bottom w:val="none" w:sz="0" w:space="0" w:color="auto"/>
            <w:right w:val="none" w:sz="0" w:space="0" w:color="auto"/>
          </w:divBdr>
        </w:div>
        <w:div w:id="1151947702">
          <w:marLeft w:val="0"/>
          <w:marRight w:val="0"/>
          <w:marTop w:val="0"/>
          <w:marBottom w:val="0"/>
          <w:divBdr>
            <w:top w:val="none" w:sz="0" w:space="0" w:color="auto"/>
            <w:left w:val="none" w:sz="0" w:space="0" w:color="auto"/>
            <w:bottom w:val="none" w:sz="0" w:space="0" w:color="auto"/>
            <w:right w:val="none" w:sz="0" w:space="0" w:color="auto"/>
          </w:divBdr>
        </w:div>
        <w:div w:id="1261062450">
          <w:marLeft w:val="0"/>
          <w:marRight w:val="0"/>
          <w:marTop w:val="0"/>
          <w:marBottom w:val="0"/>
          <w:divBdr>
            <w:top w:val="none" w:sz="0" w:space="0" w:color="auto"/>
            <w:left w:val="none" w:sz="0" w:space="0" w:color="auto"/>
            <w:bottom w:val="none" w:sz="0" w:space="0" w:color="auto"/>
            <w:right w:val="none" w:sz="0" w:space="0" w:color="auto"/>
          </w:divBdr>
        </w:div>
        <w:div w:id="1292634744">
          <w:marLeft w:val="0"/>
          <w:marRight w:val="0"/>
          <w:marTop w:val="0"/>
          <w:marBottom w:val="0"/>
          <w:divBdr>
            <w:top w:val="none" w:sz="0" w:space="0" w:color="auto"/>
            <w:left w:val="none" w:sz="0" w:space="0" w:color="auto"/>
            <w:bottom w:val="none" w:sz="0" w:space="0" w:color="auto"/>
            <w:right w:val="none" w:sz="0" w:space="0" w:color="auto"/>
          </w:divBdr>
        </w:div>
        <w:div w:id="1305424750">
          <w:marLeft w:val="0"/>
          <w:marRight w:val="0"/>
          <w:marTop w:val="0"/>
          <w:marBottom w:val="0"/>
          <w:divBdr>
            <w:top w:val="none" w:sz="0" w:space="0" w:color="auto"/>
            <w:left w:val="none" w:sz="0" w:space="0" w:color="auto"/>
            <w:bottom w:val="none" w:sz="0" w:space="0" w:color="auto"/>
            <w:right w:val="none" w:sz="0" w:space="0" w:color="auto"/>
          </w:divBdr>
        </w:div>
        <w:div w:id="1323507334">
          <w:marLeft w:val="0"/>
          <w:marRight w:val="0"/>
          <w:marTop w:val="0"/>
          <w:marBottom w:val="0"/>
          <w:divBdr>
            <w:top w:val="none" w:sz="0" w:space="0" w:color="auto"/>
            <w:left w:val="none" w:sz="0" w:space="0" w:color="auto"/>
            <w:bottom w:val="none" w:sz="0" w:space="0" w:color="auto"/>
            <w:right w:val="none" w:sz="0" w:space="0" w:color="auto"/>
          </w:divBdr>
        </w:div>
        <w:div w:id="1340159704">
          <w:marLeft w:val="0"/>
          <w:marRight w:val="0"/>
          <w:marTop w:val="0"/>
          <w:marBottom w:val="0"/>
          <w:divBdr>
            <w:top w:val="none" w:sz="0" w:space="0" w:color="auto"/>
            <w:left w:val="none" w:sz="0" w:space="0" w:color="auto"/>
            <w:bottom w:val="none" w:sz="0" w:space="0" w:color="auto"/>
            <w:right w:val="none" w:sz="0" w:space="0" w:color="auto"/>
          </w:divBdr>
        </w:div>
        <w:div w:id="1348941859">
          <w:marLeft w:val="0"/>
          <w:marRight w:val="0"/>
          <w:marTop w:val="0"/>
          <w:marBottom w:val="0"/>
          <w:divBdr>
            <w:top w:val="none" w:sz="0" w:space="0" w:color="auto"/>
            <w:left w:val="none" w:sz="0" w:space="0" w:color="auto"/>
            <w:bottom w:val="none" w:sz="0" w:space="0" w:color="auto"/>
            <w:right w:val="none" w:sz="0" w:space="0" w:color="auto"/>
          </w:divBdr>
        </w:div>
        <w:div w:id="1390374935">
          <w:marLeft w:val="0"/>
          <w:marRight w:val="0"/>
          <w:marTop w:val="0"/>
          <w:marBottom w:val="0"/>
          <w:divBdr>
            <w:top w:val="none" w:sz="0" w:space="0" w:color="auto"/>
            <w:left w:val="none" w:sz="0" w:space="0" w:color="auto"/>
            <w:bottom w:val="none" w:sz="0" w:space="0" w:color="auto"/>
            <w:right w:val="none" w:sz="0" w:space="0" w:color="auto"/>
          </w:divBdr>
        </w:div>
        <w:div w:id="1406877118">
          <w:marLeft w:val="0"/>
          <w:marRight w:val="0"/>
          <w:marTop w:val="0"/>
          <w:marBottom w:val="0"/>
          <w:divBdr>
            <w:top w:val="none" w:sz="0" w:space="0" w:color="auto"/>
            <w:left w:val="none" w:sz="0" w:space="0" w:color="auto"/>
            <w:bottom w:val="none" w:sz="0" w:space="0" w:color="auto"/>
            <w:right w:val="none" w:sz="0" w:space="0" w:color="auto"/>
          </w:divBdr>
        </w:div>
        <w:div w:id="1492982271">
          <w:marLeft w:val="0"/>
          <w:marRight w:val="0"/>
          <w:marTop w:val="0"/>
          <w:marBottom w:val="0"/>
          <w:divBdr>
            <w:top w:val="none" w:sz="0" w:space="0" w:color="auto"/>
            <w:left w:val="none" w:sz="0" w:space="0" w:color="auto"/>
            <w:bottom w:val="none" w:sz="0" w:space="0" w:color="auto"/>
            <w:right w:val="none" w:sz="0" w:space="0" w:color="auto"/>
          </w:divBdr>
        </w:div>
        <w:div w:id="1493175806">
          <w:marLeft w:val="0"/>
          <w:marRight w:val="0"/>
          <w:marTop w:val="0"/>
          <w:marBottom w:val="0"/>
          <w:divBdr>
            <w:top w:val="none" w:sz="0" w:space="0" w:color="auto"/>
            <w:left w:val="none" w:sz="0" w:space="0" w:color="auto"/>
            <w:bottom w:val="none" w:sz="0" w:space="0" w:color="auto"/>
            <w:right w:val="none" w:sz="0" w:space="0" w:color="auto"/>
          </w:divBdr>
        </w:div>
        <w:div w:id="1513178659">
          <w:marLeft w:val="0"/>
          <w:marRight w:val="0"/>
          <w:marTop w:val="0"/>
          <w:marBottom w:val="0"/>
          <w:divBdr>
            <w:top w:val="none" w:sz="0" w:space="0" w:color="auto"/>
            <w:left w:val="none" w:sz="0" w:space="0" w:color="auto"/>
            <w:bottom w:val="none" w:sz="0" w:space="0" w:color="auto"/>
            <w:right w:val="none" w:sz="0" w:space="0" w:color="auto"/>
          </w:divBdr>
        </w:div>
        <w:div w:id="1765684066">
          <w:marLeft w:val="0"/>
          <w:marRight w:val="0"/>
          <w:marTop w:val="0"/>
          <w:marBottom w:val="0"/>
          <w:divBdr>
            <w:top w:val="none" w:sz="0" w:space="0" w:color="auto"/>
            <w:left w:val="none" w:sz="0" w:space="0" w:color="auto"/>
            <w:bottom w:val="none" w:sz="0" w:space="0" w:color="auto"/>
            <w:right w:val="none" w:sz="0" w:space="0" w:color="auto"/>
          </w:divBdr>
        </w:div>
        <w:div w:id="1838034556">
          <w:marLeft w:val="0"/>
          <w:marRight w:val="0"/>
          <w:marTop w:val="0"/>
          <w:marBottom w:val="0"/>
          <w:divBdr>
            <w:top w:val="none" w:sz="0" w:space="0" w:color="auto"/>
            <w:left w:val="none" w:sz="0" w:space="0" w:color="auto"/>
            <w:bottom w:val="none" w:sz="0" w:space="0" w:color="auto"/>
            <w:right w:val="none" w:sz="0" w:space="0" w:color="auto"/>
          </w:divBdr>
        </w:div>
        <w:div w:id="1860505718">
          <w:marLeft w:val="0"/>
          <w:marRight w:val="0"/>
          <w:marTop w:val="0"/>
          <w:marBottom w:val="0"/>
          <w:divBdr>
            <w:top w:val="none" w:sz="0" w:space="0" w:color="auto"/>
            <w:left w:val="none" w:sz="0" w:space="0" w:color="auto"/>
            <w:bottom w:val="none" w:sz="0" w:space="0" w:color="auto"/>
            <w:right w:val="none" w:sz="0" w:space="0" w:color="auto"/>
          </w:divBdr>
        </w:div>
        <w:div w:id="1877614859">
          <w:marLeft w:val="0"/>
          <w:marRight w:val="0"/>
          <w:marTop w:val="0"/>
          <w:marBottom w:val="0"/>
          <w:divBdr>
            <w:top w:val="none" w:sz="0" w:space="0" w:color="auto"/>
            <w:left w:val="none" w:sz="0" w:space="0" w:color="auto"/>
            <w:bottom w:val="none" w:sz="0" w:space="0" w:color="auto"/>
            <w:right w:val="none" w:sz="0" w:space="0" w:color="auto"/>
          </w:divBdr>
        </w:div>
      </w:divsChild>
    </w:div>
    <w:div w:id="193932819">
      <w:bodyDiv w:val="1"/>
      <w:marLeft w:val="0"/>
      <w:marRight w:val="0"/>
      <w:marTop w:val="0"/>
      <w:marBottom w:val="0"/>
      <w:divBdr>
        <w:top w:val="none" w:sz="0" w:space="0" w:color="auto"/>
        <w:left w:val="none" w:sz="0" w:space="0" w:color="auto"/>
        <w:bottom w:val="none" w:sz="0" w:space="0" w:color="auto"/>
        <w:right w:val="none" w:sz="0" w:space="0" w:color="auto"/>
      </w:divBdr>
    </w:div>
    <w:div w:id="202207384">
      <w:bodyDiv w:val="1"/>
      <w:marLeft w:val="0"/>
      <w:marRight w:val="0"/>
      <w:marTop w:val="0"/>
      <w:marBottom w:val="0"/>
      <w:divBdr>
        <w:top w:val="none" w:sz="0" w:space="0" w:color="auto"/>
        <w:left w:val="none" w:sz="0" w:space="0" w:color="auto"/>
        <w:bottom w:val="none" w:sz="0" w:space="0" w:color="auto"/>
        <w:right w:val="none" w:sz="0" w:space="0" w:color="auto"/>
      </w:divBdr>
    </w:div>
    <w:div w:id="202332013">
      <w:bodyDiv w:val="1"/>
      <w:marLeft w:val="0"/>
      <w:marRight w:val="0"/>
      <w:marTop w:val="0"/>
      <w:marBottom w:val="0"/>
      <w:divBdr>
        <w:top w:val="none" w:sz="0" w:space="0" w:color="auto"/>
        <w:left w:val="none" w:sz="0" w:space="0" w:color="auto"/>
        <w:bottom w:val="none" w:sz="0" w:space="0" w:color="auto"/>
        <w:right w:val="none" w:sz="0" w:space="0" w:color="auto"/>
      </w:divBdr>
    </w:div>
    <w:div w:id="208108139">
      <w:bodyDiv w:val="1"/>
      <w:marLeft w:val="0"/>
      <w:marRight w:val="0"/>
      <w:marTop w:val="0"/>
      <w:marBottom w:val="0"/>
      <w:divBdr>
        <w:top w:val="none" w:sz="0" w:space="0" w:color="auto"/>
        <w:left w:val="none" w:sz="0" w:space="0" w:color="auto"/>
        <w:bottom w:val="none" w:sz="0" w:space="0" w:color="auto"/>
        <w:right w:val="none" w:sz="0" w:space="0" w:color="auto"/>
      </w:divBdr>
    </w:div>
    <w:div w:id="212543839">
      <w:bodyDiv w:val="1"/>
      <w:marLeft w:val="0"/>
      <w:marRight w:val="0"/>
      <w:marTop w:val="0"/>
      <w:marBottom w:val="0"/>
      <w:divBdr>
        <w:top w:val="none" w:sz="0" w:space="0" w:color="auto"/>
        <w:left w:val="none" w:sz="0" w:space="0" w:color="auto"/>
        <w:bottom w:val="none" w:sz="0" w:space="0" w:color="auto"/>
        <w:right w:val="none" w:sz="0" w:space="0" w:color="auto"/>
      </w:divBdr>
    </w:div>
    <w:div w:id="213082848">
      <w:bodyDiv w:val="1"/>
      <w:marLeft w:val="0"/>
      <w:marRight w:val="0"/>
      <w:marTop w:val="0"/>
      <w:marBottom w:val="0"/>
      <w:divBdr>
        <w:top w:val="none" w:sz="0" w:space="0" w:color="auto"/>
        <w:left w:val="none" w:sz="0" w:space="0" w:color="auto"/>
        <w:bottom w:val="none" w:sz="0" w:space="0" w:color="auto"/>
        <w:right w:val="none" w:sz="0" w:space="0" w:color="auto"/>
      </w:divBdr>
    </w:div>
    <w:div w:id="215357513">
      <w:bodyDiv w:val="1"/>
      <w:marLeft w:val="0"/>
      <w:marRight w:val="0"/>
      <w:marTop w:val="0"/>
      <w:marBottom w:val="0"/>
      <w:divBdr>
        <w:top w:val="none" w:sz="0" w:space="0" w:color="auto"/>
        <w:left w:val="none" w:sz="0" w:space="0" w:color="auto"/>
        <w:bottom w:val="none" w:sz="0" w:space="0" w:color="auto"/>
        <w:right w:val="none" w:sz="0" w:space="0" w:color="auto"/>
      </w:divBdr>
    </w:div>
    <w:div w:id="223609944">
      <w:bodyDiv w:val="1"/>
      <w:marLeft w:val="0"/>
      <w:marRight w:val="0"/>
      <w:marTop w:val="0"/>
      <w:marBottom w:val="0"/>
      <w:divBdr>
        <w:top w:val="none" w:sz="0" w:space="0" w:color="auto"/>
        <w:left w:val="none" w:sz="0" w:space="0" w:color="auto"/>
        <w:bottom w:val="none" w:sz="0" w:space="0" w:color="auto"/>
        <w:right w:val="none" w:sz="0" w:space="0" w:color="auto"/>
      </w:divBdr>
    </w:div>
    <w:div w:id="225725790">
      <w:bodyDiv w:val="1"/>
      <w:marLeft w:val="0"/>
      <w:marRight w:val="0"/>
      <w:marTop w:val="0"/>
      <w:marBottom w:val="0"/>
      <w:divBdr>
        <w:top w:val="none" w:sz="0" w:space="0" w:color="auto"/>
        <w:left w:val="none" w:sz="0" w:space="0" w:color="auto"/>
        <w:bottom w:val="none" w:sz="0" w:space="0" w:color="auto"/>
        <w:right w:val="none" w:sz="0" w:space="0" w:color="auto"/>
      </w:divBdr>
    </w:div>
    <w:div w:id="236593395">
      <w:bodyDiv w:val="1"/>
      <w:marLeft w:val="0"/>
      <w:marRight w:val="0"/>
      <w:marTop w:val="0"/>
      <w:marBottom w:val="0"/>
      <w:divBdr>
        <w:top w:val="none" w:sz="0" w:space="0" w:color="auto"/>
        <w:left w:val="none" w:sz="0" w:space="0" w:color="auto"/>
        <w:bottom w:val="none" w:sz="0" w:space="0" w:color="auto"/>
        <w:right w:val="none" w:sz="0" w:space="0" w:color="auto"/>
      </w:divBdr>
    </w:div>
    <w:div w:id="243884543">
      <w:bodyDiv w:val="1"/>
      <w:marLeft w:val="0"/>
      <w:marRight w:val="0"/>
      <w:marTop w:val="0"/>
      <w:marBottom w:val="0"/>
      <w:divBdr>
        <w:top w:val="none" w:sz="0" w:space="0" w:color="auto"/>
        <w:left w:val="none" w:sz="0" w:space="0" w:color="auto"/>
        <w:bottom w:val="none" w:sz="0" w:space="0" w:color="auto"/>
        <w:right w:val="none" w:sz="0" w:space="0" w:color="auto"/>
      </w:divBdr>
    </w:div>
    <w:div w:id="264269185">
      <w:bodyDiv w:val="1"/>
      <w:marLeft w:val="0"/>
      <w:marRight w:val="0"/>
      <w:marTop w:val="0"/>
      <w:marBottom w:val="0"/>
      <w:divBdr>
        <w:top w:val="none" w:sz="0" w:space="0" w:color="auto"/>
        <w:left w:val="none" w:sz="0" w:space="0" w:color="auto"/>
        <w:bottom w:val="none" w:sz="0" w:space="0" w:color="auto"/>
        <w:right w:val="none" w:sz="0" w:space="0" w:color="auto"/>
      </w:divBdr>
    </w:div>
    <w:div w:id="267741782">
      <w:bodyDiv w:val="1"/>
      <w:marLeft w:val="0"/>
      <w:marRight w:val="0"/>
      <w:marTop w:val="0"/>
      <w:marBottom w:val="0"/>
      <w:divBdr>
        <w:top w:val="none" w:sz="0" w:space="0" w:color="auto"/>
        <w:left w:val="none" w:sz="0" w:space="0" w:color="auto"/>
        <w:bottom w:val="none" w:sz="0" w:space="0" w:color="auto"/>
        <w:right w:val="none" w:sz="0" w:space="0" w:color="auto"/>
      </w:divBdr>
    </w:div>
    <w:div w:id="271673757">
      <w:bodyDiv w:val="1"/>
      <w:marLeft w:val="0"/>
      <w:marRight w:val="0"/>
      <w:marTop w:val="0"/>
      <w:marBottom w:val="0"/>
      <w:divBdr>
        <w:top w:val="none" w:sz="0" w:space="0" w:color="auto"/>
        <w:left w:val="none" w:sz="0" w:space="0" w:color="auto"/>
        <w:bottom w:val="none" w:sz="0" w:space="0" w:color="auto"/>
        <w:right w:val="none" w:sz="0" w:space="0" w:color="auto"/>
      </w:divBdr>
    </w:div>
    <w:div w:id="275068889">
      <w:bodyDiv w:val="1"/>
      <w:marLeft w:val="0"/>
      <w:marRight w:val="0"/>
      <w:marTop w:val="0"/>
      <w:marBottom w:val="0"/>
      <w:divBdr>
        <w:top w:val="none" w:sz="0" w:space="0" w:color="auto"/>
        <w:left w:val="none" w:sz="0" w:space="0" w:color="auto"/>
        <w:bottom w:val="none" w:sz="0" w:space="0" w:color="auto"/>
        <w:right w:val="none" w:sz="0" w:space="0" w:color="auto"/>
      </w:divBdr>
    </w:div>
    <w:div w:id="286595022">
      <w:bodyDiv w:val="1"/>
      <w:marLeft w:val="0"/>
      <w:marRight w:val="0"/>
      <w:marTop w:val="0"/>
      <w:marBottom w:val="0"/>
      <w:divBdr>
        <w:top w:val="none" w:sz="0" w:space="0" w:color="auto"/>
        <w:left w:val="none" w:sz="0" w:space="0" w:color="auto"/>
        <w:bottom w:val="none" w:sz="0" w:space="0" w:color="auto"/>
        <w:right w:val="none" w:sz="0" w:space="0" w:color="auto"/>
      </w:divBdr>
    </w:div>
    <w:div w:id="305478342">
      <w:bodyDiv w:val="1"/>
      <w:marLeft w:val="0"/>
      <w:marRight w:val="0"/>
      <w:marTop w:val="0"/>
      <w:marBottom w:val="0"/>
      <w:divBdr>
        <w:top w:val="none" w:sz="0" w:space="0" w:color="auto"/>
        <w:left w:val="none" w:sz="0" w:space="0" w:color="auto"/>
        <w:bottom w:val="none" w:sz="0" w:space="0" w:color="auto"/>
        <w:right w:val="none" w:sz="0" w:space="0" w:color="auto"/>
      </w:divBdr>
      <w:divsChild>
        <w:div w:id="167714444">
          <w:marLeft w:val="0"/>
          <w:marRight w:val="0"/>
          <w:marTop w:val="0"/>
          <w:marBottom w:val="0"/>
          <w:divBdr>
            <w:top w:val="none" w:sz="0" w:space="0" w:color="auto"/>
            <w:left w:val="none" w:sz="0" w:space="0" w:color="auto"/>
            <w:bottom w:val="none" w:sz="0" w:space="0" w:color="auto"/>
            <w:right w:val="none" w:sz="0" w:space="0" w:color="auto"/>
          </w:divBdr>
        </w:div>
        <w:div w:id="200479626">
          <w:marLeft w:val="0"/>
          <w:marRight w:val="0"/>
          <w:marTop w:val="0"/>
          <w:marBottom w:val="0"/>
          <w:divBdr>
            <w:top w:val="none" w:sz="0" w:space="0" w:color="auto"/>
            <w:left w:val="none" w:sz="0" w:space="0" w:color="auto"/>
            <w:bottom w:val="none" w:sz="0" w:space="0" w:color="auto"/>
            <w:right w:val="none" w:sz="0" w:space="0" w:color="auto"/>
          </w:divBdr>
        </w:div>
        <w:div w:id="268128460">
          <w:marLeft w:val="0"/>
          <w:marRight w:val="0"/>
          <w:marTop w:val="0"/>
          <w:marBottom w:val="0"/>
          <w:divBdr>
            <w:top w:val="none" w:sz="0" w:space="0" w:color="auto"/>
            <w:left w:val="none" w:sz="0" w:space="0" w:color="auto"/>
            <w:bottom w:val="none" w:sz="0" w:space="0" w:color="auto"/>
            <w:right w:val="none" w:sz="0" w:space="0" w:color="auto"/>
          </w:divBdr>
        </w:div>
        <w:div w:id="393740767">
          <w:marLeft w:val="0"/>
          <w:marRight w:val="0"/>
          <w:marTop w:val="0"/>
          <w:marBottom w:val="0"/>
          <w:divBdr>
            <w:top w:val="none" w:sz="0" w:space="0" w:color="auto"/>
            <w:left w:val="none" w:sz="0" w:space="0" w:color="auto"/>
            <w:bottom w:val="none" w:sz="0" w:space="0" w:color="auto"/>
            <w:right w:val="none" w:sz="0" w:space="0" w:color="auto"/>
          </w:divBdr>
        </w:div>
        <w:div w:id="444233720">
          <w:marLeft w:val="0"/>
          <w:marRight w:val="0"/>
          <w:marTop w:val="0"/>
          <w:marBottom w:val="0"/>
          <w:divBdr>
            <w:top w:val="none" w:sz="0" w:space="0" w:color="auto"/>
            <w:left w:val="none" w:sz="0" w:space="0" w:color="auto"/>
            <w:bottom w:val="none" w:sz="0" w:space="0" w:color="auto"/>
            <w:right w:val="none" w:sz="0" w:space="0" w:color="auto"/>
          </w:divBdr>
        </w:div>
        <w:div w:id="497886668">
          <w:marLeft w:val="0"/>
          <w:marRight w:val="0"/>
          <w:marTop w:val="0"/>
          <w:marBottom w:val="0"/>
          <w:divBdr>
            <w:top w:val="none" w:sz="0" w:space="0" w:color="auto"/>
            <w:left w:val="none" w:sz="0" w:space="0" w:color="auto"/>
            <w:bottom w:val="none" w:sz="0" w:space="0" w:color="auto"/>
            <w:right w:val="none" w:sz="0" w:space="0" w:color="auto"/>
          </w:divBdr>
        </w:div>
        <w:div w:id="680621662">
          <w:marLeft w:val="0"/>
          <w:marRight w:val="0"/>
          <w:marTop w:val="0"/>
          <w:marBottom w:val="0"/>
          <w:divBdr>
            <w:top w:val="none" w:sz="0" w:space="0" w:color="auto"/>
            <w:left w:val="none" w:sz="0" w:space="0" w:color="auto"/>
            <w:bottom w:val="none" w:sz="0" w:space="0" w:color="auto"/>
            <w:right w:val="none" w:sz="0" w:space="0" w:color="auto"/>
          </w:divBdr>
        </w:div>
        <w:div w:id="986398641">
          <w:marLeft w:val="0"/>
          <w:marRight w:val="0"/>
          <w:marTop w:val="0"/>
          <w:marBottom w:val="0"/>
          <w:divBdr>
            <w:top w:val="none" w:sz="0" w:space="0" w:color="auto"/>
            <w:left w:val="none" w:sz="0" w:space="0" w:color="auto"/>
            <w:bottom w:val="none" w:sz="0" w:space="0" w:color="auto"/>
            <w:right w:val="none" w:sz="0" w:space="0" w:color="auto"/>
          </w:divBdr>
        </w:div>
        <w:div w:id="1168132687">
          <w:marLeft w:val="0"/>
          <w:marRight w:val="0"/>
          <w:marTop w:val="0"/>
          <w:marBottom w:val="0"/>
          <w:divBdr>
            <w:top w:val="none" w:sz="0" w:space="0" w:color="auto"/>
            <w:left w:val="none" w:sz="0" w:space="0" w:color="auto"/>
            <w:bottom w:val="none" w:sz="0" w:space="0" w:color="auto"/>
            <w:right w:val="none" w:sz="0" w:space="0" w:color="auto"/>
          </w:divBdr>
        </w:div>
        <w:div w:id="1273707941">
          <w:marLeft w:val="0"/>
          <w:marRight w:val="0"/>
          <w:marTop w:val="0"/>
          <w:marBottom w:val="0"/>
          <w:divBdr>
            <w:top w:val="none" w:sz="0" w:space="0" w:color="auto"/>
            <w:left w:val="none" w:sz="0" w:space="0" w:color="auto"/>
            <w:bottom w:val="none" w:sz="0" w:space="0" w:color="auto"/>
            <w:right w:val="none" w:sz="0" w:space="0" w:color="auto"/>
          </w:divBdr>
        </w:div>
        <w:div w:id="1398358041">
          <w:marLeft w:val="0"/>
          <w:marRight w:val="0"/>
          <w:marTop w:val="0"/>
          <w:marBottom w:val="0"/>
          <w:divBdr>
            <w:top w:val="none" w:sz="0" w:space="0" w:color="auto"/>
            <w:left w:val="none" w:sz="0" w:space="0" w:color="auto"/>
            <w:bottom w:val="none" w:sz="0" w:space="0" w:color="auto"/>
            <w:right w:val="none" w:sz="0" w:space="0" w:color="auto"/>
          </w:divBdr>
        </w:div>
        <w:div w:id="1486818320">
          <w:marLeft w:val="0"/>
          <w:marRight w:val="0"/>
          <w:marTop w:val="0"/>
          <w:marBottom w:val="0"/>
          <w:divBdr>
            <w:top w:val="none" w:sz="0" w:space="0" w:color="auto"/>
            <w:left w:val="none" w:sz="0" w:space="0" w:color="auto"/>
            <w:bottom w:val="none" w:sz="0" w:space="0" w:color="auto"/>
            <w:right w:val="none" w:sz="0" w:space="0" w:color="auto"/>
          </w:divBdr>
        </w:div>
        <w:div w:id="1683898374">
          <w:marLeft w:val="0"/>
          <w:marRight w:val="0"/>
          <w:marTop w:val="0"/>
          <w:marBottom w:val="0"/>
          <w:divBdr>
            <w:top w:val="none" w:sz="0" w:space="0" w:color="auto"/>
            <w:left w:val="none" w:sz="0" w:space="0" w:color="auto"/>
            <w:bottom w:val="none" w:sz="0" w:space="0" w:color="auto"/>
            <w:right w:val="none" w:sz="0" w:space="0" w:color="auto"/>
          </w:divBdr>
        </w:div>
        <w:div w:id="1773552562">
          <w:marLeft w:val="0"/>
          <w:marRight w:val="0"/>
          <w:marTop w:val="0"/>
          <w:marBottom w:val="0"/>
          <w:divBdr>
            <w:top w:val="none" w:sz="0" w:space="0" w:color="auto"/>
            <w:left w:val="none" w:sz="0" w:space="0" w:color="auto"/>
            <w:bottom w:val="none" w:sz="0" w:space="0" w:color="auto"/>
            <w:right w:val="none" w:sz="0" w:space="0" w:color="auto"/>
          </w:divBdr>
        </w:div>
      </w:divsChild>
    </w:div>
    <w:div w:id="306863743">
      <w:bodyDiv w:val="1"/>
      <w:marLeft w:val="0"/>
      <w:marRight w:val="0"/>
      <w:marTop w:val="0"/>
      <w:marBottom w:val="0"/>
      <w:divBdr>
        <w:top w:val="none" w:sz="0" w:space="0" w:color="auto"/>
        <w:left w:val="none" w:sz="0" w:space="0" w:color="auto"/>
        <w:bottom w:val="none" w:sz="0" w:space="0" w:color="auto"/>
        <w:right w:val="none" w:sz="0" w:space="0" w:color="auto"/>
      </w:divBdr>
    </w:div>
    <w:div w:id="315231388">
      <w:bodyDiv w:val="1"/>
      <w:marLeft w:val="0"/>
      <w:marRight w:val="0"/>
      <w:marTop w:val="0"/>
      <w:marBottom w:val="0"/>
      <w:divBdr>
        <w:top w:val="none" w:sz="0" w:space="0" w:color="auto"/>
        <w:left w:val="none" w:sz="0" w:space="0" w:color="auto"/>
        <w:bottom w:val="none" w:sz="0" w:space="0" w:color="auto"/>
        <w:right w:val="none" w:sz="0" w:space="0" w:color="auto"/>
      </w:divBdr>
    </w:div>
    <w:div w:id="318853061">
      <w:bodyDiv w:val="1"/>
      <w:marLeft w:val="0"/>
      <w:marRight w:val="0"/>
      <w:marTop w:val="0"/>
      <w:marBottom w:val="0"/>
      <w:divBdr>
        <w:top w:val="none" w:sz="0" w:space="0" w:color="auto"/>
        <w:left w:val="none" w:sz="0" w:space="0" w:color="auto"/>
        <w:bottom w:val="none" w:sz="0" w:space="0" w:color="auto"/>
        <w:right w:val="none" w:sz="0" w:space="0" w:color="auto"/>
      </w:divBdr>
    </w:div>
    <w:div w:id="319695347">
      <w:bodyDiv w:val="1"/>
      <w:marLeft w:val="0"/>
      <w:marRight w:val="0"/>
      <w:marTop w:val="0"/>
      <w:marBottom w:val="0"/>
      <w:divBdr>
        <w:top w:val="none" w:sz="0" w:space="0" w:color="auto"/>
        <w:left w:val="none" w:sz="0" w:space="0" w:color="auto"/>
        <w:bottom w:val="none" w:sz="0" w:space="0" w:color="auto"/>
        <w:right w:val="none" w:sz="0" w:space="0" w:color="auto"/>
      </w:divBdr>
    </w:div>
    <w:div w:id="325397924">
      <w:bodyDiv w:val="1"/>
      <w:marLeft w:val="0"/>
      <w:marRight w:val="0"/>
      <w:marTop w:val="0"/>
      <w:marBottom w:val="0"/>
      <w:divBdr>
        <w:top w:val="none" w:sz="0" w:space="0" w:color="auto"/>
        <w:left w:val="none" w:sz="0" w:space="0" w:color="auto"/>
        <w:bottom w:val="none" w:sz="0" w:space="0" w:color="auto"/>
        <w:right w:val="none" w:sz="0" w:space="0" w:color="auto"/>
      </w:divBdr>
    </w:div>
    <w:div w:id="332417567">
      <w:bodyDiv w:val="1"/>
      <w:marLeft w:val="0"/>
      <w:marRight w:val="0"/>
      <w:marTop w:val="0"/>
      <w:marBottom w:val="0"/>
      <w:divBdr>
        <w:top w:val="none" w:sz="0" w:space="0" w:color="auto"/>
        <w:left w:val="none" w:sz="0" w:space="0" w:color="auto"/>
        <w:bottom w:val="none" w:sz="0" w:space="0" w:color="auto"/>
        <w:right w:val="none" w:sz="0" w:space="0" w:color="auto"/>
      </w:divBdr>
    </w:div>
    <w:div w:id="332729718">
      <w:bodyDiv w:val="1"/>
      <w:marLeft w:val="0"/>
      <w:marRight w:val="0"/>
      <w:marTop w:val="0"/>
      <w:marBottom w:val="0"/>
      <w:divBdr>
        <w:top w:val="none" w:sz="0" w:space="0" w:color="auto"/>
        <w:left w:val="none" w:sz="0" w:space="0" w:color="auto"/>
        <w:bottom w:val="none" w:sz="0" w:space="0" w:color="auto"/>
        <w:right w:val="none" w:sz="0" w:space="0" w:color="auto"/>
      </w:divBdr>
    </w:div>
    <w:div w:id="337929321">
      <w:bodyDiv w:val="1"/>
      <w:marLeft w:val="0"/>
      <w:marRight w:val="0"/>
      <w:marTop w:val="0"/>
      <w:marBottom w:val="0"/>
      <w:divBdr>
        <w:top w:val="none" w:sz="0" w:space="0" w:color="auto"/>
        <w:left w:val="none" w:sz="0" w:space="0" w:color="auto"/>
        <w:bottom w:val="none" w:sz="0" w:space="0" w:color="auto"/>
        <w:right w:val="none" w:sz="0" w:space="0" w:color="auto"/>
      </w:divBdr>
    </w:div>
    <w:div w:id="338120936">
      <w:bodyDiv w:val="1"/>
      <w:marLeft w:val="0"/>
      <w:marRight w:val="0"/>
      <w:marTop w:val="0"/>
      <w:marBottom w:val="0"/>
      <w:divBdr>
        <w:top w:val="none" w:sz="0" w:space="0" w:color="auto"/>
        <w:left w:val="none" w:sz="0" w:space="0" w:color="auto"/>
        <w:bottom w:val="none" w:sz="0" w:space="0" w:color="auto"/>
        <w:right w:val="none" w:sz="0" w:space="0" w:color="auto"/>
      </w:divBdr>
    </w:div>
    <w:div w:id="338239046">
      <w:bodyDiv w:val="1"/>
      <w:marLeft w:val="0"/>
      <w:marRight w:val="0"/>
      <w:marTop w:val="0"/>
      <w:marBottom w:val="0"/>
      <w:divBdr>
        <w:top w:val="none" w:sz="0" w:space="0" w:color="auto"/>
        <w:left w:val="none" w:sz="0" w:space="0" w:color="auto"/>
        <w:bottom w:val="none" w:sz="0" w:space="0" w:color="auto"/>
        <w:right w:val="none" w:sz="0" w:space="0" w:color="auto"/>
      </w:divBdr>
    </w:div>
    <w:div w:id="338849317">
      <w:bodyDiv w:val="1"/>
      <w:marLeft w:val="0"/>
      <w:marRight w:val="0"/>
      <w:marTop w:val="0"/>
      <w:marBottom w:val="0"/>
      <w:divBdr>
        <w:top w:val="none" w:sz="0" w:space="0" w:color="auto"/>
        <w:left w:val="none" w:sz="0" w:space="0" w:color="auto"/>
        <w:bottom w:val="none" w:sz="0" w:space="0" w:color="auto"/>
        <w:right w:val="none" w:sz="0" w:space="0" w:color="auto"/>
      </w:divBdr>
    </w:div>
    <w:div w:id="344749805">
      <w:bodyDiv w:val="1"/>
      <w:marLeft w:val="0"/>
      <w:marRight w:val="0"/>
      <w:marTop w:val="0"/>
      <w:marBottom w:val="0"/>
      <w:divBdr>
        <w:top w:val="none" w:sz="0" w:space="0" w:color="auto"/>
        <w:left w:val="none" w:sz="0" w:space="0" w:color="auto"/>
        <w:bottom w:val="none" w:sz="0" w:space="0" w:color="auto"/>
        <w:right w:val="none" w:sz="0" w:space="0" w:color="auto"/>
      </w:divBdr>
    </w:div>
    <w:div w:id="346323502">
      <w:bodyDiv w:val="1"/>
      <w:marLeft w:val="0"/>
      <w:marRight w:val="0"/>
      <w:marTop w:val="0"/>
      <w:marBottom w:val="0"/>
      <w:divBdr>
        <w:top w:val="none" w:sz="0" w:space="0" w:color="auto"/>
        <w:left w:val="none" w:sz="0" w:space="0" w:color="auto"/>
        <w:bottom w:val="none" w:sz="0" w:space="0" w:color="auto"/>
        <w:right w:val="none" w:sz="0" w:space="0" w:color="auto"/>
      </w:divBdr>
    </w:div>
    <w:div w:id="346445285">
      <w:bodyDiv w:val="1"/>
      <w:marLeft w:val="0"/>
      <w:marRight w:val="0"/>
      <w:marTop w:val="0"/>
      <w:marBottom w:val="0"/>
      <w:divBdr>
        <w:top w:val="none" w:sz="0" w:space="0" w:color="auto"/>
        <w:left w:val="none" w:sz="0" w:space="0" w:color="auto"/>
        <w:bottom w:val="none" w:sz="0" w:space="0" w:color="auto"/>
        <w:right w:val="none" w:sz="0" w:space="0" w:color="auto"/>
      </w:divBdr>
    </w:div>
    <w:div w:id="351614891">
      <w:bodyDiv w:val="1"/>
      <w:marLeft w:val="0"/>
      <w:marRight w:val="0"/>
      <w:marTop w:val="0"/>
      <w:marBottom w:val="0"/>
      <w:divBdr>
        <w:top w:val="none" w:sz="0" w:space="0" w:color="auto"/>
        <w:left w:val="none" w:sz="0" w:space="0" w:color="auto"/>
        <w:bottom w:val="none" w:sz="0" w:space="0" w:color="auto"/>
        <w:right w:val="none" w:sz="0" w:space="0" w:color="auto"/>
      </w:divBdr>
    </w:div>
    <w:div w:id="377317214">
      <w:bodyDiv w:val="1"/>
      <w:marLeft w:val="0"/>
      <w:marRight w:val="0"/>
      <w:marTop w:val="0"/>
      <w:marBottom w:val="0"/>
      <w:divBdr>
        <w:top w:val="none" w:sz="0" w:space="0" w:color="auto"/>
        <w:left w:val="none" w:sz="0" w:space="0" w:color="auto"/>
        <w:bottom w:val="none" w:sz="0" w:space="0" w:color="auto"/>
        <w:right w:val="none" w:sz="0" w:space="0" w:color="auto"/>
      </w:divBdr>
    </w:div>
    <w:div w:id="379785210">
      <w:bodyDiv w:val="1"/>
      <w:marLeft w:val="0"/>
      <w:marRight w:val="0"/>
      <w:marTop w:val="0"/>
      <w:marBottom w:val="0"/>
      <w:divBdr>
        <w:top w:val="none" w:sz="0" w:space="0" w:color="auto"/>
        <w:left w:val="none" w:sz="0" w:space="0" w:color="auto"/>
        <w:bottom w:val="none" w:sz="0" w:space="0" w:color="auto"/>
        <w:right w:val="none" w:sz="0" w:space="0" w:color="auto"/>
      </w:divBdr>
    </w:div>
    <w:div w:id="380328458">
      <w:bodyDiv w:val="1"/>
      <w:marLeft w:val="0"/>
      <w:marRight w:val="0"/>
      <w:marTop w:val="0"/>
      <w:marBottom w:val="0"/>
      <w:divBdr>
        <w:top w:val="none" w:sz="0" w:space="0" w:color="auto"/>
        <w:left w:val="none" w:sz="0" w:space="0" w:color="auto"/>
        <w:bottom w:val="none" w:sz="0" w:space="0" w:color="auto"/>
        <w:right w:val="none" w:sz="0" w:space="0" w:color="auto"/>
      </w:divBdr>
    </w:div>
    <w:div w:id="382023086">
      <w:bodyDiv w:val="1"/>
      <w:marLeft w:val="0"/>
      <w:marRight w:val="0"/>
      <w:marTop w:val="0"/>
      <w:marBottom w:val="0"/>
      <w:divBdr>
        <w:top w:val="none" w:sz="0" w:space="0" w:color="auto"/>
        <w:left w:val="none" w:sz="0" w:space="0" w:color="auto"/>
        <w:bottom w:val="none" w:sz="0" w:space="0" w:color="auto"/>
        <w:right w:val="none" w:sz="0" w:space="0" w:color="auto"/>
      </w:divBdr>
      <w:divsChild>
        <w:div w:id="281494707">
          <w:marLeft w:val="0"/>
          <w:marRight w:val="0"/>
          <w:marTop w:val="0"/>
          <w:marBottom w:val="0"/>
          <w:divBdr>
            <w:top w:val="none" w:sz="0" w:space="0" w:color="auto"/>
            <w:left w:val="none" w:sz="0" w:space="0" w:color="auto"/>
            <w:bottom w:val="none" w:sz="0" w:space="0" w:color="auto"/>
            <w:right w:val="none" w:sz="0" w:space="0" w:color="auto"/>
          </w:divBdr>
        </w:div>
        <w:div w:id="541138187">
          <w:marLeft w:val="0"/>
          <w:marRight w:val="0"/>
          <w:marTop w:val="0"/>
          <w:marBottom w:val="0"/>
          <w:divBdr>
            <w:top w:val="none" w:sz="0" w:space="0" w:color="auto"/>
            <w:left w:val="none" w:sz="0" w:space="0" w:color="auto"/>
            <w:bottom w:val="none" w:sz="0" w:space="0" w:color="auto"/>
            <w:right w:val="none" w:sz="0" w:space="0" w:color="auto"/>
          </w:divBdr>
        </w:div>
        <w:div w:id="563610653">
          <w:marLeft w:val="0"/>
          <w:marRight w:val="0"/>
          <w:marTop w:val="0"/>
          <w:marBottom w:val="0"/>
          <w:divBdr>
            <w:top w:val="none" w:sz="0" w:space="0" w:color="auto"/>
            <w:left w:val="none" w:sz="0" w:space="0" w:color="auto"/>
            <w:bottom w:val="none" w:sz="0" w:space="0" w:color="auto"/>
            <w:right w:val="none" w:sz="0" w:space="0" w:color="auto"/>
          </w:divBdr>
        </w:div>
        <w:div w:id="596402603">
          <w:marLeft w:val="0"/>
          <w:marRight w:val="0"/>
          <w:marTop w:val="0"/>
          <w:marBottom w:val="0"/>
          <w:divBdr>
            <w:top w:val="none" w:sz="0" w:space="0" w:color="auto"/>
            <w:left w:val="none" w:sz="0" w:space="0" w:color="auto"/>
            <w:bottom w:val="none" w:sz="0" w:space="0" w:color="auto"/>
            <w:right w:val="none" w:sz="0" w:space="0" w:color="auto"/>
          </w:divBdr>
        </w:div>
        <w:div w:id="1009942217">
          <w:marLeft w:val="0"/>
          <w:marRight w:val="0"/>
          <w:marTop w:val="0"/>
          <w:marBottom w:val="0"/>
          <w:divBdr>
            <w:top w:val="none" w:sz="0" w:space="0" w:color="auto"/>
            <w:left w:val="none" w:sz="0" w:space="0" w:color="auto"/>
            <w:bottom w:val="none" w:sz="0" w:space="0" w:color="auto"/>
            <w:right w:val="none" w:sz="0" w:space="0" w:color="auto"/>
          </w:divBdr>
        </w:div>
        <w:div w:id="1402365136">
          <w:marLeft w:val="0"/>
          <w:marRight w:val="0"/>
          <w:marTop w:val="0"/>
          <w:marBottom w:val="0"/>
          <w:divBdr>
            <w:top w:val="none" w:sz="0" w:space="0" w:color="auto"/>
            <w:left w:val="none" w:sz="0" w:space="0" w:color="auto"/>
            <w:bottom w:val="none" w:sz="0" w:space="0" w:color="auto"/>
            <w:right w:val="none" w:sz="0" w:space="0" w:color="auto"/>
          </w:divBdr>
        </w:div>
        <w:div w:id="1796413776">
          <w:marLeft w:val="0"/>
          <w:marRight w:val="0"/>
          <w:marTop w:val="0"/>
          <w:marBottom w:val="0"/>
          <w:divBdr>
            <w:top w:val="none" w:sz="0" w:space="0" w:color="auto"/>
            <w:left w:val="none" w:sz="0" w:space="0" w:color="auto"/>
            <w:bottom w:val="none" w:sz="0" w:space="0" w:color="auto"/>
            <w:right w:val="none" w:sz="0" w:space="0" w:color="auto"/>
          </w:divBdr>
        </w:div>
      </w:divsChild>
    </w:div>
    <w:div w:id="390233372">
      <w:bodyDiv w:val="1"/>
      <w:marLeft w:val="0"/>
      <w:marRight w:val="0"/>
      <w:marTop w:val="0"/>
      <w:marBottom w:val="0"/>
      <w:divBdr>
        <w:top w:val="none" w:sz="0" w:space="0" w:color="auto"/>
        <w:left w:val="none" w:sz="0" w:space="0" w:color="auto"/>
        <w:bottom w:val="none" w:sz="0" w:space="0" w:color="auto"/>
        <w:right w:val="none" w:sz="0" w:space="0" w:color="auto"/>
      </w:divBdr>
    </w:div>
    <w:div w:id="395788156">
      <w:bodyDiv w:val="1"/>
      <w:marLeft w:val="0"/>
      <w:marRight w:val="0"/>
      <w:marTop w:val="0"/>
      <w:marBottom w:val="0"/>
      <w:divBdr>
        <w:top w:val="none" w:sz="0" w:space="0" w:color="auto"/>
        <w:left w:val="none" w:sz="0" w:space="0" w:color="auto"/>
        <w:bottom w:val="none" w:sz="0" w:space="0" w:color="auto"/>
        <w:right w:val="none" w:sz="0" w:space="0" w:color="auto"/>
      </w:divBdr>
    </w:div>
    <w:div w:id="395863456">
      <w:bodyDiv w:val="1"/>
      <w:marLeft w:val="0"/>
      <w:marRight w:val="0"/>
      <w:marTop w:val="0"/>
      <w:marBottom w:val="0"/>
      <w:divBdr>
        <w:top w:val="none" w:sz="0" w:space="0" w:color="auto"/>
        <w:left w:val="none" w:sz="0" w:space="0" w:color="auto"/>
        <w:bottom w:val="none" w:sz="0" w:space="0" w:color="auto"/>
        <w:right w:val="none" w:sz="0" w:space="0" w:color="auto"/>
      </w:divBdr>
    </w:div>
    <w:div w:id="404034741">
      <w:bodyDiv w:val="1"/>
      <w:marLeft w:val="0"/>
      <w:marRight w:val="0"/>
      <w:marTop w:val="0"/>
      <w:marBottom w:val="0"/>
      <w:divBdr>
        <w:top w:val="none" w:sz="0" w:space="0" w:color="auto"/>
        <w:left w:val="none" w:sz="0" w:space="0" w:color="auto"/>
        <w:bottom w:val="none" w:sz="0" w:space="0" w:color="auto"/>
        <w:right w:val="none" w:sz="0" w:space="0" w:color="auto"/>
      </w:divBdr>
    </w:div>
    <w:div w:id="404184599">
      <w:bodyDiv w:val="1"/>
      <w:marLeft w:val="0"/>
      <w:marRight w:val="0"/>
      <w:marTop w:val="0"/>
      <w:marBottom w:val="0"/>
      <w:divBdr>
        <w:top w:val="none" w:sz="0" w:space="0" w:color="auto"/>
        <w:left w:val="none" w:sz="0" w:space="0" w:color="auto"/>
        <w:bottom w:val="none" w:sz="0" w:space="0" w:color="auto"/>
        <w:right w:val="none" w:sz="0" w:space="0" w:color="auto"/>
      </w:divBdr>
    </w:div>
    <w:div w:id="408357007">
      <w:bodyDiv w:val="1"/>
      <w:marLeft w:val="0"/>
      <w:marRight w:val="0"/>
      <w:marTop w:val="0"/>
      <w:marBottom w:val="0"/>
      <w:divBdr>
        <w:top w:val="none" w:sz="0" w:space="0" w:color="auto"/>
        <w:left w:val="none" w:sz="0" w:space="0" w:color="auto"/>
        <w:bottom w:val="none" w:sz="0" w:space="0" w:color="auto"/>
        <w:right w:val="none" w:sz="0" w:space="0" w:color="auto"/>
      </w:divBdr>
    </w:div>
    <w:div w:id="410129209">
      <w:bodyDiv w:val="1"/>
      <w:marLeft w:val="0"/>
      <w:marRight w:val="0"/>
      <w:marTop w:val="0"/>
      <w:marBottom w:val="0"/>
      <w:divBdr>
        <w:top w:val="none" w:sz="0" w:space="0" w:color="auto"/>
        <w:left w:val="none" w:sz="0" w:space="0" w:color="auto"/>
        <w:bottom w:val="none" w:sz="0" w:space="0" w:color="auto"/>
        <w:right w:val="none" w:sz="0" w:space="0" w:color="auto"/>
      </w:divBdr>
    </w:div>
    <w:div w:id="413205368">
      <w:bodyDiv w:val="1"/>
      <w:marLeft w:val="0"/>
      <w:marRight w:val="0"/>
      <w:marTop w:val="0"/>
      <w:marBottom w:val="0"/>
      <w:divBdr>
        <w:top w:val="none" w:sz="0" w:space="0" w:color="auto"/>
        <w:left w:val="none" w:sz="0" w:space="0" w:color="auto"/>
        <w:bottom w:val="none" w:sz="0" w:space="0" w:color="auto"/>
        <w:right w:val="none" w:sz="0" w:space="0" w:color="auto"/>
      </w:divBdr>
    </w:div>
    <w:div w:id="415633726">
      <w:bodyDiv w:val="1"/>
      <w:marLeft w:val="0"/>
      <w:marRight w:val="0"/>
      <w:marTop w:val="0"/>
      <w:marBottom w:val="0"/>
      <w:divBdr>
        <w:top w:val="none" w:sz="0" w:space="0" w:color="auto"/>
        <w:left w:val="none" w:sz="0" w:space="0" w:color="auto"/>
        <w:bottom w:val="none" w:sz="0" w:space="0" w:color="auto"/>
        <w:right w:val="none" w:sz="0" w:space="0" w:color="auto"/>
      </w:divBdr>
    </w:div>
    <w:div w:id="416051084">
      <w:bodyDiv w:val="1"/>
      <w:marLeft w:val="0"/>
      <w:marRight w:val="0"/>
      <w:marTop w:val="0"/>
      <w:marBottom w:val="0"/>
      <w:divBdr>
        <w:top w:val="none" w:sz="0" w:space="0" w:color="auto"/>
        <w:left w:val="none" w:sz="0" w:space="0" w:color="auto"/>
        <w:bottom w:val="none" w:sz="0" w:space="0" w:color="auto"/>
        <w:right w:val="none" w:sz="0" w:space="0" w:color="auto"/>
      </w:divBdr>
    </w:div>
    <w:div w:id="422142042">
      <w:bodyDiv w:val="1"/>
      <w:marLeft w:val="0"/>
      <w:marRight w:val="0"/>
      <w:marTop w:val="0"/>
      <w:marBottom w:val="0"/>
      <w:divBdr>
        <w:top w:val="none" w:sz="0" w:space="0" w:color="auto"/>
        <w:left w:val="none" w:sz="0" w:space="0" w:color="auto"/>
        <w:bottom w:val="none" w:sz="0" w:space="0" w:color="auto"/>
        <w:right w:val="none" w:sz="0" w:space="0" w:color="auto"/>
      </w:divBdr>
    </w:div>
    <w:div w:id="423038659">
      <w:bodyDiv w:val="1"/>
      <w:marLeft w:val="0"/>
      <w:marRight w:val="0"/>
      <w:marTop w:val="0"/>
      <w:marBottom w:val="0"/>
      <w:divBdr>
        <w:top w:val="none" w:sz="0" w:space="0" w:color="auto"/>
        <w:left w:val="none" w:sz="0" w:space="0" w:color="auto"/>
        <w:bottom w:val="none" w:sz="0" w:space="0" w:color="auto"/>
        <w:right w:val="none" w:sz="0" w:space="0" w:color="auto"/>
      </w:divBdr>
    </w:div>
    <w:div w:id="445468962">
      <w:bodyDiv w:val="1"/>
      <w:marLeft w:val="0"/>
      <w:marRight w:val="0"/>
      <w:marTop w:val="0"/>
      <w:marBottom w:val="0"/>
      <w:divBdr>
        <w:top w:val="none" w:sz="0" w:space="0" w:color="auto"/>
        <w:left w:val="none" w:sz="0" w:space="0" w:color="auto"/>
        <w:bottom w:val="none" w:sz="0" w:space="0" w:color="auto"/>
        <w:right w:val="none" w:sz="0" w:space="0" w:color="auto"/>
      </w:divBdr>
    </w:div>
    <w:div w:id="459736439">
      <w:bodyDiv w:val="1"/>
      <w:marLeft w:val="0"/>
      <w:marRight w:val="0"/>
      <w:marTop w:val="0"/>
      <w:marBottom w:val="0"/>
      <w:divBdr>
        <w:top w:val="none" w:sz="0" w:space="0" w:color="auto"/>
        <w:left w:val="none" w:sz="0" w:space="0" w:color="auto"/>
        <w:bottom w:val="none" w:sz="0" w:space="0" w:color="auto"/>
        <w:right w:val="none" w:sz="0" w:space="0" w:color="auto"/>
      </w:divBdr>
    </w:div>
    <w:div w:id="462308952">
      <w:bodyDiv w:val="1"/>
      <w:marLeft w:val="0"/>
      <w:marRight w:val="0"/>
      <w:marTop w:val="0"/>
      <w:marBottom w:val="0"/>
      <w:divBdr>
        <w:top w:val="none" w:sz="0" w:space="0" w:color="auto"/>
        <w:left w:val="none" w:sz="0" w:space="0" w:color="auto"/>
        <w:bottom w:val="none" w:sz="0" w:space="0" w:color="auto"/>
        <w:right w:val="none" w:sz="0" w:space="0" w:color="auto"/>
      </w:divBdr>
    </w:div>
    <w:div w:id="477379262">
      <w:bodyDiv w:val="1"/>
      <w:marLeft w:val="0"/>
      <w:marRight w:val="0"/>
      <w:marTop w:val="0"/>
      <w:marBottom w:val="0"/>
      <w:divBdr>
        <w:top w:val="none" w:sz="0" w:space="0" w:color="auto"/>
        <w:left w:val="none" w:sz="0" w:space="0" w:color="auto"/>
        <w:bottom w:val="none" w:sz="0" w:space="0" w:color="auto"/>
        <w:right w:val="none" w:sz="0" w:space="0" w:color="auto"/>
      </w:divBdr>
    </w:div>
    <w:div w:id="480926108">
      <w:bodyDiv w:val="1"/>
      <w:marLeft w:val="0"/>
      <w:marRight w:val="0"/>
      <w:marTop w:val="0"/>
      <w:marBottom w:val="0"/>
      <w:divBdr>
        <w:top w:val="none" w:sz="0" w:space="0" w:color="auto"/>
        <w:left w:val="none" w:sz="0" w:space="0" w:color="auto"/>
        <w:bottom w:val="none" w:sz="0" w:space="0" w:color="auto"/>
        <w:right w:val="none" w:sz="0" w:space="0" w:color="auto"/>
      </w:divBdr>
    </w:div>
    <w:div w:id="484471362">
      <w:bodyDiv w:val="1"/>
      <w:marLeft w:val="0"/>
      <w:marRight w:val="0"/>
      <w:marTop w:val="0"/>
      <w:marBottom w:val="0"/>
      <w:divBdr>
        <w:top w:val="none" w:sz="0" w:space="0" w:color="auto"/>
        <w:left w:val="none" w:sz="0" w:space="0" w:color="auto"/>
        <w:bottom w:val="none" w:sz="0" w:space="0" w:color="auto"/>
        <w:right w:val="none" w:sz="0" w:space="0" w:color="auto"/>
      </w:divBdr>
    </w:div>
    <w:div w:id="487331575">
      <w:bodyDiv w:val="1"/>
      <w:marLeft w:val="0"/>
      <w:marRight w:val="0"/>
      <w:marTop w:val="0"/>
      <w:marBottom w:val="0"/>
      <w:divBdr>
        <w:top w:val="none" w:sz="0" w:space="0" w:color="auto"/>
        <w:left w:val="none" w:sz="0" w:space="0" w:color="auto"/>
        <w:bottom w:val="none" w:sz="0" w:space="0" w:color="auto"/>
        <w:right w:val="none" w:sz="0" w:space="0" w:color="auto"/>
      </w:divBdr>
    </w:div>
    <w:div w:id="493306020">
      <w:bodyDiv w:val="1"/>
      <w:marLeft w:val="0"/>
      <w:marRight w:val="0"/>
      <w:marTop w:val="0"/>
      <w:marBottom w:val="0"/>
      <w:divBdr>
        <w:top w:val="none" w:sz="0" w:space="0" w:color="auto"/>
        <w:left w:val="none" w:sz="0" w:space="0" w:color="auto"/>
        <w:bottom w:val="none" w:sz="0" w:space="0" w:color="auto"/>
        <w:right w:val="none" w:sz="0" w:space="0" w:color="auto"/>
      </w:divBdr>
    </w:div>
    <w:div w:id="493450544">
      <w:bodyDiv w:val="1"/>
      <w:marLeft w:val="0"/>
      <w:marRight w:val="0"/>
      <w:marTop w:val="0"/>
      <w:marBottom w:val="0"/>
      <w:divBdr>
        <w:top w:val="none" w:sz="0" w:space="0" w:color="auto"/>
        <w:left w:val="none" w:sz="0" w:space="0" w:color="auto"/>
        <w:bottom w:val="none" w:sz="0" w:space="0" w:color="auto"/>
        <w:right w:val="none" w:sz="0" w:space="0" w:color="auto"/>
      </w:divBdr>
    </w:div>
    <w:div w:id="496845675">
      <w:bodyDiv w:val="1"/>
      <w:marLeft w:val="0"/>
      <w:marRight w:val="0"/>
      <w:marTop w:val="0"/>
      <w:marBottom w:val="0"/>
      <w:divBdr>
        <w:top w:val="none" w:sz="0" w:space="0" w:color="auto"/>
        <w:left w:val="none" w:sz="0" w:space="0" w:color="auto"/>
        <w:bottom w:val="none" w:sz="0" w:space="0" w:color="auto"/>
        <w:right w:val="none" w:sz="0" w:space="0" w:color="auto"/>
      </w:divBdr>
    </w:div>
    <w:div w:id="500655922">
      <w:bodyDiv w:val="1"/>
      <w:marLeft w:val="0"/>
      <w:marRight w:val="0"/>
      <w:marTop w:val="0"/>
      <w:marBottom w:val="0"/>
      <w:divBdr>
        <w:top w:val="none" w:sz="0" w:space="0" w:color="auto"/>
        <w:left w:val="none" w:sz="0" w:space="0" w:color="auto"/>
        <w:bottom w:val="none" w:sz="0" w:space="0" w:color="auto"/>
        <w:right w:val="none" w:sz="0" w:space="0" w:color="auto"/>
      </w:divBdr>
    </w:div>
    <w:div w:id="502743239">
      <w:bodyDiv w:val="1"/>
      <w:marLeft w:val="0"/>
      <w:marRight w:val="0"/>
      <w:marTop w:val="0"/>
      <w:marBottom w:val="0"/>
      <w:divBdr>
        <w:top w:val="none" w:sz="0" w:space="0" w:color="auto"/>
        <w:left w:val="none" w:sz="0" w:space="0" w:color="auto"/>
        <w:bottom w:val="none" w:sz="0" w:space="0" w:color="auto"/>
        <w:right w:val="none" w:sz="0" w:space="0" w:color="auto"/>
      </w:divBdr>
    </w:div>
    <w:div w:id="520167917">
      <w:bodyDiv w:val="1"/>
      <w:marLeft w:val="0"/>
      <w:marRight w:val="0"/>
      <w:marTop w:val="0"/>
      <w:marBottom w:val="0"/>
      <w:divBdr>
        <w:top w:val="none" w:sz="0" w:space="0" w:color="auto"/>
        <w:left w:val="none" w:sz="0" w:space="0" w:color="auto"/>
        <w:bottom w:val="none" w:sz="0" w:space="0" w:color="auto"/>
        <w:right w:val="none" w:sz="0" w:space="0" w:color="auto"/>
      </w:divBdr>
    </w:div>
    <w:div w:id="521360549">
      <w:bodyDiv w:val="1"/>
      <w:marLeft w:val="0"/>
      <w:marRight w:val="0"/>
      <w:marTop w:val="0"/>
      <w:marBottom w:val="0"/>
      <w:divBdr>
        <w:top w:val="none" w:sz="0" w:space="0" w:color="auto"/>
        <w:left w:val="none" w:sz="0" w:space="0" w:color="auto"/>
        <w:bottom w:val="none" w:sz="0" w:space="0" w:color="auto"/>
        <w:right w:val="none" w:sz="0" w:space="0" w:color="auto"/>
      </w:divBdr>
    </w:div>
    <w:div w:id="523520622">
      <w:bodyDiv w:val="1"/>
      <w:marLeft w:val="0"/>
      <w:marRight w:val="0"/>
      <w:marTop w:val="0"/>
      <w:marBottom w:val="0"/>
      <w:divBdr>
        <w:top w:val="none" w:sz="0" w:space="0" w:color="auto"/>
        <w:left w:val="none" w:sz="0" w:space="0" w:color="auto"/>
        <w:bottom w:val="none" w:sz="0" w:space="0" w:color="auto"/>
        <w:right w:val="none" w:sz="0" w:space="0" w:color="auto"/>
      </w:divBdr>
    </w:div>
    <w:div w:id="527260805">
      <w:bodyDiv w:val="1"/>
      <w:marLeft w:val="0"/>
      <w:marRight w:val="0"/>
      <w:marTop w:val="0"/>
      <w:marBottom w:val="0"/>
      <w:divBdr>
        <w:top w:val="none" w:sz="0" w:space="0" w:color="auto"/>
        <w:left w:val="none" w:sz="0" w:space="0" w:color="auto"/>
        <w:bottom w:val="none" w:sz="0" w:space="0" w:color="auto"/>
        <w:right w:val="none" w:sz="0" w:space="0" w:color="auto"/>
      </w:divBdr>
    </w:div>
    <w:div w:id="535044673">
      <w:bodyDiv w:val="1"/>
      <w:marLeft w:val="0"/>
      <w:marRight w:val="0"/>
      <w:marTop w:val="0"/>
      <w:marBottom w:val="0"/>
      <w:divBdr>
        <w:top w:val="none" w:sz="0" w:space="0" w:color="auto"/>
        <w:left w:val="none" w:sz="0" w:space="0" w:color="auto"/>
        <w:bottom w:val="none" w:sz="0" w:space="0" w:color="auto"/>
        <w:right w:val="none" w:sz="0" w:space="0" w:color="auto"/>
      </w:divBdr>
    </w:div>
    <w:div w:id="537358571">
      <w:bodyDiv w:val="1"/>
      <w:marLeft w:val="0"/>
      <w:marRight w:val="0"/>
      <w:marTop w:val="0"/>
      <w:marBottom w:val="0"/>
      <w:divBdr>
        <w:top w:val="none" w:sz="0" w:space="0" w:color="auto"/>
        <w:left w:val="none" w:sz="0" w:space="0" w:color="auto"/>
        <w:bottom w:val="none" w:sz="0" w:space="0" w:color="auto"/>
        <w:right w:val="none" w:sz="0" w:space="0" w:color="auto"/>
      </w:divBdr>
    </w:div>
    <w:div w:id="546067063">
      <w:bodyDiv w:val="1"/>
      <w:marLeft w:val="0"/>
      <w:marRight w:val="0"/>
      <w:marTop w:val="0"/>
      <w:marBottom w:val="0"/>
      <w:divBdr>
        <w:top w:val="none" w:sz="0" w:space="0" w:color="auto"/>
        <w:left w:val="none" w:sz="0" w:space="0" w:color="auto"/>
        <w:bottom w:val="none" w:sz="0" w:space="0" w:color="auto"/>
        <w:right w:val="none" w:sz="0" w:space="0" w:color="auto"/>
      </w:divBdr>
    </w:div>
    <w:div w:id="555435893">
      <w:bodyDiv w:val="1"/>
      <w:marLeft w:val="0"/>
      <w:marRight w:val="0"/>
      <w:marTop w:val="0"/>
      <w:marBottom w:val="0"/>
      <w:divBdr>
        <w:top w:val="none" w:sz="0" w:space="0" w:color="auto"/>
        <w:left w:val="none" w:sz="0" w:space="0" w:color="auto"/>
        <w:bottom w:val="none" w:sz="0" w:space="0" w:color="auto"/>
        <w:right w:val="none" w:sz="0" w:space="0" w:color="auto"/>
      </w:divBdr>
    </w:div>
    <w:div w:id="562446990">
      <w:bodyDiv w:val="1"/>
      <w:marLeft w:val="0"/>
      <w:marRight w:val="0"/>
      <w:marTop w:val="0"/>
      <w:marBottom w:val="0"/>
      <w:divBdr>
        <w:top w:val="none" w:sz="0" w:space="0" w:color="auto"/>
        <w:left w:val="none" w:sz="0" w:space="0" w:color="auto"/>
        <w:bottom w:val="none" w:sz="0" w:space="0" w:color="auto"/>
        <w:right w:val="none" w:sz="0" w:space="0" w:color="auto"/>
      </w:divBdr>
    </w:div>
    <w:div w:id="575017058">
      <w:bodyDiv w:val="1"/>
      <w:marLeft w:val="0"/>
      <w:marRight w:val="0"/>
      <w:marTop w:val="0"/>
      <w:marBottom w:val="0"/>
      <w:divBdr>
        <w:top w:val="none" w:sz="0" w:space="0" w:color="auto"/>
        <w:left w:val="none" w:sz="0" w:space="0" w:color="auto"/>
        <w:bottom w:val="none" w:sz="0" w:space="0" w:color="auto"/>
        <w:right w:val="none" w:sz="0" w:space="0" w:color="auto"/>
      </w:divBdr>
    </w:div>
    <w:div w:id="579755685">
      <w:bodyDiv w:val="1"/>
      <w:marLeft w:val="0"/>
      <w:marRight w:val="0"/>
      <w:marTop w:val="0"/>
      <w:marBottom w:val="0"/>
      <w:divBdr>
        <w:top w:val="none" w:sz="0" w:space="0" w:color="auto"/>
        <w:left w:val="none" w:sz="0" w:space="0" w:color="auto"/>
        <w:bottom w:val="none" w:sz="0" w:space="0" w:color="auto"/>
        <w:right w:val="none" w:sz="0" w:space="0" w:color="auto"/>
      </w:divBdr>
    </w:div>
    <w:div w:id="586381867">
      <w:bodyDiv w:val="1"/>
      <w:marLeft w:val="0"/>
      <w:marRight w:val="0"/>
      <w:marTop w:val="0"/>
      <w:marBottom w:val="0"/>
      <w:divBdr>
        <w:top w:val="none" w:sz="0" w:space="0" w:color="auto"/>
        <w:left w:val="none" w:sz="0" w:space="0" w:color="auto"/>
        <w:bottom w:val="none" w:sz="0" w:space="0" w:color="auto"/>
        <w:right w:val="none" w:sz="0" w:space="0" w:color="auto"/>
      </w:divBdr>
    </w:div>
    <w:div w:id="593635333">
      <w:bodyDiv w:val="1"/>
      <w:marLeft w:val="0"/>
      <w:marRight w:val="0"/>
      <w:marTop w:val="0"/>
      <w:marBottom w:val="0"/>
      <w:divBdr>
        <w:top w:val="none" w:sz="0" w:space="0" w:color="auto"/>
        <w:left w:val="none" w:sz="0" w:space="0" w:color="auto"/>
        <w:bottom w:val="none" w:sz="0" w:space="0" w:color="auto"/>
        <w:right w:val="none" w:sz="0" w:space="0" w:color="auto"/>
      </w:divBdr>
    </w:div>
    <w:div w:id="594486305">
      <w:bodyDiv w:val="1"/>
      <w:marLeft w:val="0"/>
      <w:marRight w:val="0"/>
      <w:marTop w:val="0"/>
      <w:marBottom w:val="0"/>
      <w:divBdr>
        <w:top w:val="none" w:sz="0" w:space="0" w:color="auto"/>
        <w:left w:val="none" w:sz="0" w:space="0" w:color="auto"/>
        <w:bottom w:val="none" w:sz="0" w:space="0" w:color="auto"/>
        <w:right w:val="none" w:sz="0" w:space="0" w:color="auto"/>
      </w:divBdr>
    </w:div>
    <w:div w:id="599264877">
      <w:bodyDiv w:val="1"/>
      <w:marLeft w:val="0"/>
      <w:marRight w:val="0"/>
      <w:marTop w:val="0"/>
      <w:marBottom w:val="0"/>
      <w:divBdr>
        <w:top w:val="none" w:sz="0" w:space="0" w:color="auto"/>
        <w:left w:val="none" w:sz="0" w:space="0" w:color="auto"/>
        <w:bottom w:val="none" w:sz="0" w:space="0" w:color="auto"/>
        <w:right w:val="none" w:sz="0" w:space="0" w:color="auto"/>
      </w:divBdr>
    </w:div>
    <w:div w:id="613828654">
      <w:bodyDiv w:val="1"/>
      <w:marLeft w:val="0"/>
      <w:marRight w:val="0"/>
      <w:marTop w:val="0"/>
      <w:marBottom w:val="0"/>
      <w:divBdr>
        <w:top w:val="none" w:sz="0" w:space="0" w:color="auto"/>
        <w:left w:val="none" w:sz="0" w:space="0" w:color="auto"/>
        <w:bottom w:val="none" w:sz="0" w:space="0" w:color="auto"/>
        <w:right w:val="none" w:sz="0" w:space="0" w:color="auto"/>
      </w:divBdr>
    </w:div>
    <w:div w:id="614947260">
      <w:bodyDiv w:val="1"/>
      <w:marLeft w:val="0"/>
      <w:marRight w:val="0"/>
      <w:marTop w:val="0"/>
      <w:marBottom w:val="0"/>
      <w:divBdr>
        <w:top w:val="none" w:sz="0" w:space="0" w:color="auto"/>
        <w:left w:val="none" w:sz="0" w:space="0" w:color="auto"/>
        <w:bottom w:val="none" w:sz="0" w:space="0" w:color="auto"/>
        <w:right w:val="none" w:sz="0" w:space="0" w:color="auto"/>
      </w:divBdr>
    </w:div>
    <w:div w:id="619142930">
      <w:bodyDiv w:val="1"/>
      <w:marLeft w:val="0"/>
      <w:marRight w:val="0"/>
      <w:marTop w:val="0"/>
      <w:marBottom w:val="0"/>
      <w:divBdr>
        <w:top w:val="none" w:sz="0" w:space="0" w:color="auto"/>
        <w:left w:val="none" w:sz="0" w:space="0" w:color="auto"/>
        <w:bottom w:val="none" w:sz="0" w:space="0" w:color="auto"/>
        <w:right w:val="none" w:sz="0" w:space="0" w:color="auto"/>
      </w:divBdr>
    </w:div>
    <w:div w:id="619454835">
      <w:bodyDiv w:val="1"/>
      <w:marLeft w:val="0"/>
      <w:marRight w:val="0"/>
      <w:marTop w:val="0"/>
      <w:marBottom w:val="0"/>
      <w:divBdr>
        <w:top w:val="none" w:sz="0" w:space="0" w:color="auto"/>
        <w:left w:val="none" w:sz="0" w:space="0" w:color="auto"/>
        <w:bottom w:val="none" w:sz="0" w:space="0" w:color="auto"/>
        <w:right w:val="none" w:sz="0" w:space="0" w:color="auto"/>
      </w:divBdr>
    </w:div>
    <w:div w:id="621309476">
      <w:bodyDiv w:val="1"/>
      <w:marLeft w:val="0"/>
      <w:marRight w:val="0"/>
      <w:marTop w:val="0"/>
      <w:marBottom w:val="0"/>
      <w:divBdr>
        <w:top w:val="none" w:sz="0" w:space="0" w:color="auto"/>
        <w:left w:val="none" w:sz="0" w:space="0" w:color="auto"/>
        <w:bottom w:val="none" w:sz="0" w:space="0" w:color="auto"/>
        <w:right w:val="none" w:sz="0" w:space="0" w:color="auto"/>
      </w:divBdr>
    </w:div>
    <w:div w:id="633171840">
      <w:bodyDiv w:val="1"/>
      <w:marLeft w:val="0"/>
      <w:marRight w:val="0"/>
      <w:marTop w:val="0"/>
      <w:marBottom w:val="0"/>
      <w:divBdr>
        <w:top w:val="none" w:sz="0" w:space="0" w:color="auto"/>
        <w:left w:val="none" w:sz="0" w:space="0" w:color="auto"/>
        <w:bottom w:val="none" w:sz="0" w:space="0" w:color="auto"/>
        <w:right w:val="none" w:sz="0" w:space="0" w:color="auto"/>
      </w:divBdr>
    </w:div>
    <w:div w:id="634456129">
      <w:bodyDiv w:val="1"/>
      <w:marLeft w:val="0"/>
      <w:marRight w:val="0"/>
      <w:marTop w:val="0"/>
      <w:marBottom w:val="0"/>
      <w:divBdr>
        <w:top w:val="none" w:sz="0" w:space="0" w:color="auto"/>
        <w:left w:val="none" w:sz="0" w:space="0" w:color="auto"/>
        <w:bottom w:val="none" w:sz="0" w:space="0" w:color="auto"/>
        <w:right w:val="none" w:sz="0" w:space="0" w:color="auto"/>
      </w:divBdr>
    </w:div>
    <w:div w:id="636380472">
      <w:bodyDiv w:val="1"/>
      <w:marLeft w:val="0"/>
      <w:marRight w:val="0"/>
      <w:marTop w:val="0"/>
      <w:marBottom w:val="0"/>
      <w:divBdr>
        <w:top w:val="none" w:sz="0" w:space="0" w:color="auto"/>
        <w:left w:val="none" w:sz="0" w:space="0" w:color="auto"/>
        <w:bottom w:val="none" w:sz="0" w:space="0" w:color="auto"/>
        <w:right w:val="none" w:sz="0" w:space="0" w:color="auto"/>
      </w:divBdr>
    </w:div>
    <w:div w:id="646393868">
      <w:bodyDiv w:val="1"/>
      <w:marLeft w:val="0"/>
      <w:marRight w:val="0"/>
      <w:marTop w:val="0"/>
      <w:marBottom w:val="0"/>
      <w:divBdr>
        <w:top w:val="none" w:sz="0" w:space="0" w:color="auto"/>
        <w:left w:val="none" w:sz="0" w:space="0" w:color="auto"/>
        <w:bottom w:val="none" w:sz="0" w:space="0" w:color="auto"/>
        <w:right w:val="none" w:sz="0" w:space="0" w:color="auto"/>
      </w:divBdr>
    </w:div>
    <w:div w:id="652174817">
      <w:bodyDiv w:val="1"/>
      <w:marLeft w:val="0"/>
      <w:marRight w:val="0"/>
      <w:marTop w:val="0"/>
      <w:marBottom w:val="0"/>
      <w:divBdr>
        <w:top w:val="none" w:sz="0" w:space="0" w:color="auto"/>
        <w:left w:val="none" w:sz="0" w:space="0" w:color="auto"/>
        <w:bottom w:val="none" w:sz="0" w:space="0" w:color="auto"/>
        <w:right w:val="none" w:sz="0" w:space="0" w:color="auto"/>
      </w:divBdr>
    </w:div>
    <w:div w:id="654070009">
      <w:bodyDiv w:val="1"/>
      <w:marLeft w:val="0"/>
      <w:marRight w:val="0"/>
      <w:marTop w:val="0"/>
      <w:marBottom w:val="0"/>
      <w:divBdr>
        <w:top w:val="none" w:sz="0" w:space="0" w:color="auto"/>
        <w:left w:val="none" w:sz="0" w:space="0" w:color="auto"/>
        <w:bottom w:val="none" w:sz="0" w:space="0" w:color="auto"/>
        <w:right w:val="none" w:sz="0" w:space="0" w:color="auto"/>
      </w:divBdr>
    </w:div>
    <w:div w:id="662467635">
      <w:bodyDiv w:val="1"/>
      <w:marLeft w:val="0"/>
      <w:marRight w:val="0"/>
      <w:marTop w:val="0"/>
      <w:marBottom w:val="0"/>
      <w:divBdr>
        <w:top w:val="none" w:sz="0" w:space="0" w:color="auto"/>
        <w:left w:val="none" w:sz="0" w:space="0" w:color="auto"/>
        <w:bottom w:val="none" w:sz="0" w:space="0" w:color="auto"/>
        <w:right w:val="none" w:sz="0" w:space="0" w:color="auto"/>
      </w:divBdr>
    </w:div>
    <w:div w:id="663240277">
      <w:bodyDiv w:val="1"/>
      <w:marLeft w:val="0"/>
      <w:marRight w:val="0"/>
      <w:marTop w:val="0"/>
      <w:marBottom w:val="0"/>
      <w:divBdr>
        <w:top w:val="none" w:sz="0" w:space="0" w:color="auto"/>
        <w:left w:val="none" w:sz="0" w:space="0" w:color="auto"/>
        <w:bottom w:val="none" w:sz="0" w:space="0" w:color="auto"/>
        <w:right w:val="none" w:sz="0" w:space="0" w:color="auto"/>
      </w:divBdr>
    </w:div>
    <w:div w:id="665665734">
      <w:bodyDiv w:val="1"/>
      <w:marLeft w:val="0"/>
      <w:marRight w:val="0"/>
      <w:marTop w:val="0"/>
      <w:marBottom w:val="0"/>
      <w:divBdr>
        <w:top w:val="none" w:sz="0" w:space="0" w:color="auto"/>
        <w:left w:val="none" w:sz="0" w:space="0" w:color="auto"/>
        <w:bottom w:val="none" w:sz="0" w:space="0" w:color="auto"/>
        <w:right w:val="none" w:sz="0" w:space="0" w:color="auto"/>
      </w:divBdr>
    </w:div>
    <w:div w:id="672992550">
      <w:bodyDiv w:val="1"/>
      <w:marLeft w:val="0"/>
      <w:marRight w:val="0"/>
      <w:marTop w:val="0"/>
      <w:marBottom w:val="0"/>
      <w:divBdr>
        <w:top w:val="none" w:sz="0" w:space="0" w:color="auto"/>
        <w:left w:val="none" w:sz="0" w:space="0" w:color="auto"/>
        <w:bottom w:val="none" w:sz="0" w:space="0" w:color="auto"/>
        <w:right w:val="none" w:sz="0" w:space="0" w:color="auto"/>
      </w:divBdr>
    </w:div>
    <w:div w:id="674722996">
      <w:bodyDiv w:val="1"/>
      <w:marLeft w:val="0"/>
      <w:marRight w:val="0"/>
      <w:marTop w:val="0"/>
      <w:marBottom w:val="0"/>
      <w:divBdr>
        <w:top w:val="none" w:sz="0" w:space="0" w:color="auto"/>
        <w:left w:val="none" w:sz="0" w:space="0" w:color="auto"/>
        <w:bottom w:val="none" w:sz="0" w:space="0" w:color="auto"/>
        <w:right w:val="none" w:sz="0" w:space="0" w:color="auto"/>
      </w:divBdr>
    </w:div>
    <w:div w:id="679090745">
      <w:bodyDiv w:val="1"/>
      <w:marLeft w:val="0"/>
      <w:marRight w:val="0"/>
      <w:marTop w:val="0"/>
      <w:marBottom w:val="0"/>
      <w:divBdr>
        <w:top w:val="none" w:sz="0" w:space="0" w:color="auto"/>
        <w:left w:val="none" w:sz="0" w:space="0" w:color="auto"/>
        <w:bottom w:val="none" w:sz="0" w:space="0" w:color="auto"/>
        <w:right w:val="none" w:sz="0" w:space="0" w:color="auto"/>
      </w:divBdr>
    </w:div>
    <w:div w:id="692800237">
      <w:bodyDiv w:val="1"/>
      <w:marLeft w:val="0"/>
      <w:marRight w:val="0"/>
      <w:marTop w:val="0"/>
      <w:marBottom w:val="0"/>
      <w:divBdr>
        <w:top w:val="none" w:sz="0" w:space="0" w:color="auto"/>
        <w:left w:val="none" w:sz="0" w:space="0" w:color="auto"/>
        <w:bottom w:val="none" w:sz="0" w:space="0" w:color="auto"/>
        <w:right w:val="none" w:sz="0" w:space="0" w:color="auto"/>
      </w:divBdr>
    </w:div>
    <w:div w:id="717708721">
      <w:bodyDiv w:val="1"/>
      <w:marLeft w:val="0"/>
      <w:marRight w:val="0"/>
      <w:marTop w:val="0"/>
      <w:marBottom w:val="0"/>
      <w:divBdr>
        <w:top w:val="none" w:sz="0" w:space="0" w:color="auto"/>
        <w:left w:val="none" w:sz="0" w:space="0" w:color="auto"/>
        <w:bottom w:val="none" w:sz="0" w:space="0" w:color="auto"/>
        <w:right w:val="none" w:sz="0" w:space="0" w:color="auto"/>
      </w:divBdr>
    </w:div>
    <w:div w:id="731849508">
      <w:bodyDiv w:val="1"/>
      <w:marLeft w:val="0"/>
      <w:marRight w:val="0"/>
      <w:marTop w:val="0"/>
      <w:marBottom w:val="0"/>
      <w:divBdr>
        <w:top w:val="none" w:sz="0" w:space="0" w:color="auto"/>
        <w:left w:val="none" w:sz="0" w:space="0" w:color="auto"/>
        <w:bottom w:val="none" w:sz="0" w:space="0" w:color="auto"/>
        <w:right w:val="none" w:sz="0" w:space="0" w:color="auto"/>
      </w:divBdr>
    </w:div>
    <w:div w:id="731972860">
      <w:bodyDiv w:val="1"/>
      <w:marLeft w:val="0"/>
      <w:marRight w:val="0"/>
      <w:marTop w:val="0"/>
      <w:marBottom w:val="0"/>
      <w:divBdr>
        <w:top w:val="none" w:sz="0" w:space="0" w:color="auto"/>
        <w:left w:val="none" w:sz="0" w:space="0" w:color="auto"/>
        <w:bottom w:val="none" w:sz="0" w:space="0" w:color="auto"/>
        <w:right w:val="none" w:sz="0" w:space="0" w:color="auto"/>
      </w:divBdr>
    </w:div>
    <w:div w:id="744490856">
      <w:bodyDiv w:val="1"/>
      <w:marLeft w:val="0"/>
      <w:marRight w:val="0"/>
      <w:marTop w:val="0"/>
      <w:marBottom w:val="0"/>
      <w:divBdr>
        <w:top w:val="none" w:sz="0" w:space="0" w:color="auto"/>
        <w:left w:val="none" w:sz="0" w:space="0" w:color="auto"/>
        <w:bottom w:val="none" w:sz="0" w:space="0" w:color="auto"/>
        <w:right w:val="none" w:sz="0" w:space="0" w:color="auto"/>
      </w:divBdr>
    </w:div>
    <w:div w:id="753626666">
      <w:bodyDiv w:val="1"/>
      <w:marLeft w:val="0"/>
      <w:marRight w:val="0"/>
      <w:marTop w:val="0"/>
      <w:marBottom w:val="0"/>
      <w:divBdr>
        <w:top w:val="none" w:sz="0" w:space="0" w:color="auto"/>
        <w:left w:val="none" w:sz="0" w:space="0" w:color="auto"/>
        <w:bottom w:val="none" w:sz="0" w:space="0" w:color="auto"/>
        <w:right w:val="none" w:sz="0" w:space="0" w:color="auto"/>
      </w:divBdr>
    </w:div>
    <w:div w:id="781845795">
      <w:bodyDiv w:val="1"/>
      <w:marLeft w:val="0"/>
      <w:marRight w:val="0"/>
      <w:marTop w:val="0"/>
      <w:marBottom w:val="0"/>
      <w:divBdr>
        <w:top w:val="none" w:sz="0" w:space="0" w:color="auto"/>
        <w:left w:val="none" w:sz="0" w:space="0" w:color="auto"/>
        <w:bottom w:val="none" w:sz="0" w:space="0" w:color="auto"/>
        <w:right w:val="none" w:sz="0" w:space="0" w:color="auto"/>
      </w:divBdr>
    </w:div>
    <w:div w:id="784348208">
      <w:bodyDiv w:val="1"/>
      <w:marLeft w:val="0"/>
      <w:marRight w:val="0"/>
      <w:marTop w:val="0"/>
      <w:marBottom w:val="0"/>
      <w:divBdr>
        <w:top w:val="none" w:sz="0" w:space="0" w:color="auto"/>
        <w:left w:val="none" w:sz="0" w:space="0" w:color="auto"/>
        <w:bottom w:val="none" w:sz="0" w:space="0" w:color="auto"/>
        <w:right w:val="none" w:sz="0" w:space="0" w:color="auto"/>
      </w:divBdr>
    </w:div>
    <w:div w:id="786774768">
      <w:bodyDiv w:val="1"/>
      <w:marLeft w:val="0"/>
      <w:marRight w:val="0"/>
      <w:marTop w:val="0"/>
      <w:marBottom w:val="0"/>
      <w:divBdr>
        <w:top w:val="none" w:sz="0" w:space="0" w:color="auto"/>
        <w:left w:val="none" w:sz="0" w:space="0" w:color="auto"/>
        <w:bottom w:val="none" w:sz="0" w:space="0" w:color="auto"/>
        <w:right w:val="none" w:sz="0" w:space="0" w:color="auto"/>
      </w:divBdr>
    </w:div>
    <w:div w:id="791558164">
      <w:bodyDiv w:val="1"/>
      <w:marLeft w:val="0"/>
      <w:marRight w:val="0"/>
      <w:marTop w:val="0"/>
      <w:marBottom w:val="0"/>
      <w:divBdr>
        <w:top w:val="none" w:sz="0" w:space="0" w:color="auto"/>
        <w:left w:val="none" w:sz="0" w:space="0" w:color="auto"/>
        <w:bottom w:val="none" w:sz="0" w:space="0" w:color="auto"/>
        <w:right w:val="none" w:sz="0" w:space="0" w:color="auto"/>
      </w:divBdr>
    </w:div>
    <w:div w:id="802886779">
      <w:bodyDiv w:val="1"/>
      <w:marLeft w:val="0"/>
      <w:marRight w:val="0"/>
      <w:marTop w:val="0"/>
      <w:marBottom w:val="0"/>
      <w:divBdr>
        <w:top w:val="none" w:sz="0" w:space="0" w:color="auto"/>
        <w:left w:val="none" w:sz="0" w:space="0" w:color="auto"/>
        <w:bottom w:val="none" w:sz="0" w:space="0" w:color="auto"/>
        <w:right w:val="none" w:sz="0" w:space="0" w:color="auto"/>
      </w:divBdr>
    </w:div>
    <w:div w:id="808203139">
      <w:bodyDiv w:val="1"/>
      <w:marLeft w:val="0"/>
      <w:marRight w:val="0"/>
      <w:marTop w:val="0"/>
      <w:marBottom w:val="0"/>
      <w:divBdr>
        <w:top w:val="none" w:sz="0" w:space="0" w:color="auto"/>
        <w:left w:val="none" w:sz="0" w:space="0" w:color="auto"/>
        <w:bottom w:val="none" w:sz="0" w:space="0" w:color="auto"/>
        <w:right w:val="none" w:sz="0" w:space="0" w:color="auto"/>
      </w:divBdr>
    </w:div>
    <w:div w:id="810944359">
      <w:bodyDiv w:val="1"/>
      <w:marLeft w:val="0"/>
      <w:marRight w:val="0"/>
      <w:marTop w:val="0"/>
      <w:marBottom w:val="0"/>
      <w:divBdr>
        <w:top w:val="none" w:sz="0" w:space="0" w:color="auto"/>
        <w:left w:val="none" w:sz="0" w:space="0" w:color="auto"/>
        <w:bottom w:val="none" w:sz="0" w:space="0" w:color="auto"/>
        <w:right w:val="none" w:sz="0" w:space="0" w:color="auto"/>
      </w:divBdr>
    </w:div>
    <w:div w:id="812798503">
      <w:bodyDiv w:val="1"/>
      <w:marLeft w:val="0"/>
      <w:marRight w:val="0"/>
      <w:marTop w:val="0"/>
      <w:marBottom w:val="0"/>
      <w:divBdr>
        <w:top w:val="none" w:sz="0" w:space="0" w:color="auto"/>
        <w:left w:val="none" w:sz="0" w:space="0" w:color="auto"/>
        <w:bottom w:val="none" w:sz="0" w:space="0" w:color="auto"/>
        <w:right w:val="none" w:sz="0" w:space="0" w:color="auto"/>
      </w:divBdr>
    </w:div>
    <w:div w:id="815269550">
      <w:bodyDiv w:val="1"/>
      <w:marLeft w:val="0"/>
      <w:marRight w:val="0"/>
      <w:marTop w:val="0"/>
      <w:marBottom w:val="0"/>
      <w:divBdr>
        <w:top w:val="none" w:sz="0" w:space="0" w:color="auto"/>
        <w:left w:val="none" w:sz="0" w:space="0" w:color="auto"/>
        <w:bottom w:val="none" w:sz="0" w:space="0" w:color="auto"/>
        <w:right w:val="none" w:sz="0" w:space="0" w:color="auto"/>
      </w:divBdr>
    </w:div>
    <w:div w:id="818376030">
      <w:bodyDiv w:val="1"/>
      <w:marLeft w:val="0"/>
      <w:marRight w:val="0"/>
      <w:marTop w:val="0"/>
      <w:marBottom w:val="0"/>
      <w:divBdr>
        <w:top w:val="none" w:sz="0" w:space="0" w:color="auto"/>
        <w:left w:val="none" w:sz="0" w:space="0" w:color="auto"/>
        <w:bottom w:val="none" w:sz="0" w:space="0" w:color="auto"/>
        <w:right w:val="none" w:sz="0" w:space="0" w:color="auto"/>
      </w:divBdr>
    </w:div>
    <w:div w:id="819886920">
      <w:bodyDiv w:val="1"/>
      <w:marLeft w:val="0"/>
      <w:marRight w:val="0"/>
      <w:marTop w:val="0"/>
      <w:marBottom w:val="0"/>
      <w:divBdr>
        <w:top w:val="none" w:sz="0" w:space="0" w:color="auto"/>
        <w:left w:val="none" w:sz="0" w:space="0" w:color="auto"/>
        <w:bottom w:val="none" w:sz="0" w:space="0" w:color="auto"/>
        <w:right w:val="none" w:sz="0" w:space="0" w:color="auto"/>
      </w:divBdr>
    </w:div>
    <w:div w:id="826751219">
      <w:bodyDiv w:val="1"/>
      <w:marLeft w:val="0"/>
      <w:marRight w:val="0"/>
      <w:marTop w:val="0"/>
      <w:marBottom w:val="0"/>
      <w:divBdr>
        <w:top w:val="none" w:sz="0" w:space="0" w:color="auto"/>
        <w:left w:val="none" w:sz="0" w:space="0" w:color="auto"/>
        <w:bottom w:val="none" w:sz="0" w:space="0" w:color="auto"/>
        <w:right w:val="none" w:sz="0" w:space="0" w:color="auto"/>
      </w:divBdr>
    </w:div>
    <w:div w:id="834225548">
      <w:bodyDiv w:val="1"/>
      <w:marLeft w:val="0"/>
      <w:marRight w:val="0"/>
      <w:marTop w:val="0"/>
      <w:marBottom w:val="0"/>
      <w:divBdr>
        <w:top w:val="none" w:sz="0" w:space="0" w:color="auto"/>
        <w:left w:val="none" w:sz="0" w:space="0" w:color="auto"/>
        <w:bottom w:val="none" w:sz="0" w:space="0" w:color="auto"/>
        <w:right w:val="none" w:sz="0" w:space="0" w:color="auto"/>
      </w:divBdr>
    </w:div>
    <w:div w:id="834686005">
      <w:bodyDiv w:val="1"/>
      <w:marLeft w:val="0"/>
      <w:marRight w:val="0"/>
      <w:marTop w:val="0"/>
      <w:marBottom w:val="0"/>
      <w:divBdr>
        <w:top w:val="none" w:sz="0" w:space="0" w:color="auto"/>
        <w:left w:val="none" w:sz="0" w:space="0" w:color="auto"/>
        <w:bottom w:val="none" w:sz="0" w:space="0" w:color="auto"/>
        <w:right w:val="none" w:sz="0" w:space="0" w:color="auto"/>
      </w:divBdr>
    </w:div>
    <w:div w:id="836307157">
      <w:bodyDiv w:val="1"/>
      <w:marLeft w:val="0"/>
      <w:marRight w:val="0"/>
      <w:marTop w:val="0"/>
      <w:marBottom w:val="0"/>
      <w:divBdr>
        <w:top w:val="none" w:sz="0" w:space="0" w:color="auto"/>
        <w:left w:val="none" w:sz="0" w:space="0" w:color="auto"/>
        <w:bottom w:val="none" w:sz="0" w:space="0" w:color="auto"/>
        <w:right w:val="none" w:sz="0" w:space="0" w:color="auto"/>
      </w:divBdr>
    </w:div>
    <w:div w:id="836462351">
      <w:bodyDiv w:val="1"/>
      <w:marLeft w:val="0"/>
      <w:marRight w:val="0"/>
      <w:marTop w:val="0"/>
      <w:marBottom w:val="0"/>
      <w:divBdr>
        <w:top w:val="none" w:sz="0" w:space="0" w:color="auto"/>
        <w:left w:val="none" w:sz="0" w:space="0" w:color="auto"/>
        <w:bottom w:val="none" w:sz="0" w:space="0" w:color="auto"/>
        <w:right w:val="none" w:sz="0" w:space="0" w:color="auto"/>
      </w:divBdr>
    </w:div>
    <w:div w:id="865754110">
      <w:bodyDiv w:val="1"/>
      <w:marLeft w:val="0"/>
      <w:marRight w:val="0"/>
      <w:marTop w:val="0"/>
      <w:marBottom w:val="0"/>
      <w:divBdr>
        <w:top w:val="none" w:sz="0" w:space="0" w:color="auto"/>
        <w:left w:val="none" w:sz="0" w:space="0" w:color="auto"/>
        <w:bottom w:val="none" w:sz="0" w:space="0" w:color="auto"/>
        <w:right w:val="none" w:sz="0" w:space="0" w:color="auto"/>
      </w:divBdr>
      <w:divsChild>
        <w:div w:id="1587348164">
          <w:marLeft w:val="0"/>
          <w:marRight w:val="0"/>
          <w:marTop w:val="0"/>
          <w:marBottom w:val="0"/>
          <w:divBdr>
            <w:top w:val="none" w:sz="0" w:space="0" w:color="auto"/>
            <w:left w:val="none" w:sz="0" w:space="0" w:color="auto"/>
            <w:bottom w:val="none" w:sz="0" w:space="0" w:color="auto"/>
            <w:right w:val="none" w:sz="0" w:space="0" w:color="auto"/>
          </w:divBdr>
          <w:divsChild>
            <w:div w:id="151233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446747">
      <w:bodyDiv w:val="1"/>
      <w:marLeft w:val="0"/>
      <w:marRight w:val="0"/>
      <w:marTop w:val="0"/>
      <w:marBottom w:val="0"/>
      <w:divBdr>
        <w:top w:val="none" w:sz="0" w:space="0" w:color="auto"/>
        <w:left w:val="none" w:sz="0" w:space="0" w:color="auto"/>
        <w:bottom w:val="none" w:sz="0" w:space="0" w:color="auto"/>
        <w:right w:val="none" w:sz="0" w:space="0" w:color="auto"/>
      </w:divBdr>
    </w:div>
    <w:div w:id="873422900">
      <w:bodyDiv w:val="1"/>
      <w:marLeft w:val="0"/>
      <w:marRight w:val="0"/>
      <w:marTop w:val="0"/>
      <w:marBottom w:val="0"/>
      <w:divBdr>
        <w:top w:val="none" w:sz="0" w:space="0" w:color="auto"/>
        <w:left w:val="none" w:sz="0" w:space="0" w:color="auto"/>
        <w:bottom w:val="none" w:sz="0" w:space="0" w:color="auto"/>
        <w:right w:val="none" w:sz="0" w:space="0" w:color="auto"/>
      </w:divBdr>
    </w:div>
    <w:div w:id="886144087">
      <w:bodyDiv w:val="1"/>
      <w:marLeft w:val="0"/>
      <w:marRight w:val="0"/>
      <w:marTop w:val="0"/>
      <w:marBottom w:val="0"/>
      <w:divBdr>
        <w:top w:val="none" w:sz="0" w:space="0" w:color="auto"/>
        <w:left w:val="none" w:sz="0" w:space="0" w:color="auto"/>
        <w:bottom w:val="none" w:sz="0" w:space="0" w:color="auto"/>
        <w:right w:val="none" w:sz="0" w:space="0" w:color="auto"/>
      </w:divBdr>
    </w:div>
    <w:div w:id="898589473">
      <w:bodyDiv w:val="1"/>
      <w:marLeft w:val="0"/>
      <w:marRight w:val="0"/>
      <w:marTop w:val="0"/>
      <w:marBottom w:val="0"/>
      <w:divBdr>
        <w:top w:val="none" w:sz="0" w:space="0" w:color="auto"/>
        <w:left w:val="none" w:sz="0" w:space="0" w:color="auto"/>
        <w:bottom w:val="none" w:sz="0" w:space="0" w:color="auto"/>
        <w:right w:val="none" w:sz="0" w:space="0" w:color="auto"/>
      </w:divBdr>
    </w:div>
    <w:div w:id="901211331">
      <w:bodyDiv w:val="1"/>
      <w:marLeft w:val="0"/>
      <w:marRight w:val="0"/>
      <w:marTop w:val="0"/>
      <w:marBottom w:val="0"/>
      <w:divBdr>
        <w:top w:val="none" w:sz="0" w:space="0" w:color="auto"/>
        <w:left w:val="none" w:sz="0" w:space="0" w:color="auto"/>
        <w:bottom w:val="none" w:sz="0" w:space="0" w:color="auto"/>
        <w:right w:val="none" w:sz="0" w:space="0" w:color="auto"/>
      </w:divBdr>
    </w:div>
    <w:div w:id="905577740">
      <w:bodyDiv w:val="1"/>
      <w:marLeft w:val="0"/>
      <w:marRight w:val="0"/>
      <w:marTop w:val="0"/>
      <w:marBottom w:val="0"/>
      <w:divBdr>
        <w:top w:val="none" w:sz="0" w:space="0" w:color="auto"/>
        <w:left w:val="none" w:sz="0" w:space="0" w:color="auto"/>
        <w:bottom w:val="none" w:sz="0" w:space="0" w:color="auto"/>
        <w:right w:val="none" w:sz="0" w:space="0" w:color="auto"/>
      </w:divBdr>
    </w:div>
    <w:div w:id="907300133">
      <w:bodyDiv w:val="1"/>
      <w:marLeft w:val="0"/>
      <w:marRight w:val="0"/>
      <w:marTop w:val="0"/>
      <w:marBottom w:val="0"/>
      <w:divBdr>
        <w:top w:val="none" w:sz="0" w:space="0" w:color="auto"/>
        <w:left w:val="none" w:sz="0" w:space="0" w:color="auto"/>
        <w:bottom w:val="none" w:sz="0" w:space="0" w:color="auto"/>
        <w:right w:val="none" w:sz="0" w:space="0" w:color="auto"/>
      </w:divBdr>
    </w:div>
    <w:div w:id="923491669">
      <w:bodyDiv w:val="1"/>
      <w:marLeft w:val="0"/>
      <w:marRight w:val="0"/>
      <w:marTop w:val="0"/>
      <w:marBottom w:val="0"/>
      <w:divBdr>
        <w:top w:val="none" w:sz="0" w:space="0" w:color="auto"/>
        <w:left w:val="none" w:sz="0" w:space="0" w:color="auto"/>
        <w:bottom w:val="none" w:sz="0" w:space="0" w:color="auto"/>
        <w:right w:val="none" w:sz="0" w:space="0" w:color="auto"/>
      </w:divBdr>
    </w:div>
    <w:div w:id="924462608">
      <w:bodyDiv w:val="1"/>
      <w:marLeft w:val="0"/>
      <w:marRight w:val="0"/>
      <w:marTop w:val="0"/>
      <w:marBottom w:val="0"/>
      <w:divBdr>
        <w:top w:val="none" w:sz="0" w:space="0" w:color="auto"/>
        <w:left w:val="none" w:sz="0" w:space="0" w:color="auto"/>
        <w:bottom w:val="none" w:sz="0" w:space="0" w:color="auto"/>
        <w:right w:val="none" w:sz="0" w:space="0" w:color="auto"/>
      </w:divBdr>
    </w:div>
    <w:div w:id="925531463">
      <w:bodyDiv w:val="1"/>
      <w:marLeft w:val="0"/>
      <w:marRight w:val="0"/>
      <w:marTop w:val="0"/>
      <w:marBottom w:val="0"/>
      <w:divBdr>
        <w:top w:val="none" w:sz="0" w:space="0" w:color="auto"/>
        <w:left w:val="none" w:sz="0" w:space="0" w:color="auto"/>
        <w:bottom w:val="none" w:sz="0" w:space="0" w:color="auto"/>
        <w:right w:val="none" w:sz="0" w:space="0" w:color="auto"/>
      </w:divBdr>
    </w:div>
    <w:div w:id="931205164">
      <w:bodyDiv w:val="1"/>
      <w:marLeft w:val="0"/>
      <w:marRight w:val="0"/>
      <w:marTop w:val="0"/>
      <w:marBottom w:val="0"/>
      <w:divBdr>
        <w:top w:val="none" w:sz="0" w:space="0" w:color="auto"/>
        <w:left w:val="none" w:sz="0" w:space="0" w:color="auto"/>
        <w:bottom w:val="none" w:sz="0" w:space="0" w:color="auto"/>
        <w:right w:val="none" w:sz="0" w:space="0" w:color="auto"/>
      </w:divBdr>
    </w:div>
    <w:div w:id="937837231">
      <w:bodyDiv w:val="1"/>
      <w:marLeft w:val="0"/>
      <w:marRight w:val="0"/>
      <w:marTop w:val="0"/>
      <w:marBottom w:val="0"/>
      <w:divBdr>
        <w:top w:val="none" w:sz="0" w:space="0" w:color="auto"/>
        <w:left w:val="none" w:sz="0" w:space="0" w:color="auto"/>
        <w:bottom w:val="none" w:sz="0" w:space="0" w:color="auto"/>
        <w:right w:val="none" w:sz="0" w:space="0" w:color="auto"/>
      </w:divBdr>
    </w:div>
    <w:div w:id="944652497">
      <w:bodyDiv w:val="1"/>
      <w:marLeft w:val="0"/>
      <w:marRight w:val="0"/>
      <w:marTop w:val="0"/>
      <w:marBottom w:val="0"/>
      <w:divBdr>
        <w:top w:val="none" w:sz="0" w:space="0" w:color="auto"/>
        <w:left w:val="none" w:sz="0" w:space="0" w:color="auto"/>
        <w:bottom w:val="none" w:sz="0" w:space="0" w:color="auto"/>
        <w:right w:val="none" w:sz="0" w:space="0" w:color="auto"/>
      </w:divBdr>
    </w:div>
    <w:div w:id="945234339">
      <w:bodyDiv w:val="1"/>
      <w:marLeft w:val="0"/>
      <w:marRight w:val="0"/>
      <w:marTop w:val="0"/>
      <w:marBottom w:val="0"/>
      <w:divBdr>
        <w:top w:val="none" w:sz="0" w:space="0" w:color="auto"/>
        <w:left w:val="none" w:sz="0" w:space="0" w:color="auto"/>
        <w:bottom w:val="none" w:sz="0" w:space="0" w:color="auto"/>
        <w:right w:val="none" w:sz="0" w:space="0" w:color="auto"/>
      </w:divBdr>
    </w:div>
    <w:div w:id="945384381">
      <w:bodyDiv w:val="1"/>
      <w:marLeft w:val="0"/>
      <w:marRight w:val="0"/>
      <w:marTop w:val="0"/>
      <w:marBottom w:val="0"/>
      <w:divBdr>
        <w:top w:val="none" w:sz="0" w:space="0" w:color="auto"/>
        <w:left w:val="none" w:sz="0" w:space="0" w:color="auto"/>
        <w:bottom w:val="none" w:sz="0" w:space="0" w:color="auto"/>
        <w:right w:val="none" w:sz="0" w:space="0" w:color="auto"/>
      </w:divBdr>
    </w:div>
    <w:div w:id="953361547">
      <w:bodyDiv w:val="1"/>
      <w:marLeft w:val="0"/>
      <w:marRight w:val="0"/>
      <w:marTop w:val="0"/>
      <w:marBottom w:val="0"/>
      <w:divBdr>
        <w:top w:val="none" w:sz="0" w:space="0" w:color="auto"/>
        <w:left w:val="none" w:sz="0" w:space="0" w:color="auto"/>
        <w:bottom w:val="none" w:sz="0" w:space="0" w:color="auto"/>
        <w:right w:val="none" w:sz="0" w:space="0" w:color="auto"/>
      </w:divBdr>
    </w:div>
    <w:div w:id="959603534">
      <w:bodyDiv w:val="1"/>
      <w:marLeft w:val="0"/>
      <w:marRight w:val="0"/>
      <w:marTop w:val="0"/>
      <w:marBottom w:val="0"/>
      <w:divBdr>
        <w:top w:val="none" w:sz="0" w:space="0" w:color="auto"/>
        <w:left w:val="none" w:sz="0" w:space="0" w:color="auto"/>
        <w:bottom w:val="none" w:sz="0" w:space="0" w:color="auto"/>
        <w:right w:val="none" w:sz="0" w:space="0" w:color="auto"/>
      </w:divBdr>
    </w:div>
    <w:div w:id="969625746">
      <w:bodyDiv w:val="1"/>
      <w:marLeft w:val="0"/>
      <w:marRight w:val="0"/>
      <w:marTop w:val="0"/>
      <w:marBottom w:val="0"/>
      <w:divBdr>
        <w:top w:val="none" w:sz="0" w:space="0" w:color="auto"/>
        <w:left w:val="none" w:sz="0" w:space="0" w:color="auto"/>
        <w:bottom w:val="none" w:sz="0" w:space="0" w:color="auto"/>
        <w:right w:val="none" w:sz="0" w:space="0" w:color="auto"/>
      </w:divBdr>
    </w:div>
    <w:div w:id="994652544">
      <w:bodyDiv w:val="1"/>
      <w:marLeft w:val="0"/>
      <w:marRight w:val="0"/>
      <w:marTop w:val="0"/>
      <w:marBottom w:val="0"/>
      <w:divBdr>
        <w:top w:val="none" w:sz="0" w:space="0" w:color="auto"/>
        <w:left w:val="none" w:sz="0" w:space="0" w:color="auto"/>
        <w:bottom w:val="none" w:sz="0" w:space="0" w:color="auto"/>
        <w:right w:val="none" w:sz="0" w:space="0" w:color="auto"/>
      </w:divBdr>
    </w:div>
    <w:div w:id="996766621">
      <w:bodyDiv w:val="1"/>
      <w:marLeft w:val="0"/>
      <w:marRight w:val="0"/>
      <w:marTop w:val="0"/>
      <w:marBottom w:val="0"/>
      <w:divBdr>
        <w:top w:val="none" w:sz="0" w:space="0" w:color="auto"/>
        <w:left w:val="none" w:sz="0" w:space="0" w:color="auto"/>
        <w:bottom w:val="none" w:sz="0" w:space="0" w:color="auto"/>
        <w:right w:val="none" w:sz="0" w:space="0" w:color="auto"/>
      </w:divBdr>
    </w:div>
    <w:div w:id="1006055334">
      <w:bodyDiv w:val="1"/>
      <w:marLeft w:val="0"/>
      <w:marRight w:val="0"/>
      <w:marTop w:val="0"/>
      <w:marBottom w:val="0"/>
      <w:divBdr>
        <w:top w:val="none" w:sz="0" w:space="0" w:color="auto"/>
        <w:left w:val="none" w:sz="0" w:space="0" w:color="auto"/>
        <w:bottom w:val="none" w:sz="0" w:space="0" w:color="auto"/>
        <w:right w:val="none" w:sz="0" w:space="0" w:color="auto"/>
      </w:divBdr>
    </w:div>
    <w:div w:id="1011302021">
      <w:bodyDiv w:val="1"/>
      <w:marLeft w:val="0"/>
      <w:marRight w:val="0"/>
      <w:marTop w:val="0"/>
      <w:marBottom w:val="0"/>
      <w:divBdr>
        <w:top w:val="none" w:sz="0" w:space="0" w:color="auto"/>
        <w:left w:val="none" w:sz="0" w:space="0" w:color="auto"/>
        <w:bottom w:val="none" w:sz="0" w:space="0" w:color="auto"/>
        <w:right w:val="none" w:sz="0" w:space="0" w:color="auto"/>
      </w:divBdr>
    </w:div>
    <w:div w:id="1011755671">
      <w:bodyDiv w:val="1"/>
      <w:marLeft w:val="0"/>
      <w:marRight w:val="0"/>
      <w:marTop w:val="0"/>
      <w:marBottom w:val="0"/>
      <w:divBdr>
        <w:top w:val="none" w:sz="0" w:space="0" w:color="auto"/>
        <w:left w:val="none" w:sz="0" w:space="0" w:color="auto"/>
        <w:bottom w:val="none" w:sz="0" w:space="0" w:color="auto"/>
        <w:right w:val="none" w:sz="0" w:space="0" w:color="auto"/>
      </w:divBdr>
    </w:div>
    <w:div w:id="1017855173">
      <w:bodyDiv w:val="1"/>
      <w:marLeft w:val="0"/>
      <w:marRight w:val="0"/>
      <w:marTop w:val="0"/>
      <w:marBottom w:val="0"/>
      <w:divBdr>
        <w:top w:val="none" w:sz="0" w:space="0" w:color="auto"/>
        <w:left w:val="none" w:sz="0" w:space="0" w:color="auto"/>
        <w:bottom w:val="none" w:sz="0" w:space="0" w:color="auto"/>
        <w:right w:val="none" w:sz="0" w:space="0" w:color="auto"/>
      </w:divBdr>
    </w:div>
    <w:div w:id="1023823282">
      <w:bodyDiv w:val="1"/>
      <w:marLeft w:val="0"/>
      <w:marRight w:val="0"/>
      <w:marTop w:val="0"/>
      <w:marBottom w:val="0"/>
      <w:divBdr>
        <w:top w:val="none" w:sz="0" w:space="0" w:color="auto"/>
        <w:left w:val="none" w:sz="0" w:space="0" w:color="auto"/>
        <w:bottom w:val="none" w:sz="0" w:space="0" w:color="auto"/>
        <w:right w:val="none" w:sz="0" w:space="0" w:color="auto"/>
      </w:divBdr>
    </w:div>
    <w:div w:id="1037048125">
      <w:bodyDiv w:val="1"/>
      <w:marLeft w:val="0"/>
      <w:marRight w:val="0"/>
      <w:marTop w:val="0"/>
      <w:marBottom w:val="0"/>
      <w:divBdr>
        <w:top w:val="none" w:sz="0" w:space="0" w:color="auto"/>
        <w:left w:val="none" w:sz="0" w:space="0" w:color="auto"/>
        <w:bottom w:val="none" w:sz="0" w:space="0" w:color="auto"/>
        <w:right w:val="none" w:sz="0" w:space="0" w:color="auto"/>
      </w:divBdr>
    </w:div>
    <w:div w:id="1037117905">
      <w:bodyDiv w:val="1"/>
      <w:marLeft w:val="0"/>
      <w:marRight w:val="0"/>
      <w:marTop w:val="0"/>
      <w:marBottom w:val="0"/>
      <w:divBdr>
        <w:top w:val="none" w:sz="0" w:space="0" w:color="auto"/>
        <w:left w:val="none" w:sz="0" w:space="0" w:color="auto"/>
        <w:bottom w:val="none" w:sz="0" w:space="0" w:color="auto"/>
        <w:right w:val="none" w:sz="0" w:space="0" w:color="auto"/>
      </w:divBdr>
    </w:div>
    <w:div w:id="1037314954">
      <w:bodyDiv w:val="1"/>
      <w:marLeft w:val="0"/>
      <w:marRight w:val="0"/>
      <w:marTop w:val="0"/>
      <w:marBottom w:val="0"/>
      <w:divBdr>
        <w:top w:val="none" w:sz="0" w:space="0" w:color="auto"/>
        <w:left w:val="none" w:sz="0" w:space="0" w:color="auto"/>
        <w:bottom w:val="none" w:sz="0" w:space="0" w:color="auto"/>
        <w:right w:val="none" w:sz="0" w:space="0" w:color="auto"/>
      </w:divBdr>
    </w:div>
    <w:div w:id="1041588876">
      <w:bodyDiv w:val="1"/>
      <w:marLeft w:val="0"/>
      <w:marRight w:val="0"/>
      <w:marTop w:val="0"/>
      <w:marBottom w:val="0"/>
      <w:divBdr>
        <w:top w:val="none" w:sz="0" w:space="0" w:color="auto"/>
        <w:left w:val="none" w:sz="0" w:space="0" w:color="auto"/>
        <w:bottom w:val="none" w:sz="0" w:space="0" w:color="auto"/>
        <w:right w:val="none" w:sz="0" w:space="0" w:color="auto"/>
      </w:divBdr>
    </w:div>
    <w:div w:id="1046100624">
      <w:bodyDiv w:val="1"/>
      <w:marLeft w:val="0"/>
      <w:marRight w:val="0"/>
      <w:marTop w:val="0"/>
      <w:marBottom w:val="0"/>
      <w:divBdr>
        <w:top w:val="none" w:sz="0" w:space="0" w:color="auto"/>
        <w:left w:val="none" w:sz="0" w:space="0" w:color="auto"/>
        <w:bottom w:val="none" w:sz="0" w:space="0" w:color="auto"/>
        <w:right w:val="none" w:sz="0" w:space="0" w:color="auto"/>
      </w:divBdr>
    </w:div>
    <w:div w:id="1054623758">
      <w:bodyDiv w:val="1"/>
      <w:marLeft w:val="0"/>
      <w:marRight w:val="0"/>
      <w:marTop w:val="0"/>
      <w:marBottom w:val="0"/>
      <w:divBdr>
        <w:top w:val="none" w:sz="0" w:space="0" w:color="auto"/>
        <w:left w:val="none" w:sz="0" w:space="0" w:color="auto"/>
        <w:bottom w:val="none" w:sz="0" w:space="0" w:color="auto"/>
        <w:right w:val="none" w:sz="0" w:space="0" w:color="auto"/>
      </w:divBdr>
    </w:div>
    <w:div w:id="1056515609">
      <w:bodyDiv w:val="1"/>
      <w:marLeft w:val="0"/>
      <w:marRight w:val="0"/>
      <w:marTop w:val="0"/>
      <w:marBottom w:val="0"/>
      <w:divBdr>
        <w:top w:val="none" w:sz="0" w:space="0" w:color="auto"/>
        <w:left w:val="none" w:sz="0" w:space="0" w:color="auto"/>
        <w:bottom w:val="none" w:sz="0" w:space="0" w:color="auto"/>
        <w:right w:val="none" w:sz="0" w:space="0" w:color="auto"/>
      </w:divBdr>
    </w:div>
    <w:div w:id="1057045116">
      <w:bodyDiv w:val="1"/>
      <w:marLeft w:val="0"/>
      <w:marRight w:val="0"/>
      <w:marTop w:val="0"/>
      <w:marBottom w:val="0"/>
      <w:divBdr>
        <w:top w:val="none" w:sz="0" w:space="0" w:color="auto"/>
        <w:left w:val="none" w:sz="0" w:space="0" w:color="auto"/>
        <w:bottom w:val="none" w:sz="0" w:space="0" w:color="auto"/>
        <w:right w:val="none" w:sz="0" w:space="0" w:color="auto"/>
      </w:divBdr>
    </w:div>
    <w:div w:id="1058554368">
      <w:bodyDiv w:val="1"/>
      <w:marLeft w:val="0"/>
      <w:marRight w:val="0"/>
      <w:marTop w:val="0"/>
      <w:marBottom w:val="0"/>
      <w:divBdr>
        <w:top w:val="none" w:sz="0" w:space="0" w:color="auto"/>
        <w:left w:val="none" w:sz="0" w:space="0" w:color="auto"/>
        <w:bottom w:val="none" w:sz="0" w:space="0" w:color="auto"/>
        <w:right w:val="none" w:sz="0" w:space="0" w:color="auto"/>
      </w:divBdr>
    </w:div>
    <w:div w:id="1066992117">
      <w:bodyDiv w:val="1"/>
      <w:marLeft w:val="0"/>
      <w:marRight w:val="0"/>
      <w:marTop w:val="0"/>
      <w:marBottom w:val="0"/>
      <w:divBdr>
        <w:top w:val="none" w:sz="0" w:space="0" w:color="auto"/>
        <w:left w:val="none" w:sz="0" w:space="0" w:color="auto"/>
        <w:bottom w:val="none" w:sz="0" w:space="0" w:color="auto"/>
        <w:right w:val="none" w:sz="0" w:space="0" w:color="auto"/>
      </w:divBdr>
    </w:div>
    <w:div w:id="1069423962">
      <w:bodyDiv w:val="1"/>
      <w:marLeft w:val="0"/>
      <w:marRight w:val="0"/>
      <w:marTop w:val="0"/>
      <w:marBottom w:val="0"/>
      <w:divBdr>
        <w:top w:val="none" w:sz="0" w:space="0" w:color="auto"/>
        <w:left w:val="none" w:sz="0" w:space="0" w:color="auto"/>
        <w:bottom w:val="none" w:sz="0" w:space="0" w:color="auto"/>
        <w:right w:val="none" w:sz="0" w:space="0" w:color="auto"/>
      </w:divBdr>
    </w:div>
    <w:div w:id="1082524874">
      <w:bodyDiv w:val="1"/>
      <w:marLeft w:val="0"/>
      <w:marRight w:val="0"/>
      <w:marTop w:val="0"/>
      <w:marBottom w:val="0"/>
      <w:divBdr>
        <w:top w:val="none" w:sz="0" w:space="0" w:color="auto"/>
        <w:left w:val="none" w:sz="0" w:space="0" w:color="auto"/>
        <w:bottom w:val="none" w:sz="0" w:space="0" w:color="auto"/>
        <w:right w:val="none" w:sz="0" w:space="0" w:color="auto"/>
      </w:divBdr>
    </w:div>
    <w:div w:id="1086194854">
      <w:bodyDiv w:val="1"/>
      <w:marLeft w:val="0"/>
      <w:marRight w:val="0"/>
      <w:marTop w:val="0"/>
      <w:marBottom w:val="0"/>
      <w:divBdr>
        <w:top w:val="none" w:sz="0" w:space="0" w:color="auto"/>
        <w:left w:val="none" w:sz="0" w:space="0" w:color="auto"/>
        <w:bottom w:val="none" w:sz="0" w:space="0" w:color="auto"/>
        <w:right w:val="none" w:sz="0" w:space="0" w:color="auto"/>
      </w:divBdr>
    </w:div>
    <w:div w:id="1091660770">
      <w:bodyDiv w:val="1"/>
      <w:marLeft w:val="0"/>
      <w:marRight w:val="0"/>
      <w:marTop w:val="0"/>
      <w:marBottom w:val="0"/>
      <w:divBdr>
        <w:top w:val="none" w:sz="0" w:space="0" w:color="auto"/>
        <w:left w:val="none" w:sz="0" w:space="0" w:color="auto"/>
        <w:bottom w:val="none" w:sz="0" w:space="0" w:color="auto"/>
        <w:right w:val="none" w:sz="0" w:space="0" w:color="auto"/>
      </w:divBdr>
    </w:div>
    <w:div w:id="1095132729">
      <w:bodyDiv w:val="1"/>
      <w:marLeft w:val="0"/>
      <w:marRight w:val="0"/>
      <w:marTop w:val="0"/>
      <w:marBottom w:val="0"/>
      <w:divBdr>
        <w:top w:val="none" w:sz="0" w:space="0" w:color="auto"/>
        <w:left w:val="none" w:sz="0" w:space="0" w:color="auto"/>
        <w:bottom w:val="none" w:sz="0" w:space="0" w:color="auto"/>
        <w:right w:val="none" w:sz="0" w:space="0" w:color="auto"/>
      </w:divBdr>
    </w:div>
    <w:div w:id="1102259568">
      <w:bodyDiv w:val="1"/>
      <w:marLeft w:val="0"/>
      <w:marRight w:val="0"/>
      <w:marTop w:val="0"/>
      <w:marBottom w:val="0"/>
      <w:divBdr>
        <w:top w:val="none" w:sz="0" w:space="0" w:color="auto"/>
        <w:left w:val="none" w:sz="0" w:space="0" w:color="auto"/>
        <w:bottom w:val="none" w:sz="0" w:space="0" w:color="auto"/>
        <w:right w:val="none" w:sz="0" w:space="0" w:color="auto"/>
      </w:divBdr>
    </w:div>
    <w:div w:id="1115636819">
      <w:bodyDiv w:val="1"/>
      <w:marLeft w:val="0"/>
      <w:marRight w:val="0"/>
      <w:marTop w:val="0"/>
      <w:marBottom w:val="0"/>
      <w:divBdr>
        <w:top w:val="none" w:sz="0" w:space="0" w:color="auto"/>
        <w:left w:val="none" w:sz="0" w:space="0" w:color="auto"/>
        <w:bottom w:val="none" w:sz="0" w:space="0" w:color="auto"/>
        <w:right w:val="none" w:sz="0" w:space="0" w:color="auto"/>
      </w:divBdr>
    </w:div>
    <w:div w:id="1119714920">
      <w:bodyDiv w:val="1"/>
      <w:marLeft w:val="0"/>
      <w:marRight w:val="0"/>
      <w:marTop w:val="0"/>
      <w:marBottom w:val="0"/>
      <w:divBdr>
        <w:top w:val="none" w:sz="0" w:space="0" w:color="auto"/>
        <w:left w:val="none" w:sz="0" w:space="0" w:color="auto"/>
        <w:bottom w:val="none" w:sz="0" w:space="0" w:color="auto"/>
        <w:right w:val="none" w:sz="0" w:space="0" w:color="auto"/>
      </w:divBdr>
    </w:div>
    <w:div w:id="1130365601">
      <w:bodyDiv w:val="1"/>
      <w:marLeft w:val="0"/>
      <w:marRight w:val="0"/>
      <w:marTop w:val="0"/>
      <w:marBottom w:val="0"/>
      <w:divBdr>
        <w:top w:val="none" w:sz="0" w:space="0" w:color="auto"/>
        <w:left w:val="none" w:sz="0" w:space="0" w:color="auto"/>
        <w:bottom w:val="none" w:sz="0" w:space="0" w:color="auto"/>
        <w:right w:val="none" w:sz="0" w:space="0" w:color="auto"/>
      </w:divBdr>
    </w:div>
    <w:div w:id="1131166744">
      <w:bodyDiv w:val="1"/>
      <w:marLeft w:val="0"/>
      <w:marRight w:val="0"/>
      <w:marTop w:val="0"/>
      <w:marBottom w:val="0"/>
      <w:divBdr>
        <w:top w:val="none" w:sz="0" w:space="0" w:color="auto"/>
        <w:left w:val="none" w:sz="0" w:space="0" w:color="auto"/>
        <w:bottom w:val="none" w:sz="0" w:space="0" w:color="auto"/>
        <w:right w:val="none" w:sz="0" w:space="0" w:color="auto"/>
      </w:divBdr>
    </w:div>
    <w:div w:id="1131510390">
      <w:bodyDiv w:val="1"/>
      <w:marLeft w:val="0"/>
      <w:marRight w:val="0"/>
      <w:marTop w:val="0"/>
      <w:marBottom w:val="0"/>
      <w:divBdr>
        <w:top w:val="none" w:sz="0" w:space="0" w:color="auto"/>
        <w:left w:val="none" w:sz="0" w:space="0" w:color="auto"/>
        <w:bottom w:val="none" w:sz="0" w:space="0" w:color="auto"/>
        <w:right w:val="none" w:sz="0" w:space="0" w:color="auto"/>
      </w:divBdr>
    </w:div>
    <w:div w:id="1134104970">
      <w:bodyDiv w:val="1"/>
      <w:marLeft w:val="0"/>
      <w:marRight w:val="0"/>
      <w:marTop w:val="0"/>
      <w:marBottom w:val="0"/>
      <w:divBdr>
        <w:top w:val="none" w:sz="0" w:space="0" w:color="auto"/>
        <w:left w:val="none" w:sz="0" w:space="0" w:color="auto"/>
        <w:bottom w:val="none" w:sz="0" w:space="0" w:color="auto"/>
        <w:right w:val="none" w:sz="0" w:space="0" w:color="auto"/>
      </w:divBdr>
    </w:div>
    <w:div w:id="1135027955">
      <w:bodyDiv w:val="1"/>
      <w:marLeft w:val="0"/>
      <w:marRight w:val="0"/>
      <w:marTop w:val="0"/>
      <w:marBottom w:val="0"/>
      <w:divBdr>
        <w:top w:val="none" w:sz="0" w:space="0" w:color="auto"/>
        <w:left w:val="none" w:sz="0" w:space="0" w:color="auto"/>
        <w:bottom w:val="none" w:sz="0" w:space="0" w:color="auto"/>
        <w:right w:val="none" w:sz="0" w:space="0" w:color="auto"/>
      </w:divBdr>
    </w:div>
    <w:div w:id="1137332105">
      <w:bodyDiv w:val="1"/>
      <w:marLeft w:val="0"/>
      <w:marRight w:val="0"/>
      <w:marTop w:val="0"/>
      <w:marBottom w:val="0"/>
      <w:divBdr>
        <w:top w:val="none" w:sz="0" w:space="0" w:color="auto"/>
        <w:left w:val="none" w:sz="0" w:space="0" w:color="auto"/>
        <w:bottom w:val="none" w:sz="0" w:space="0" w:color="auto"/>
        <w:right w:val="none" w:sz="0" w:space="0" w:color="auto"/>
      </w:divBdr>
    </w:div>
    <w:div w:id="1143276830">
      <w:bodyDiv w:val="1"/>
      <w:marLeft w:val="0"/>
      <w:marRight w:val="0"/>
      <w:marTop w:val="0"/>
      <w:marBottom w:val="0"/>
      <w:divBdr>
        <w:top w:val="none" w:sz="0" w:space="0" w:color="auto"/>
        <w:left w:val="none" w:sz="0" w:space="0" w:color="auto"/>
        <w:bottom w:val="none" w:sz="0" w:space="0" w:color="auto"/>
        <w:right w:val="none" w:sz="0" w:space="0" w:color="auto"/>
      </w:divBdr>
    </w:div>
    <w:div w:id="1143932294">
      <w:bodyDiv w:val="1"/>
      <w:marLeft w:val="0"/>
      <w:marRight w:val="0"/>
      <w:marTop w:val="0"/>
      <w:marBottom w:val="0"/>
      <w:divBdr>
        <w:top w:val="none" w:sz="0" w:space="0" w:color="auto"/>
        <w:left w:val="none" w:sz="0" w:space="0" w:color="auto"/>
        <w:bottom w:val="none" w:sz="0" w:space="0" w:color="auto"/>
        <w:right w:val="none" w:sz="0" w:space="0" w:color="auto"/>
      </w:divBdr>
    </w:div>
    <w:div w:id="1157452154">
      <w:bodyDiv w:val="1"/>
      <w:marLeft w:val="0"/>
      <w:marRight w:val="0"/>
      <w:marTop w:val="0"/>
      <w:marBottom w:val="0"/>
      <w:divBdr>
        <w:top w:val="none" w:sz="0" w:space="0" w:color="auto"/>
        <w:left w:val="none" w:sz="0" w:space="0" w:color="auto"/>
        <w:bottom w:val="none" w:sz="0" w:space="0" w:color="auto"/>
        <w:right w:val="none" w:sz="0" w:space="0" w:color="auto"/>
      </w:divBdr>
    </w:div>
    <w:div w:id="1163275527">
      <w:bodyDiv w:val="1"/>
      <w:marLeft w:val="0"/>
      <w:marRight w:val="0"/>
      <w:marTop w:val="0"/>
      <w:marBottom w:val="0"/>
      <w:divBdr>
        <w:top w:val="none" w:sz="0" w:space="0" w:color="auto"/>
        <w:left w:val="none" w:sz="0" w:space="0" w:color="auto"/>
        <w:bottom w:val="none" w:sz="0" w:space="0" w:color="auto"/>
        <w:right w:val="none" w:sz="0" w:space="0" w:color="auto"/>
      </w:divBdr>
    </w:div>
    <w:div w:id="1167868868">
      <w:bodyDiv w:val="1"/>
      <w:marLeft w:val="0"/>
      <w:marRight w:val="0"/>
      <w:marTop w:val="0"/>
      <w:marBottom w:val="0"/>
      <w:divBdr>
        <w:top w:val="none" w:sz="0" w:space="0" w:color="auto"/>
        <w:left w:val="none" w:sz="0" w:space="0" w:color="auto"/>
        <w:bottom w:val="none" w:sz="0" w:space="0" w:color="auto"/>
        <w:right w:val="none" w:sz="0" w:space="0" w:color="auto"/>
      </w:divBdr>
    </w:div>
    <w:div w:id="1183789322">
      <w:bodyDiv w:val="1"/>
      <w:marLeft w:val="0"/>
      <w:marRight w:val="0"/>
      <w:marTop w:val="0"/>
      <w:marBottom w:val="0"/>
      <w:divBdr>
        <w:top w:val="none" w:sz="0" w:space="0" w:color="auto"/>
        <w:left w:val="none" w:sz="0" w:space="0" w:color="auto"/>
        <w:bottom w:val="none" w:sz="0" w:space="0" w:color="auto"/>
        <w:right w:val="none" w:sz="0" w:space="0" w:color="auto"/>
      </w:divBdr>
    </w:div>
    <w:div w:id="1199732675">
      <w:bodyDiv w:val="1"/>
      <w:marLeft w:val="0"/>
      <w:marRight w:val="0"/>
      <w:marTop w:val="0"/>
      <w:marBottom w:val="0"/>
      <w:divBdr>
        <w:top w:val="none" w:sz="0" w:space="0" w:color="auto"/>
        <w:left w:val="none" w:sz="0" w:space="0" w:color="auto"/>
        <w:bottom w:val="none" w:sz="0" w:space="0" w:color="auto"/>
        <w:right w:val="none" w:sz="0" w:space="0" w:color="auto"/>
      </w:divBdr>
    </w:div>
    <w:div w:id="1199853065">
      <w:bodyDiv w:val="1"/>
      <w:marLeft w:val="0"/>
      <w:marRight w:val="0"/>
      <w:marTop w:val="0"/>
      <w:marBottom w:val="0"/>
      <w:divBdr>
        <w:top w:val="none" w:sz="0" w:space="0" w:color="auto"/>
        <w:left w:val="none" w:sz="0" w:space="0" w:color="auto"/>
        <w:bottom w:val="none" w:sz="0" w:space="0" w:color="auto"/>
        <w:right w:val="none" w:sz="0" w:space="0" w:color="auto"/>
      </w:divBdr>
    </w:div>
    <w:div w:id="1203638711">
      <w:bodyDiv w:val="1"/>
      <w:marLeft w:val="0"/>
      <w:marRight w:val="0"/>
      <w:marTop w:val="0"/>
      <w:marBottom w:val="0"/>
      <w:divBdr>
        <w:top w:val="none" w:sz="0" w:space="0" w:color="auto"/>
        <w:left w:val="none" w:sz="0" w:space="0" w:color="auto"/>
        <w:bottom w:val="none" w:sz="0" w:space="0" w:color="auto"/>
        <w:right w:val="none" w:sz="0" w:space="0" w:color="auto"/>
      </w:divBdr>
    </w:div>
    <w:div w:id="1204563466">
      <w:bodyDiv w:val="1"/>
      <w:marLeft w:val="0"/>
      <w:marRight w:val="0"/>
      <w:marTop w:val="0"/>
      <w:marBottom w:val="0"/>
      <w:divBdr>
        <w:top w:val="none" w:sz="0" w:space="0" w:color="auto"/>
        <w:left w:val="none" w:sz="0" w:space="0" w:color="auto"/>
        <w:bottom w:val="none" w:sz="0" w:space="0" w:color="auto"/>
        <w:right w:val="none" w:sz="0" w:space="0" w:color="auto"/>
      </w:divBdr>
    </w:div>
    <w:div w:id="1219047787">
      <w:bodyDiv w:val="1"/>
      <w:marLeft w:val="0"/>
      <w:marRight w:val="0"/>
      <w:marTop w:val="0"/>
      <w:marBottom w:val="0"/>
      <w:divBdr>
        <w:top w:val="none" w:sz="0" w:space="0" w:color="auto"/>
        <w:left w:val="none" w:sz="0" w:space="0" w:color="auto"/>
        <w:bottom w:val="none" w:sz="0" w:space="0" w:color="auto"/>
        <w:right w:val="none" w:sz="0" w:space="0" w:color="auto"/>
      </w:divBdr>
    </w:div>
    <w:div w:id="1220631351">
      <w:bodyDiv w:val="1"/>
      <w:marLeft w:val="0"/>
      <w:marRight w:val="0"/>
      <w:marTop w:val="0"/>
      <w:marBottom w:val="0"/>
      <w:divBdr>
        <w:top w:val="none" w:sz="0" w:space="0" w:color="auto"/>
        <w:left w:val="none" w:sz="0" w:space="0" w:color="auto"/>
        <w:bottom w:val="none" w:sz="0" w:space="0" w:color="auto"/>
        <w:right w:val="none" w:sz="0" w:space="0" w:color="auto"/>
      </w:divBdr>
    </w:div>
    <w:div w:id="1224173536">
      <w:bodyDiv w:val="1"/>
      <w:marLeft w:val="0"/>
      <w:marRight w:val="0"/>
      <w:marTop w:val="0"/>
      <w:marBottom w:val="0"/>
      <w:divBdr>
        <w:top w:val="none" w:sz="0" w:space="0" w:color="auto"/>
        <w:left w:val="none" w:sz="0" w:space="0" w:color="auto"/>
        <w:bottom w:val="none" w:sz="0" w:space="0" w:color="auto"/>
        <w:right w:val="none" w:sz="0" w:space="0" w:color="auto"/>
      </w:divBdr>
    </w:div>
    <w:div w:id="1225027514">
      <w:bodyDiv w:val="1"/>
      <w:marLeft w:val="0"/>
      <w:marRight w:val="0"/>
      <w:marTop w:val="0"/>
      <w:marBottom w:val="0"/>
      <w:divBdr>
        <w:top w:val="none" w:sz="0" w:space="0" w:color="auto"/>
        <w:left w:val="none" w:sz="0" w:space="0" w:color="auto"/>
        <w:bottom w:val="none" w:sz="0" w:space="0" w:color="auto"/>
        <w:right w:val="none" w:sz="0" w:space="0" w:color="auto"/>
      </w:divBdr>
    </w:div>
    <w:div w:id="1236630488">
      <w:bodyDiv w:val="1"/>
      <w:marLeft w:val="0"/>
      <w:marRight w:val="0"/>
      <w:marTop w:val="0"/>
      <w:marBottom w:val="0"/>
      <w:divBdr>
        <w:top w:val="none" w:sz="0" w:space="0" w:color="auto"/>
        <w:left w:val="none" w:sz="0" w:space="0" w:color="auto"/>
        <w:bottom w:val="none" w:sz="0" w:space="0" w:color="auto"/>
        <w:right w:val="none" w:sz="0" w:space="0" w:color="auto"/>
      </w:divBdr>
    </w:div>
    <w:div w:id="1242988446">
      <w:bodyDiv w:val="1"/>
      <w:marLeft w:val="0"/>
      <w:marRight w:val="0"/>
      <w:marTop w:val="0"/>
      <w:marBottom w:val="0"/>
      <w:divBdr>
        <w:top w:val="none" w:sz="0" w:space="0" w:color="auto"/>
        <w:left w:val="none" w:sz="0" w:space="0" w:color="auto"/>
        <w:bottom w:val="none" w:sz="0" w:space="0" w:color="auto"/>
        <w:right w:val="none" w:sz="0" w:space="0" w:color="auto"/>
      </w:divBdr>
    </w:div>
    <w:div w:id="1244490638">
      <w:bodyDiv w:val="1"/>
      <w:marLeft w:val="0"/>
      <w:marRight w:val="0"/>
      <w:marTop w:val="0"/>
      <w:marBottom w:val="0"/>
      <w:divBdr>
        <w:top w:val="none" w:sz="0" w:space="0" w:color="auto"/>
        <w:left w:val="none" w:sz="0" w:space="0" w:color="auto"/>
        <w:bottom w:val="none" w:sz="0" w:space="0" w:color="auto"/>
        <w:right w:val="none" w:sz="0" w:space="0" w:color="auto"/>
      </w:divBdr>
    </w:div>
    <w:div w:id="1248074257">
      <w:bodyDiv w:val="1"/>
      <w:marLeft w:val="0"/>
      <w:marRight w:val="0"/>
      <w:marTop w:val="0"/>
      <w:marBottom w:val="0"/>
      <w:divBdr>
        <w:top w:val="none" w:sz="0" w:space="0" w:color="auto"/>
        <w:left w:val="none" w:sz="0" w:space="0" w:color="auto"/>
        <w:bottom w:val="none" w:sz="0" w:space="0" w:color="auto"/>
        <w:right w:val="none" w:sz="0" w:space="0" w:color="auto"/>
      </w:divBdr>
      <w:divsChild>
        <w:div w:id="1128402323">
          <w:marLeft w:val="0"/>
          <w:marRight w:val="0"/>
          <w:marTop w:val="0"/>
          <w:marBottom w:val="0"/>
          <w:divBdr>
            <w:top w:val="none" w:sz="0" w:space="0" w:color="auto"/>
            <w:left w:val="none" w:sz="0" w:space="0" w:color="auto"/>
            <w:bottom w:val="none" w:sz="0" w:space="0" w:color="auto"/>
            <w:right w:val="none" w:sz="0" w:space="0" w:color="auto"/>
          </w:divBdr>
          <w:divsChild>
            <w:div w:id="302393384">
              <w:marLeft w:val="0"/>
              <w:marRight w:val="0"/>
              <w:marTop w:val="0"/>
              <w:marBottom w:val="0"/>
              <w:divBdr>
                <w:top w:val="none" w:sz="0" w:space="0" w:color="auto"/>
                <w:left w:val="none" w:sz="0" w:space="0" w:color="auto"/>
                <w:bottom w:val="none" w:sz="0" w:space="0" w:color="auto"/>
                <w:right w:val="none" w:sz="0" w:space="0" w:color="auto"/>
              </w:divBdr>
            </w:div>
            <w:div w:id="328101873">
              <w:marLeft w:val="0"/>
              <w:marRight w:val="0"/>
              <w:marTop w:val="0"/>
              <w:marBottom w:val="0"/>
              <w:divBdr>
                <w:top w:val="none" w:sz="0" w:space="0" w:color="auto"/>
                <w:left w:val="none" w:sz="0" w:space="0" w:color="auto"/>
                <w:bottom w:val="none" w:sz="0" w:space="0" w:color="auto"/>
                <w:right w:val="none" w:sz="0" w:space="0" w:color="auto"/>
              </w:divBdr>
            </w:div>
            <w:div w:id="396512923">
              <w:marLeft w:val="0"/>
              <w:marRight w:val="0"/>
              <w:marTop w:val="0"/>
              <w:marBottom w:val="0"/>
              <w:divBdr>
                <w:top w:val="none" w:sz="0" w:space="0" w:color="auto"/>
                <w:left w:val="none" w:sz="0" w:space="0" w:color="auto"/>
                <w:bottom w:val="none" w:sz="0" w:space="0" w:color="auto"/>
                <w:right w:val="none" w:sz="0" w:space="0" w:color="auto"/>
              </w:divBdr>
            </w:div>
            <w:div w:id="560603339">
              <w:marLeft w:val="0"/>
              <w:marRight w:val="0"/>
              <w:marTop w:val="0"/>
              <w:marBottom w:val="0"/>
              <w:divBdr>
                <w:top w:val="none" w:sz="0" w:space="0" w:color="auto"/>
                <w:left w:val="none" w:sz="0" w:space="0" w:color="auto"/>
                <w:bottom w:val="none" w:sz="0" w:space="0" w:color="auto"/>
                <w:right w:val="none" w:sz="0" w:space="0" w:color="auto"/>
              </w:divBdr>
            </w:div>
            <w:div w:id="570384954">
              <w:marLeft w:val="0"/>
              <w:marRight w:val="0"/>
              <w:marTop w:val="0"/>
              <w:marBottom w:val="0"/>
              <w:divBdr>
                <w:top w:val="none" w:sz="0" w:space="0" w:color="auto"/>
                <w:left w:val="none" w:sz="0" w:space="0" w:color="auto"/>
                <w:bottom w:val="none" w:sz="0" w:space="0" w:color="auto"/>
                <w:right w:val="none" w:sz="0" w:space="0" w:color="auto"/>
              </w:divBdr>
            </w:div>
            <w:div w:id="647900687">
              <w:marLeft w:val="0"/>
              <w:marRight w:val="0"/>
              <w:marTop w:val="0"/>
              <w:marBottom w:val="0"/>
              <w:divBdr>
                <w:top w:val="none" w:sz="0" w:space="0" w:color="auto"/>
                <w:left w:val="none" w:sz="0" w:space="0" w:color="auto"/>
                <w:bottom w:val="none" w:sz="0" w:space="0" w:color="auto"/>
                <w:right w:val="none" w:sz="0" w:space="0" w:color="auto"/>
              </w:divBdr>
            </w:div>
            <w:div w:id="752315852">
              <w:marLeft w:val="0"/>
              <w:marRight w:val="0"/>
              <w:marTop w:val="0"/>
              <w:marBottom w:val="0"/>
              <w:divBdr>
                <w:top w:val="none" w:sz="0" w:space="0" w:color="auto"/>
                <w:left w:val="none" w:sz="0" w:space="0" w:color="auto"/>
                <w:bottom w:val="none" w:sz="0" w:space="0" w:color="auto"/>
                <w:right w:val="none" w:sz="0" w:space="0" w:color="auto"/>
              </w:divBdr>
            </w:div>
            <w:div w:id="1196313211">
              <w:marLeft w:val="0"/>
              <w:marRight w:val="0"/>
              <w:marTop w:val="0"/>
              <w:marBottom w:val="0"/>
              <w:divBdr>
                <w:top w:val="none" w:sz="0" w:space="0" w:color="auto"/>
                <w:left w:val="none" w:sz="0" w:space="0" w:color="auto"/>
                <w:bottom w:val="none" w:sz="0" w:space="0" w:color="auto"/>
                <w:right w:val="none" w:sz="0" w:space="0" w:color="auto"/>
              </w:divBdr>
            </w:div>
            <w:div w:id="1206017736">
              <w:marLeft w:val="0"/>
              <w:marRight w:val="0"/>
              <w:marTop w:val="0"/>
              <w:marBottom w:val="0"/>
              <w:divBdr>
                <w:top w:val="none" w:sz="0" w:space="0" w:color="auto"/>
                <w:left w:val="none" w:sz="0" w:space="0" w:color="auto"/>
                <w:bottom w:val="none" w:sz="0" w:space="0" w:color="auto"/>
                <w:right w:val="none" w:sz="0" w:space="0" w:color="auto"/>
              </w:divBdr>
            </w:div>
            <w:div w:id="1253930334">
              <w:marLeft w:val="0"/>
              <w:marRight w:val="0"/>
              <w:marTop w:val="0"/>
              <w:marBottom w:val="0"/>
              <w:divBdr>
                <w:top w:val="none" w:sz="0" w:space="0" w:color="auto"/>
                <w:left w:val="none" w:sz="0" w:space="0" w:color="auto"/>
                <w:bottom w:val="none" w:sz="0" w:space="0" w:color="auto"/>
                <w:right w:val="none" w:sz="0" w:space="0" w:color="auto"/>
              </w:divBdr>
            </w:div>
            <w:div w:id="1334450259">
              <w:marLeft w:val="0"/>
              <w:marRight w:val="0"/>
              <w:marTop w:val="0"/>
              <w:marBottom w:val="0"/>
              <w:divBdr>
                <w:top w:val="none" w:sz="0" w:space="0" w:color="auto"/>
                <w:left w:val="none" w:sz="0" w:space="0" w:color="auto"/>
                <w:bottom w:val="none" w:sz="0" w:space="0" w:color="auto"/>
                <w:right w:val="none" w:sz="0" w:space="0" w:color="auto"/>
              </w:divBdr>
            </w:div>
            <w:div w:id="1382704885">
              <w:marLeft w:val="0"/>
              <w:marRight w:val="0"/>
              <w:marTop w:val="0"/>
              <w:marBottom w:val="0"/>
              <w:divBdr>
                <w:top w:val="none" w:sz="0" w:space="0" w:color="auto"/>
                <w:left w:val="none" w:sz="0" w:space="0" w:color="auto"/>
                <w:bottom w:val="none" w:sz="0" w:space="0" w:color="auto"/>
                <w:right w:val="none" w:sz="0" w:space="0" w:color="auto"/>
              </w:divBdr>
            </w:div>
            <w:div w:id="1440028107">
              <w:marLeft w:val="0"/>
              <w:marRight w:val="0"/>
              <w:marTop w:val="0"/>
              <w:marBottom w:val="0"/>
              <w:divBdr>
                <w:top w:val="none" w:sz="0" w:space="0" w:color="auto"/>
                <w:left w:val="none" w:sz="0" w:space="0" w:color="auto"/>
                <w:bottom w:val="none" w:sz="0" w:space="0" w:color="auto"/>
                <w:right w:val="none" w:sz="0" w:space="0" w:color="auto"/>
              </w:divBdr>
            </w:div>
            <w:div w:id="1537111354">
              <w:marLeft w:val="0"/>
              <w:marRight w:val="0"/>
              <w:marTop w:val="0"/>
              <w:marBottom w:val="0"/>
              <w:divBdr>
                <w:top w:val="none" w:sz="0" w:space="0" w:color="auto"/>
                <w:left w:val="none" w:sz="0" w:space="0" w:color="auto"/>
                <w:bottom w:val="none" w:sz="0" w:space="0" w:color="auto"/>
                <w:right w:val="none" w:sz="0" w:space="0" w:color="auto"/>
              </w:divBdr>
            </w:div>
            <w:div w:id="1546137875">
              <w:marLeft w:val="0"/>
              <w:marRight w:val="0"/>
              <w:marTop w:val="0"/>
              <w:marBottom w:val="0"/>
              <w:divBdr>
                <w:top w:val="none" w:sz="0" w:space="0" w:color="auto"/>
                <w:left w:val="none" w:sz="0" w:space="0" w:color="auto"/>
                <w:bottom w:val="none" w:sz="0" w:space="0" w:color="auto"/>
                <w:right w:val="none" w:sz="0" w:space="0" w:color="auto"/>
              </w:divBdr>
            </w:div>
            <w:div w:id="1549414672">
              <w:marLeft w:val="0"/>
              <w:marRight w:val="0"/>
              <w:marTop w:val="0"/>
              <w:marBottom w:val="0"/>
              <w:divBdr>
                <w:top w:val="none" w:sz="0" w:space="0" w:color="auto"/>
                <w:left w:val="none" w:sz="0" w:space="0" w:color="auto"/>
                <w:bottom w:val="none" w:sz="0" w:space="0" w:color="auto"/>
                <w:right w:val="none" w:sz="0" w:space="0" w:color="auto"/>
              </w:divBdr>
            </w:div>
            <w:div w:id="1566066088">
              <w:marLeft w:val="0"/>
              <w:marRight w:val="0"/>
              <w:marTop w:val="0"/>
              <w:marBottom w:val="0"/>
              <w:divBdr>
                <w:top w:val="none" w:sz="0" w:space="0" w:color="auto"/>
                <w:left w:val="none" w:sz="0" w:space="0" w:color="auto"/>
                <w:bottom w:val="none" w:sz="0" w:space="0" w:color="auto"/>
                <w:right w:val="none" w:sz="0" w:space="0" w:color="auto"/>
              </w:divBdr>
            </w:div>
            <w:div w:id="1855652655">
              <w:marLeft w:val="0"/>
              <w:marRight w:val="0"/>
              <w:marTop w:val="0"/>
              <w:marBottom w:val="0"/>
              <w:divBdr>
                <w:top w:val="none" w:sz="0" w:space="0" w:color="auto"/>
                <w:left w:val="none" w:sz="0" w:space="0" w:color="auto"/>
                <w:bottom w:val="none" w:sz="0" w:space="0" w:color="auto"/>
                <w:right w:val="none" w:sz="0" w:space="0" w:color="auto"/>
              </w:divBdr>
            </w:div>
            <w:div w:id="2121027929">
              <w:marLeft w:val="0"/>
              <w:marRight w:val="0"/>
              <w:marTop w:val="0"/>
              <w:marBottom w:val="0"/>
              <w:divBdr>
                <w:top w:val="none" w:sz="0" w:space="0" w:color="auto"/>
                <w:left w:val="none" w:sz="0" w:space="0" w:color="auto"/>
                <w:bottom w:val="none" w:sz="0" w:space="0" w:color="auto"/>
                <w:right w:val="none" w:sz="0" w:space="0" w:color="auto"/>
              </w:divBdr>
            </w:div>
            <w:div w:id="212437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136900">
      <w:bodyDiv w:val="1"/>
      <w:marLeft w:val="0"/>
      <w:marRight w:val="0"/>
      <w:marTop w:val="0"/>
      <w:marBottom w:val="0"/>
      <w:divBdr>
        <w:top w:val="none" w:sz="0" w:space="0" w:color="auto"/>
        <w:left w:val="none" w:sz="0" w:space="0" w:color="auto"/>
        <w:bottom w:val="none" w:sz="0" w:space="0" w:color="auto"/>
        <w:right w:val="none" w:sz="0" w:space="0" w:color="auto"/>
      </w:divBdr>
    </w:div>
    <w:div w:id="1278953025">
      <w:bodyDiv w:val="1"/>
      <w:marLeft w:val="0"/>
      <w:marRight w:val="0"/>
      <w:marTop w:val="0"/>
      <w:marBottom w:val="0"/>
      <w:divBdr>
        <w:top w:val="none" w:sz="0" w:space="0" w:color="auto"/>
        <w:left w:val="none" w:sz="0" w:space="0" w:color="auto"/>
        <w:bottom w:val="none" w:sz="0" w:space="0" w:color="auto"/>
        <w:right w:val="none" w:sz="0" w:space="0" w:color="auto"/>
      </w:divBdr>
    </w:div>
    <w:div w:id="1283151682">
      <w:bodyDiv w:val="1"/>
      <w:marLeft w:val="0"/>
      <w:marRight w:val="0"/>
      <w:marTop w:val="0"/>
      <w:marBottom w:val="0"/>
      <w:divBdr>
        <w:top w:val="none" w:sz="0" w:space="0" w:color="auto"/>
        <w:left w:val="none" w:sz="0" w:space="0" w:color="auto"/>
        <w:bottom w:val="none" w:sz="0" w:space="0" w:color="auto"/>
        <w:right w:val="none" w:sz="0" w:space="0" w:color="auto"/>
      </w:divBdr>
    </w:div>
    <w:div w:id="1284648934">
      <w:bodyDiv w:val="1"/>
      <w:marLeft w:val="0"/>
      <w:marRight w:val="0"/>
      <w:marTop w:val="0"/>
      <w:marBottom w:val="0"/>
      <w:divBdr>
        <w:top w:val="none" w:sz="0" w:space="0" w:color="auto"/>
        <w:left w:val="none" w:sz="0" w:space="0" w:color="auto"/>
        <w:bottom w:val="none" w:sz="0" w:space="0" w:color="auto"/>
        <w:right w:val="none" w:sz="0" w:space="0" w:color="auto"/>
      </w:divBdr>
    </w:div>
    <w:div w:id="1285621337">
      <w:bodyDiv w:val="1"/>
      <w:marLeft w:val="0"/>
      <w:marRight w:val="0"/>
      <w:marTop w:val="0"/>
      <w:marBottom w:val="0"/>
      <w:divBdr>
        <w:top w:val="none" w:sz="0" w:space="0" w:color="auto"/>
        <w:left w:val="none" w:sz="0" w:space="0" w:color="auto"/>
        <w:bottom w:val="none" w:sz="0" w:space="0" w:color="auto"/>
        <w:right w:val="none" w:sz="0" w:space="0" w:color="auto"/>
      </w:divBdr>
    </w:div>
    <w:div w:id="1286423159">
      <w:bodyDiv w:val="1"/>
      <w:marLeft w:val="0"/>
      <w:marRight w:val="0"/>
      <w:marTop w:val="0"/>
      <w:marBottom w:val="0"/>
      <w:divBdr>
        <w:top w:val="none" w:sz="0" w:space="0" w:color="auto"/>
        <w:left w:val="none" w:sz="0" w:space="0" w:color="auto"/>
        <w:bottom w:val="none" w:sz="0" w:space="0" w:color="auto"/>
        <w:right w:val="none" w:sz="0" w:space="0" w:color="auto"/>
      </w:divBdr>
    </w:div>
    <w:div w:id="1296183036">
      <w:bodyDiv w:val="1"/>
      <w:marLeft w:val="0"/>
      <w:marRight w:val="0"/>
      <w:marTop w:val="0"/>
      <w:marBottom w:val="0"/>
      <w:divBdr>
        <w:top w:val="none" w:sz="0" w:space="0" w:color="auto"/>
        <w:left w:val="none" w:sz="0" w:space="0" w:color="auto"/>
        <w:bottom w:val="none" w:sz="0" w:space="0" w:color="auto"/>
        <w:right w:val="none" w:sz="0" w:space="0" w:color="auto"/>
      </w:divBdr>
    </w:div>
    <w:div w:id="1298956246">
      <w:bodyDiv w:val="1"/>
      <w:marLeft w:val="0"/>
      <w:marRight w:val="0"/>
      <w:marTop w:val="0"/>
      <w:marBottom w:val="0"/>
      <w:divBdr>
        <w:top w:val="none" w:sz="0" w:space="0" w:color="auto"/>
        <w:left w:val="none" w:sz="0" w:space="0" w:color="auto"/>
        <w:bottom w:val="none" w:sz="0" w:space="0" w:color="auto"/>
        <w:right w:val="none" w:sz="0" w:space="0" w:color="auto"/>
      </w:divBdr>
    </w:div>
    <w:div w:id="1303727943">
      <w:bodyDiv w:val="1"/>
      <w:marLeft w:val="0"/>
      <w:marRight w:val="0"/>
      <w:marTop w:val="0"/>
      <w:marBottom w:val="0"/>
      <w:divBdr>
        <w:top w:val="none" w:sz="0" w:space="0" w:color="auto"/>
        <w:left w:val="none" w:sz="0" w:space="0" w:color="auto"/>
        <w:bottom w:val="none" w:sz="0" w:space="0" w:color="auto"/>
        <w:right w:val="none" w:sz="0" w:space="0" w:color="auto"/>
      </w:divBdr>
    </w:div>
    <w:div w:id="1306277351">
      <w:bodyDiv w:val="1"/>
      <w:marLeft w:val="0"/>
      <w:marRight w:val="0"/>
      <w:marTop w:val="0"/>
      <w:marBottom w:val="0"/>
      <w:divBdr>
        <w:top w:val="none" w:sz="0" w:space="0" w:color="auto"/>
        <w:left w:val="none" w:sz="0" w:space="0" w:color="auto"/>
        <w:bottom w:val="none" w:sz="0" w:space="0" w:color="auto"/>
        <w:right w:val="none" w:sz="0" w:space="0" w:color="auto"/>
      </w:divBdr>
    </w:div>
    <w:div w:id="1307128874">
      <w:bodyDiv w:val="1"/>
      <w:marLeft w:val="0"/>
      <w:marRight w:val="0"/>
      <w:marTop w:val="0"/>
      <w:marBottom w:val="0"/>
      <w:divBdr>
        <w:top w:val="none" w:sz="0" w:space="0" w:color="auto"/>
        <w:left w:val="none" w:sz="0" w:space="0" w:color="auto"/>
        <w:bottom w:val="none" w:sz="0" w:space="0" w:color="auto"/>
        <w:right w:val="none" w:sz="0" w:space="0" w:color="auto"/>
      </w:divBdr>
    </w:div>
    <w:div w:id="1311906074">
      <w:bodyDiv w:val="1"/>
      <w:marLeft w:val="0"/>
      <w:marRight w:val="0"/>
      <w:marTop w:val="0"/>
      <w:marBottom w:val="0"/>
      <w:divBdr>
        <w:top w:val="none" w:sz="0" w:space="0" w:color="auto"/>
        <w:left w:val="none" w:sz="0" w:space="0" w:color="auto"/>
        <w:bottom w:val="none" w:sz="0" w:space="0" w:color="auto"/>
        <w:right w:val="none" w:sz="0" w:space="0" w:color="auto"/>
      </w:divBdr>
    </w:div>
    <w:div w:id="1314524446">
      <w:bodyDiv w:val="1"/>
      <w:marLeft w:val="0"/>
      <w:marRight w:val="0"/>
      <w:marTop w:val="0"/>
      <w:marBottom w:val="0"/>
      <w:divBdr>
        <w:top w:val="none" w:sz="0" w:space="0" w:color="auto"/>
        <w:left w:val="none" w:sz="0" w:space="0" w:color="auto"/>
        <w:bottom w:val="none" w:sz="0" w:space="0" w:color="auto"/>
        <w:right w:val="none" w:sz="0" w:space="0" w:color="auto"/>
      </w:divBdr>
    </w:div>
    <w:div w:id="1335379424">
      <w:bodyDiv w:val="1"/>
      <w:marLeft w:val="0"/>
      <w:marRight w:val="0"/>
      <w:marTop w:val="0"/>
      <w:marBottom w:val="0"/>
      <w:divBdr>
        <w:top w:val="none" w:sz="0" w:space="0" w:color="auto"/>
        <w:left w:val="none" w:sz="0" w:space="0" w:color="auto"/>
        <w:bottom w:val="none" w:sz="0" w:space="0" w:color="auto"/>
        <w:right w:val="none" w:sz="0" w:space="0" w:color="auto"/>
      </w:divBdr>
    </w:div>
    <w:div w:id="1339772833">
      <w:bodyDiv w:val="1"/>
      <w:marLeft w:val="0"/>
      <w:marRight w:val="0"/>
      <w:marTop w:val="0"/>
      <w:marBottom w:val="0"/>
      <w:divBdr>
        <w:top w:val="none" w:sz="0" w:space="0" w:color="auto"/>
        <w:left w:val="none" w:sz="0" w:space="0" w:color="auto"/>
        <w:bottom w:val="none" w:sz="0" w:space="0" w:color="auto"/>
        <w:right w:val="none" w:sz="0" w:space="0" w:color="auto"/>
      </w:divBdr>
    </w:div>
    <w:div w:id="1343240469">
      <w:bodyDiv w:val="1"/>
      <w:marLeft w:val="0"/>
      <w:marRight w:val="0"/>
      <w:marTop w:val="0"/>
      <w:marBottom w:val="0"/>
      <w:divBdr>
        <w:top w:val="none" w:sz="0" w:space="0" w:color="auto"/>
        <w:left w:val="none" w:sz="0" w:space="0" w:color="auto"/>
        <w:bottom w:val="none" w:sz="0" w:space="0" w:color="auto"/>
        <w:right w:val="none" w:sz="0" w:space="0" w:color="auto"/>
      </w:divBdr>
    </w:div>
    <w:div w:id="1352098937">
      <w:bodyDiv w:val="1"/>
      <w:marLeft w:val="0"/>
      <w:marRight w:val="0"/>
      <w:marTop w:val="0"/>
      <w:marBottom w:val="0"/>
      <w:divBdr>
        <w:top w:val="none" w:sz="0" w:space="0" w:color="auto"/>
        <w:left w:val="none" w:sz="0" w:space="0" w:color="auto"/>
        <w:bottom w:val="none" w:sz="0" w:space="0" w:color="auto"/>
        <w:right w:val="none" w:sz="0" w:space="0" w:color="auto"/>
      </w:divBdr>
    </w:div>
    <w:div w:id="1370911114">
      <w:bodyDiv w:val="1"/>
      <w:marLeft w:val="0"/>
      <w:marRight w:val="0"/>
      <w:marTop w:val="0"/>
      <w:marBottom w:val="0"/>
      <w:divBdr>
        <w:top w:val="none" w:sz="0" w:space="0" w:color="auto"/>
        <w:left w:val="none" w:sz="0" w:space="0" w:color="auto"/>
        <w:bottom w:val="none" w:sz="0" w:space="0" w:color="auto"/>
        <w:right w:val="none" w:sz="0" w:space="0" w:color="auto"/>
      </w:divBdr>
    </w:div>
    <w:div w:id="1382364045">
      <w:bodyDiv w:val="1"/>
      <w:marLeft w:val="0"/>
      <w:marRight w:val="0"/>
      <w:marTop w:val="0"/>
      <w:marBottom w:val="0"/>
      <w:divBdr>
        <w:top w:val="none" w:sz="0" w:space="0" w:color="auto"/>
        <w:left w:val="none" w:sz="0" w:space="0" w:color="auto"/>
        <w:bottom w:val="none" w:sz="0" w:space="0" w:color="auto"/>
        <w:right w:val="none" w:sz="0" w:space="0" w:color="auto"/>
      </w:divBdr>
    </w:div>
    <w:div w:id="1397244452">
      <w:bodyDiv w:val="1"/>
      <w:marLeft w:val="0"/>
      <w:marRight w:val="0"/>
      <w:marTop w:val="0"/>
      <w:marBottom w:val="0"/>
      <w:divBdr>
        <w:top w:val="none" w:sz="0" w:space="0" w:color="auto"/>
        <w:left w:val="none" w:sz="0" w:space="0" w:color="auto"/>
        <w:bottom w:val="none" w:sz="0" w:space="0" w:color="auto"/>
        <w:right w:val="none" w:sz="0" w:space="0" w:color="auto"/>
      </w:divBdr>
    </w:div>
    <w:div w:id="1400205947">
      <w:bodyDiv w:val="1"/>
      <w:marLeft w:val="0"/>
      <w:marRight w:val="0"/>
      <w:marTop w:val="0"/>
      <w:marBottom w:val="0"/>
      <w:divBdr>
        <w:top w:val="none" w:sz="0" w:space="0" w:color="auto"/>
        <w:left w:val="none" w:sz="0" w:space="0" w:color="auto"/>
        <w:bottom w:val="none" w:sz="0" w:space="0" w:color="auto"/>
        <w:right w:val="none" w:sz="0" w:space="0" w:color="auto"/>
      </w:divBdr>
    </w:div>
    <w:div w:id="1402409457">
      <w:bodyDiv w:val="1"/>
      <w:marLeft w:val="0"/>
      <w:marRight w:val="0"/>
      <w:marTop w:val="0"/>
      <w:marBottom w:val="0"/>
      <w:divBdr>
        <w:top w:val="none" w:sz="0" w:space="0" w:color="auto"/>
        <w:left w:val="none" w:sz="0" w:space="0" w:color="auto"/>
        <w:bottom w:val="none" w:sz="0" w:space="0" w:color="auto"/>
        <w:right w:val="none" w:sz="0" w:space="0" w:color="auto"/>
      </w:divBdr>
    </w:div>
    <w:div w:id="1403404160">
      <w:bodyDiv w:val="1"/>
      <w:marLeft w:val="0"/>
      <w:marRight w:val="0"/>
      <w:marTop w:val="0"/>
      <w:marBottom w:val="0"/>
      <w:divBdr>
        <w:top w:val="none" w:sz="0" w:space="0" w:color="auto"/>
        <w:left w:val="none" w:sz="0" w:space="0" w:color="auto"/>
        <w:bottom w:val="none" w:sz="0" w:space="0" w:color="auto"/>
        <w:right w:val="none" w:sz="0" w:space="0" w:color="auto"/>
      </w:divBdr>
    </w:div>
    <w:div w:id="1410930420">
      <w:bodyDiv w:val="1"/>
      <w:marLeft w:val="0"/>
      <w:marRight w:val="0"/>
      <w:marTop w:val="0"/>
      <w:marBottom w:val="0"/>
      <w:divBdr>
        <w:top w:val="none" w:sz="0" w:space="0" w:color="auto"/>
        <w:left w:val="none" w:sz="0" w:space="0" w:color="auto"/>
        <w:bottom w:val="none" w:sz="0" w:space="0" w:color="auto"/>
        <w:right w:val="none" w:sz="0" w:space="0" w:color="auto"/>
      </w:divBdr>
    </w:div>
    <w:div w:id="1421483845">
      <w:bodyDiv w:val="1"/>
      <w:marLeft w:val="0"/>
      <w:marRight w:val="0"/>
      <w:marTop w:val="0"/>
      <w:marBottom w:val="0"/>
      <w:divBdr>
        <w:top w:val="none" w:sz="0" w:space="0" w:color="auto"/>
        <w:left w:val="none" w:sz="0" w:space="0" w:color="auto"/>
        <w:bottom w:val="none" w:sz="0" w:space="0" w:color="auto"/>
        <w:right w:val="none" w:sz="0" w:space="0" w:color="auto"/>
      </w:divBdr>
    </w:div>
    <w:div w:id="1427388476">
      <w:bodyDiv w:val="1"/>
      <w:marLeft w:val="0"/>
      <w:marRight w:val="0"/>
      <w:marTop w:val="0"/>
      <w:marBottom w:val="0"/>
      <w:divBdr>
        <w:top w:val="none" w:sz="0" w:space="0" w:color="auto"/>
        <w:left w:val="none" w:sz="0" w:space="0" w:color="auto"/>
        <w:bottom w:val="none" w:sz="0" w:space="0" w:color="auto"/>
        <w:right w:val="none" w:sz="0" w:space="0" w:color="auto"/>
      </w:divBdr>
    </w:div>
    <w:div w:id="1428502423">
      <w:bodyDiv w:val="1"/>
      <w:marLeft w:val="0"/>
      <w:marRight w:val="0"/>
      <w:marTop w:val="0"/>
      <w:marBottom w:val="0"/>
      <w:divBdr>
        <w:top w:val="none" w:sz="0" w:space="0" w:color="auto"/>
        <w:left w:val="none" w:sz="0" w:space="0" w:color="auto"/>
        <w:bottom w:val="none" w:sz="0" w:space="0" w:color="auto"/>
        <w:right w:val="none" w:sz="0" w:space="0" w:color="auto"/>
      </w:divBdr>
    </w:div>
    <w:div w:id="1439327300">
      <w:bodyDiv w:val="1"/>
      <w:marLeft w:val="0"/>
      <w:marRight w:val="0"/>
      <w:marTop w:val="0"/>
      <w:marBottom w:val="0"/>
      <w:divBdr>
        <w:top w:val="none" w:sz="0" w:space="0" w:color="auto"/>
        <w:left w:val="none" w:sz="0" w:space="0" w:color="auto"/>
        <w:bottom w:val="none" w:sz="0" w:space="0" w:color="auto"/>
        <w:right w:val="none" w:sz="0" w:space="0" w:color="auto"/>
      </w:divBdr>
    </w:div>
    <w:div w:id="1443038971">
      <w:bodyDiv w:val="1"/>
      <w:marLeft w:val="0"/>
      <w:marRight w:val="0"/>
      <w:marTop w:val="0"/>
      <w:marBottom w:val="0"/>
      <w:divBdr>
        <w:top w:val="none" w:sz="0" w:space="0" w:color="auto"/>
        <w:left w:val="none" w:sz="0" w:space="0" w:color="auto"/>
        <w:bottom w:val="none" w:sz="0" w:space="0" w:color="auto"/>
        <w:right w:val="none" w:sz="0" w:space="0" w:color="auto"/>
      </w:divBdr>
    </w:div>
    <w:div w:id="1458647133">
      <w:bodyDiv w:val="1"/>
      <w:marLeft w:val="0"/>
      <w:marRight w:val="0"/>
      <w:marTop w:val="0"/>
      <w:marBottom w:val="0"/>
      <w:divBdr>
        <w:top w:val="none" w:sz="0" w:space="0" w:color="auto"/>
        <w:left w:val="none" w:sz="0" w:space="0" w:color="auto"/>
        <w:bottom w:val="none" w:sz="0" w:space="0" w:color="auto"/>
        <w:right w:val="none" w:sz="0" w:space="0" w:color="auto"/>
      </w:divBdr>
    </w:div>
    <w:div w:id="1463616389">
      <w:bodyDiv w:val="1"/>
      <w:marLeft w:val="0"/>
      <w:marRight w:val="0"/>
      <w:marTop w:val="0"/>
      <w:marBottom w:val="0"/>
      <w:divBdr>
        <w:top w:val="none" w:sz="0" w:space="0" w:color="auto"/>
        <w:left w:val="none" w:sz="0" w:space="0" w:color="auto"/>
        <w:bottom w:val="none" w:sz="0" w:space="0" w:color="auto"/>
        <w:right w:val="none" w:sz="0" w:space="0" w:color="auto"/>
      </w:divBdr>
    </w:div>
    <w:div w:id="1468858568">
      <w:bodyDiv w:val="1"/>
      <w:marLeft w:val="0"/>
      <w:marRight w:val="0"/>
      <w:marTop w:val="0"/>
      <w:marBottom w:val="0"/>
      <w:divBdr>
        <w:top w:val="none" w:sz="0" w:space="0" w:color="auto"/>
        <w:left w:val="none" w:sz="0" w:space="0" w:color="auto"/>
        <w:bottom w:val="none" w:sz="0" w:space="0" w:color="auto"/>
        <w:right w:val="none" w:sz="0" w:space="0" w:color="auto"/>
      </w:divBdr>
    </w:div>
    <w:div w:id="1477726743">
      <w:bodyDiv w:val="1"/>
      <w:marLeft w:val="0"/>
      <w:marRight w:val="0"/>
      <w:marTop w:val="0"/>
      <w:marBottom w:val="0"/>
      <w:divBdr>
        <w:top w:val="none" w:sz="0" w:space="0" w:color="auto"/>
        <w:left w:val="none" w:sz="0" w:space="0" w:color="auto"/>
        <w:bottom w:val="none" w:sz="0" w:space="0" w:color="auto"/>
        <w:right w:val="none" w:sz="0" w:space="0" w:color="auto"/>
      </w:divBdr>
    </w:div>
    <w:div w:id="1490945984">
      <w:bodyDiv w:val="1"/>
      <w:marLeft w:val="0"/>
      <w:marRight w:val="0"/>
      <w:marTop w:val="0"/>
      <w:marBottom w:val="0"/>
      <w:divBdr>
        <w:top w:val="none" w:sz="0" w:space="0" w:color="auto"/>
        <w:left w:val="none" w:sz="0" w:space="0" w:color="auto"/>
        <w:bottom w:val="none" w:sz="0" w:space="0" w:color="auto"/>
        <w:right w:val="none" w:sz="0" w:space="0" w:color="auto"/>
      </w:divBdr>
    </w:div>
    <w:div w:id="1493982256">
      <w:bodyDiv w:val="1"/>
      <w:marLeft w:val="0"/>
      <w:marRight w:val="0"/>
      <w:marTop w:val="0"/>
      <w:marBottom w:val="0"/>
      <w:divBdr>
        <w:top w:val="none" w:sz="0" w:space="0" w:color="auto"/>
        <w:left w:val="none" w:sz="0" w:space="0" w:color="auto"/>
        <w:bottom w:val="none" w:sz="0" w:space="0" w:color="auto"/>
        <w:right w:val="none" w:sz="0" w:space="0" w:color="auto"/>
      </w:divBdr>
    </w:div>
    <w:div w:id="1495297469">
      <w:bodyDiv w:val="1"/>
      <w:marLeft w:val="0"/>
      <w:marRight w:val="0"/>
      <w:marTop w:val="0"/>
      <w:marBottom w:val="0"/>
      <w:divBdr>
        <w:top w:val="none" w:sz="0" w:space="0" w:color="auto"/>
        <w:left w:val="none" w:sz="0" w:space="0" w:color="auto"/>
        <w:bottom w:val="none" w:sz="0" w:space="0" w:color="auto"/>
        <w:right w:val="none" w:sz="0" w:space="0" w:color="auto"/>
      </w:divBdr>
    </w:div>
    <w:div w:id="1544056706">
      <w:bodyDiv w:val="1"/>
      <w:marLeft w:val="0"/>
      <w:marRight w:val="0"/>
      <w:marTop w:val="0"/>
      <w:marBottom w:val="0"/>
      <w:divBdr>
        <w:top w:val="none" w:sz="0" w:space="0" w:color="auto"/>
        <w:left w:val="none" w:sz="0" w:space="0" w:color="auto"/>
        <w:bottom w:val="none" w:sz="0" w:space="0" w:color="auto"/>
        <w:right w:val="none" w:sz="0" w:space="0" w:color="auto"/>
      </w:divBdr>
    </w:div>
    <w:div w:id="1553729364">
      <w:bodyDiv w:val="1"/>
      <w:marLeft w:val="0"/>
      <w:marRight w:val="0"/>
      <w:marTop w:val="0"/>
      <w:marBottom w:val="0"/>
      <w:divBdr>
        <w:top w:val="none" w:sz="0" w:space="0" w:color="auto"/>
        <w:left w:val="none" w:sz="0" w:space="0" w:color="auto"/>
        <w:bottom w:val="none" w:sz="0" w:space="0" w:color="auto"/>
        <w:right w:val="none" w:sz="0" w:space="0" w:color="auto"/>
      </w:divBdr>
    </w:div>
    <w:div w:id="1554586470">
      <w:bodyDiv w:val="1"/>
      <w:marLeft w:val="0"/>
      <w:marRight w:val="0"/>
      <w:marTop w:val="0"/>
      <w:marBottom w:val="0"/>
      <w:divBdr>
        <w:top w:val="none" w:sz="0" w:space="0" w:color="auto"/>
        <w:left w:val="none" w:sz="0" w:space="0" w:color="auto"/>
        <w:bottom w:val="none" w:sz="0" w:space="0" w:color="auto"/>
        <w:right w:val="none" w:sz="0" w:space="0" w:color="auto"/>
      </w:divBdr>
    </w:div>
    <w:div w:id="1555774118">
      <w:bodyDiv w:val="1"/>
      <w:marLeft w:val="0"/>
      <w:marRight w:val="0"/>
      <w:marTop w:val="0"/>
      <w:marBottom w:val="0"/>
      <w:divBdr>
        <w:top w:val="none" w:sz="0" w:space="0" w:color="auto"/>
        <w:left w:val="none" w:sz="0" w:space="0" w:color="auto"/>
        <w:bottom w:val="none" w:sz="0" w:space="0" w:color="auto"/>
        <w:right w:val="none" w:sz="0" w:space="0" w:color="auto"/>
      </w:divBdr>
    </w:div>
    <w:div w:id="1557549068">
      <w:bodyDiv w:val="1"/>
      <w:marLeft w:val="0"/>
      <w:marRight w:val="0"/>
      <w:marTop w:val="0"/>
      <w:marBottom w:val="0"/>
      <w:divBdr>
        <w:top w:val="none" w:sz="0" w:space="0" w:color="auto"/>
        <w:left w:val="none" w:sz="0" w:space="0" w:color="auto"/>
        <w:bottom w:val="none" w:sz="0" w:space="0" w:color="auto"/>
        <w:right w:val="none" w:sz="0" w:space="0" w:color="auto"/>
      </w:divBdr>
    </w:div>
    <w:div w:id="1568489225">
      <w:bodyDiv w:val="1"/>
      <w:marLeft w:val="0"/>
      <w:marRight w:val="0"/>
      <w:marTop w:val="0"/>
      <w:marBottom w:val="0"/>
      <w:divBdr>
        <w:top w:val="none" w:sz="0" w:space="0" w:color="auto"/>
        <w:left w:val="none" w:sz="0" w:space="0" w:color="auto"/>
        <w:bottom w:val="none" w:sz="0" w:space="0" w:color="auto"/>
        <w:right w:val="none" w:sz="0" w:space="0" w:color="auto"/>
      </w:divBdr>
    </w:div>
    <w:div w:id="1570379984">
      <w:bodyDiv w:val="1"/>
      <w:marLeft w:val="0"/>
      <w:marRight w:val="0"/>
      <w:marTop w:val="0"/>
      <w:marBottom w:val="0"/>
      <w:divBdr>
        <w:top w:val="none" w:sz="0" w:space="0" w:color="auto"/>
        <w:left w:val="none" w:sz="0" w:space="0" w:color="auto"/>
        <w:bottom w:val="none" w:sz="0" w:space="0" w:color="auto"/>
        <w:right w:val="none" w:sz="0" w:space="0" w:color="auto"/>
      </w:divBdr>
    </w:div>
    <w:div w:id="1574509222">
      <w:bodyDiv w:val="1"/>
      <w:marLeft w:val="0"/>
      <w:marRight w:val="0"/>
      <w:marTop w:val="0"/>
      <w:marBottom w:val="0"/>
      <w:divBdr>
        <w:top w:val="none" w:sz="0" w:space="0" w:color="auto"/>
        <w:left w:val="none" w:sz="0" w:space="0" w:color="auto"/>
        <w:bottom w:val="none" w:sz="0" w:space="0" w:color="auto"/>
        <w:right w:val="none" w:sz="0" w:space="0" w:color="auto"/>
      </w:divBdr>
    </w:div>
    <w:div w:id="1580872706">
      <w:bodyDiv w:val="1"/>
      <w:marLeft w:val="0"/>
      <w:marRight w:val="0"/>
      <w:marTop w:val="0"/>
      <w:marBottom w:val="0"/>
      <w:divBdr>
        <w:top w:val="none" w:sz="0" w:space="0" w:color="auto"/>
        <w:left w:val="none" w:sz="0" w:space="0" w:color="auto"/>
        <w:bottom w:val="none" w:sz="0" w:space="0" w:color="auto"/>
        <w:right w:val="none" w:sz="0" w:space="0" w:color="auto"/>
      </w:divBdr>
    </w:div>
    <w:div w:id="1590038101">
      <w:bodyDiv w:val="1"/>
      <w:marLeft w:val="0"/>
      <w:marRight w:val="0"/>
      <w:marTop w:val="0"/>
      <w:marBottom w:val="0"/>
      <w:divBdr>
        <w:top w:val="none" w:sz="0" w:space="0" w:color="auto"/>
        <w:left w:val="none" w:sz="0" w:space="0" w:color="auto"/>
        <w:bottom w:val="none" w:sz="0" w:space="0" w:color="auto"/>
        <w:right w:val="none" w:sz="0" w:space="0" w:color="auto"/>
      </w:divBdr>
    </w:div>
    <w:div w:id="1609854617">
      <w:bodyDiv w:val="1"/>
      <w:marLeft w:val="0"/>
      <w:marRight w:val="0"/>
      <w:marTop w:val="0"/>
      <w:marBottom w:val="0"/>
      <w:divBdr>
        <w:top w:val="none" w:sz="0" w:space="0" w:color="auto"/>
        <w:left w:val="none" w:sz="0" w:space="0" w:color="auto"/>
        <w:bottom w:val="none" w:sz="0" w:space="0" w:color="auto"/>
        <w:right w:val="none" w:sz="0" w:space="0" w:color="auto"/>
      </w:divBdr>
    </w:div>
    <w:div w:id="1618020803">
      <w:bodyDiv w:val="1"/>
      <w:marLeft w:val="0"/>
      <w:marRight w:val="0"/>
      <w:marTop w:val="0"/>
      <w:marBottom w:val="0"/>
      <w:divBdr>
        <w:top w:val="none" w:sz="0" w:space="0" w:color="auto"/>
        <w:left w:val="none" w:sz="0" w:space="0" w:color="auto"/>
        <w:bottom w:val="none" w:sz="0" w:space="0" w:color="auto"/>
        <w:right w:val="none" w:sz="0" w:space="0" w:color="auto"/>
      </w:divBdr>
    </w:div>
    <w:div w:id="1619481489">
      <w:bodyDiv w:val="1"/>
      <w:marLeft w:val="0"/>
      <w:marRight w:val="0"/>
      <w:marTop w:val="0"/>
      <w:marBottom w:val="0"/>
      <w:divBdr>
        <w:top w:val="none" w:sz="0" w:space="0" w:color="auto"/>
        <w:left w:val="none" w:sz="0" w:space="0" w:color="auto"/>
        <w:bottom w:val="none" w:sz="0" w:space="0" w:color="auto"/>
        <w:right w:val="none" w:sz="0" w:space="0" w:color="auto"/>
      </w:divBdr>
    </w:div>
    <w:div w:id="1622762427">
      <w:bodyDiv w:val="1"/>
      <w:marLeft w:val="0"/>
      <w:marRight w:val="0"/>
      <w:marTop w:val="0"/>
      <w:marBottom w:val="0"/>
      <w:divBdr>
        <w:top w:val="none" w:sz="0" w:space="0" w:color="auto"/>
        <w:left w:val="none" w:sz="0" w:space="0" w:color="auto"/>
        <w:bottom w:val="none" w:sz="0" w:space="0" w:color="auto"/>
        <w:right w:val="none" w:sz="0" w:space="0" w:color="auto"/>
      </w:divBdr>
    </w:div>
    <w:div w:id="1628390041">
      <w:bodyDiv w:val="1"/>
      <w:marLeft w:val="0"/>
      <w:marRight w:val="0"/>
      <w:marTop w:val="0"/>
      <w:marBottom w:val="0"/>
      <w:divBdr>
        <w:top w:val="none" w:sz="0" w:space="0" w:color="auto"/>
        <w:left w:val="none" w:sz="0" w:space="0" w:color="auto"/>
        <w:bottom w:val="none" w:sz="0" w:space="0" w:color="auto"/>
        <w:right w:val="none" w:sz="0" w:space="0" w:color="auto"/>
      </w:divBdr>
    </w:div>
    <w:div w:id="1632982799">
      <w:bodyDiv w:val="1"/>
      <w:marLeft w:val="0"/>
      <w:marRight w:val="0"/>
      <w:marTop w:val="0"/>
      <w:marBottom w:val="0"/>
      <w:divBdr>
        <w:top w:val="none" w:sz="0" w:space="0" w:color="auto"/>
        <w:left w:val="none" w:sz="0" w:space="0" w:color="auto"/>
        <w:bottom w:val="none" w:sz="0" w:space="0" w:color="auto"/>
        <w:right w:val="none" w:sz="0" w:space="0" w:color="auto"/>
      </w:divBdr>
    </w:div>
    <w:div w:id="1635914212">
      <w:bodyDiv w:val="1"/>
      <w:marLeft w:val="0"/>
      <w:marRight w:val="0"/>
      <w:marTop w:val="0"/>
      <w:marBottom w:val="0"/>
      <w:divBdr>
        <w:top w:val="none" w:sz="0" w:space="0" w:color="auto"/>
        <w:left w:val="none" w:sz="0" w:space="0" w:color="auto"/>
        <w:bottom w:val="none" w:sz="0" w:space="0" w:color="auto"/>
        <w:right w:val="none" w:sz="0" w:space="0" w:color="auto"/>
      </w:divBdr>
    </w:div>
    <w:div w:id="1638413698">
      <w:bodyDiv w:val="1"/>
      <w:marLeft w:val="0"/>
      <w:marRight w:val="0"/>
      <w:marTop w:val="0"/>
      <w:marBottom w:val="0"/>
      <w:divBdr>
        <w:top w:val="none" w:sz="0" w:space="0" w:color="auto"/>
        <w:left w:val="none" w:sz="0" w:space="0" w:color="auto"/>
        <w:bottom w:val="none" w:sz="0" w:space="0" w:color="auto"/>
        <w:right w:val="none" w:sz="0" w:space="0" w:color="auto"/>
      </w:divBdr>
    </w:div>
    <w:div w:id="1656058930">
      <w:bodyDiv w:val="1"/>
      <w:marLeft w:val="0"/>
      <w:marRight w:val="0"/>
      <w:marTop w:val="0"/>
      <w:marBottom w:val="0"/>
      <w:divBdr>
        <w:top w:val="none" w:sz="0" w:space="0" w:color="auto"/>
        <w:left w:val="none" w:sz="0" w:space="0" w:color="auto"/>
        <w:bottom w:val="none" w:sz="0" w:space="0" w:color="auto"/>
        <w:right w:val="none" w:sz="0" w:space="0" w:color="auto"/>
      </w:divBdr>
    </w:div>
    <w:div w:id="1656104900">
      <w:bodyDiv w:val="1"/>
      <w:marLeft w:val="0"/>
      <w:marRight w:val="0"/>
      <w:marTop w:val="0"/>
      <w:marBottom w:val="0"/>
      <w:divBdr>
        <w:top w:val="none" w:sz="0" w:space="0" w:color="auto"/>
        <w:left w:val="none" w:sz="0" w:space="0" w:color="auto"/>
        <w:bottom w:val="none" w:sz="0" w:space="0" w:color="auto"/>
        <w:right w:val="none" w:sz="0" w:space="0" w:color="auto"/>
      </w:divBdr>
    </w:div>
    <w:div w:id="1656377388">
      <w:bodyDiv w:val="1"/>
      <w:marLeft w:val="0"/>
      <w:marRight w:val="0"/>
      <w:marTop w:val="0"/>
      <w:marBottom w:val="0"/>
      <w:divBdr>
        <w:top w:val="none" w:sz="0" w:space="0" w:color="auto"/>
        <w:left w:val="none" w:sz="0" w:space="0" w:color="auto"/>
        <w:bottom w:val="none" w:sz="0" w:space="0" w:color="auto"/>
        <w:right w:val="none" w:sz="0" w:space="0" w:color="auto"/>
      </w:divBdr>
    </w:div>
    <w:div w:id="1672950473">
      <w:bodyDiv w:val="1"/>
      <w:marLeft w:val="0"/>
      <w:marRight w:val="0"/>
      <w:marTop w:val="0"/>
      <w:marBottom w:val="0"/>
      <w:divBdr>
        <w:top w:val="none" w:sz="0" w:space="0" w:color="auto"/>
        <w:left w:val="none" w:sz="0" w:space="0" w:color="auto"/>
        <w:bottom w:val="none" w:sz="0" w:space="0" w:color="auto"/>
        <w:right w:val="none" w:sz="0" w:space="0" w:color="auto"/>
      </w:divBdr>
    </w:div>
    <w:div w:id="1676107884">
      <w:bodyDiv w:val="1"/>
      <w:marLeft w:val="0"/>
      <w:marRight w:val="0"/>
      <w:marTop w:val="0"/>
      <w:marBottom w:val="0"/>
      <w:divBdr>
        <w:top w:val="none" w:sz="0" w:space="0" w:color="auto"/>
        <w:left w:val="none" w:sz="0" w:space="0" w:color="auto"/>
        <w:bottom w:val="none" w:sz="0" w:space="0" w:color="auto"/>
        <w:right w:val="none" w:sz="0" w:space="0" w:color="auto"/>
      </w:divBdr>
    </w:div>
    <w:div w:id="1679457402">
      <w:bodyDiv w:val="1"/>
      <w:marLeft w:val="0"/>
      <w:marRight w:val="0"/>
      <w:marTop w:val="0"/>
      <w:marBottom w:val="0"/>
      <w:divBdr>
        <w:top w:val="none" w:sz="0" w:space="0" w:color="auto"/>
        <w:left w:val="none" w:sz="0" w:space="0" w:color="auto"/>
        <w:bottom w:val="none" w:sz="0" w:space="0" w:color="auto"/>
        <w:right w:val="none" w:sz="0" w:space="0" w:color="auto"/>
      </w:divBdr>
    </w:div>
    <w:div w:id="1679650665">
      <w:bodyDiv w:val="1"/>
      <w:marLeft w:val="0"/>
      <w:marRight w:val="0"/>
      <w:marTop w:val="0"/>
      <w:marBottom w:val="0"/>
      <w:divBdr>
        <w:top w:val="none" w:sz="0" w:space="0" w:color="auto"/>
        <w:left w:val="none" w:sz="0" w:space="0" w:color="auto"/>
        <w:bottom w:val="none" w:sz="0" w:space="0" w:color="auto"/>
        <w:right w:val="none" w:sz="0" w:space="0" w:color="auto"/>
      </w:divBdr>
    </w:div>
    <w:div w:id="1692682247">
      <w:bodyDiv w:val="1"/>
      <w:marLeft w:val="0"/>
      <w:marRight w:val="0"/>
      <w:marTop w:val="0"/>
      <w:marBottom w:val="0"/>
      <w:divBdr>
        <w:top w:val="none" w:sz="0" w:space="0" w:color="auto"/>
        <w:left w:val="none" w:sz="0" w:space="0" w:color="auto"/>
        <w:bottom w:val="none" w:sz="0" w:space="0" w:color="auto"/>
        <w:right w:val="none" w:sz="0" w:space="0" w:color="auto"/>
      </w:divBdr>
    </w:div>
    <w:div w:id="1692953686">
      <w:bodyDiv w:val="1"/>
      <w:marLeft w:val="0"/>
      <w:marRight w:val="0"/>
      <w:marTop w:val="0"/>
      <w:marBottom w:val="0"/>
      <w:divBdr>
        <w:top w:val="none" w:sz="0" w:space="0" w:color="auto"/>
        <w:left w:val="none" w:sz="0" w:space="0" w:color="auto"/>
        <w:bottom w:val="none" w:sz="0" w:space="0" w:color="auto"/>
        <w:right w:val="none" w:sz="0" w:space="0" w:color="auto"/>
      </w:divBdr>
    </w:div>
    <w:div w:id="1695690461">
      <w:bodyDiv w:val="1"/>
      <w:marLeft w:val="0"/>
      <w:marRight w:val="0"/>
      <w:marTop w:val="0"/>
      <w:marBottom w:val="0"/>
      <w:divBdr>
        <w:top w:val="none" w:sz="0" w:space="0" w:color="auto"/>
        <w:left w:val="none" w:sz="0" w:space="0" w:color="auto"/>
        <w:bottom w:val="none" w:sz="0" w:space="0" w:color="auto"/>
        <w:right w:val="none" w:sz="0" w:space="0" w:color="auto"/>
      </w:divBdr>
    </w:div>
    <w:div w:id="1702317299">
      <w:bodyDiv w:val="1"/>
      <w:marLeft w:val="0"/>
      <w:marRight w:val="0"/>
      <w:marTop w:val="0"/>
      <w:marBottom w:val="0"/>
      <w:divBdr>
        <w:top w:val="none" w:sz="0" w:space="0" w:color="auto"/>
        <w:left w:val="none" w:sz="0" w:space="0" w:color="auto"/>
        <w:bottom w:val="none" w:sz="0" w:space="0" w:color="auto"/>
        <w:right w:val="none" w:sz="0" w:space="0" w:color="auto"/>
      </w:divBdr>
    </w:div>
    <w:div w:id="1704791578">
      <w:bodyDiv w:val="1"/>
      <w:marLeft w:val="0"/>
      <w:marRight w:val="0"/>
      <w:marTop w:val="0"/>
      <w:marBottom w:val="0"/>
      <w:divBdr>
        <w:top w:val="none" w:sz="0" w:space="0" w:color="auto"/>
        <w:left w:val="none" w:sz="0" w:space="0" w:color="auto"/>
        <w:bottom w:val="none" w:sz="0" w:space="0" w:color="auto"/>
        <w:right w:val="none" w:sz="0" w:space="0" w:color="auto"/>
      </w:divBdr>
    </w:div>
    <w:div w:id="1709378412">
      <w:bodyDiv w:val="1"/>
      <w:marLeft w:val="0"/>
      <w:marRight w:val="0"/>
      <w:marTop w:val="0"/>
      <w:marBottom w:val="0"/>
      <w:divBdr>
        <w:top w:val="none" w:sz="0" w:space="0" w:color="auto"/>
        <w:left w:val="none" w:sz="0" w:space="0" w:color="auto"/>
        <w:bottom w:val="none" w:sz="0" w:space="0" w:color="auto"/>
        <w:right w:val="none" w:sz="0" w:space="0" w:color="auto"/>
      </w:divBdr>
    </w:div>
    <w:div w:id="1711491231">
      <w:bodyDiv w:val="1"/>
      <w:marLeft w:val="0"/>
      <w:marRight w:val="0"/>
      <w:marTop w:val="0"/>
      <w:marBottom w:val="0"/>
      <w:divBdr>
        <w:top w:val="none" w:sz="0" w:space="0" w:color="auto"/>
        <w:left w:val="none" w:sz="0" w:space="0" w:color="auto"/>
        <w:bottom w:val="none" w:sz="0" w:space="0" w:color="auto"/>
        <w:right w:val="none" w:sz="0" w:space="0" w:color="auto"/>
      </w:divBdr>
    </w:div>
    <w:div w:id="1713454707">
      <w:bodyDiv w:val="1"/>
      <w:marLeft w:val="0"/>
      <w:marRight w:val="0"/>
      <w:marTop w:val="0"/>
      <w:marBottom w:val="0"/>
      <w:divBdr>
        <w:top w:val="none" w:sz="0" w:space="0" w:color="auto"/>
        <w:left w:val="none" w:sz="0" w:space="0" w:color="auto"/>
        <w:bottom w:val="none" w:sz="0" w:space="0" w:color="auto"/>
        <w:right w:val="none" w:sz="0" w:space="0" w:color="auto"/>
      </w:divBdr>
    </w:div>
    <w:div w:id="1716350013">
      <w:bodyDiv w:val="1"/>
      <w:marLeft w:val="0"/>
      <w:marRight w:val="0"/>
      <w:marTop w:val="0"/>
      <w:marBottom w:val="0"/>
      <w:divBdr>
        <w:top w:val="none" w:sz="0" w:space="0" w:color="auto"/>
        <w:left w:val="none" w:sz="0" w:space="0" w:color="auto"/>
        <w:bottom w:val="none" w:sz="0" w:space="0" w:color="auto"/>
        <w:right w:val="none" w:sz="0" w:space="0" w:color="auto"/>
      </w:divBdr>
    </w:div>
    <w:div w:id="1722511328">
      <w:bodyDiv w:val="1"/>
      <w:marLeft w:val="0"/>
      <w:marRight w:val="0"/>
      <w:marTop w:val="0"/>
      <w:marBottom w:val="0"/>
      <w:divBdr>
        <w:top w:val="none" w:sz="0" w:space="0" w:color="auto"/>
        <w:left w:val="none" w:sz="0" w:space="0" w:color="auto"/>
        <w:bottom w:val="none" w:sz="0" w:space="0" w:color="auto"/>
        <w:right w:val="none" w:sz="0" w:space="0" w:color="auto"/>
      </w:divBdr>
    </w:div>
    <w:div w:id="1727991380">
      <w:bodyDiv w:val="1"/>
      <w:marLeft w:val="0"/>
      <w:marRight w:val="0"/>
      <w:marTop w:val="0"/>
      <w:marBottom w:val="0"/>
      <w:divBdr>
        <w:top w:val="none" w:sz="0" w:space="0" w:color="auto"/>
        <w:left w:val="none" w:sz="0" w:space="0" w:color="auto"/>
        <w:bottom w:val="none" w:sz="0" w:space="0" w:color="auto"/>
        <w:right w:val="none" w:sz="0" w:space="0" w:color="auto"/>
      </w:divBdr>
    </w:div>
    <w:div w:id="1729917999">
      <w:bodyDiv w:val="1"/>
      <w:marLeft w:val="0"/>
      <w:marRight w:val="0"/>
      <w:marTop w:val="0"/>
      <w:marBottom w:val="0"/>
      <w:divBdr>
        <w:top w:val="none" w:sz="0" w:space="0" w:color="auto"/>
        <w:left w:val="none" w:sz="0" w:space="0" w:color="auto"/>
        <w:bottom w:val="none" w:sz="0" w:space="0" w:color="auto"/>
        <w:right w:val="none" w:sz="0" w:space="0" w:color="auto"/>
      </w:divBdr>
    </w:div>
    <w:div w:id="1742017612">
      <w:bodyDiv w:val="1"/>
      <w:marLeft w:val="0"/>
      <w:marRight w:val="0"/>
      <w:marTop w:val="0"/>
      <w:marBottom w:val="0"/>
      <w:divBdr>
        <w:top w:val="none" w:sz="0" w:space="0" w:color="auto"/>
        <w:left w:val="none" w:sz="0" w:space="0" w:color="auto"/>
        <w:bottom w:val="none" w:sz="0" w:space="0" w:color="auto"/>
        <w:right w:val="none" w:sz="0" w:space="0" w:color="auto"/>
      </w:divBdr>
    </w:div>
    <w:div w:id="1748501443">
      <w:bodyDiv w:val="1"/>
      <w:marLeft w:val="0"/>
      <w:marRight w:val="0"/>
      <w:marTop w:val="0"/>
      <w:marBottom w:val="0"/>
      <w:divBdr>
        <w:top w:val="none" w:sz="0" w:space="0" w:color="auto"/>
        <w:left w:val="none" w:sz="0" w:space="0" w:color="auto"/>
        <w:bottom w:val="none" w:sz="0" w:space="0" w:color="auto"/>
        <w:right w:val="none" w:sz="0" w:space="0" w:color="auto"/>
      </w:divBdr>
    </w:div>
    <w:div w:id="1762796242">
      <w:bodyDiv w:val="1"/>
      <w:marLeft w:val="0"/>
      <w:marRight w:val="0"/>
      <w:marTop w:val="0"/>
      <w:marBottom w:val="0"/>
      <w:divBdr>
        <w:top w:val="none" w:sz="0" w:space="0" w:color="auto"/>
        <w:left w:val="none" w:sz="0" w:space="0" w:color="auto"/>
        <w:bottom w:val="none" w:sz="0" w:space="0" w:color="auto"/>
        <w:right w:val="none" w:sz="0" w:space="0" w:color="auto"/>
      </w:divBdr>
    </w:div>
    <w:div w:id="1765807752">
      <w:bodyDiv w:val="1"/>
      <w:marLeft w:val="0"/>
      <w:marRight w:val="0"/>
      <w:marTop w:val="0"/>
      <w:marBottom w:val="0"/>
      <w:divBdr>
        <w:top w:val="none" w:sz="0" w:space="0" w:color="auto"/>
        <w:left w:val="none" w:sz="0" w:space="0" w:color="auto"/>
        <w:bottom w:val="none" w:sz="0" w:space="0" w:color="auto"/>
        <w:right w:val="none" w:sz="0" w:space="0" w:color="auto"/>
      </w:divBdr>
    </w:div>
    <w:div w:id="1768890108">
      <w:bodyDiv w:val="1"/>
      <w:marLeft w:val="0"/>
      <w:marRight w:val="0"/>
      <w:marTop w:val="0"/>
      <w:marBottom w:val="0"/>
      <w:divBdr>
        <w:top w:val="none" w:sz="0" w:space="0" w:color="auto"/>
        <w:left w:val="none" w:sz="0" w:space="0" w:color="auto"/>
        <w:bottom w:val="none" w:sz="0" w:space="0" w:color="auto"/>
        <w:right w:val="none" w:sz="0" w:space="0" w:color="auto"/>
      </w:divBdr>
    </w:div>
    <w:div w:id="1769352043">
      <w:bodyDiv w:val="1"/>
      <w:marLeft w:val="0"/>
      <w:marRight w:val="0"/>
      <w:marTop w:val="0"/>
      <w:marBottom w:val="0"/>
      <w:divBdr>
        <w:top w:val="none" w:sz="0" w:space="0" w:color="auto"/>
        <w:left w:val="none" w:sz="0" w:space="0" w:color="auto"/>
        <w:bottom w:val="none" w:sz="0" w:space="0" w:color="auto"/>
        <w:right w:val="none" w:sz="0" w:space="0" w:color="auto"/>
      </w:divBdr>
    </w:div>
    <w:div w:id="1772503492">
      <w:bodyDiv w:val="1"/>
      <w:marLeft w:val="0"/>
      <w:marRight w:val="0"/>
      <w:marTop w:val="0"/>
      <w:marBottom w:val="0"/>
      <w:divBdr>
        <w:top w:val="none" w:sz="0" w:space="0" w:color="auto"/>
        <w:left w:val="none" w:sz="0" w:space="0" w:color="auto"/>
        <w:bottom w:val="none" w:sz="0" w:space="0" w:color="auto"/>
        <w:right w:val="none" w:sz="0" w:space="0" w:color="auto"/>
      </w:divBdr>
    </w:div>
    <w:div w:id="1774396467">
      <w:bodyDiv w:val="1"/>
      <w:marLeft w:val="0"/>
      <w:marRight w:val="0"/>
      <w:marTop w:val="0"/>
      <w:marBottom w:val="0"/>
      <w:divBdr>
        <w:top w:val="none" w:sz="0" w:space="0" w:color="auto"/>
        <w:left w:val="none" w:sz="0" w:space="0" w:color="auto"/>
        <w:bottom w:val="none" w:sz="0" w:space="0" w:color="auto"/>
        <w:right w:val="none" w:sz="0" w:space="0" w:color="auto"/>
      </w:divBdr>
    </w:div>
    <w:div w:id="1779445004">
      <w:bodyDiv w:val="1"/>
      <w:marLeft w:val="0"/>
      <w:marRight w:val="0"/>
      <w:marTop w:val="0"/>
      <w:marBottom w:val="0"/>
      <w:divBdr>
        <w:top w:val="none" w:sz="0" w:space="0" w:color="auto"/>
        <w:left w:val="none" w:sz="0" w:space="0" w:color="auto"/>
        <w:bottom w:val="none" w:sz="0" w:space="0" w:color="auto"/>
        <w:right w:val="none" w:sz="0" w:space="0" w:color="auto"/>
      </w:divBdr>
    </w:div>
    <w:div w:id="1782676600">
      <w:bodyDiv w:val="1"/>
      <w:marLeft w:val="0"/>
      <w:marRight w:val="0"/>
      <w:marTop w:val="0"/>
      <w:marBottom w:val="0"/>
      <w:divBdr>
        <w:top w:val="none" w:sz="0" w:space="0" w:color="auto"/>
        <w:left w:val="none" w:sz="0" w:space="0" w:color="auto"/>
        <w:bottom w:val="none" w:sz="0" w:space="0" w:color="auto"/>
        <w:right w:val="none" w:sz="0" w:space="0" w:color="auto"/>
      </w:divBdr>
    </w:div>
    <w:div w:id="1789229248">
      <w:bodyDiv w:val="1"/>
      <w:marLeft w:val="0"/>
      <w:marRight w:val="0"/>
      <w:marTop w:val="0"/>
      <w:marBottom w:val="0"/>
      <w:divBdr>
        <w:top w:val="none" w:sz="0" w:space="0" w:color="auto"/>
        <w:left w:val="none" w:sz="0" w:space="0" w:color="auto"/>
        <w:bottom w:val="none" w:sz="0" w:space="0" w:color="auto"/>
        <w:right w:val="none" w:sz="0" w:space="0" w:color="auto"/>
      </w:divBdr>
    </w:div>
    <w:div w:id="1790660833">
      <w:bodyDiv w:val="1"/>
      <w:marLeft w:val="0"/>
      <w:marRight w:val="0"/>
      <w:marTop w:val="0"/>
      <w:marBottom w:val="0"/>
      <w:divBdr>
        <w:top w:val="none" w:sz="0" w:space="0" w:color="auto"/>
        <w:left w:val="none" w:sz="0" w:space="0" w:color="auto"/>
        <w:bottom w:val="none" w:sz="0" w:space="0" w:color="auto"/>
        <w:right w:val="none" w:sz="0" w:space="0" w:color="auto"/>
      </w:divBdr>
    </w:div>
    <w:div w:id="1795363238">
      <w:bodyDiv w:val="1"/>
      <w:marLeft w:val="0"/>
      <w:marRight w:val="0"/>
      <w:marTop w:val="0"/>
      <w:marBottom w:val="0"/>
      <w:divBdr>
        <w:top w:val="none" w:sz="0" w:space="0" w:color="auto"/>
        <w:left w:val="none" w:sz="0" w:space="0" w:color="auto"/>
        <w:bottom w:val="none" w:sz="0" w:space="0" w:color="auto"/>
        <w:right w:val="none" w:sz="0" w:space="0" w:color="auto"/>
      </w:divBdr>
    </w:div>
    <w:div w:id="1803572668">
      <w:bodyDiv w:val="1"/>
      <w:marLeft w:val="0"/>
      <w:marRight w:val="0"/>
      <w:marTop w:val="0"/>
      <w:marBottom w:val="0"/>
      <w:divBdr>
        <w:top w:val="none" w:sz="0" w:space="0" w:color="auto"/>
        <w:left w:val="none" w:sz="0" w:space="0" w:color="auto"/>
        <w:bottom w:val="none" w:sz="0" w:space="0" w:color="auto"/>
        <w:right w:val="none" w:sz="0" w:space="0" w:color="auto"/>
      </w:divBdr>
    </w:div>
    <w:div w:id="1807624694">
      <w:bodyDiv w:val="1"/>
      <w:marLeft w:val="0"/>
      <w:marRight w:val="0"/>
      <w:marTop w:val="0"/>
      <w:marBottom w:val="0"/>
      <w:divBdr>
        <w:top w:val="none" w:sz="0" w:space="0" w:color="auto"/>
        <w:left w:val="none" w:sz="0" w:space="0" w:color="auto"/>
        <w:bottom w:val="none" w:sz="0" w:space="0" w:color="auto"/>
        <w:right w:val="none" w:sz="0" w:space="0" w:color="auto"/>
      </w:divBdr>
    </w:div>
    <w:div w:id="1825387305">
      <w:bodyDiv w:val="1"/>
      <w:marLeft w:val="0"/>
      <w:marRight w:val="0"/>
      <w:marTop w:val="0"/>
      <w:marBottom w:val="0"/>
      <w:divBdr>
        <w:top w:val="none" w:sz="0" w:space="0" w:color="auto"/>
        <w:left w:val="none" w:sz="0" w:space="0" w:color="auto"/>
        <w:bottom w:val="none" w:sz="0" w:space="0" w:color="auto"/>
        <w:right w:val="none" w:sz="0" w:space="0" w:color="auto"/>
      </w:divBdr>
    </w:div>
    <w:div w:id="1826969904">
      <w:bodyDiv w:val="1"/>
      <w:marLeft w:val="0"/>
      <w:marRight w:val="0"/>
      <w:marTop w:val="0"/>
      <w:marBottom w:val="0"/>
      <w:divBdr>
        <w:top w:val="none" w:sz="0" w:space="0" w:color="auto"/>
        <w:left w:val="none" w:sz="0" w:space="0" w:color="auto"/>
        <w:bottom w:val="none" w:sz="0" w:space="0" w:color="auto"/>
        <w:right w:val="none" w:sz="0" w:space="0" w:color="auto"/>
      </w:divBdr>
    </w:div>
    <w:div w:id="1831746009">
      <w:bodyDiv w:val="1"/>
      <w:marLeft w:val="0"/>
      <w:marRight w:val="0"/>
      <w:marTop w:val="0"/>
      <w:marBottom w:val="0"/>
      <w:divBdr>
        <w:top w:val="none" w:sz="0" w:space="0" w:color="auto"/>
        <w:left w:val="none" w:sz="0" w:space="0" w:color="auto"/>
        <w:bottom w:val="none" w:sz="0" w:space="0" w:color="auto"/>
        <w:right w:val="none" w:sz="0" w:space="0" w:color="auto"/>
      </w:divBdr>
    </w:div>
    <w:div w:id="1845626331">
      <w:bodyDiv w:val="1"/>
      <w:marLeft w:val="0"/>
      <w:marRight w:val="0"/>
      <w:marTop w:val="0"/>
      <w:marBottom w:val="0"/>
      <w:divBdr>
        <w:top w:val="none" w:sz="0" w:space="0" w:color="auto"/>
        <w:left w:val="none" w:sz="0" w:space="0" w:color="auto"/>
        <w:bottom w:val="none" w:sz="0" w:space="0" w:color="auto"/>
        <w:right w:val="none" w:sz="0" w:space="0" w:color="auto"/>
      </w:divBdr>
    </w:div>
    <w:div w:id="1849172999">
      <w:bodyDiv w:val="1"/>
      <w:marLeft w:val="0"/>
      <w:marRight w:val="0"/>
      <w:marTop w:val="0"/>
      <w:marBottom w:val="0"/>
      <w:divBdr>
        <w:top w:val="none" w:sz="0" w:space="0" w:color="auto"/>
        <w:left w:val="none" w:sz="0" w:space="0" w:color="auto"/>
        <w:bottom w:val="none" w:sz="0" w:space="0" w:color="auto"/>
        <w:right w:val="none" w:sz="0" w:space="0" w:color="auto"/>
      </w:divBdr>
    </w:div>
    <w:div w:id="1857840079">
      <w:bodyDiv w:val="1"/>
      <w:marLeft w:val="0"/>
      <w:marRight w:val="0"/>
      <w:marTop w:val="0"/>
      <w:marBottom w:val="0"/>
      <w:divBdr>
        <w:top w:val="none" w:sz="0" w:space="0" w:color="auto"/>
        <w:left w:val="none" w:sz="0" w:space="0" w:color="auto"/>
        <w:bottom w:val="none" w:sz="0" w:space="0" w:color="auto"/>
        <w:right w:val="none" w:sz="0" w:space="0" w:color="auto"/>
      </w:divBdr>
    </w:div>
    <w:div w:id="1860385406">
      <w:bodyDiv w:val="1"/>
      <w:marLeft w:val="0"/>
      <w:marRight w:val="0"/>
      <w:marTop w:val="0"/>
      <w:marBottom w:val="0"/>
      <w:divBdr>
        <w:top w:val="none" w:sz="0" w:space="0" w:color="auto"/>
        <w:left w:val="none" w:sz="0" w:space="0" w:color="auto"/>
        <w:bottom w:val="none" w:sz="0" w:space="0" w:color="auto"/>
        <w:right w:val="none" w:sz="0" w:space="0" w:color="auto"/>
      </w:divBdr>
    </w:div>
    <w:div w:id="1874687078">
      <w:bodyDiv w:val="1"/>
      <w:marLeft w:val="0"/>
      <w:marRight w:val="0"/>
      <w:marTop w:val="0"/>
      <w:marBottom w:val="0"/>
      <w:divBdr>
        <w:top w:val="none" w:sz="0" w:space="0" w:color="auto"/>
        <w:left w:val="none" w:sz="0" w:space="0" w:color="auto"/>
        <w:bottom w:val="none" w:sz="0" w:space="0" w:color="auto"/>
        <w:right w:val="none" w:sz="0" w:space="0" w:color="auto"/>
      </w:divBdr>
    </w:div>
    <w:div w:id="1880585227">
      <w:bodyDiv w:val="1"/>
      <w:marLeft w:val="0"/>
      <w:marRight w:val="0"/>
      <w:marTop w:val="0"/>
      <w:marBottom w:val="0"/>
      <w:divBdr>
        <w:top w:val="none" w:sz="0" w:space="0" w:color="auto"/>
        <w:left w:val="none" w:sz="0" w:space="0" w:color="auto"/>
        <w:bottom w:val="none" w:sz="0" w:space="0" w:color="auto"/>
        <w:right w:val="none" w:sz="0" w:space="0" w:color="auto"/>
      </w:divBdr>
    </w:div>
    <w:div w:id="1881478555">
      <w:bodyDiv w:val="1"/>
      <w:marLeft w:val="0"/>
      <w:marRight w:val="0"/>
      <w:marTop w:val="0"/>
      <w:marBottom w:val="0"/>
      <w:divBdr>
        <w:top w:val="none" w:sz="0" w:space="0" w:color="auto"/>
        <w:left w:val="none" w:sz="0" w:space="0" w:color="auto"/>
        <w:bottom w:val="none" w:sz="0" w:space="0" w:color="auto"/>
        <w:right w:val="none" w:sz="0" w:space="0" w:color="auto"/>
      </w:divBdr>
    </w:div>
    <w:div w:id="1882159958">
      <w:bodyDiv w:val="1"/>
      <w:marLeft w:val="0"/>
      <w:marRight w:val="0"/>
      <w:marTop w:val="0"/>
      <w:marBottom w:val="0"/>
      <w:divBdr>
        <w:top w:val="none" w:sz="0" w:space="0" w:color="auto"/>
        <w:left w:val="none" w:sz="0" w:space="0" w:color="auto"/>
        <w:bottom w:val="none" w:sz="0" w:space="0" w:color="auto"/>
        <w:right w:val="none" w:sz="0" w:space="0" w:color="auto"/>
      </w:divBdr>
    </w:div>
    <w:div w:id="1883664767">
      <w:bodyDiv w:val="1"/>
      <w:marLeft w:val="0"/>
      <w:marRight w:val="0"/>
      <w:marTop w:val="0"/>
      <w:marBottom w:val="0"/>
      <w:divBdr>
        <w:top w:val="none" w:sz="0" w:space="0" w:color="auto"/>
        <w:left w:val="none" w:sz="0" w:space="0" w:color="auto"/>
        <w:bottom w:val="none" w:sz="0" w:space="0" w:color="auto"/>
        <w:right w:val="none" w:sz="0" w:space="0" w:color="auto"/>
      </w:divBdr>
    </w:div>
    <w:div w:id="1889993552">
      <w:bodyDiv w:val="1"/>
      <w:marLeft w:val="0"/>
      <w:marRight w:val="0"/>
      <w:marTop w:val="0"/>
      <w:marBottom w:val="0"/>
      <w:divBdr>
        <w:top w:val="none" w:sz="0" w:space="0" w:color="auto"/>
        <w:left w:val="none" w:sz="0" w:space="0" w:color="auto"/>
        <w:bottom w:val="none" w:sz="0" w:space="0" w:color="auto"/>
        <w:right w:val="none" w:sz="0" w:space="0" w:color="auto"/>
      </w:divBdr>
    </w:div>
    <w:div w:id="1898205164">
      <w:bodyDiv w:val="1"/>
      <w:marLeft w:val="0"/>
      <w:marRight w:val="0"/>
      <w:marTop w:val="0"/>
      <w:marBottom w:val="0"/>
      <w:divBdr>
        <w:top w:val="none" w:sz="0" w:space="0" w:color="auto"/>
        <w:left w:val="none" w:sz="0" w:space="0" w:color="auto"/>
        <w:bottom w:val="none" w:sz="0" w:space="0" w:color="auto"/>
        <w:right w:val="none" w:sz="0" w:space="0" w:color="auto"/>
      </w:divBdr>
    </w:div>
    <w:div w:id="1901362955">
      <w:bodyDiv w:val="1"/>
      <w:marLeft w:val="0"/>
      <w:marRight w:val="0"/>
      <w:marTop w:val="0"/>
      <w:marBottom w:val="0"/>
      <w:divBdr>
        <w:top w:val="none" w:sz="0" w:space="0" w:color="auto"/>
        <w:left w:val="none" w:sz="0" w:space="0" w:color="auto"/>
        <w:bottom w:val="none" w:sz="0" w:space="0" w:color="auto"/>
        <w:right w:val="none" w:sz="0" w:space="0" w:color="auto"/>
      </w:divBdr>
    </w:div>
    <w:div w:id="1904633722">
      <w:bodyDiv w:val="1"/>
      <w:marLeft w:val="0"/>
      <w:marRight w:val="0"/>
      <w:marTop w:val="0"/>
      <w:marBottom w:val="0"/>
      <w:divBdr>
        <w:top w:val="none" w:sz="0" w:space="0" w:color="auto"/>
        <w:left w:val="none" w:sz="0" w:space="0" w:color="auto"/>
        <w:bottom w:val="none" w:sz="0" w:space="0" w:color="auto"/>
        <w:right w:val="none" w:sz="0" w:space="0" w:color="auto"/>
      </w:divBdr>
    </w:div>
    <w:div w:id="1912694768">
      <w:bodyDiv w:val="1"/>
      <w:marLeft w:val="0"/>
      <w:marRight w:val="0"/>
      <w:marTop w:val="0"/>
      <w:marBottom w:val="0"/>
      <w:divBdr>
        <w:top w:val="none" w:sz="0" w:space="0" w:color="auto"/>
        <w:left w:val="none" w:sz="0" w:space="0" w:color="auto"/>
        <w:bottom w:val="none" w:sz="0" w:space="0" w:color="auto"/>
        <w:right w:val="none" w:sz="0" w:space="0" w:color="auto"/>
      </w:divBdr>
    </w:div>
    <w:div w:id="1917131193">
      <w:bodyDiv w:val="1"/>
      <w:marLeft w:val="0"/>
      <w:marRight w:val="0"/>
      <w:marTop w:val="0"/>
      <w:marBottom w:val="0"/>
      <w:divBdr>
        <w:top w:val="none" w:sz="0" w:space="0" w:color="auto"/>
        <w:left w:val="none" w:sz="0" w:space="0" w:color="auto"/>
        <w:bottom w:val="none" w:sz="0" w:space="0" w:color="auto"/>
        <w:right w:val="none" w:sz="0" w:space="0" w:color="auto"/>
      </w:divBdr>
    </w:div>
    <w:div w:id="1920553185">
      <w:bodyDiv w:val="1"/>
      <w:marLeft w:val="0"/>
      <w:marRight w:val="0"/>
      <w:marTop w:val="0"/>
      <w:marBottom w:val="0"/>
      <w:divBdr>
        <w:top w:val="none" w:sz="0" w:space="0" w:color="auto"/>
        <w:left w:val="none" w:sz="0" w:space="0" w:color="auto"/>
        <w:bottom w:val="none" w:sz="0" w:space="0" w:color="auto"/>
        <w:right w:val="none" w:sz="0" w:space="0" w:color="auto"/>
      </w:divBdr>
    </w:div>
    <w:div w:id="1925802194">
      <w:bodyDiv w:val="1"/>
      <w:marLeft w:val="0"/>
      <w:marRight w:val="0"/>
      <w:marTop w:val="0"/>
      <w:marBottom w:val="0"/>
      <w:divBdr>
        <w:top w:val="none" w:sz="0" w:space="0" w:color="auto"/>
        <w:left w:val="none" w:sz="0" w:space="0" w:color="auto"/>
        <w:bottom w:val="none" w:sz="0" w:space="0" w:color="auto"/>
        <w:right w:val="none" w:sz="0" w:space="0" w:color="auto"/>
      </w:divBdr>
    </w:div>
    <w:div w:id="1938370587">
      <w:bodyDiv w:val="1"/>
      <w:marLeft w:val="0"/>
      <w:marRight w:val="0"/>
      <w:marTop w:val="0"/>
      <w:marBottom w:val="0"/>
      <w:divBdr>
        <w:top w:val="none" w:sz="0" w:space="0" w:color="auto"/>
        <w:left w:val="none" w:sz="0" w:space="0" w:color="auto"/>
        <w:bottom w:val="none" w:sz="0" w:space="0" w:color="auto"/>
        <w:right w:val="none" w:sz="0" w:space="0" w:color="auto"/>
      </w:divBdr>
    </w:div>
    <w:div w:id="1939869451">
      <w:bodyDiv w:val="1"/>
      <w:marLeft w:val="0"/>
      <w:marRight w:val="0"/>
      <w:marTop w:val="0"/>
      <w:marBottom w:val="0"/>
      <w:divBdr>
        <w:top w:val="none" w:sz="0" w:space="0" w:color="auto"/>
        <w:left w:val="none" w:sz="0" w:space="0" w:color="auto"/>
        <w:bottom w:val="none" w:sz="0" w:space="0" w:color="auto"/>
        <w:right w:val="none" w:sz="0" w:space="0" w:color="auto"/>
      </w:divBdr>
    </w:div>
    <w:div w:id="1940528814">
      <w:bodyDiv w:val="1"/>
      <w:marLeft w:val="0"/>
      <w:marRight w:val="0"/>
      <w:marTop w:val="0"/>
      <w:marBottom w:val="0"/>
      <w:divBdr>
        <w:top w:val="none" w:sz="0" w:space="0" w:color="auto"/>
        <w:left w:val="none" w:sz="0" w:space="0" w:color="auto"/>
        <w:bottom w:val="none" w:sz="0" w:space="0" w:color="auto"/>
        <w:right w:val="none" w:sz="0" w:space="0" w:color="auto"/>
      </w:divBdr>
    </w:div>
    <w:div w:id="1953895471">
      <w:bodyDiv w:val="1"/>
      <w:marLeft w:val="0"/>
      <w:marRight w:val="0"/>
      <w:marTop w:val="0"/>
      <w:marBottom w:val="0"/>
      <w:divBdr>
        <w:top w:val="none" w:sz="0" w:space="0" w:color="auto"/>
        <w:left w:val="none" w:sz="0" w:space="0" w:color="auto"/>
        <w:bottom w:val="none" w:sz="0" w:space="0" w:color="auto"/>
        <w:right w:val="none" w:sz="0" w:space="0" w:color="auto"/>
      </w:divBdr>
    </w:div>
    <w:div w:id="1953974488">
      <w:bodyDiv w:val="1"/>
      <w:marLeft w:val="0"/>
      <w:marRight w:val="0"/>
      <w:marTop w:val="0"/>
      <w:marBottom w:val="0"/>
      <w:divBdr>
        <w:top w:val="none" w:sz="0" w:space="0" w:color="auto"/>
        <w:left w:val="none" w:sz="0" w:space="0" w:color="auto"/>
        <w:bottom w:val="none" w:sz="0" w:space="0" w:color="auto"/>
        <w:right w:val="none" w:sz="0" w:space="0" w:color="auto"/>
      </w:divBdr>
    </w:div>
    <w:div w:id="1957059803">
      <w:bodyDiv w:val="1"/>
      <w:marLeft w:val="0"/>
      <w:marRight w:val="0"/>
      <w:marTop w:val="0"/>
      <w:marBottom w:val="0"/>
      <w:divBdr>
        <w:top w:val="none" w:sz="0" w:space="0" w:color="auto"/>
        <w:left w:val="none" w:sz="0" w:space="0" w:color="auto"/>
        <w:bottom w:val="none" w:sz="0" w:space="0" w:color="auto"/>
        <w:right w:val="none" w:sz="0" w:space="0" w:color="auto"/>
      </w:divBdr>
    </w:div>
    <w:div w:id="1963222757">
      <w:bodyDiv w:val="1"/>
      <w:marLeft w:val="0"/>
      <w:marRight w:val="0"/>
      <w:marTop w:val="0"/>
      <w:marBottom w:val="0"/>
      <w:divBdr>
        <w:top w:val="none" w:sz="0" w:space="0" w:color="auto"/>
        <w:left w:val="none" w:sz="0" w:space="0" w:color="auto"/>
        <w:bottom w:val="none" w:sz="0" w:space="0" w:color="auto"/>
        <w:right w:val="none" w:sz="0" w:space="0" w:color="auto"/>
      </w:divBdr>
    </w:div>
    <w:div w:id="1965501347">
      <w:bodyDiv w:val="1"/>
      <w:marLeft w:val="0"/>
      <w:marRight w:val="0"/>
      <w:marTop w:val="0"/>
      <w:marBottom w:val="0"/>
      <w:divBdr>
        <w:top w:val="none" w:sz="0" w:space="0" w:color="auto"/>
        <w:left w:val="none" w:sz="0" w:space="0" w:color="auto"/>
        <w:bottom w:val="none" w:sz="0" w:space="0" w:color="auto"/>
        <w:right w:val="none" w:sz="0" w:space="0" w:color="auto"/>
      </w:divBdr>
    </w:div>
    <w:div w:id="1969968823">
      <w:bodyDiv w:val="1"/>
      <w:marLeft w:val="0"/>
      <w:marRight w:val="0"/>
      <w:marTop w:val="0"/>
      <w:marBottom w:val="0"/>
      <w:divBdr>
        <w:top w:val="none" w:sz="0" w:space="0" w:color="auto"/>
        <w:left w:val="none" w:sz="0" w:space="0" w:color="auto"/>
        <w:bottom w:val="none" w:sz="0" w:space="0" w:color="auto"/>
        <w:right w:val="none" w:sz="0" w:space="0" w:color="auto"/>
      </w:divBdr>
    </w:div>
    <w:div w:id="1971857890">
      <w:bodyDiv w:val="1"/>
      <w:marLeft w:val="0"/>
      <w:marRight w:val="0"/>
      <w:marTop w:val="0"/>
      <w:marBottom w:val="0"/>
      <w:divBdr>
        <w:top w:val="none" w:sz="0" w:space="0" w:color="auto"/>
        <w:left w:val="none" w:sz="0" w:space="0" w:color="auto"/>
        <w:bottom w:val="none" w:sz="0" w:space="0" w:color="auto"/>
        <w:right w:val="none" w:sz="0" w:space="0" w:color="auto"/>
      </w:divBdr>
    </w:div>
    <w:div w:id="1974746481">
      <w:bodyDiv w:val="1"/>
      <w:marLeft w:val="0"/>
      <w:marRight w:val="0"/>
      <w:marTop w:val="0"/>
      <w:marBottom w:val="0"/>
      <w:divBdr>
        <w:top w:val="none" w:sz="0" w:space="0" w:color="auto"/>
        <w:left w:val="none" w:sz="0" w:space="0" w:color="auto"/>
        <w:bottom w:val="none" w:sz="0" w:space="0" w:color="auto"/>
        <w:right w:val="none" w:sz="0" w:space="0" w:color="auto"/>
      </w:divBdr>
    </w:div>
    <w:div w:id="1978486993">
      <w:bodyDiv w:val="1"/>
      <w:marLeft w:val="0"/>
      <w:marRight w:val="0"/>
      <w:marTop w:val="0"/>
      <w:marBottom w:val="0"/>
      <w:divBdr>
        <w:top w:val="none" w:sz="0" w:space="0" w:color="auto"/>
        <w:left w:val="none" w:sz="0" w:space="0" w:color="auto"/>
        <w:bottom w:val="none" w:sz="0" w:space="0" w:color="auto"/>
        <w:right w:val="none" w:sz="0" w:space="0" w:color="auto"/>
      </w:divBdr>
    </w:div>
    <w:div w:id="1979410732">
      <w:bodyDiv w:val="1"/>
      <w:marLeft w:val="0"/>
      <w:marRight w:val="0"/>
      <w:marTop w:val="0"/>
      <w:marBottom w:val="0"/>
      <w:divBdr>
        <w:top w:val="none" w:sz="0" w:space="0" w:color="auto"/>
        <w:left w:val="none" w:sz="0" w:space="0" w:color="auto"/>
        <w:bottom w:val="none" w:sz="0" w:space="0" w:color="auto"/>
        <w:right w:val="none" w:sz="0" w:space="0" w:color="auto"/>
      </w:divBdr>
    </w:div>
    <w:div w:id="1983725738">
      <w:bodyDiv w:val="1"/>
      <w:marLeft w:val="0"/>
      <w:marRight w:val="0"/>
      <w:marTop w:val="0"/>
      <w:marBottom w:val="0"/>
      <w:divBdr>
        <w:top w:val="none" w:sz="0" w:space="0" w:color="auto"/>
        <w:left w:val="none" w:sz="0" w:space="0" w:color="auto"/>
        <w:bottom w:val="none" w:sz="0" w:space="0" w:color="auto"/>
        <w:right w:val="none" w:sz="0" w:space="0" w:color="auto"/>
      </w:divBdr>
    </w:div>
    <w:div w:id="1987470908">
      <w:bodyDiv w:val="1"/>
      <w:marLeft w:val="0"/>
      <w:marRight w:val="0"/>
      <w:marTop w:val="0"/>
      <w:marBottom w:val="0"/>
      <w:divBdr>
        <w:top w:val="none" w:sz="0" w:space="0" w:color="auto"/>
        <w:left w:val="none" w:sz="0" w:space="0" w:color="auto"/>
        <w:bottom w:val="none" w:sz="0" w:space="0" w:color="auto"/>
        <w:right w:val="none" w:sz="0" w:space="0" w:color="auto"/>
      </w:divBdr>
    </w:div>
    <w:div w:id="2011173359">
      <w:bodyDiv w:val="1"/>
      <w:marLeft w:val="0"/>
      <w:marRight w:val="0"/>
      <w:marTop w:val="0"/>
      <w:marBottom w:val="0"/>
      <w:divBdr>
        <w:top w:val="none" w:sz="0" w:space="0" w:color="auto"/>
        <w:left w:val="none" w:sz="0" w:space="0" w:color="auto"/>
        <w:bottom w:val="none" w:sz="0" w:space="0" w:color="auto"/>
        <w:right w:val="none" w:sz="0" w:space="0" w:color="auto"/>
      </w:divBdr>
    </w:div>
    <w:div w:id="2013482535">
      <w:bodyDiv w:val="1"/>
      <w:marLeft w:val="0"/>
      <w:marRight w:val="0"/>
      <w:marTop w:val="0"/>
      <w:marBottom w:val="0"/>
      <w:divBdr>
        <w:top w:val="none" w:sz="0" w:space="0" w:color="auto"/>
        <w:left w:val="none" w:sz="0" w:space="0" w:color="auto"/>
        <w:bottom w:val="none" w:sz="0" w:space="0" w:color="auto"/>
        <w:right w:val="none" w:sz="0" w:space="0" w:color="auto"/>
      </w:divBdr>
    </w:div>
    <w:div w:id="2028675476">
      <w:bodyDiv w:val="1"/>
      <w:marLeft w:val="0"/>
      <w:marRight w:val="0"/>
      <w:marTop w:val="0"/>
      <w:marBottom w:val="0"/>
      <w:divBdr>
        <w:top w:val="none" w:sz="0" w:space="0" w:color="auto"/>
        <w:left w:val="none" w:sz="0" w:space="0" w:color="auto"/>
        <w:bottom w:val="none" w:sz="0" w:space="0" w:color="auto"/>
        <w:right w:val="none" w:sz="0" w:space="0" w:color="auto"/>
      </w:divBdr>
    </w:div>
    <w:div w:id="2037001774">
      <w:bodyDiv w:val="1"/>
      <w:marLeft w:val="0"/>
      <w:marRight w:val="0"/>
      <w:marTop w:val="0"/>
      <w:marBottom w:val="0"/>
      <w:divBdr>
        <w:top w:val="none" w:sz="0" w:space="0" w:color="auto"/>
        <w:left w:val="none" w:sz="0" w:space="0" w:color="auto"/>
        <w:bottom w:val="none" w:sz="0" w:space="0" w:color="auto"/>
        <w:right w:val="none" w:sz="0" w:space="0" w:color="auto"/>
      </w:divBdr>
    </w:div>
    <w:div w:id="2048292405">
      <w:bodyDiv w:val="1"/>
      <w:marLeft w:val="0"/>
      <w:marRight w:val="0"/>
      <w:marTop w:val="0"/>
      <w:marBottom w:val="0"/>
      <w:divBdr>
        <w:top w:val="none" w:sz="0" w:space="0" w:color="auto"/>
        <w:left w:val="none" w:sz="0" w:space="0" w:color="auto"/>
        <w:bottom w:val="none" w:sz="0" w:space="0" w:color="auto"/>
        <w:right w:val="none" w:sz="0" w:space="0" w:color="auto"/>
      </w:divBdr>
    </w:div>
    <w:div w:id="2048751774">
      <w:bodyDiv w:val="1"/>
      <w:marLeft w:val="0"/>
      <w:marRight w:val="0"/>
      <w:marTop w:val="0"/>
      <w:marBottom w:val="0"/>
      <w:divBdr>
        <w:top w:val="none" w:sz="0" w:space="0" w:color="auto"/>
        <w:left w:val="none" w:sz="0" w:space="0" w:color="auto"/>
        <w:bottom w:val="none" w:sz="0" w:space="0" w:color="auto"/>
        <w:right w:val="none" w:sz="0" w:space="0" w:color="auto"/>
      </w:divBdr>
    </w:div>
    <w:div w:id="2052345410">
      <w:bodyDiv w:val="1"/>
      <w:marLeft w:val="0"/>
      <w:marRight w:val="0"/>
      <w:marTop w:val="0"/>
      <w:marBottom w:val="0"/>
      <w:divBdr>
        <w:top w:val="none" w:sz="0" w:space="0" w:color="auto"/>
        <w:left w:val="none" w:sz="0" w:space="0" w:color="auto"/>
        <w:bottom w:val="none" w:sz="0" w:space="0" w:color="auto"/>
        <w:right w:val="none" w:sz="0" w:space="0" w:color="auto"/>
      </w:divBdr>
    </w:div>
    <w:div w:id="2063286215">
      <w:bodyDiv w:val="1"/>
      <w:marLeft w:val="0"/>
      <w:marRight w:val="0"/>
      <w:marTop w:val="0"/>
      <w:marBottom w:val="0"/>
      <w:divBdr>
        <w:top w:val="none" w:sz="0" w:space="0" w:color="auto"/>
        <w:left w:val="none" w:sz="0" w:space="0" w:color="auto"/>
        <w:bottom w:val="none" w:sz="0" w:space="0" w:color="auto"/>
        <w:right w:val="none" w:sz="0" w:space="0" w:color="auto"/>
      </w:divBdr>
    </w:div>
    <w:div w:id="2064743851">
      <w:bodyDiv w:val="1"/>
      <w:marLeft w:val="0"/>
      <w:marRight w:val="0"/>
      <w:marTop w:val="0"/>
      <w:marBottom w:val="0"/>
      <w:divBdr>
        <w:top w:val="none" w:sz="0" w:space="0" w:color="auto"/>
        <w:left w:val="none" w:sz="0" w:space="0" w:color="auto"/>
        <w:bottom w:val="none" w:sz="0" w:space="0" w:color="auto"/>
        <w:right w:val="none" w:sz="0" w:space="0" w:color="auto"/>
      </w:divBdr>
    </w:div>
    <w:div w:id="2071808117">
      <w:bodyDiv w:val="1"/>
      <w:marLeft w:val="0"/>
      <w:marRight w:val="0"/>
      <w:marTop w:val="0"/>
      <w:marBottom w:val="0"/>
      <w:divBdr>
        <w:top w:val="none" w:sz="0" w:space="0" w:color="auto"/>
        <w:left w:val="none" w:sz="0" w:space="0" w:color="auto"/>
        <w:bottom w:val="none" w:sz="0" w:space="0" w:color="auto"/>
        <w:right w:val="none" w:sz="0" w:space="0" w:color="auto"/>
      </w:divBdr>
    </w:div>
    <w:div w:id="2086100427">
      <w:bodyDiv w:val="1"/>
      <w:marLeft w:val="0"/>
      <w:marRight w:val="0"/>
      <w:marTop w:val="0"/>
      <w:marBottom w:val="0"/>
      <w:divBdr>
        <w:top w:val="none" w:sz="0" w:space="0" w:color="auto"/>
        <w:left w:val="none" w:sz="0" w:space="0" w:color="auto"/>
        <w:bottom w:val="none" w:sz="0" w:space="0" w:color="auto"/>
        <w:right w:val="none" w:sz="0" w:space="0" w:color="auto"/>
      </w:divBdr>
    </w:div>
    <w:div w:id="2090302275">
      <w:bodyDiv w:val="1"/>
      <w:marLeft w:val="0"/>
      <w:marRight w:val="0"/>
      <w:marTop w:val="0"/>
      <w:marBottom w:val="0"/>
      <w:divBdr>
        <w:top w:val="none" w:sz="0" w:space="0" w:color="auto"/>
        <w:left w:val="none" w:sz="0" w:space="0" w:color="auto"/>
        <w:bottom w:val="none" w:sz="0" w:space="0" w:color="auto"/>
        <w:right w:val="none" w:sz="0" w:space="0" w:color="auto"/>
      </w:divBdr>
    </w:div>
    <w:div w:id="2108580239">
      <w:bodyDiv w:val="1"/>
      <w:marLeft w:val="0"/>
      <w:marRight w:val="0"/>
      <w:marTop w:val="0"/>
      <w:marBottom w:val="0"/>
      <w:divBdr>
        <w:top w:val="none" w:sz="0" w:space="0" w:color="auto"/>
        <w:left w:val="none" w:sz="0" w:space="0" w:color="auto"/>
        <w:bottom w:val="none" w:sz="0" w:space="0" w:color="auto"/>
        <w:right w:val="none" w:sz="0" w:space="0" w:color="auto"/>
      </w:divBdr>
    </w:div>
    <w:div w:id="2109420188">
      <w:bodyDiv w:val="1"/>
      <w:marLeft w:val="0"/>
      <w:marRight w:val="0"/>
      <w:marTop w:val="0"/>
      <w:marBottom w:val="0"/>
      <w:divBdr>
        <w:top w:val="none" w:sz="0" w:space="0" w:color="auto"/>
        <w:left w:val="none" w:sz="0" w:space="0" w:color="auto"/>
        <w:bottom w:val="none" w:sz="0" w:space="0" w:color="auto"/>
        <w:right w:val="none" w:sz="0" w:space="0" w:color="auto"/>
      </w:divBdr>
    </w:div>
    <w:div w:id="2120835962">
      <w:bodyDiv w:val="1"/>
      <w:marLeft w:val="0"/>
      <w:marRight w:val="0"/>
      <w:marTop w:val="0"/>
      <w:marBottom w:val="0"/>
      <w:divBdr>
        <w:top w:val="none" w:sz="0" w:space="0" w:color="auto"/>
        <w:left w:val="none" w:sz="0" w:space="0" w:color="auto"/>
        <w:bottom w:val="none" w:sz="0" w:space="0" w:color="auto"/>
        <w:right w:val="none" w:sz="0" w:space="0" w:color="auto"/>
      </w:divBdr>
    </w:div>
    <w:div w:id="2127504710">
      <w:bodyDiv w:val="1"/>
      <w:marLeft w:val="0"/>
      <w:marRight w:val="0"/>
      <w:marTop w:val="0"/>
      <w:marBottom w:val="0"/>
      <w:divBdr>
        <w:top w:val="none" w:sz="0" w:space="0" w:color="auto"/>
        <w:left w:val="none" w:sz="0" w:space="0" w:color="auto"/>
        <w:bottom w:val="none" w:sz="0" w:space="0" w:color="auto"/>
        <w:right w:val="none" w:sz="0" w:space="0" w:color="auto"/>
      </w:divBdr>
    </w:div>
    <w:div w:id="2129273629">
      <w:bodyDiv w:val="1"/>
      <w:marLeft w:val="0"/>
      <w:marRight w:val="0"/>
      <w:marTop w:val="0"/>
      <w:marBottom w:val="0"/>
      <w:divBdr>
        <w:top w:val="none" w:sz="0" w:space="0" w:color="auto"/>
        <w:left w:val="none" w:sz="0" w:space="0" w:color="auto"/>
        <w:bottom w:val="none" w:sz="0" w:space="0" w:color="auto"/>
        <w:right w:val="none" w:sz="0" w:space="0" w:color="auto"/>
      </w:divBdr>
    </w:div>
    <w:div w:id="2141334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footer" Target="footer2.xml"/><Relationship Id="rId21" Type="http://schemas.openxmlformats.org/officeDocument/2006/relationships/chart" Target="charts/chart9.xml"/><Relationship Id="rId34" Type="http://schemas.openxmlformats.org/officeDocument/2006/relationships/chart" Target="charts/chart1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1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12.xml"/><Relationship Id="rId32" Type="http://schemas.openxmlformats.org/officeDocument/2006/relationships/header" Target="header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header" Target="header2.xml"/><Relationship Id="rId36" Type="http://schemas.openxmlformats.org/officeDocument/2006/relationships/header" Target="header5.xml"/><Relationship Id="rId10" Type="http://schemas.openxmlformats.org/officeDocument/2006/relationships/image" Target="media/image3.png"/><Relationship Id="rId19" Type="http://schemas.openxmlformats.org/officeDocument/2006/relationships/chart" Target="charts/chart7.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4.xml"/><Relationship Id="rId30" Type="http://schemas.openxmlformats.org/officeDocument/2006/relationships/header" Target="header3.xml"/><Relationship Id="rId35" Type="http://schemas.openxmlformats.org/officeDocument/2006/relationships/chart" Target="charts/chart18.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D\Application%20Data\Microsoft\Templates\ASR%20blue%20style.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DCFSD\Fileserver\Asr_Business\B.%20MARKET%20RESEARCH\TEQSA%202019-713\Analysis\TEQSA_PC_Output_Charts_26Aug19.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9.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DCFSD\Fileserver\Asr_Business\B.%20MARKET%20RESEARCH\TEQSA%202019-713\Analysis\TEQSA_PC_Output_Charts_26Aug19.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10.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DCFSD\Fileserver\Asr_Business\B.%20MARKET%20RESEARCH\TEQSA%202019-713\Analysis\TEQSA_PC_Output_Charts_26Aug19.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oleObject" Target="file:///\\DCFSD\Fileserver\Asr_Business\B.%20MARKET%20RESEARCH\TEQSA%202019-713\Analysis\TEQSA_PPSB_Analysis_26Aug19.xlsx" TargetMode="External"/></Relationships>
</file>

<file path=word/charts/_rels/chart17.xml.rels><?xml version="1.0" encoding="UTF-8" standalone="yes"?>
<Relationships xmlns="http://schemas.openxmlformats.org/package/2006/relationships"><Relationship Id="rId2" Type="http://schemas.openxmlformats.org/officeDocument/2006/relationships/oleObject" Target="file:///\\DCFSD\Fileserver\Asr_Business\B.%20MARKET%20RESEARCH\TEQSA%202019-713\Analysis\TEQSA_PPSB_Analysis_26Aug19.xlsx" TargetMode="External"/><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3" Type="http://schemas.openxmlformats.org/officeDocument/2006/relationships/oleObject" Target="file:///\\dcfsd\Fileserver\Asr_Business\B.%20MARKET%20RESEARCH\TEQSA%202019-713\Analysis\TEQSA_PC_Output_Charts_26Aug1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CFSD\Fileserver\Asr_Business\B.%20MARKET%20RESEARCH\TEQSA%202019-713\Analysis\TEQSA_PC_Output_Charts_26Aug19.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l"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solidFill>
                <a:latin typeface="Arial Nova" panose="020B0504020202020204" pitchFamily="34" charset="0"/>
                <a:ea typeface="+mn-ea"/>
                <a:cs typeface="+mn-cs"/>
              </a:defRPr>
            </a:pPr>
            <a:r>
              <a:rPr lang="en-AU" sz="1100" b="1">
                <a:latin typeface="Arial Nova" panose="020B0504020202020204" pitchFamily="34" charset="0"/>
              </a:rPr>
              <a:t>PC</a:t>
            </a:r>
            <a:r>
              <a:rPr lang="en-AU" sz="1100" b="1" baseline="0">
                <a:latin typeface="Arial Nova" panose="020B0504020202020204" pitchFamily="34" charset="0"/>
              </a:rPr>
              <a:t> </a:t>
            </a:r>
            <a:r>
              <a:rPr lang="en-AU" sz="1100" b="1">
                <a:latin typeface="Arial Nova" panose="020B0504020202020204" pitchFamily="34" charset="0"/>
              </a:rPr>
              <a:t>KPIs</a:t>
            </a:r>
          </a:p>
          <a:p>
            <a:pPr marL="0" marR="0" lvl="0" indent="0" algn="l"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solidFill>
                <a:latin typeface="Arial Nova" panose="020B0504020202020204" pitchFamily="34" charset="0"/>
                <a:ea typeface="+mn-ea"/>
                <a:cs typeface="+mn-cs"/>
              </a:defRPr>
            </a:pPr>
            <a:r>
              <a:rPr lang="en-AU" sz="1000" b="0" i="1" baseline="0">
                <a:effectLst/>
                <a:latin typeface="Arial Nova" panose="020B0504020202020204" pitchFamily="34" charset="0"/>
              </a:rPr>
              <a:t>% of respondents choosing a rating point, n=143</a:t>
            </a:r>
            <a:endParaRPr lang="en-AU" sz="1000" i="1" u="none">
              <a:latin typeface="Arial Nova" panose="020B0504020202020204" pitchFamily="34" charset="0"/>
            </a:endParaRPr>
          </a:p>
        </c:rich>
      </c:tx>
      <c:layout>
        <c:manualLayout>
          <c:xMode val="edge"/>
          <c:yMode val="edge"/>
          <c:x val="7.2381053039510996E-4"/>
          <c:y val="1.9300898645947405E-3"/>
        </c:manualLayout>
      </c:layout>
      <c:overlay val="0"/>
      <c:spPr>
        <a:noFill/>
        <a:ln>
          <a:noFill/>
        </a:ln>
        <a:effectLst/>
      </c:spPr>
    </c:title>
    <c:autoTitleDeleted val="0"/>
    <c:plotArea>
      <c:layout>
        <c:manualLayout>
          <c:layoutTarget val="inner"/>
          <c:xMode val="edge"/>
          <c:yMode val="edge"/>
          <c:x val="4.5104727096826204E-2"/>
          <c:y val="0.16499730580035113"/>
          <c:w val="0.93054032409771303"/>
          <c:h val="0.66435035024595424"/>
        </c:manualLayout>
      </c:layout>
      <c:barChart>
        <c:barDir val="bar"/>
        <c:grouping val="stacked"/>
        <c:varyColors val="0"/>
        <c:ser>
          <c:idx val="0"/>
          <c:order val="0"/>
          <c:tx>
            <c:strRef>
              <c:f>TABLES!$P$18</c:f>
              <c:strCache>
                <c:ptCount val="1"/>
                <c:pt idx="0">
                  <c:v>Excellent</c:v>
                </c:pt>
              </c:strCache>
            </c:strRef>
          </c:tx>
          <c:spPr>
            <a:solidFill>
              <a:srgbClr val="008000"/>
            </a:solidFill>
            <a:ln>
              <a:noFill/>
            </a:ln>
            <a:effectLst/>
          </c:spPr>
          <c:invertIfNegative val="0"/>
          <c:dLbls>
            <c:spPr>
              <a:noFill/>
              <a:ln>
                <a:noFill/>
              </a:ln>
              <a:effectLst/>
            </c:spPr>
            <c:txPr>
              <a:bodyPr wrap="square" lIns="38100" tIns="19050" rIns="38100" bIns="19050" anchor="ctr">
                <a:spAutoFit/>
              </a:bodyPr>
              <a:lstStyle/>
              <a:p>
                <a:pPr>
                  <a:defRPr b="1">
                    <a:solidFill>
                      <a:schemeClr val="bg1"/>
                    </a:solidFill>
                    <a:latin typeface="Arial Nova" panose="020B05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TABLES!$O$19:$O$24</c:f>
              <c:strCache>
                <c:ptCount val="6"/>
                <c:pt idx="0">
                  <c:v>KPI 1</c:v>
                </c:pt>
                <c:pt idx="1">
                  <c:v>KPI 2</c:v>
                </c:pt>
                <c:pt idx="2">
                  <c:v>KPI 3</c:v>
                </c:pt>
                <c:pt idx="3">
                  <c:v>KPI 4</c:v>
                </c:pt>
                <c:pt idx="4">
                  <c:v>KPI 5</c:v>
                </c:pt>
                <c:pt idx="5">
                  <c:v>KPI 6</c:v>
                </c:pt>
              </c:strCache>
            </c:strRef>
          </c:cat>
          <c:val>
            <c:numRef>
              <c:f>TABLES!$P$19:$P$24</c:f>
              <c:numCache>
                <c:formatCode>0</c:formatCode>
                <c:ptCount val="6"/>
                <c:pt idx="0">
                  <c:v>12.587412587412588</c:v>
                </c:pt>
                <c:pt idx="1">
                  <c:v>16.783216783216783</c:v>
                </c:pt>
                <c:pt idx="2">
                  <c:v>16.083916083916083</c:v>
                </c:pt>
                <c:pt idx="3">
                  <c:v>8.3916083916083917</c:v>
                </c:pt>
                <c:pt idx="4">
                  <c:v>23.776223776223777</c:v>
                </c:pt>
                <c:pt idx="5">
                  <c:v>18.88111888111888</c:v>
                </c:pt>
              </c:numCache>
            </c:numRef>
          </c:val>
          <c:extLst>
            <c:ext xmlns:c16="http://schemas.microsoft.com/office/drawing/2014/chart" uri="{C3380CC4-5D6E-409C-BE32-E72D297353CC}">
              <c16:uniqueId val="{00000000-226E-4119-A303-EE2D6E51E7E3}"/>
            </c:ext>
          </c:extLst>
        </c:ser>
        <c:ser>
          <c:idx val="1"/>
          <c:order val="1"/>
          <c:tx>
            <c:strRef>
              <c:f>TABLES!$Q$18</c:f>
              <c:strCache>
                <c:ptCount val="1"/>
                <c:pt idx="0">
                  <c:v>Good</c:v>
                </c:pt>
              </c:strCache>
            </c:strRef>
          </c:tx>
          <c:spPr>
            <a:solidFill>
              <a:srgbClr val="92D050"/>
            </a:solidFill>
            <a:ln>
              <a:noFill/>
            </a:ln>
            <a:effectLst/>
          </c:spPr>
          <c:invertIfNegative val="0"/>
          <c:dLbls>
            <c:spPr>
              <a:noFill/>
              <a:ln>
                <a:noFill/>
              </a:ln>
              <a:effectLst/>
            </c:spPr>
            <c:txPr>
              <a:bodyPr wrap="square" lIns="38100" tIns="19050" rIns="38100" bIns="19050" anchor="ctr">
                <a:spAutoFit/>
              </a:bodyPr>
              <a:lstStyle/>
              <a:p>
                <a:pPr>
                  <a:defRPr b="1">
                    <a:latin typeface="Arial Nova" panose="020B05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TABLES!$O$19:$O$24</c:f>
              <c:strCache>
                <c:ptCount val="6"/>
                <c:pt idx="0">
                  <c:v>KPI 1</c:v>
                </c:pt>
                <c:pt idx="1">
                  <c:v>KPI 2</c:v>
                </c:pt>
                <c:pt idx="2">
                  <c:v>KPI 3</c:v>
                </c:pt>
                <c:pt idx="3">
                  <c:v>KPI 4</c:v>
                </c:pt>
                <c:pt idx="4">
                  <c:v>KPI 5</c:v>
                </c:pt>
                <c:pt idx="5">
                  <c:v>KPI 6</c:v>
                </c:pt>
              </c:strCache>
            </c:strRef>
          </c:cat>
          <c:val>
            <c:numRef>
              <c:f>TABLES!$Q$19:$Q$24</c:f>
              <c:numCache>
                <c:formatCode>0</c:formatCode>
                <c:ptCount val="6"/>
                <c:pt idx="0">
                  <c:v>42.657342657342653</c:v>
                </c:pt>
                <c:pt idx="1">
                  <c:v>46.153846153846153</c:v>
                </c:pt>
                <c:pt idx="2">
                  <c:v>41.95804195804196</c:v>
                </c:pt>
                <c:pt idx="3">
                  <c:v>41.25874125874126</c:v>
                </c:pt>
                <c:pt idx="4">
                  <c:v>46.853146853146853</c:v>
                </c:pt>
                <c:pt idx="5">
                  <c:v>38.461538461538467</c:v>
                </c:pt>
              </c:numCache>
            </c:numRef>
          </c:val>
          <c:extLst>
            <c:ext xmlns:c16="http://schemas.microsoft.com/office/drawing/2014/chart" uri="{C3380CC4-5D6E-409C-BE32-E72D297353CC}">
              <c16:uniqueId val="{00000001-226E-4119-A303-EE2D6E51E7E3}"/>
            </c:ext>
          </c:extLst>
        </c:ser>
        <c:ser>
          <c:idx val="2"/>
          <c:order val="2"/>
          <c:tx>
            <c:strRef>
              <c:f>TABLES!$R$18</c:f>
              <c:strCache>
                <c:ptCount val="1"/>
                <c:pt idx="0">
                  <c:v>Fair</c:v>
                </c:pt>
              </c:strCache>
            </c:strRef>
          </c:tx>
          <c:spPr>
            <a:solidFill>
              <a:srgbClr val="FFFF00"/>
            </a:solidFill>
            <a:ln>
              <a:noFill/>
            </a:ln>
            <a:effectLst/>
          </c:spPr>
          <c:invertIfNegative val="0"/>
          <c:dLbls>
            <c:spPr>
              <a:noFill/>
              <a:ln>
                <a:noFill/>
              </a:ln>
              <a:effectLst/>
            </c:spPr>
            <c:txPr>
              <a:bodyPr wrap="square" lIns="38100" tIns="19050" rIns="38100" bIns="19050" anchor="ctr">
                <a:spAutoFit/>
              </a:bodyPr>
              <a:lstStyle/>
              <a:p>
                <a:pPr>
                  <a:defRPr b="1">
                    <a:latin typeface="Arial Nova" panose="020B05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TABLES!$O$19:$O$24</c:f>
              <c:strCache>
                <c:ptCount val="6"/>
                <c:pt idx="0">
                  <c:v>KPI 1</c:v>
                </c:pt>
                <c:pt idx="1">
                  <c:v>KPI 2</c:v>
                </c:pt>
                <c:pt idx="2">
                  <c:v>KPI 3</c:v>
                </c:pt>
                <c:pt idx="3">
                  <c:v>KPI 4</c:v>
                </c:pt>
                <c:pt idx="4">
                  <c:v>KPI 5</c:v>
                </c:pt>
                <c:pt idx="5">
                  <c:v>KPI 6</c:v>
                </c:pt>
              </c:strCache>
            </c:strRef>
          </c:cat>
          <c:val>
            <c:numRef>
              <c:f>TABLES!$R$19:$R$24</c:f>
              <c:numCache>
                <c:formatCode>0</c:formatCode>
                <c:ptCount val="6"/>
                <c:pt idx="0">
                  <c:v>23.776223776223777</c:v>
                </c:pt>
                <c:pt idx="1">
                  <c:v>25.874125874125873</c:v>
                </c:pt>
                <c:pt idx="2">
                  <c:v>23.076923076923077</c:v>
                </c:pt>
                <c:pt idx="3">
                  <c:v>27.972027972027973</c:v>
                </c:pt>
                <c:pt idx="4">
                  <c:v>18.181818181818183</c:v>
                </c:pt>
                <c:pt idx="5">
                  <c:v>20.27972027972028</c:v>
                </c:pt>
              </c:numCache>
            </c:numRef>
          </c:val>
          <c:extLst>
            <c:ext xmlns:c16="http://schemas.microsoft.com/office/drawing/2014/chart" uri="{C3380CC4-5D6E-409C-BE32-E72D297353CC}">
              <c16:uniqueId val="{00000002-226E-4119-A303-EE2D6E51E7E3}"/>
            </c:ext>
          </c:extLst>
        </c:ser>
        <c:ser>
          <c:idx val="3"/>
          <c:order val="3"/>
          <c:tx>
            <c:strRef>
              <c:f>TABLES!$S$18</c:f>
              <c:strCache>
                <c:ptCount val="1"/>
                <c:pt idx="0">
                  <c:v>Poor</c:v>
                </c:pt>
              </c:strCache>
            </c:strRef>
          </c:tx>
          <c:spPr>
            <a:solidFill>
              <a:srgbClr val="FF9933"/>
            </a:solidFill>
            <a:ln>
              <a:noFill/>
            </a:ln>
            <a:effectLst/>
          </c:spPr>
          <c:invertIfNegative val="0"/>
          <c:dLbls>
            <c:spPr>
              <a:noFill/>
              <a:ln>
                <a:noFill/>
              </a:ln>
              <a:effectLst/>
            </c:spPr>
            <c:txPr>
              <a:bodyPr wrap="square" lIns="38100" tIns="19050" rIns="38100" bIns="19050" anchor="ctr">
                <a:spAutoFit/>
              </a:bodyPr>
              <a:lstStyle/>
              <a:p>
                <a:pPr>
                  <a:defRPr b="1">
                    <a:latin typeface="Arial Nova" panose="020B05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TABLES!$O$19:$O$24</c:f>
              <c:strCache>
                <c:ptCount val="6"/>
                <c:pt idx="0">
                  <c:v>KPI 1</c:v>
                </c:pt>
                <c:pt idx="1">
                  <c:v>KPI 2</c:v>
                </c:pt>
                <c:pt idx="2">
                  <c:v>KPI 3</c:v>
                </c:pt>
                <c:pt idx="3">
                  <c:v>KPI 4</c:v>
                </c:pt>
                <c:pt idx="4">
                  <c:v>KPI 5</c:v>
                </c:pt>
                <c:pt idx="5">
                  <c:v>KPI 6</c:v>
                </c:pt>
              </c:strCache>
            </c:strRef>
          </c:cat>
          <c:val>
            <c:numRef>
              <c:f>TABLES!$S$19:$S$24</c:f>
              <c:numCache>
                <c:formatCode>0</c:formatCode>
                <c:ptCount val="6"/>
                <c:pt idx="0">
                  <c:v>4.895104895104895</c:v>
                </c:pt>
                <c:pt idx="1">
                  <c:v>4.895104895104895</c:v>
                </c:pt>
                <c:pt idx="2">
                  <c:v>5.5944055944055942</c:v>
                </c:pt>
                <c:pt idx="3">
                  <c:v>7.6923076923076925</c:v>
                </c:pt>
                <c:pt idx="4">
                  <c:v>5.5944055944055942</c:v>
                </c:pt>
                <c:pt idx="5">
                  <c:v>4.1958041958041958</c:v>
                </c:pt>
              </c:numCache>
            </c:numRef>
          </c:val>
          <c:extLst>
            <c:ext xmlns:c16="http://schemas.microsoft.com/office/drawing/2014/chart" uri="{C3380CC4-5D6E-409C-BE32-E72D297353CC}">
              <c16:uniqueId val="{00000003-226E-4119-A303-EE2D6E51E7E3}"/>
            </c:ext>
          </c:extLst>
        </c:ser>
        <c:ser>
          <c:idx val="4"/>
          <c:order val="4"/>
          <c:tx>
            <c:strRef>
              <c:f>TABLES!$T$18</c:f>
              <c:strCache>
                <c:ptCount val="1"/>
                <c:pt idx="0">
                  <c:v>Very poor</c:v>
                </c:pt>
              </c:strCache>
            </c:strRef>
          </c:tx>
          <c:spPr>
            <a:solidFill>
              <a:srgbClr val="C00000"/>
            </a:solidFill>
            <a:ln>
              <a:noFill/>
            </a:ln>
            <a:effectLst/>
          </c:spPr>
          <c:invertIfNegative val="0"/>
          <c:dLbls>
            <c:spPr>
              <a:noFill/>
              <a:ln>
                <a:noFill/>
              </a:ln>
              <a:effectLst/>
            </c:spPr>
            <c:txPr>
              <a:bodyPr wrap="square" lIns="38100" tIns="19050" rIns="38100" bIns="19050" anchor="ctr">
                <a:spAutoFit/>
              </a:bodyPr>
              <a:lstStyle/>
              <a:p>
                <a:pPr>
                  <a:defRPr b="1">
                    <a:solidFill>
                      <a:schemeClr val="bg1"/>
                    </a:solidFill>
                    <a:latin typeface="Arial Nova" panose="020B05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TABLES!$O$19:$O$24</c:f>
              <c:strCache>
                <c:ptCount val="6"/>
                <c:pt idx="0">
                  <c:v>KPI 1</c:v>
                </c:pt>
                <c:pt idx="1">
                  <c:v>KPI 2</c:v>
                </c:pt>
                <c:pt idx="2">
                  <c:v>KPI 3</c:v>
                </c:pt>
                <c:pt idx="3">
                  <c:v>KPI 4</c:v>
                </c:pt>
                <c:pt idx="4">
                  <c:v>KPI 5</c:v>
                </c:pt>
                <c:pt idx="5">
                  <c:v>KPI 6</c:v>
                </c:pt>
              </c:strCache>
            </c:strRef>
          </c:cat>
          <c:val>
            <c:numRef>
              <c:f>TABLES!$T$19:$T$24</c:f>
              <c:numCache>
                <c:formatCode>0</c:formatCode>
                <c:ptCount val="6"/>
                <c:pt idx="0">
                  <c:v>9.79020979020979</c:v>
                </c:pt>
                <c:pt idx="1">
                  <c:v>3.4965034965034967</c:v>
                </c:pt>
                <c:pt idx="2">
                  <c:v>5.5944055944055942</c:v>
                </c:pt>
                <c:pt idx="3">
                  <c:v>6.9930069930069934</c:v>
                </c:pt>
                <c:pt idx="4">
                  <c:v>2.7972027972027971</c:v>
                </c:pt>
                <c:pt idx="5">
                  <c:v>4.1958041958041958</c:v>
                </c:pt>
              </c:numCache>
            </c:numRef>
          </c:val>
          <c:extLst>
            <c:ext xmlns:c16="http://schemas.microsoft.com/office/drawing/2014/chart" uri="{C3380CC4-5D6E-409C-BE32-E72D297353CC}">
              <c16:uniqueId val="{00000004-226E-4119-A303-EE2D6E51E7E3}"/>
            </c:ext>
          </c:extLst>
        </c:ser>
        <c:ser>
          <c:idx val="5"/>
          <c:order val="5"/>
          <c:tx>
            <c:strRef>
              <c:f>TABLES!$U$18</c:f>
              <c:strCache>
                <c:ptCount val="1"/>
                <c:pt idx="0">
                  <c:v>Don't know / No answer</c:v>
                </c:pt>
              </c:strCache>
            </c:strRef>
          </c:tx>
          <c:spPr>
            <a:solidFill>
              <a:srgbClr val="A6A6A6"/>
            </a:solidFill>
            <a:ln>
              <a:noFill/>
            </a:ln>
            <a:effectLst/>
          </c:spPr>
          <c:invertIfNegative val="0"/>
          <c:dLbls>
            <c:spPr>
              <a:noFill/>
              <a:ln>
                <a:noFill/>
              </a:ln>
              <a:effectLst/>
            </c:spPr>
            <c:txPr>
              <a:bodyPr wrap="square" lIns="38100" tIns="19050" rIns="38100" bIns="19050" anchor="ctr">
                <a:spAutoFit/>
              </a:bodyPr>
              <a:lstStyle/>
              <a:p>
                <a:pPr>
                  <a:defRPr b="1">
                    <a:solidFill>
                      <a:schemeClr val="tx1"/>
                    </a:solidFill>
                    <a:latin typeface="Arial Nova" panose="020B05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TABLES!$O$19:$O$24</c:f>
              <c:strCache>
                <c:ptCount val="6"/>
                <c:pt idx="0">
                  <c:v>KPI 1</c:v>
                </c:pt>
                <c:pt idx="1">
                  <c:v>KPI 2</c:v>
                </c:pt>
                <c:pt idx="2">
                  <c:v>KPI 3</c:v>
                </c:pt>
                <c:pt idx="3">
                  <c:v>KPI 4</c:v>
                </c:pt>
                <c:pt idx="4">
                  <c:v>KPI 5</c:v>
                </c:pt>
                <c:pt idx="5">
                  <c:v>KPI 6</c:v>
                </c:pt>
              </c:strCache>
            </c:strRef>
          </c:cat>
          <c:val>
            <c:numRef>
              <c:f>TABLES!$U$19:$U$24</c:f>
              <c:numCache>
                <c:formatCode>0</c:formatCode>
                <c:ptCount val="6"/>
                <c:pt idx="0">
                  <c:v>6.2937062937062933</c:v>
                </c:pt>
                <c:pt idx="1">
                  <c:v>2.7972027972027971</c:v>
                </c:pt>
                <c:pt idx="2">
                  <c:v>7.6923076923076925</c:v>
                </c:pt>
                <c:pt idx="3">
                  <c:v>7.6923076923076916</c:v>
                </c:pt>
                <c:pt idx="4">
                  <c:v>2.7972027972027971</c:v>
                </c:pt>
                <c:pt idx="5">
                  <c:v>13.986013986013985</c:v>
                </c:pt>
              </c:numCache>
            </c:numRef>
          </c:val>
          <c:extLst>
            <c:ext xmlns:c16="http://schemas.microsoft.com/office/drawing/2014/chart" uri="{C3380CC4-5D6E-409C-BE32-E72D297353CC}">
              <c16:uniqueId val="{00000005-226E-4119-A303-EE2D6E51E7E3}"/>
            </c:ext>
          </c:extLst>
        </c:ser>
        <c:dLbls>
          <c:dLblPos val="ctr"/>
          <c:showLegendKey val="0"/>
          <c:showVal val="1"/>
          <c:showCatName val="0"/>
          <c:showSerName val="0"/>
          <c:showPercent val="0"/>
          <c:showBubbleSize val="0"/>
        </c:dLbls>
        <c:gapWidth val="80"/>
        <c:overlap val="100"/>
        <c:axId val="1999404976"/>
        <c:axId val="1999412592"/>
      </c:barChart>
      <c:catAx>
        <c:axId val="19994049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ova" panose="020B0504020202020204" pitchFamily="34" charset="0"/>
                <a:ea typeface="+mn-ea"/>
                <a:cs typeface="+mn-cs"/>
              </a:defRPr>
            </a:pPr>
            <a:endParaRPr lang="en-US"/>
          </a:p>
        </c:txPr>
        <c:crossAx val="1999412592"/>
        <c:crosses val="autoZero"/>
        <c:auto val="1"/>
        <c:lblAlgn val="ctr"/>
        <c:lblOffset val="100"/>
        <c:noMultiLvlLbl val="0"/>
      </c:catAx>
      <c:valAx>
        <c:axId val="1999412592"/>
        <c:scaling>
          <c:orientation val="minMax"/>
          <c:max val="100"/>
        </c:scaling>
        <c:delete val="0"/>
        <c:axPos val="b"/>
        <c:majorGridlines>
          <c:spPr>
            <a:ln w="9525" cap="flat" cmpd="sng" algn="ctr">
              <a:solidFill>
                <a:sysClr val="window" lastClr="FFFFFF">
                  <a:lumMod val="75000"/>
                </a:sys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ova" panose="020B0504020202020204" pitchFamily="34" charset="0"/>
                <a:ea typeface="+mn-ea"/>
                <a:cs typeface="+mn-cs"/>
              </a:defRPr>
            </a:pPr>
            <a:endParaRPr lang="en-US"/>
          </a:p>
        </c:txPr>
        <c:crossAx val="1999404976"/>
        <c:crosses val="max"/>
        <c:crossBetween val="between"/>
        <c:majorUnit val="20"/>
      </c:valAx>
      <c:spPr>
        <a:noFill/>
        <a:ln>
          <a:noFill/>
        </a:ln>
        <a:effectLst/>
      </c:spPr>
    </c:plotArea>
    <c:legend>
      <c:legendPos val="b"/>
      <c:layout>
        <c:manualLayout>
          <c:xMode val="edge"/>
          <c:yMode val="edge"/>
          <c:x val="6.615106836477655E-2"/>
          <c:y val="0.94169250706779528"/>
          <c:w val="0.8787903609364266"/>
          <c:h val="5.8307347343171508E-2"/>
        </c:manualLayout>
      </c:layout>
      <c:overlay val="0"/>
      <c:txPr>
        <a:bodyPr/>
        <a:lstStyle/>
        <a:p>
          <a:pPr>
            <a:defRPr>
              <a:latin typeface="Arial Nova" panose="020B05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l">
              <a:defRPr/>
            </a:pPr>
            <a:r>
              <a:rPr lang="en-AU" sz="1100"/>
              <a:t>CRICOS application process</a:t>
            </a:r>
          </a:p>
          <a:p>
            <a:pPr algn="l">
              <a:defRPr/>
            </a:pPr>
            <a:r>
              <a:rPr lang="en-AU" sz="900" b="0" i="1"/>
              <a:t>% of respondents choosing a rating point, n=81</a:t>
            </a:r>
          </a:p>
        </c:rich>
      </c:tx>
      <c:layout>
        <c:manualLayout>
          <c:xMode val="edge"/>
          <c:yMode val="edge"/>
          <c:x val="7.2376447824567224E-4"/>
          <c:y val="1.9300984984305086E-3"/>
        </c:manualLayout>
      </c:layout>
      <c:overlay val="0"/>
      <c:spPr>
        <a:noFill/>
        <a:ln>
          <a:noFill/>
        </a:ln>
        <a:effectLst/>
      </c:spPr>
    </c:title>
    <c:autoTitleDeleted val="0"/>
    <c:plotArea>
      <c:layout>
        <c:manualLayout>
          <c:layoutTarget val="inner"/>
          <c:xMode val="edge"/>
          <c:yMode val="edge"/>
          <c:x val="0.22940506839375455"/>
          <c:y val="9.8772143307323701E-2"/>
          <c:w val="0.74623998280078474"/>
          <c:h val="0.76589555126239017"/>
        </c:manualLayout>
      </c:layout>
      <c:barChart>
        <c:barDir val="bar"/>
        <c:grouping val="stacked"/>
        <c:varyColors val="0"/>
        <c:ser>
          <c:idx val="0"/>
          <c:order val="0"/>
          <c:tx>
            <c:strRef>
              <c:f>TABLES!$C$105</c:f>
              <c:strCache>
                <c:ptCount val="1"/>
                <c:pt idx="0">
                  <c:v>Excellent</c:v>
                </c:pt>
              </c:strCache>
            </c:strRef>
          </c:tx>
          <c:spPr>
            <a:solidFill>
              <a:srgbClr val="008000"/>
            </a:solidFill>
            <a:ln>
              <a:noFill/>
            </a:ln>
            <a:effectLst/>
          </c:spPr>
          <c:invertIfNegative val="0"/>
          <c:dLbls>
            <c:spPr>
              <a:noFill/>
              <a:ln>
                <a:noFill/>
              </a:ln>
              <a:effectLst/>
            </c:spPr>
            <c:txPr>
              <a:bodyPr/>
              <a:lstStyle/>
              <a:p>
                <a:pPr>
                  <a:defRPr sz="1000"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TABLES!$B$106:$B$113</c:f>
              <c:strCache>
                <c:ptCount val="8"/>
                <c:pt idx="0">
                  <c:v>Usefulness of information on how to use the provider portal </c:v>
                </c:pt>
                <c:pt idx="1">
                  <c:v>Clarity of assessment scope and evidence requirements</c:v>
                </c:pt>
                <c:pt idx="2">
                  <c:v>Clarity of the application guide</c:v>
                </c:pt>
                <c:pt idx="3">
                  <c:v>Usefulness of information about how to prepare an application</c:v>
                </c:pt>
                <c:pt idx="4">
                  <c:v>Usefulness of feedback from TEQSA about application</c:v>
                </c:pt>
                <c:pt idx="5">
                  <c:v>Tailoring application process to meet needs</c:v>
                </c:pt>
                <c:pt idx="6">
                  <c:v>Minimising time taken between submitting application and first receiving a regulatory decision</c:v>
                </c:pt>
                <c:pt idx="7">
                  <c:v>Timeliness of feedback from TEQSA about application, including those unlikely successful</c:v>
                </c:pt>
              </c:strCache>
            </c:strRef>
          </c:cat>
          <c:val>
            <c:numRef>
              <c:f>TABLES!$C$106:$C$113</c:f>
              <c:numCache>
                <c:formatCode>0</c:formatCode>
                <c:ptCount val="8"/>
                <c:pt idx="0">
                  <c:v>17.283950617283949</c:v>
                </c:pt>
                <c:pt idx="1">
                  <c:v>16.049382716049383</c:v>
                </c:pt>
                <c:pt idx="2">
                  <c:v>13.580246913580247</c:v>
                </c:pt>
                <c:pt idx="3">
                  <c:v>13.580246913580247</c:v>
                </c:pt>
                <c:pt idx="4">
                  <c:v>13.580246913580247</c:v>
                </c:pt>
                <c:pt idx="5">
                  <c:v>14.814814814814813</c:v>
                </c:pt>
                <c:pt idx="6">
                  <c:v>11.111111111111111</c:v>
                </c:pt>
                <c:pt idx="7">
                  <c:v>12.345679012345679</c:v>
                </c:pt>
              </c:numCache>
            </c:numRef>
          </c:val>
          <c:extLst>
            <c:ext xmlns:c16="http://schemas.microsoft.com/office/drawing/2014/chart" uri="{C3380CC4-5D6E-409C-BE32-E72D297353CC}">
              <c16:uniqueId val="{00000000-E279-49CD-B649-729739360739}"/>
            </c:ext>
          </c:extLst>
        </c:ser>
        <c:ser>
          <c:idx val="1"/>
          <c:order val="1"/>
          <c:tx>
            <c:strRef>
              <c:f>TABLES!$D$105</c:f>
              <c:strCache>
                <c:ptCount val="1"/>
                <c:pt idx="0">
                  <c:v>Good</c:v>
                </c:pt>
              </c:strCache>
            </c:strRef>
          </c:tx>
          <c:spPr>
            <a:solidFill>
              <a:srgbClr val="92D050"/>
            </a:solidFill>
            <a:ln>
              <a:noFill/>
            </a:ln>
            <a:effectLst/>
          </c:spPr>
          <c:invertIfNegative val="0"/>
          <c:dLbls>
            <c:spPr>
              <a:noFill/>
              <a:ln>
                <a:noFill/>
              </a:ln>
              <a:effectLst/>
            </c:spPr>
            <c:txPr>
              <a:bodyPr/>
              <a:lstStyle/>
              <a:p>
                <a:pPr>
                  <a:defRPr sz="1000"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TABLES!$B$106:$B$113</c:f>
              <c:strCache>
                <c:ptCount val="8"/>
                <c:pt idx="0">
                  <c:v>Usefulness of information on how to use the provider portal </c:v>
                </c:pt>
                <c:pt idx="1">
                  <c:v>Clarity of assessment scope and evidence requirements</c:v>
                </c:pt>
                <c:pt idx="2">
                  <c:v>Clarity of the application guide</c:v>
                </c:pt>
                <c:pt idx="3">
                  <c:v>Usefulness of information about how to prepare an application</c:v>
                </c:pt>
                <c:pt idx="4">
                  <c:v>Usefulness of feedback from TEQSA about application</c:v>
                </c:pt>
                <c:pt idx="5">
                  <c:v>Tailoring application process to meet needs</c:v>
                </c:pt>
                <c:pt idx="6">
                  <c:v>Minimising time taken between submitting application and first receiving a regulatory decision</c:v>
                </c:pt>
                <c:pt idx="7">
                  <c:v>Timeliness of feedback from TEQSA about application, including those unlikely successful</c:v>
                </c:pt>
              </c:strCache>
            </c:strRef>
          </c:cat>
          <c:val>
            <c:numRef>
              <c:f>TABLES!$D$106:$D$113</c:f>
              <c:numCache>
                <c:formatCode>0</c:formatCode>
                <c:ptCount val="8"/>
                <c:pt idx="0">
                  <c:v>49.382716049382715</c:v>
                </c:pt>
                <c:pt idx="1">
                  <c:v>48.148148148148145</c:v>
                </c:pt>
                <c:pt idx="2">
                  <c:v>44.444444444444443</c:v>
                </c:pt>
                <c:pt idx="3">
                  <c:v>41.975308641975303</c:v>
                </c:pt>
                <c:pt idx="4">
                  <c:v>34.567901234567898</c:v>
                </c:pt>
                <c:pt idx="5">
                  <c:v>27.160493827160494</c:v>
                </c:pt>
                <c:pt idx="6">
                  <c:v>23.456790123456788</c:v>
                </c:pt>
                <c:pt idx="7">
                  <c:v>22.222222222222221</c:v>
                </c:pt>
              </c:numCache>
            </c:numRef>
          </c:val>
          <c:extLst>
            <c:ext xmlns:c16="http://schemas.microsoft.com/office/drawing/2014/chart" uri="{C3380CC4-5D6E-409C-BE32-E72D297353CC}">
              <c16:uniqueId val="{00000001-E279-49CD-B649-729739360739}"/>
            </c:ext>
          </c:extLst>
        </c:ser>
        <c:ser>
          <c:idx val="2"/>
          <c:order val="2"/>
          <c:tx>
            <c:strRef>
              <c:f>TABLES!$E$105</c:f>
              <c:strCache>
                <c:ptCount val="1"/>
                <c:pt idx="0">
                  <c:v>Fair</c:v>
                </c:pt>
              </c:strCache>
            </c:strRef>
          </c:tx>
          <c:spPr>
            <a:solidFill>
              <a:srgbClr val="FFFF00"/>
            </a:solidFill>
            <a:ln>
              <a:noFill/>
            </a:ln>
            <a:effectLst/>
          </c:spPr>
          <c:invertIfNegative val="0"/>
          <c:dLbls>
            <c:spPr>
              <a:noFill/>
              <a:ln>
                <a:noFill/>
              </a:ln>
              <a:effectLst/>
            </c:spPr>
            <c:txPr>
              <a:bodyPr/>
              <a:lstStyle/>
              <a:p>
                <a:pPr>
                  <a:defRPr sz="1000"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TABLES!$B$106:$B$113</c:f>
              <c:strCache>
                <c:ptCount val="8"/>
                <c:pt idx="0">
                  <c:v>Usefulness of information on how to use the provider portal </c:v>
                </c:pt>
                <c:pt idx="1">
                  <c:v>Clarity of assessment scope and evidence requirements</c:v>
                </c:pt>
                <c:pt idx="2">
                  <c:v>Clarity of the application guide</c:v>
                </c:pt>
                <c:pt idx="3">
                  <c:v>Usefulness of information about how to prepare an application</c:v>
                </c:pt>
                <c:pt idx="4">
                  <c:v>Usefulness of feedback from TEQSA about application</c:v>
                </c:pt>
                <c:pt idx="5">
                  <c:v>Tailoring application process to meet needs</c:v>
                </c:pt>
                <c:pt idx="6">
                  <c:v>Minimising time taken between submitting application and first receiving a regulatory decision</c:v>
                </c:pt>
                <c:pt idx="7">
                  <c:v>Timeliness of feedback from TEQSA about application, including those unlikely successful</c:v>
                </c:pt>
              </c:strCache>
            </c:strRef>
          </c:cat>
          <c:val>
            <c:numRef>
              <c:f>TABLES!$E$106:$E$113</c:f>
              <c:numCache>
                <c:formatCode>0</c:formatCode>
                <c:ptCount val="8"/>
                <c:pt idx="0">
                  <c:v>18.518518518518519</c:v>
                </c:pt>
                <c:pt idx="1">
                  <c:v>18.518518518518519</c:v>
                </c:pt>
                <c:pt idx="2">
                  <c:v>24.691358024691358</c:v>
                </c:pt>
                <c:pt idx="3">
                  <c:v>24.691358024691358</c:v>
                </c:pt>
                <c:pt idx="4">
                  <c:v>16.049382716049383</c:v>
                </c:pt>
                <c:pt idx="5">
                  <c:v>30.864197530864196</c:v>
                </c:pt>
                <c:pt idx="6">
                  <c:v>13.580246913580247</c:v>
                </c:pt>
                <c:pt idx="7">
                  <c:v>27.160493827160494</c:v>
                </c:pt>
              </c:numCache>
            </c:numRef>
          </c:val>
          <c:extLst>
            <c:ext xmlns:c16="http://schemas.microsoft.com/office/drawing/2014/chart" uri="{C3380CC4-5D6E-409C-BE32-E72D297353CC}">
              <c16:uniqueId val="{00000002-E279-49CD-B649-729739360739}"/>
            </c:ext>
          </c:extLst>
        </c:ser>
        <c:ser>
          <c:idx val="3"/>
          <c:order val="3"/>
          <c:tx>
            <c:strRef>
              <c:f>TABLES!$F$105</c:f>
              <c:strCache>
                <c:ptCount val="1"/>
                <c:pt idx="0">
                  <c:v>Poor</c:v>
                </c:pt>
              </c:strCache>
            </c:strRef>
          </c:tx>
          <c:spPr>
            <a:solidFill>
              <a:srgbClr val="FF9933"/>
            </a:solidFill>
            <a:ln>
              <a:noFill/>
            </a:ln>
            <a:effectLst/>
          </c:spPr>
          <c:invertIfNegative val="0"/>
          <c:dLbls>
            <c:spPr>
              <a:noFill/>
              <a:ln>
                <a:noFill/>
              </a:ln>
              <a:effectLst/>
            </c:spPr>
            <c:txPr>
              <a:bodyPr/>
              <a:lstStyle/>
              <a:p>
                <a:pPr>
                  <a:defRPr sz="1050"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TABLES!$B$106:$B$113</c:f>
              <c:strCache>
                <c:ptCount val="8"/>
                <c:pt idx="0">
                  <c:v>Usefulness of information on how to use the provider portal </c:v>
                </c:pt>
                <c:pt idx="1">
                  <c:v>Clarity of assessment scope and evidence requirements</c:v>
                </c:pt>
                <c:pt idx="2">
                  <c:v>Clarity of the application guide</c:v>
                </c:pt>
                <c:pt idx="3">
                  <c:v>Usefulness of information about how to prepare an application</c:v>
                </c:pt>
                <c:pt idx="4">
                  <c:v>Usefulness of feedback from TEQSA about application</c:v>
                </c:pt>
                <c:pt idx="5">
                  <c:v>Tailoring application process to meet needs</c:v>
                </c:pt>
                <c:pt idx="6">
                  <c:v>Minimising time taken between submitting application and first receiving a regulatory decision</c:v>
                </c:pt>
                <c:pt idx="7">
                  <c:v>Timeliness of feedback from TEQSA about application, including those unlikely successful</c:v>
                </c:pt>
              </c:strCache>
            </c:strRef>
          </c:cat>
          <c:val>
            <c:numRef>
              <c:f>TABLES!$F$106:$F$113</c:f>
              <c:numCache>
                <c:formatCode>0</c:formatCode>
                <c:ptCount val="8"/>
                <c:pt idx="0">
                  <c:v>2.4691358024691357</c:v>
                </c:pt>
                <c:pt idx="1">
                  <c:v>4.9382716049382713</c:v>
                </c:pt>
                <c:pt idx="2">
                  <c:v>3.7037037037037033</c:v>
                </c:pt>
                <c:pt idx="3">
                  <c:v>6.1728395061728394</c:v>
                </c:pt>
                <c:pt idx="4">
                  <c:v>7.4074074074074066</c:v>
                </c:pt>
                <c:pt idx="5">
                  <c:v>3.7037037037037033</c:v>
                </c:pt>
                <c:pt idx="6">
                  <c:v>11.111111111111111</c:v>
                </c:pt>
                <c:pt idx="7">
                  <c:v>8.6419753086419746</c:v>
                </c:pt>
              </c:numCache>
            </c:numRef>
          </c:val>
          <c:extLst>
            <c:ext xmlns:c16="http://schemas.microsoft.com/office/drawing/2014/chart" uri="{C3380CC4-5D6E-409C-BE32-E72D297353CC}">
              <c16:uniqueId val="{00000003-E279-49CD-B649-729739360739}"/>
            </c:ext>
          </c:extLst>
        </c:ser>
        <c:ser>
          <c:idx val="4"/>
          <c:order val="4"/>
          <c:tx>
            <c:strRef>
              <c:f>TABLES!$G$105</c:f>
              <c:strCache>
                <c:ptCount val="1"/>
                <c:pt idx="0">
                  <c:v>Very poor</c:v>
                </c:pt>
              </c:strCache>
            </c:strRef>
          </c:tx>
          <c:spPr>
            <a:solidFill>
              <a:srgbClr val="C0000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E279-49CD-B649-729739360739}"/>
                </c:ext>
              </c:extLst>
            </c:dLbl>
            <c:spPr>
              <a:noFill/>
              <a:ln>
                <a:noFill/>
              </a:ln>
              <a:effectLst/>
            </c:spPr>
            <c:txPr>
              <a:bodyPr/>
              <a:lstStyle/>
              <a:p>
                <a:pPr>
                  <a:defRPr sz="1050"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TABLES!$B$106:$B$113</c:f>
              <c:strCache>
                <c:ptCount val="8"/>
                <c:pt idx="0">
                  <c:v>Usefulness of information on how to use the provider portal </c:v>
                </c:pt>
                <c:pt idx="1">
                  <c:v>Clarity of assessment scope and evidence requirements</c:v>
                </c:pt>
                <c:pt idx="2">
                  <c:v>Clarity of the application guide</c:v>
                </c:pt>
                <c:pt idx="3">
                  <c:v>Usefulness of information about how to prepare an application</c:v>
                </c:pt>
                <c:pt idx="4">
                  <c:v>Usefulness of feedback from TEQSA about application</c:v>
                </c:pt>
                <c:pt idx="5">
                  <c:v>Tailoring application process to meet needs</c:v>
                </c:pt>
                <c:pt idx="6">
                  <c:v>Minimising time taken between submitting application and first receiving a regulatory decision</c:v>
                </c:pt>
                <c:pt idx="7">
                  <c:v>Timeliness of feedback from TEQSA about application, including those unlikely successful</c:v>
                </c:pt>
              </c:strCache>
            </c:strRef>
          </c:cat>
          <c:val>
            <c:numRef>
              <c:f>TABLES!$G$106:$G$113</c:f>
              <c:numCache>
                <c:formatCode>0</c:formatCode>
                <c:ptCount val="8"/>
                <c:pt idx="0">
                  <c:v>1.2345679012345678</c:v>
                </c:pt>
                <c:pt idx="1">
                  <c:v>2.4691358024691357</c:v>
                </c:pt>
                <c:pt idx="2">
                  <c:v>2.4691358024691357</c:v>
                </c:pt>
                <c:pt idx="3">
                  <c:v>2.4691358024691357</c:v>
                </c:pt>
                <c:pt idx="4">
                  <c:v>6.1728395061728394</c:v>
                </c:pt>
                <c:pt idx="5">
                  <c:v>6.1728395061728394</c:v>
                </c:pt>
                <c:pt idx="6">
                  <c:v>16.049382716049383</c:v>
                </c:pt>
                <c:pt idx="7">
                  <c:v>13.580246913580247</c:v>
                </c:pt>
              </c:numCache>
            </c:numRef>
          </c:val>
          <c:extLst>
            <c:ext xmlns:c16="http://schemas.microsoft.com/office/drawing/2014/chart" uri="{C3380CC4-5D6E-409C-BE32-E72D297353CC}">
              <c16:uniqueId val="{00000005-E279-49CD-B649-729739360739}"/>
            </c:ext>
          </c:extLst>
        </c:ser>
        <c:ser>
          <c:idx val="5"/>
          <c:order val="5"/>
          <c:tx>
            <c:strRef>
              <c:f>TABLES!$H$105</c:f>
              <c:strCache>
                <c:ptCount val="1"/>
                <c:pt idx="0">
                  <c:v>Don't know / No answer</c:v>
                </c:pt>
              </c:strCache>
            </c:strRef>
          </c:tx>
          <c:spPr>
            <a:solidFill>
              <a:srgbClr val="A6A6A6"/>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E279-49CD-B649-729739360739}"/>
                </c:ext>
              </c:extLst>
            </c:dLbl>
            <c:spPr>
              <a:noFill/>
              <a:ln>
                <a:noFill/>
              </a:ln>
              <a:effectLst/>
            </c:spPr>
            <c:txPr>
              <a:bodyPr/>
              <a:lstStyle/>
              <a:p>
                <a:pPr>
                  <a:defRPr sz="1050"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TABLES!$B$106:$B$113</c:f>
              <c:strCache>
                <c:ptCount val="8"/>
                <c:pt idx="0">
                  <c:v>Usefulness of information on how to use the provider portal </c:v>
                </c:pt>
                <c:pt idx="1">
                  <c:v>Clarity of assessment scope and evidence requirements</c:v>
                </c:pt>
                <c:pt idx="2">
                  <c:v>Clarity of the application guide</c:v>
                </c:pt>
                <c:pt idx="3">
                  <c:v>Usefulness of information about how to prepare an application</c:v>
                </c:pt>
                <c:pt idx="4">
                  <c:v>Usefulness of feedback from TEQSA about application</c:v>
                </c:pt>
                <c:pt idx="5">
                  <c:v>Tailoring application process to meet needs</c:v>
                </c:pt>
                <c:pt idx="6">
                  <c:v>Minimising time taken between submitting application and first receiving a regulatory decision</c:v>
                </c:pt>
                <c:pt idx="7">
                  <c:v>Timeliness of feedback from TEQSA about application, including those unlikely successful</c:v>
                </c:pt>
              </c:strCache>
            </c:strRef>
          </c:cat>
          <c:val>
            <c:numRef>
              <c:f>TABLES!$H$106:$H$113</c:f>
              <c:numCache>
                <c:formatCode>0</c:formatCode>
                <c:ptCount val="8"/>
                <c:pt idx="0">
                  <c:v>1.2345679012345678</c:v>
                </c:pt>
                <c:pt idx="1">
                  <c:v>2.4691358024691357</c:v>
                </c:pt>
                <c:pt idx="2">
                  <c:v>2.4691358024691357</c:v>
                </c:pt>
                <c:pt idx="3">
                  <c:v>2.4691358024691357</c:v>
                </c:pt>
                <c:pt idx="4">
                  <c:v>4.9382716049382713</c:v>
                </c:pt>
                <c:pt idx="5">
                  <c:v>2.4691358024691357</c:v>
                </c:pt>
                <c:pt idx="6">
                  <c:v>6.1728395061728394</c:v>
                </c:pt>
                <c:pt idx="7">
                  <c:v>2.4691358024691357</c:v>
                </c:pt>
              </c:numCache>
            </c:numRef>
          </c:val>
          <c:extLst>
            <c:ext xmlns:c16="http://schemas.microsoft.com/office/drawing/2014/chart" uri="{C3380CC4-5D6E-409C-BE32-E72D297353CC}">
              <c16:uniqueId val="{00000007-E279-49CD-B649-729739360739}"/>
            </c:ext>
          </c:extLst>
        </c:ser>
        <c:ser>
          <c:idx val="6"/>
          <c:order val="6"/>
          <c:tx>
            <c:strRef>
              <c:f>TABLES!$I$105</c:f>
              <c:strCache>
                <c:ptCount val="1"/>
                <c:pt idx="0">
                  <c:v>Not applicable</c:v>
                </c:pt>
              </c:strCache>
            </c:strRef>
          </c:tx>
          <c:spPr>
            <a:solidFill>
              <a:srgbClr val="002060"/>
            </a:solidFill>
            <a:ln>
              <a:noFill/>
            </a:ln>
            <a:effectLst/>
          </c:spPr>
          <c:invertIfNegative val="0"/>
          <c:dLbls>
            <c:spPr>
              <a:noFill/>
              <a:ln>
                <a:noFill/>
              </a:ln>
              <a:effectLst/>
            </c:spPr>
            <c:txPr>
              <a:bodyPr/>
              <a:lstStyle/>
              <a:p>
                <a:pPr>
                  <a:defRPr sz="1000"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TABLES!$B$106:$B$113</c:f>
              <c:strCache>
                <c:ptCount val="8"/>
                <c:pt idx="0">
                  <c:v>Usefulness of information on how to use the provider portal </c:v>
                </c:pt>
                <c:pt idx="1">
                  <c:v>Clarity of assessment scope and evidence requirements</c:v>
                </c:pt>
                <c:pt idx="2">
                  <c:v>Clarity of the application guide</c:v>
                </c:pt>
                <c:pt idx="3">
                  <c:v>Usefulness of information about how to prepare an application</c:v>
                </c:pt>
                <c:pt idx="4">
                  <c:v>Usefulness of feedback from TEQSA about application</c:v>
                </c:pt>
                <c:pt idx="5">
                  <c:v>Tailoring application process to meet needs</c:v>
                </c:pt>
                <c:pt idx="6">
                  <c:v>Minimising time taken between submitting application and first receiving a regulatory decision</c:v>
                </c:pt>
                <c:pt idx="7">
                  <c:v>Timeliness of feedback from TEQSA about application, including those unlikely successful</c:v>
                </c:pt>
              </c:strCache>
            </c:strRef>
          </c:cat>
          <c:val>
            <c:numRef>
              <c:f>TABLES!$I$106:$I$113</c:f>
              <c:numCache>
                <c:formatCode>0</c:formatCode>
                <c:ptCount val="8"/>
                <c:pt idx="0">
                  <c:v>9.8765432098765427</c:v>
                </c:pt>
                <c:pt idx="1">
                  <c:v>7.4074074074074066</c:v>
                </c:pt>
                <c:pt idx="2">
                  <c:v>8.6419753086419746</c:v>
                </c:pt>
                <c:pt idx="3">
                  <c:v>8.6419753086419746</c:v>
                </c:pt>
                <c:pt idx="4">
                  <c:v>17.283950617283949</c:v>
                </c:pt>
                <c:pt idx="5">
                  <c:v>14.814814814814813</c:v>
                </c:pt>
                <c:pt idx="6">
                  <c:v>18.518518518518519</c:v>
                </c:pt>
                <c:pt idx="7">
                  <c:v>13.580246913580247</c:v>
                </c:pt>
              </c:numCache>
            </c:numRef>
          </c:val>
          <c:extLst>
            <c:ext xmlns:c16="http://schemas.microsoft.com/office/drawing/2014/chart" uri="{C3380CC4-5D6E-409C-BE32-E72D297353CC}">
              <c16:uniqueId val="{00000008-E279-49CD-B649-729739360739}"/>
            </c:ext>
          </c:extLst>
        </c:ser>
        <c:dLbls>
          <c:dLblPos val="ctr"/>
          <c:showLegendKey val="0"/>
          <c:showVal val="1"/>
          <c:showCatName val="0"/>
          <c:showSerName val="0"/>
          <c:showPercent val="0"/>
          <c:showBubbleSize val="0"/>
        </c:dLbls>
        <c:gapWidth val="60"/>
        <c:overlap val="100"/>
        <c:axId val="1999404976"/>
        <c:axId val="1999412592"/>
      </c:barChart>
      <c:catAx>
        <c:axId val="19994049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999412592"/>
        <c:crosses val="autoZero"/>
        <c:auto val="1"/>
        <c:lblAlgn val="ctr"/>
        <c:lblOffset val="100"/>
        <c:noMultiLvlLbl val="0"/>
      </c:catAx>
      <c:valAx>
        <c:axId val="1999412592"/>
        <c:scaling>
          <c:orientation val="minMax"/>
          <c:max val="100"/>
        </c:scaling>
        <c:delete val="0"/>
        <c:axPos val="b"/>
        <c:majorGridlines>
          <c:spPr>
            <a:ln w="9525" cap="flat" cmpd="sng" algn="ctr">
              <a:solidFill>
                <a:sysClr val="window" lastClr="FFFFFF">
                  <a:lumMod val="75000"/>
                </a:sys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1999404976"/>
        <c:crosses val="max"/>
        <c:crossBetween val="between"/>
        <c:majorUnit val="20"/>
      </c:valAx>
      <c:spPr>
        <a:noFill/>
        <a:ln>
          <a:noFill/>
        </a:ln>
        <a:effectLst/>
      </c:spPr>
    </c:plotArea>
    <c:legend>
      <c:legendPos val="b"/>
      <c:layout>
        <c:manualLayout>
          <c:xMode val="edge"/>
          <c:yMode val="edge"/>
          <c:x val="4.7810637382701741E-2"/>
          <c:y val="0.94712429764615291"/>
          <c:w val="0.91608423528998695"/>
          <c:h val="5.287571661547389E-2"/>
        </c:manualLayout>
      </c:layout>
      <c:overlay val="0"/>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Nova" panose="020B0504020202020204" pitchFamily="34"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l" defTabSz="914400" rtl="0" eaLnBrk="1" fontAlgn="auto" latinLnBrk="0" hangingPunct="1">
              <a:lnSpc>
                <a:spcPct val="100000"/>
              </a:lnSpc>
              <a:spcBef>
                <a:spcPts val="0"/>
              </a:spcBef>
              <a:spcAft>
                <a:spcPts val="0"/>
              </a:spcAft>
              <a:buClrTx/>
              <a:buSzTx/>
              <a:buFontTx/>
              <a:buNone/>
              <a:tabLst/>
              <a:defRPr sz="900" b="1" i="0" u="none" strike="noStrike" kern="1200" spc="0" baseline="0">
                <a:solidFill>
                  <a:sysClr val="windowText" lastClr="000000"/>
                </a:solidFill>
                <a:latin typeface="Arial Nova" panose="020B0504020202020204" pitchFamily="34" charset="0"/>
                <a:ea typeface="+mn-ea"/>
                <a:cs typeface="+mn-cs"/>
              </a:defRPr>
            </a:pPr>
            <a:r>
              <a:rPr lang="en-AU" sz="1050">
                <a:latin typeface="Arial Nova" panose="020B0504020202020204" pitchFamily="34" charset="0"/>
              </a:rPr>
              <a:t>Interaction with TEQSA staff</a:t>
            </a:r>
          </a:p>
          <a:p>
            <a:pPr marL="0" marR="0" lvl="0" indent="0" algn="l" defTabSz="914400" rtl="0" eaLnBrk="1" fontAlgn="auto" latinLnBrk="0" hangingPunct="1">
              <a:lnSpc>
                <a:spcPct val="100000"/>
              </a:lnSpc>
              <a:spcBef>
                <a:spcPts val="0"/>
              </a:spcBef>
              <a:spcAft>
                <a:spcPts val="0"/>
              </a:spcAft>
              <a:buClrTx/>
              <a:buSzTx/>
              <a:buFontTx/>
              <a:buNone/>
              <a:tabLst/>
              <a:defRPr sz="900" b="1" i="0" u="none" strike="noStrike" kern="1200" spc="0" baseline="0">
                <a:solidFill>
                  <a:sysClr val="windowText" lastClr="000000"/>
                </a:solidFill>
                <a:latin typeface="Arial Nova" panose="020B0504020202020204" pitchFamily="34" charset="0"/>
                <a:ea typeface="+mn-ea"/>
                <a:cs typeface="+mn-cs"/>
              </a:defRPr>
            </a:pPr>
            <a:r>
              <a:rPr lang="en-AU" sz="900" b="0" i="1" baseline="0">
                <a:effectLst/>
                <a:latin typeface="Arial Nova" panose="020B0504020202020204" pitchFamily="34" charset="0"/>
              </a:rPr>
              <a:t>% of respondents choosing a rating point</a:t>
            </a:r>
            <a:r>
              <a:rPr lang="en-AU" sz="900" b="0" i="1">
                <a:latin typeface="Arial Nova" panose="020B0504020202020204" pitchFamily="34" charset="0"/>
              </a:rPr>
              <a:t>, n=128</a:t>
            </a:r>
          </a:p>
        </c:rich>
      </c:tx>
      <c:layout>
        <c:manualLayout>
          <c:xMode val="edge"/>
          <c:yMode val="edge"/>
          <c:x val="7.2376447824567224E-4"/>
          <c:y val="1.9300984984305086E-3"/>
        </c:manualLayout>
      </c:layout>
      <c:overlay val="0"/>
      <c:spPr>
        <a:noFill/>
        <a:ln>
          <a:noFill/>
        </a:ln>
        <a:effectLst/>
      </c:spPr>
    </c:title>
    <c:autoTitleDeleted val="0"/>
    <c:plotArea>
      <c:layout>
        <c:manualLayout>
          <c:layoutTarget val="inner"/>
          <c:xMode val="edge"/>
          <c:yMode val="edge"/>
          <c:x val="0.22940506839375455"/>
          <c:y val="0.1454949381327334"/>
          <c:w val="0.74623998280078474"/>
          <c:h val="0.70237157855268095"/>
        </c:manualLayout>
      </c:layout>
      <c:barChart>
        <c:barDir val="bar"/>
        <c:grouping val="stacked"/>
        <c:varyColors val="0"/>
        <c:ser>
          <c:idx val="0"/>
          <c:order val="0"/>
          <c:tx>
            <c:strRef>
              <c:f>TABLES!$C$122</c:f>
              <c:strCache>
                <c:ptCount val="1"/>
                <c:pt idx="0">
                  <c:v>Excellent</c:v>
                </c:pt>
              </c:strCache>
            </c:strRef>
          </c:tx>
          <c:spPr>
            <a:solidFill>
              <a:srgbClr val="008000"/>
            </a:solidFill>
            <a:ln>
              <a:noFill/>
            </a:ln>
            <a:effectLst/>
          </c:spPr>
          <c:invertIfNegative val="0"/>
          <c:dLbls>
            <c:spPr>
              <a:noFill/>
              <a:ln>
                <a:noFill/>
              </a:ln>
              <a:effectLst/>
            </c:spPr>
            <c:txPr>
              <a:bodyPr wrap="square" lIns="38100" tIns="19050" rIns="38100" bIns="19050" anchor="ctr">
                <a:spAutoFit/>
              </a:bodyPr>
              <a:lstStyle/>
              <a:p>
                <a:pPr>
                  <a:defRPr b="1">
                    <a:solidFill>
                      <a:schemeClr val="bg1"/>
                    </a:solidFill>
                    <a:latin typeface="Arial Nova" panose="020B05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TABLES!$B$123:$B$128</c:f>
              <c:strCache>
                <c:ptCount val="6"/>
                <c:pt idx="0">
                  <c:v>Usefulness of meeting face-to-face with case management teams</c:v>
                </c:pt>
                <c:pt idx="1">
                  <c:v>TEQSA’s overall approach to case management</c:v>
                </c:pt>
                <c:pt idx="2">
                  <c:v>Being responsive to organisation’s needs</c:v>
                </c:pt>
                <c:pt idx="3">
                  <c:v>Demonstrating an understanding of organisation’s specific needs</c:v>
                </c:pt>
                <c:pt idx="4">
                  <c:v>Dealing with organisation efficiently</c:v>
                </c:pt>
                <c:pt idx="5">
                  <c:v>Demonstrating an understanding of organisation’s business or operating environment</c:v>
                </c:pt>
              </c:strCache>
            </c:strRef>
          </c:cat>
          <c:val>
            <c:numRef>
              <c:f>TABLES!$C$123:$C$128</c:f>
              <c:numCache>
                <c:formatCode>0</c:formatCode>
                <c:ptCount val="6"/>
                <c:pt idx="0">
                  <c:v>17.96875</c:v>
                </c:pt>
                <c:pt idx="1">
                  <c:v>24.21875</c:v>
                </c:pt>
                <c:pt idx="2">
                  <c:v>23.4375</c:v>
                </c:pt>
                <c:pt idx="3">
                  <c:v>21.09375</c:v>
                </c:pt>
                <c:pt idx="4">
                  <c:v>17.96875</c:v>
                </c:pt>
                <c:pt idx="5">
                  <c:v>21.09375</c:v>
                </c:pt>
              </c:numCache>
            </c:numRef>
          </c:val>
          <c:extLst>
            <c:ext xmlns:c16="http://schemas.microsoft.com/office/drawing/2014/chart" uri="{C3380CC4-5D6E-409C-BE32-E72D297353CC}">
              <c16:uniqueId val="{00000000-A5AD-401E-8DD1-110A3B3F8A0A}"/>
            </c:ext>
          </c:extLst>
        </c:ser>
        <c:ser>
          <c:idx val="1"/>
          <c:order val="1"/>
          <c:tx>
            <c:strRef>
              <c:f>TABLES!$D$122</c:f>
              <c:strCache>
                <c:ptCount val="1"/>
                <c:pt idx="0">
                  <c:v>Good</c:v>
                </c:pt>
              </c:strCache>
            </c:strRef>
          </c:tx>
          <c:spPr>
            <a:solidFill>
              <a:srgbClr val="92D050"/>
            </a:solidFill>
            <a:ln>
              <a:noFill/>
            </a:ln>
            <a:effectLst/>
          </c:spPr>
          <c:invertIfNegative val="0"/>
          <c:dLbls>
            <c:spPr>
              <a:noFill/>
              <a:ln>
                <a:noFill/>
              </a:ln>
              <a:effectLst/>
            </c:spPr>
            <c:txPr>
              <a:bodyPr wrap="square" lIns="38100" tIns="19050" rIns="38100" bIns="19050" anchor="ctr">
                <a:spAutoFit/>
              </a:bodyPr>
              <a:lstStyle/>
              <a:p>
                <a:pPr>
                  <a:defRPr b="1">
                    <a:latin typeface="Arial Nova" panose="020B05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TABLES!$B$123:$B$128</c:f>
              <c:strCache>
                <c:ptCount val="6"/>
                <c:pt idx="0">
                  <c:v>Usefulness of meeting face-to-face with case management teams</c:v>
                </c:pt>
                <c:pt idx="1">
                  <c:v>TEQSA’s overall approach to case management</c:v>
                </c:pt>
                <c:pt idx="2">
                  <c:v>Being responsive to organisation’s needs</c:v>
                </c:pt>
                <c:pt idx="3">
                  <c:v>Demonstrating an understanding of organisation’s specific needs</c:v>
                </c:pt>
                <c:pt idx="4">
                  <c:v>Dealing with organisation efficiently</c:v>
                </c:pt>
                <c:pt idx="5">
                  <c:v>Demonstrating an understanding of organisation’s business or operating environment</c:v>
                </c:pt>
              </c:strCache>
            </c:strRef>
          </c:cat>
          <c:val>
            <c:numRef>
              <c:f>TABLES!$D$123:$D$128</c:f>
              <c:numCache>
                <c:formatCode>0</c:formatCode>
                <c:ptCount val="6"/>
                <c:pt idx="0">
                  <c:v>29.6875</c:v>
                </c:pt>
                <c:pt idx="1">
                  <c:v>44.53125</c:v>
                </c:pt>
                <c:pt idx="2">
                  <c:v>34.375</c:v>
                </c:pt>
                <c:pt idx="3">
                  <c:v>32.8125</c:v>
                </c:pt>
                <c:pt idx="4">
                  <c:v>35.15625</c:v>
                </c:pt>
                <c:pt idx="5">
                  <c:v>31.25</c:v>
                </c:pt>
              </c:numCache>
            </c:numRef>
          </c:val>
          <c:extLst>
            <c:ext xmlns:c16="http://schemas.microsoft.com/office/drawing/2014/chart" uri="{C3380CC4-5D6E-409C-BE32-E72D297353CC}">
              <c16:uniqueId val="{00000001-A5AD-401E-8DD1-110A3B3F8A0A}"/>
            </c:ext>
          </c:extLst>
        </c:ser>
        <c:ser>
          <c:idx val="2"/>
          <c:order val="2"/>
          <c:tx>
            <c:strRef>
              <c:f>TABLES!$E$122</c:f>
              <c:strCache>
                <c:ptCount val="1"/>
                <c:pt idx="0">
                  <c:v>Fair</c:v>
                </c:pt>
              </c:strCache>
            </c:strRef>
          </c:tx>
          <c:spPr>
            <a:solidFill>
              <a:srgbClr val="FFFF00"/>
            </a:solidFill>
            <a:ln>
              <a:noFill/>
            </a:ln>
            <a:effectLst/>
          </c:spPr>
          <c:invertIfNegative val="0"/>
          <c:dLbls>
            <c:spPr>
              <a:noFill/>
              <a:ln>
                <a:noFill/>
              </a:ln>
              <a:effectLst/>
            </c:spPr>
            <c:txPr>
              <a:bodyPr wrap="square" lIns="38100" tIns="19050" rIns="38100" bIns="19050" anchor="ctr">
                <a:spAutoFit/>
              </a:bodyPr>
              <a:lstStyle/>
              <a:p>
                <a:pPr>
                  <a:defRPr b="1">
                    <a:latin typeface="Arial Nova" panose="020B05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TABLES!$B$123:$B$128</c:f>
              <c:strCache>
                <c:ptCount val="6"/>
                <c:pt idx="0">
                  <c:v>Usefulness of meeting face-to-face with case management teams</c:v>
                </c:pt>
                <c:pt idx="1">
                  <c:v>TEQSA’s overall approach to case management</c:v>
                </c:pt>
                <c:pt idx="2">
                  <c:v>Being responsive to organisation’s needs</c:v>
                </c:pt>
                <c:pt idx="3">
                  <c:v>Demonstrating an understanding of organisation’s specific needs</c:v>
                </c:pt>
                <c:pt idx="4">
                  <c:v>Dealing with organisation efficiently</c:v>
                </c:pt>
                <c:pt idx="5">
                  <c:v>Demonstrating an understanding of organisation’s business or operating environment</c:v>
                </c:pt>
              </c:strCache>
            </c:strRef>
          </c:cat>
          <c:val>
            <c:numRef>
              <c:f>TABLES!$E$123:$E$128</c:f>
              <c:numCache>
                <c:formatCode>0</c:formatCode>
                <c:ptCount val="6"/>
                <c:pt idx="0">
                  <c:v>5.46875</c:v>
                </c:pt>
                <c:pt idx="1">
                  <c:v>17.96875</c:v>
                </c:pt>
                <c:pt idx="2">
                  <c:v>22.65625</c:v>
                </c:pt>
                <c:pt idx="3">
                  <c:v>26.5625</c:v>
                </c:pt>
                <c:pt idx="4">
                  <c:v>28.90625</c:v>
                </c:pt>
                <c:pt idx="5">
                  <c:v>26.5625</c:v>
                </c:pt>
              </c:numCache>
            </c:numRef>
          </c:val>
          <c:extLst>
            <c:ext xmlns:c16="http://schemas.microsoft.com/office/drawing/2014/chart" uri="{C3380CC4-5D6E-409C-BE32-E72D297353CC}">
              <c16:uniqueId val="{00000002-A5AD-401E-8DD1-110A3B3F8A0A}"/>
            </c:ext>
          </c:extLst>
        </c:ser>
        <c:ser>
          <c:idx val="3"/>
          <c:order val="3"/>
          <c:tx>
            <c:strRef>
              <c:f>TABLES!$F$122</c:f>
              <c:strCache>
                <c:ptCount val="1"/>
                <c:pt idx="0">
                  <c:v>Poor</c:v>
                </c:pt>
              </c:strCache>
            </c:strRef>
          </c:tx>
          <c:spPr>
            <a:solidFill>
              <a:srgbClr val="FF9933"/>
            </a:solidFill>
            <a:ln>
              <a:noFill/>
            </a:ln>
            <a:effectLst/>
          </c:spPr>
          <c:invertIfNegative val="0"/>
          <c:dLbls>
            <c:spPr>
              <a:noFill/>
              <a:ln>
                <a:noFill/>
              </a:ln>
              <a:effectLst/>
            </c:spPr>
            <c:txPr>
              <a:bodyPr wrap="square" lIns="38100" tIns="19050" rIns="38100" bIns="19050" anchor="ctr">
                <a:spAutoFit/>
              </a:bodyPr>
              <a:lstStyle/>
              <a:p>
                <a:pPr>
                  <a:defRPr b="1">
                    <a:latin typeface="Arial Nova" panose="020B05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TABLES!$B$123:$B$128</c:f>
              <c:strCache>
                <c:ptCount val="6"/>
                <c:pt idx="0">
                  <c:v>Usefulness of meeting face-to-face with case management teams</c:v>
                </c:pt>
                <c:pt idx="1">
                  <c:v>TEQSA’s overall approach to case management</c:v>
                </c:pt>
                <c:pt idx="2">
                  <c:v>Being responsive to organisation’s needs</c:v>
                </c:pt>
                <c:pt idx="3">
                  <c:v>Demonstrating an understanding of organisation’s specific needs</c:v>
                </c:pt>
                <c:pt idx="4">
                  <c:v>Dealing with organisation efficiently</c:v>
                </c:pt>
                <c:pt idx="5">
                  <c:v>Demonstrating an understanding of organisation’s business or operating environment</c:v>
                </c:pt>
              </c:strCache>
            </c:strRef>
          </c:cat>
          <c:val>
            <c:numRef>
              <c:f>TABLES!$F$123:$F$128</c:f>
              <c:numCache>
                <c:formatCode>0</c:formatCode>
                <c:ptCount val="6"/>
                <c:pt idx="0">
                  <c:v>5.46875</c:v>
                </c:pt>
                <c:pt idx="1">
                  <c:v>10.15625</c:v>
                </c:pt>
                <c:pt idx="2">
                  <c:v>14.0625</c:v>
                </c:pt>
                <c:pt idx="3">
                  <c:v>12.5</c:v>
                </c:pt>
                <c:pt idx="4">
                  <c:v>11.71875</c:v>
                </c:pt>
                <c:pt idx="5">
                  <c:v>14.84375</c:v>
                </c:pt>
              </c:numCache>
            </c:numRef>
          </c:val>
          <c:extLst>
            <c:ext xmlns:c16="http://schemas.microsoft.com/office/drawing/2014/chart" uri="{C3380CC4-5D6E-409C-BE32-E72D297353CC}">
              <c16:uniqueId val="{00000003-A5AD-401E-8DD1-110A3B3F8A0A}"/>
            </c:ext>
          </c:extLst>
        </c:ser>
        <c:ser>
          <c:idx val="4"/>
          <c:order val="4"/>
          <c:tx>
            <c:strRef>
              <c:f>TABLES!$G$122</c:f>
              <c:strCache>
                <c:ptCount val="1"/>
                <c:pt idx="0">
                  <c:v>Very poor</c:v>
                </c:pt>
              </c:strCache>
            </c:strRef>
          </c:tx>
          <c:spPr>
            <a:solidFill>
              <a:srgbClr val="C00000"/>
            </a:solidFill>
            <a:ln>
              <a:noFill/>
            </a:ln>
            <a:effectLst/>
          </c:spPr>
          <c:invertIfNegative val="0"/>
          <c:dLbls>
            <c:spPr>
              <a:noFill/>
              <a:ln>
                <a:noFill/>
              </a:ln>
              <a:effectLst/>
            </c:spPr>
            <c:txPr>
              <a:bodyPr wrap="square" lIns="38100" tIns="19050" rIns="38100" bIns="19050" anchor="ctr">
                <a:spAutoFit/>
              </a:bodyPr>
              <a:lstStyle/>
              <a:p>
                <a:pPr>
                  <a:defRPr b="1">
                    <a:solidFill>
                      <a:schemeClr val="bg1"/>
                    </a:solidFill>
                    <a:latin typeface="Arial Nova" panose="020B05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TABLES!$B$123:$B$128</c:f>
              <c:strCache>
                <c:ptCount val="6"/>
                <c:pt idx="0">
                  <c:v>Usefulness of meeting face-to-face with case management teams</c:v>
                </c:pt>
                <c:pt idx="1">
                  <c:v>TEQSA’s overall approach to case management</c:v>
                </c:pt>
                <c:pt idx="2">
                  <c:v>Being responsive to organisation’s needs</c:v>
                </c:pt>
                <c:pt idx="3">
                  <c:v>Demonstrating an understanding of organisation’s specific needs</c:v>
                </c:pt>
                <c:pt idx="4">
                  <c:v>Dealing with organisation efficiently</c:v>
                </c:pt>
                <c:pt idx="5">
                  <c:v>Demonstrating an understanding of organisation’s business or operating environment</c:v>
                </c:pt>
              </c:strCache>
            </c:strRef>
          </c:cat>
          <c:val>
            <c:numRef>
              <c:f>TABLES!$G$123:$G$128</c:f>
              <c:numCache>
                <c:formatCode>0</c:formatCode>
                <c:ptCount val="6"/>
                <c:pt idx="0">
                  <c:v>2.34375</c:v>
                </c:pt>
                <c:pt idx="1">
                  <c:v>3.125</c:v>
                </c:pt>
                <c:pt idx="2">
                  <c:v>3.90625</c:v>
                </c:pt>
                <c:pt idx="3">
                  <c:v>5.46875</c:v>
                </c:pt>
                <c:pt idx="4">
                  <c:v>4.6875</c:v>
                </c:pt>
                <c:pt idx="5">
                  <c:v>3.90625</c:v>
                </c:pt>
              </c:numCache>
            </c:numRef>
          </c:val>
          <c:extLst>
            <c:ext xmlns:c16="http://schemas.microsoft.com/office/drawing/2014/chart" uri="{C3380CC4-5D6E-409C-BE32-E72D297353CC}">
              <c16:uniqueId val="{00000004-A5AD-401E-8DD1-110A3B3F8A0A}"/>
            </c:ext>
          </c:extLst>
        </c:ser>
        <c:ser>
          <c:idx val="5"/>
          <c:order val="5"/>
          <c:tx>
            <c:strRef>
              <c:f>TABLES!$H$122</c:f>
              <c:strCache>
                <c:ptCount val="1"/>
                <c:pt idx="0">
                  <c:v>Don't know / No answer</c:v>
                </c:pt>
              </c:strCache>
            </c:strRef>
          </c:tx>
          <c:spPr>
            <a:solidFill>
              <a:srgbClr val="A6A6A6"/>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5AD-401E-8DD1-110A3B3F8A0A}"/>
                </c:ext>
              </c:extLst>
            </c:dLbl>
            <c:dLbl>
              <c:idx val="1"/>
              <c:delete val="1"/>
              <c:extLst>
                <c:ext xmlns:c15="http://schemas.microsoft.com/office/drawing/2012/chart" uri="{CE6537A1-D6FC-4f65-9D91-7224C49458BB}"/>
                <c:ext xmlns:c16="http://schemas.microsoft.com/office/drawing/2014/chart" uri="{C3380CC4-5D6E-409C-BE32-E72D297353CC}">
                  <c16:uniqueId val="{00000006-A5AD-401E-8DD1-110A3B3F8A0A}"/>
                </c:ext>
              </c:extLst>
            </c:dLbl>
            <c:dLbl>
              <c:idx val="2"/>
              <c:delete val="1"/>
              <c:extLst>
                <c:ext xmlns:c15="http://schemas.microsoft.com/office/drawing/2012/chart" uri="{CE6537A1-D6FC-4f65-9D91-7224C49458BB}"/>
                <c:ext xmlns:c16="http://schemas.microsoft.com/office/drawing/2014/chart" uri="{C3380CC4-5D6E-409C-BE32-E72D297353CC}">
                  <c16:uniqueId val="{00000007-A5AD-401E-8DD1-110A3B3F8A0A}"/>
                </c:ext>
              </c:extLst>
            </c:dLbl>
            <c:dLbl>
              <c:idx val="3"/>
              <c:delete val="1"/>
              <c:extLst>
                <c:ext xmlns:c15="http://schemas.microsoft.com/office/drawing/2012/chart" uri="{CE6537A1-D6FC-4f65-9D91-7224C49458BB}"/>
                <c:ext xmlns:c16="http://schemas.microsoft.com/office/drawing/2014/chart" uri="{C3380CC4-5D6E-409C-BE32-E72D297353CC}">
                  <c16:uniqueId val="{00000008-A5AD-401E-8DD1-110A3B3F8A0A}"/>
                </c:ext>
              </c:extLst>
            </c:dLbl>
            <c:dLbl>
              <c:idx val="4"/>
              <c:delete val="1"/>
              <c:extLst>
                <c:ext xmlns:c15="http://schemas.microsoft.com/office/drawing/2012/chart" uri="{CE6537A1-D6FC-4f65-9D91-7224C49458BB}"/>
                <c:ext xmlns:c16="http://schemas.microsoft.com/office/drawing/2014/chart" uri="{C3380CC4-5D6E-409C-BE32-E72D297353CC}">
                  <c16:uniqueId val="{00000009-A5AD-401E-8DD1-110A3B3F8A0A}"/>
                </c:ext>
              </c:extLst>
            </c:dLbl>
            <c:dLbl>
              <c:idx val="5"/>
              <c:delete val="1"/>
              <c:extLst>
                <c:ext xmlns:c15="http://schemas.microsoft.com/office/drawing/2012/chart" uri="{CE6537A1-D6FC-4f65-9D91-7224C49458BB}"/>
                <c:ext xmlns:c16="http://schemas.microsoft.com/office/drawing/2014/chart" uri="{C3380CC4-5D6E-409C-BE32-E72D297353CC}">
                  <c16:uniqueId val="{0000000A-A5AD-401E-8DD1-110A3B3F8A0A}"/>
                </c:ext>
              </c:extLst>
            </c:dLbl>
            <c:spPr>
              <a:noFill/>
              <a:ln>
                <a:noFill/>
              </a:ln>
              <a:effectLst/>
            </c:spPr>
            <c:txPr>
              <a:bodyPr wrap="square" lIns="38100" tIns="19050" rIns="38100" bIns="19050" anchor="ctr">
                <a:spAutoFit/>
              </a:bodyPr>
              <a:lstStyle/>
              <a:p>
                <a:pPr>
                  <a:defRPr b="1">
                    <a:solidFill>
                      <a:schemeClr val="tx1"/>
                    </a:solidFill>
                    <a:latin typeface="Arial Nova" panose="020B05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TABLES!$B$123:$B$128</c:f>
              <c:strCache>
                <c:ptCount val="6"/>
                <c:pt idx="0">
                  <c:v>Usefulness of meeting face-to-face with case management teams</c:v>
                </c:pt>
                <c:pt idx="1">
                  <c:v>TEQSA’s overall approach to case management</c:v>
                </c:pt>
                <c:pt idx="2">
                  <c:v>Being responsive to organisation’s needs</c:v>
                </c:pt>
                <c:pt idx="3">
                  <c:v>Demonstrating an understanding of organisation’s specific needs</c:v>
                </c:pt>
                <c:pt idx="4">
                  <c:v>Dealing with organisation efficiently</c:v>
                </c:pt>
                <c:pt idx="5">
                  <c:v>Demonstrating an understanding of organisation’s business or operating environment</c:v>
                </c:pt>
              </c:strCache>
            </c:strRef>
          </c:cat>
          <c:val>
            <c:numRef>
              <c:f>TABLES!$H$123:$H$128</c:f>
              <c:numCache>
                <c:formatCode>0</c:formatCode>
                <c:ptCount val="6"/>
                <c:pt idx="0">
                  <c:v>7.03125</c:v>
                </c:pt>
                <c:pt idx="1">
                  <c:v>0</c:v>
                </c:pt>
                <c:pt idx="2">
                  <c:v>0.78125</c:v>
                </c:pt>
                <c:pt idx="3">
                  <c:v>0</c:v>
                </c:pt>
                <c:pt idx="4">
                  <c:v>0</c:v>
                </c:pt>
                <c:pt idx="5">
                  <c:v>0.78125</c:v>
                </c:pt>
              </c:numCache>
            </c:numRef>
          </c:val>
          <c:extLst>
            <c:ext xmlns:c16="http://schemas.microsoft.com/office/drawing/2014/chart" uri="{C3380CC4-5D6E-409C-BE32-E72D297353CC}">
              <c16:uniqueId val="{0000000B-A5AD-401E-8DD1-110A3B3F8A0A}"/>
            </c:ext>
          </c:extLst>
        </c:ser>
        <c:ser>
          <c:idx val="6"/>
          <c:order val="6"/>
          <c:tx>
            <c:strRef>
              <c:f>TABLES!$I$122</c:f>
              <c:strCache>
                <c:ptCount val="1"/>
                <c:pt idx="0">
                  <c:v>Not applicable</c:v>
                </c:pt>
              </c:strCache>
            </c:strRef>
          </c:tx>
          <c:spPr>
            <a:solidFill>
              <a:srgbClr val="002060"/>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C-A5AD-401E-8DD1-110A3B3F8A0A}"/>
                </c:ext>
              </c:extLst>
            </c:dLbl>
            <c:dLbl>
              <c:idx val="2"/>
              <c:delete val="1"/>
              <c:extLst>
                <c:ext xmlns:c15="http://schemas.microsoft.com/office/drawing/2012/chart" uri="{CE6537A1-D6FC-4f65-9D91-7224C49458BB}"/>
                <c:ext xmlns:c16="http://schemas.microsoft.com/office/drawing/2014/chart" uri="{C3380CC4-5D6E-409C-BE32-E72D297353CC}">
                  <c16:uniqueId val="{0000000D-A5AD-401E-8DD1-110A3B3F8A0A}"/>
                </c:ext>
              </c:extLst>
            </c:dLbl>
            <c:spPr>
              <a:noFill/>
              <a:ln>
                <a:noFill/>
              </a:ln>
              <a:effectLst/>
            </c:spPr>
            <c:txPr>
              <a:bodyPr wrap="square" lIns="38100" tIns="19050" rIns="38100" bIns="19050" anchor="ctr">
                <a:spAutoFit/>
              </a:bodyPr>
              <a:lstStyle/>
              <a:p>
                <a:pPr>
                  <a:defRPr b="1">
                    <a:solidFill>
                      <a:schemeClr val="bg1"/>
                    </a:solidFill>
                    <a:latin typeface="Arial Nova" panose="020B05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TABLES!$B$123:$B$128</c:f>
              <c:strCache>
                <c:ptCount val="6"/>
                <c:pt idx="0">
                  <c:v>Usefulness of meeting face-to-face with case management teams</c:v>
                </c:pt>
                <c:pt idx="1">
                  <c:v>TEQSA’s overall approach to case management</c:v>
                </c:pt>
                <c:pt idx="2">
                  <c:v>Being responsive to organisation’s needs</c:v>
                </c:pt>
                <c:pt idx="3">
                  <c:v>Demonstrating an understanding of organisation’s specific needs</c:v>
                </c:pt>
                <c:pt idx="4">
                  <c:v>Dealing with organisation efficiently</c:v>
                </c:pt>
                <c:pt idx="5">
                  <c:v>Demonstrating an understanding of organisation’s business or operating environment</c:v>
                </c:pt>
              </c:strCache>
            </c:strRef>
          </c:cat>
          <c:val>
            <c:numRef>
              <c:f>TABLES!$I$123:$I$128</c:f>
              <c:numCache>
                <c:formatCode>0</c:formatCode>
                <c:ptCount val="6"/>
                <c:pt idx="0">
                  <c:v>32.03125</c:v>
                </c:pt>
                <c:pt idx="1">
                  <c:v>0</c:v>
                </c:pt>
                <c:pt idx="2">
                  <c:v>0.78125</c:v>
                </c:pt>
                <c:pt idx="3">
                  <c:v>1.5625</c:v>
                </c:pt>
                <c:pt idx="4">
                  <c:v>1.5625</c:v>
                </c:pt>
                <c:pt idx="5">
                  <c:v>1.5625</c:v>
                </c:pt>
              </c:numCache>
            </c:numRef>
          </c:val>
          <c:extLst>
            <c:ext xmlns:c16="http://schemas.microsoft.com/office/drawing/2014/chart" uri="{C3380CC4-5D6E-409C-BE32-E72D297353CC}">
              <c16:uniqueId val="{0000000E-A5AD-401E-8DD1-110A3B3F8A0A}"/>
            </c:ext>
          </c:extLst>
        </c:ser>
        <c:dLbls>
          <c:dLblPos val="ctr"/>
          <c:showLegendKey val="0"/>
          <c:showVal val="1"/>
          <c:showCatName val="0"/>
          <c:showSerName val="0"/>
          <c:showPercent val="0"/>
          <c:showBubbleSize val="0"/>
        </c:dLbls>
        <c:gapWidth val="80"/>
        <c:overlap val="100"/>
        <c:axId val="1999404976"/>
        <c:axId val="1999412592"/>
      </c:barChart>
      <c:catAx>
        <c:axId val="19994049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ova" panose="020B0504020202020204" pitchFamily="34" charset="0"/>
                <a:ea typeface="+mn-ea"/>
                <a:cs typeface="+mn-cs"/>
              </a:defRPr>
            </a:pPr>
            <a:endParaRPr lang="en-US"/>
          </a:p>
        </c:txPr>
        <c:crossAx val="1999412592"/>
        <c:crosses val="autoZero"/>
        <c:auto val="1"/>
        <c:lblAlgn val="ctr"/>
        <c:lblOffset val="100"/>
        <c:noMultiLvlLbl val="0"/>
      </c:catAx>
      <c:valAx>
        <c:axId val="1999412592"/>
        <c:scaling>
          <c:orientation val="minMax"/>
          <c:max val="100"/>
        </c:scaling>
        <c:delete val="0"/>
        <c:axPos val="b"/>
        <c:majorGridlines>
          <c:spPr>
            <a:ln w="9525" cap="flat" cmpd="sng" algn="ctr">
              <a:solidFill>
                <a:sysClr val="window" lastClr="FFFFFF">
                  <a:lumMod val="75000"/>
                </a:sys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ova" panose="020B0504020202020204" pitchFamily="34" charset="0"/>
                <a:ea typeface="+mn-ea"/>
                <a:cs typeface="+mn-cs"/>
              </a:defRPr>
            </a:pPr>
            <a:endParaRPr lang="en-US"/>
          </a:p>
        </c:txPr>
        <c:crossAx val="1999404976"/>
        <c:crosses val="max"/>
        <c:crossBetween val="between"/>
        <c:majorUnit val="20"/>
      </c:valAx>
      <c:spPr>
        <a:noFill/>
        <a:ln>
          <a:noFill/>
        </a:ln>
        <a:effectLst/>
      </c:spPr>
    </c:plotArea>
    <c:legend>
      <c:legendPos val="b"/>
      <c:layout>
        <c:manualLayout>
          <c:xMode val="edge"/>
          <c:yMode val="edge"/>
          <c:x val="6.3132949727437923E-2"/>
          <c:y val="0.92696294767589527"/>
          <c:w val="0.86192879736186823"/>
          <c:h val="5.8280681144695624E-2"/>
        </c:manualLayout>
      </c:layout>
      <c:overlay val="0"/>
      <c:txPr>
        <a:bodyPr/>
        <a:lstStyle/>
        <a:p>
          <a:pPr>
            <a:defRPr sz="900">
              <a:latin typeface="Arial Nova" panose="020B05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lgn="l">
              <a:defRPr/>
            </a:pPr>
            <a:r>
              <a:rPr lang="en-AU" sz="1100"/>
              <a:t>Re-use of material provided</a:t>
            </a:r>
          </a:p>
          <a:p>
            <a:pPr algn="l">
              <a:defRPr/>
            </a:pPr>
            <a:r>
              <a:rPr lang="en-AU" sz="900" b="0" i="1"/>
              <a:t>% of respondents choosing a rating point; n=143</a:t>
            </a:r>
          </a:p>
        </c:rich>
      </c:tx>
      <c:layout>
        <c:manualLayout>
          <c:xMode val="edge"/>
          <c:yMode val="edge"/>
          <c:x val="9.7213809812235008E-4"/>
          <c:y val="0"/>
        </c:manualLayout>
      </c:layout>
      <c:overlay val="0"/>
    </c:title>
    <c:autoTitleDeleted val="0"/>
    <c:plotArea>
      <c:layout>
        <c:manualLayout>
          <c:layoutTarget val="inner"/>
          <c:xMode val="edge"/>
          <c:yMode val="edge"/>
          <c:x val="4.3466413431989342E-2"/>
          <c:y val="0.22187616520079839"/>
          <c:w val="0.54777404080771319"/>
          <c:h val="0.60728152713501349"/>
        </c:manualLayout>
      </c:layout>
      <c:pieChart>
        <c:varyColors val="1"/>
        <c:ser>
          <c:idx val="4"/>
          <c:order val="0"/>
          <c:spPr>
            <a:solidFill>
              <a:srgbClr val="008000"/>
            </a:solidFill>
            <a:effectLst/>
          </c:spPr>
          <c:dPt>
            <c:idx val="1"/>
            <c:bubble3D val="0"/>
            <c:spPr>
              <a:solidFill>
                <a:srgbClr val="92D050"/>
              </a:solidFill>
              <a:effectLst/>
            </c:spPr>
            <c:extLst>
              <c:ext xmlns:c16="http://schemas.microsoft.com/office/drawing/2014/chart" uri="{C3380CC4-5D6E-409C-BE32-E72D297353CC}">
                <c16:uniqueId val="{00000001-8851-4EF7-A3EC-A9F4FE40BD3B}"/>
              </c:ext>
            </c:extLst>
          </c:dPt>
          <c:dPt>
            <c:idx val="2"/>
            <c:bubble3D val="0"/>
            <c:spPr>
              <a:solidFill>
                <a:srgbClr val="C00000"/>
              </a:solidFill>
              <a:effectLst/>
            </c:spPr>
            <c:extLst>
              <c:ext xmlns:c16="http://schemas.microsoft.com/office/drawing/2014/chart" uri="{C3380CC4-5D6E-409C-BE32-E72D297353CC}">
                <c16:uniqueId val="{00000003-8851-4EF7-A3EC-A9F4FE40BD3B}"/>
              </c:ext>
            </c:extLst>
          </c:dPt>
          <c:dPt>
            <c:idx val="3"/>
            <c:bubble3D val="0"/>
            <c:spPr>
              <a:solidFill>
                <a:sysClr val="window" lastClr="FFFFFF">
                  <a:lumMod val="75000"/>
                </a:sysClr>
              </a:solidFill>
              <a:effectLst/>
            </c:spPr>
            <c:extLst>
              <c:ext xmlns:c16="http://schemas.microsoft.com/office/drawing/2014/chart" uri="{C3380CC4-5D6E-409C-BE32-E72D297353CC}">
                <c16:uniqueId val="{00000005-8851-4EF7-A3EC-A9F4FE40BD3B}"/>
              </c:ext>
            </c:extLst>
          </c:dPt>
          <c:dLbls>
            <c:spPr>
              <a:noFill/>
              <a:ln>
                <a:noFill/>
              </a:ln>
              <a:effectLst/>
            </c:spPr>
            <c:txPr>
              <a:bodyPr/>
              <a:lstStyle/>
              <a:p>
                <a:pPr>
                  <a:defRPr sz="1000" b="1"/>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TABLES!$C$131:$C$134</c:f>
              <c:strCache>
                <c:ptCount val="4"/>
                <c:pt idx="0">
                  <c:v>Improved</c:v>
                </c:pt>
                <c:pt idx="1">
                  <c:v>Stayed the same over the last 12 months</c:v>
                </c:pt>
                <c:pt idx="2">
                  <c:v>Worsened</c:v>
                </c:pt>
                <c:pt idx="3">
                  <c:v>Don't know / No answer</c:v>
                </c:pt>
              </c:strCache>
            </c:strRef>
          </c:cat>
          <c:val>
            <c:numRef>
              <c:f>TABLES!$D$131:$D$134</c:f>
              <c:numCache>
                <c:formatCode>0</c:formatCode>
                <c:ptCount val="4"/>
                <c:pt idx="0">
                  <c:v>16.783216783216783</c:v>
                </c:pt>
                <c:pt idx="1">
                  <c:v>34.965034965034967</c:v>
                </c:pt>
                <c:pt idx="2">
                  <c:v>4.895104895104895</c:v>
                </c:pt>
                <c:pt idx="3">
                  <c:v>43.356643356643353</c:v>
                </c:pt>
              </c:numCache>
            </c:numRef>
          </c:val>
          <c:extLst>
            <c:ext xmlns:c16="http://schemas.microsoft.com/office/drawing/2014/chart" uri="{C3380CC4-5D6E-409C-BE32-E72D297353CC}">
              <c16:uniqueId val="{00000006-8851-4EF7-A3EC-A9F4FE40BD3B}"/>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773700641180298"/>
          <c:y val="0.30869241623348614"/>
          <c:w val="0.30252948186490614"/>
          <c:h val="0.52575884883399171"/>
        </c:manualLayout>
      </c:layout>
      <c:overlay val="0"/>
    </c:legend>
    <c:plotVisOnly val="1"/>
    <c:dispBlanksAs val="gap"/>
    <c:showDLblsOverMax val="0"/>
  </c:chart>
  <c:spPr>
    <a:ln>
      <a:noFill/>
    </a:ln>
  </c:spPr>
  <c:txPr>
    <a:bodyPr/>
    <a:lstStyle/>
    <a:p>
      <a:pPr>
        <a:defRPr sz="900">
          <a:latin typeface="Arial Nova" panose="020B0504020202020204" pitchFamily="34" charset="0"/>
        </a:defRPr>
      </a:pPr>
      <a:endParaRPr lang="en-US"/>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lgn="l">
              <a:defRPr/>
            </a:pPr>
            <a:r>
              <a:rPr lang="en-AU" sz="1100"/>
              <a:t>TEQSA's administrative burden</a:t>
            </a:r>
          </a:p>
          <a:p>
            <a:pPr algn="l">
              <a:defRPr/>
            </a:pPr>
            <a:r>
              <a:rPr lang="en-AU" sz="900" b="0" i="1"/>
              <a:t>% of respondents choosing a rating point; n=143</a:t>
            </a:r>
          </a:p>
        </c:rich>
      </c:tx>
      <c:layout>
        <c:manualLayout>
          <c:xMode val="edge"/>
          <c:yMode val="edge"/>
          <c:x val="9.7213809812235008E-4"/>
          <c:y val="0"/>
        </c:manualLayout>
      </c:layout>
      <c:overlay val="0"/>
    </c:title>
    <c:autoTitleDeleted val="0"/>
    <c:plotArea>
      <c:layout>
        <c:manualLayout>
          <c:layoutTarget val="inner"/>
          <c:xMode val="edge"/>
          <c:yMode val="edge"/>
          <c:x val="4.0052915637556051E-2"/>
          <c:y val="0.20666973731347651"/>
          <c:w val="0.60984765644240868"/>
          <c:h val="0.63363001630367244"/>
        </c:manualLayout>
      </c:layout>
      <c:pieChart>
        <c:varyColors val="1"/>
        <c:ser>
          <c:idx val="4"/>
          <c:order val="0"/>
          <c:spPr>
            <a:solidFill>
              <a:srgbClr val="008000"/>
            </a:solidFill>
            <a:effectLst/>
          </c:spPr>
          <c:dPt>
            <c:idx val="1"/>
            <c:bubble3D val="0"/>
            <c:spPr>
              <a:solidFill>
                <a:srgbClr val="92D050"/>
              </a:solidFill>
              <a:effectLst/>
            </c:spPr>
            <c:extLst>
              <c:ext xmlns:c16="http://schemas.microsoft.com/office/drawing/2014/chart" uri="{C3380CC4-5D6E-409C-BE32-E72D297353CC}">
                <c16:uniqueId val="{00000001-E6E2-4C2B-BB2A-1D61E426B3BD}"/>
              </c:ext>
            </c:extLst>
          </c:dPt>
          <c:dPt>
            <c:idx val="2"/>
            <c:bubble3D val="0"/>
            <c:spPr>
              <a:solidFill>
                <a:srgbClr val="C00000"/>
              </a:solidFill>
              <a:effectLst/>
            </c:spPr>
            <c:extLst>
              <c:ext xmlns:c16="http://schemas.microsoft.com/office/drawing/2014/chart" uri="{C3380CC4-5D6E-409C-BE32-E72D297353CC}">
                <c16:uniqueId val="{00000003-E6E2-4C2B-BB2A-1D61E426B3BD}"/>
              </c:ext>
            </c:extLst>
          </c:dPt>
          <c:dPt>
            <c:idx val="3"/>
            <c:bubble3D val="0"/>
            <c:spPr>
              <a:solidFill>
                <a:sysClr val="window" lastClr="FFFFFF">
                  <a:lumMod val="75000"/>
                </a:sysClr>
              </a:solidFill>
              <a:effectLst/>
            </c:spPr>
            <c:extLst>
              <c:ext xmlns:c16="http://schemas.microsoft.com/office/drawing/2014/chart" uri="{C3380CC4-5D6E-409C-BE32-E72D297353CC}">
                <c16:uniqueId val="{00000005-E6E2-4C2B-BB2A-1D61E426B3BD}"/>
              </c:ext>
            </c:extLst>
          </c:dPt>
          <c:dLbls>
            <c:spPr>
              <a:noFill/>
              <a:ln>
                <a:noFill/>
              </a:ln>
              <a:effectLst/>
            </c:spPr>
            <c:txPr>
              <a:bodyPr wrap="square" lIns="38100" tIns="19050" rIns="38100" bIns="19050" anchor="ctr">
                <a:spAutoFit/>
              </a:bodyPr>
              <a:lstStyle/>
              <a:p>
                <a:pPr>
                  <a:defRPr sz="1000" b="1"/>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TABLES!$C$138:$C$141</c:f>
              <c:strCache>
                <c:ptCount val="4"/>
                <c:pt idx="0">
                  <c:v>Improved</c:v>
                </c:pt>
                <c:pt idx="1">
                  <c:v>Stayed the same over the last 12 months</c:v>
                </c:pt>
                <c:pt idx="2">
                  <c:v>Worsened</c:v>
                </c:pt>
                <c:pt idx="3">
                  <c:v>Don't know / No answer</c:v>
                </c:pt>
              </c:strCache>
            </c:strRef>
          </c:cat>
          <c:val>
            <c:numRef>
              <c:f>TABLES!$D$138:$D$141</c:f>
              <c:numCache>
                <c:formatCode>0</c:formatCode>
                <c:ptCount val="4"/>
                <c:pt idx="0">
                  <c:v>14.685314685314685</c:v>
                </c:pt>
                <c:pt idx="1">
                  <c:v>59.44055944055944</c:v>
                </c:pt>
                <c:pt idx="2">
                  <c:v>19.58041958041958</c:v>
                </c:pt>
                <c:pt idx="3">
                  <c:v>6.2937062937062942</c:v>
                </c:pt>
              </c:numCache>
            </c:numRef>
          </c:val>
          <c:extLst>
            <c:ext xmlns:c16="http://schemas.microsoft.com/office/drawing/2014/chart" uri="{C3380CC4-5D6E-409C-BE32-E72D297353CC}">
              <c16:uniqueId val="{00000006-E6E2-4C2B-BB2A-1D61E426B3BD}"/>
            </c:ext>
          </c:extLst>
        </c:ser>
        <c:dLbls>
          <c:showLegendKey val="0"/>
          <c:showVal val="0"/>
          <c:showCatName val="0"/>
          <c:showSerName val="0"/>
          <c:showPercent val="0"/>
          <c:showBubbleSize val="0"/>
          <c:showLeaderLines val="1"/>
        </c:dLbls>
        <c:firstSliceAng val="0"/>
      </c:pieChart>
      <c:spPr>
        <a:effectLst/>
      </c:spPr>
    </c:plotArea>
    <c:legend>
      <c:legendPos val="r"/>
      <c:overlay val="0"/>
    </c:legend>
    <c:plotVisOnly val="1"/>
    <c:dispBlanksAs val="gap"/>
    <c:showDLblsOverMax val="0"/>
  </c:chart>
  <c:spPr>
    <a:ln>
      <a:noFill/>
    </a:ln>
  </c:spPr>
  <c:txPr>
    <a:bodyPr/>
    <a:lstStyle/>
    <a:p>
      <a:pPr>
        <a:defRPr sz="900">
          <a:latin typeface="Arial Nova" panose="020B0504020202020204" pitchFamily="34" charset="0"/>
        </a:defRPr>
      </a:pPr>
      <a:endParaRPr lang="en-US"/>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l">
              <a:defRPr/>
            </a:pPr>
            <a:r>
              <a:rPr lang="en-AU" sz="1100"/>
              <a:t>Sector risks</a:t>
            </a:r>
          </a:p>
          <a:p>
            <a:pPr algn="l">
              <a:defRPr/>
            </a:pPr>
            <a:r>
              <a:rPr lang="en-AU" sz="900" b="0" i="1"/>
              <a:t>% of respondents choosing a rating point; n=143</a:t>
            </a:r>
          </a:p>
        </c:rich>
      </c:tx>
      <c:layout>
        <c:manualLayout>
          <c:xMode val="edge"/>
          <c:yMode val="edge"/>
          <c:x val="7.2376447824567224E-4"/>
          <c:y val="1.9300984984305086E-3"/>
        </c:manualLayout>
      </c:layout>
      <c:overlay val="0"/>
      <c:spPr>
        <a:noFill/>
        <a:ln>
          <a:noFill/>
        </a:ln>
        <a:effectLst/>
      </c:spPr>
    </c:title>
    <c:autoTitleDeleted val="0"/>
    <c:plotArea>
      <c:layout>
        <c:manualLayout>
          <c:layoutTarget val="inner"/>
          <c:xMode val="edge"/>
          <c:yMode val="edge"/>
          <c:x val="0.56873460528972342"/>
          <c:y val="6.4713031947239777E-2"/>
          <c:w val="0.40240325728514698"/>
          <c:h val="0.83157531317553912"/>
        </c:manualLayout>
      </c:layout>
      <c:barChart>
        <c:barDir val="bar"/>
        <c:grouping val="stacked"/>
        <c:varyColors val="0"/>
        <c:ser>
          <c:idx val="0"/>
          <c:order val="0"/>
          <c:tx>
            <c:strRef>
              <c:f>TABLES!$C$162</c:f>
              <c:strCache>
                <c:ptCount val="1"/>
                <c:pt idx="0">
                  <c:v>High threat</c:v>
                </c:pt>
              </c:strCache>
            </c:strRef>
          </c:tx>
          <c:spPr>
            <a:solidFill>
              <a:srgbClr val="00386E"/>
            </a:solidFill>
            <a:ln>
              <a:noFill/>
            </a:ln>
            <a:effectLst/>
          </c:spPr>
          <c:invertIfNegative val="0"/>
          <c:dLbls>
            <c:spPr>
              <a:noFill/>
              <a:ln>
                <a:noFill/>
              </a:ln>
              <a:effectLst/>
            </c:spPr>
            <c:txPr>
              <a:bodyPr/>
              <a:lstStyle/>
              <a:p>
                <a:pPr>
                  <a:defRPr sz="1000"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TABLES!$B$163:$B$180</c:f>
              <c:strCache>
                <c:ptCount val="18"/>
                <c:pt idx="0">
                  <c:v>Contract cheating</c:v>
                </c:pt>
                <c:pt idx="1">
                  <c:v>Cyber security</c:v>
                </c:pt>
                <c:pt idx="2">
                  <c:v>Stereotyping of private providers</c:v>
                </c:pt>
                <c:pt idx="3">
                  <c:v>Reliance on income from overseas students</c:v>
                </c:pt>
                <c:pt idx="4">
                  <c:v>Graduating poorly trained students</c:v>
                </c:pt>
                <c:pt idx="5">
                  <c:v>Stifling of innovation through accreditation processes</c:v>
                </c:pt>
                <c:pt idx="6">
                  <c:v>Admission of underqualified students</c:v>
                </c:pt>
                <c:pt idx="7">
                  <c:v>Having a regulator that operates under cost recovery model</c:v>
                </c:pt>
                <c:pt idx="8">
                  <c:v>Difficulty in holding to account providers that are too big to fail</c:v>
                </c:pt>
                <c:pt idx="9">
                  <c:v>Students whose well-being has not been safeguarded</c:v>
                </c:pt>
                <c:pt idx="10">
                  <c:v>Management of sexual harassment / sexual assault on campus</c:v>
                </c:pt>
                <c:pt idx="11">
                  <c:v>Costs of research for the higher education sector</c:v>
                </c:pt>
                <c:pt idx="12">
                  <c:v>TEQSA being unable to see problems in large complex providers</c:v>
                </c:pt>
                <c:pt idx="13">
                  <c:v>Management of bullying on campus</c:v>
                </c:pt>
                <c:pt idx="14">
                  <c:v>Poor co-op'n among national / international profess accreditation bodies, regulators &amp; govt</c:v>
                </c:pt>
                <c:pt idx="15">
                  <c:v>Discouragement of free enquiry in higher education sector</c:v>
                </c:pt>
                <c:pt idx="16">
                  <c:v>Over-reliance on paper-based assessment of providers including desk audits</c:v>
                </c:pt>
                <c:pt idx="17">
                  <c:v>Micro-credentials</c:v>
                </c:pt>
              </c:strCache>
            </c:strRef>
          </c:cat>
          <c:val>
            <c:numRef>
              <c:f>TABLES!$C$163:$C$180</c:f>
              <c:numCache>
                <c:formatCode>0</c:formatCode>
                <c:ptCount val="18"/>
                <c:pt idx="0">
                  <c:v>48.251748251748253</c:v>
                </c:pt>
                <c:pt idx="1">
                  <c:v>43.356643356643353</c:v>
                </c:pt>
                <c:pt idx="2">
                  <c:v>41.95804195804196</c:v>
                </c:pt>
                <c:pt idx="3">
                  <c:v>39.16083916083916</c:v>
                </c:pt>
                <c:pt idx="4">
                  <c:v>32.867132867132867</c:v>
                </c:pt>
                <c:pt idx="5">
                  <c:v>32.867132867132867</c:v>
                </c:pt>
                <c:pt idx="6">
                  <c:v>32.167832167832167</c:v>
                </c:pt>
                <c:pt idx="7">
                  <c:v>30.069930069930066</c:v>
                </c:pt>
                <c:pt idx="8">
                  <c:v>29.37062937062937</c:v>
                </c:pt>
                <c:pt idx="9">
                  <c:v>26.573426573426573</c:v>
                </c:pt>
                <c:pt idx="10">
                  <c:v>21.678321678321677</c:v>
                </c:pt>
                <c:pt idx="11">
                  <c:v>20.97902097902098</c:v>
                </c:pt>
                <c:pt idx="12">
                  <c:v>18.181818181818183</c:v>
                </c:pt>
                <c:pt idx="13">
                  <c:v>17.482517482517483</c:v>
                </c:pt>
                <c:pt idx="14">
                  <c:v>16.783216783216783</c:v>
                </c:pt>
                <c:pt idx="15">
                  <c:v>15.384615384615385</c:v>
                </c:pt>
                <c:pt idx="16">
                  <c:v>11.888111888111888</c:v>
                </c:pt>
                <c:pt idx="17">
                  <c:v>4.895104895104895</c:v>
                </c:pt>
              </c:numCache>
            </c:numRef>
          </c:val>
          <c:extLst>
            <c:ext xmlns:c16="http://schemas.microsoft.com/office/drawing/2014/chart" uri="{C3380CC4-5D6E-409C-BE32-E72D297353CC}">
              <c16:uniqueId val="{00000000-B566-4C0A-B756-4D1497CE3778}"/>
            </c:ext>
          </c:extLst>
        </c:ser>
        <c:ser>
          <c:idx val="1"/>
          <c:order val="1"/>
          <c:tx>
            <c:strRef>
              <c:f>TABLES!$D$162</c:f>
              <c:strCache>
                <c:ptCount val="1"/>
                <c:pt idx="0">
                  <c:v>Medium threat</c:v>
                </c:pt>
              </c:strCache>
            </c:strRef>
          </c:tx>
          <c:spPr>
            <a:solidFill>
              <a:srgbClr val="1F497D">
                <a:lumMod val="60000"/>
                <a:lumOff val="40000"/>
              </a:srgbClr>
            </a:solidFill>
            <a:ln>
              <a:noFill/>
            </a:ln>
            <a:effectLst/>
          </c:spPr>
          <c:invertIfNegative val="0"/>
          <c:dLbls>
            <c:spPr>
              <a:noFill/>
              <a:ln>
                <a:noFill/>
              </a:ln>
              <a:effectLst/>
            </c:spPr>
            <c:txPr>
              <a:bodyPr/>
              <a:lstStyle/>
              <a:p>
                <a:pPr>
                  <a:defRPr sz="1000"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TABLES!$B$163:$B$180</c:f>
              <c:strCache>
                <c:ptCount val="18"/>
                <c:pt idx="0">
                  <c:v>Contract cheating</c:v>
                </c:pt>
                <c:pt idx="1">
                  <c:v>Cyber security</c:v>
                </c:pt>
                <c:pt idx="2">
                  <c:v>Stereotyping of private providers</c:v>
                </c:pt>
                <c:pt idx="3">
                  <c:v>Reliance on income from overseas students</c:v>
                </c:pt>
                <c:pt idx="4">
                  <c:v>Graduating poorly trained students</c:v>
                </c:pt>
                <c:pt idx="5">
                  <c:v>Stifling of innovation through accreditation processes</c:v>
                </c:pt>
                <c:pt idx="6">
                  <c:v>Admission of underqualified students</c:v>
                </c:pt>
                <c:pt idx="7">
                  <c:v>Having a regulator that operates under cost recovery model</c:v>
                </c:pt>
                <c:pt idx="8">
                  <c:v>Difficulty in holding to account providers that are too big to fail</c:v>
                </c:pt>
                <c:pt idx="9">
                  <c:v>Students whose well-being has not been safeguarded</c:v>
                </c:pt>
                <c:pt idx="10">
                  <c:v>Management of sexual harassment / sexual assault on campus</c:v>
                </c:pt>
                <c:pt idx="11">
                  <c:v>Costs of research for the higher education sector</c:v>
                </c:pt>
                <c:pt idx="12">
                  <c:v>TEQSA being unable to see problems in large complex providers</c:v>
                </c:pt>
                <c:pt idx="13">
                  <c:v>Management of bullying on campus</c:v>
                </c:pt>
                <c:pt idx="14">
                  <c:v>Poor co-op'n among national / international profess accreditation bodies, regulators &amp; govt</c:v>
                </c:pt>
                <c:pt idx="15">
                  <c:v>Discouragement of free enquiry in higher education sector</c:v>
                </c:pt>
                <c:pt idx="16">
                  <c:v>Over-reliance on paper-based assessment of providers including desk audits</c:v>
                </c:pt>
                <c:pt idx="17">
                  <c:v>Micro-credentials</c:v>
                </c:pt>
              </c:strCache>
            </c:strRef>
          </c:cat>
          <c:val>
            <c:numRef>
              <c:f>TABLES!$D$163:$D$180</c:f>
              <c:numCache>
                <c:formatCode>0</c:formatCode>
                <c:ptCount val="18"/>
                <c:pt idx="0">
                  <c:v>41.25874125874126</c:v>
                </c:pt>
                <c:pt idx="1">
                  <c:v>39.16083916083916</c:v>
                </c:pt>
                <c:pt idx="2">
                  <c:v>26.573426573426573</c:v>
                </c:pt>
                <c:pt idx="3">
                  <c:v>46.153846153846153</c:v>
                </c:pt>
                <c:pt idx="4">
                  <c:v>34.265734265734267</c:v>
                </c:pt>
                <c:pt idx="5">
                  <c:v>31.46853146853147</c:v>
                </c:pt>
                <c:pt idx="6">
                  <c:v>41.95804195804196</c:v>
                </c:pt>
                <c:pt idx="7">
                  <c:v>34.265734265734267</c:v>
                </c:pt>
                <c:pt idx="8">
                  <c:v>35.664335664335667</c:v>
                </c:pt>
                <c:pt idx="9">
                  <c:v>40.55944055944056</c:v>
                </c:pt>
                <c:pt idx="10">
                  <c:v>40.55944055944056</c:v>
                </c:pt>
                <c:pt idx="11">
                  <c:v>40.55944055944056</c:v>
                </c:pt>
                <c:pt idx="12">
                  <c:v>39.16083916083916</c:v>
                </c:pt>
                <c:pt idx="13">
                  <c:v>34.965034965034967</c:v>
                </c:pt>
                <c:pt idx="14">
                  <c:v>44.755244755244753</c:v>
                </c:pt>
                <c:pt idx="15">
                  <c:v>32.167832167832167</c:v>
                </c:pt>
                <c:pt idx="16">
                  <c:v>34.265734265734267</c:v>
                </c:pt>
                <c:pt idx="17">
                  <c:v>26.573426573426573</c:v>
                </c:pt>
              </c:numCache>
            </c:numRef>
          </c:val>
          <c:extLst>
            <c:ext xmlns:c16="http://schemas.microsoft.com/office/drawing/2014/chart" uri="{C3380CC4-5D6E-409C-BE32-E72D297353CC}">
              <c16:uniqueId val="{00000001-B566-4C0A-B756-4D1497CE3778}"/>
            </c:ext>
          </c:extLst>
        </c:ser>
        <c:ser>
          <c:idx val="2"/>
          <c:order val="2"/>
          <c:tx>
            <c:strRef>
              <c:f>TABLES!$E$162</c:f>
              <c:strCache>
                <c:ptCount val="1"/>
                <c:pt idx="0">
                  <c:v>Low threat</c:v>
                </c:pt>
              </c:strCache>
            </c:strRef>
          </c:tx>
          <c:spPr>
            <a:solidFill>
              <a:srgbClr val="4F81BD">
                <a:lumMod val="40000"/>
                <a:lumOff val="60000"/>
              </a:srgbClr>
            </a:solidFill>
            <a:ln>
              <a:noFill/>
            </a:ln>
            <a:effectLst/>
          </c:spPr>
          <c:invertIfNegative val="0"/>
          <c:dLbls>
            <c:spPr>
              <a:noFill/>
              <a:ln>
                <a:noFill/>
              </a:ln>
              <a:effectLst/>
            </c:spPr>
            <c:txPr>
              <a:bodyPr/>
              <a:lstStyle/>
              <a:p>
                <a:pPr>
                  <a:defRPr sz="1000"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TABLES!$B$163:$B$180</c:f>
              <c:strCache>
                <c:ptCount val="18"/>
                <c:pt idx="0">
                  <c:v>Contract cheating</c:v>
                </c:pt>
                <c:pt idx="1">
                  <c:v>Cyber security</c:v>
                </c:pt>
                <c:pt idx="2">
                  <c:v>Stereotyping of private providers</c:v>
                </c:pt>
                <c:pt idx="3">
                  <c:v>Reliance on income from overseas students</c:v>
                </c:pt>
                <c:pt idx="4">
                  <c:v>Graduating poorly trained students</c:v>
                </c:pt>
                <c:pt idx="5">
                  <c:v>Stifling of innovation through accreditation processes</c:v>
                </c:pt>
                <c:pt idx="6">
                  <c:v>Admission of underqualified students</c:v>
                </c:pt>
                <c:pt idx="7">
                  <c:v>Having a regulator that operates under cost recovery model</c:v>
                </c:pt>
                <c:pt idx="8">
                  <c:v>Difficulty in holding to account providers that are too big to fail</c:v>
                </c:pt>
                <c:pt idx="9">
                  <c:v>Students whose well-being has not been safeguarded</c:v>
                </c:pt>
                <c:pt idx="10">
                  <c:v>Management of sexual harassment / sexual assault on campus</c:v>
                </c:pt>
                <c:pt idx="11">
                  <c:v>Costs of research for the higher education sector</c:v>
                </c:pt>
                <c:pt idx="12">
                  <c:v>TEQSA being unable to see problems in large complex providers</c:v>
                </c:pt>
                <c:pt idx="13">
                  <c:v>Management of bullying on campus</c:v>
                </c:pt>
                <c:pt idx="14">
                  <c:v>Poor co-op'n among national / international profess accreditation bodies, regulators &amp; govt</c:v>
                </c:pt>
                <c:pt idx="15">
                  <c:v>Discouragement of free enquiry in higher education sector</c:v>
                </c:pt>
                <c:pt idx="16">
                  <c:v>Over-reliance on paper-based assessment of providers including desk audits</c:v>
                </c:pt>
                <c:pt idx="17">
                  <c:v>Micro-credentials</c:v>
                </c:pt>
              </c:strCache>
            </c:strRef>
          </c:cat>
          <c:val>
            <c:numRef>
              <c:f>TABLES!$E$163:$E$180</c:f>
              <c:numCache>
                <c:formatCode>0</c:formatCode>
                <c:ptCount val="18"/>
                <c:pt idx="0">
                  <c:v>6.2937062937062942</c:v>
                </c:pt>
                <c:pt idx="1">
                  <c:v>13.286713286713287</c:v>
                </c:pt>
                <c:pt idx="2">
                  <c:v>20.97902097902098</c:v>
                </c:pt>
                <c:pt idx="3">
                  <c:v>10.48951048951049</c:v>
                </c:pt>
                <c:pt idx="4">
                  <c:v>30.069930069930066</c:v>
                </c:pt>
                <c:pt idx="5">
                  <c:v>30.069930069930066</c:v>
                </c:pt>
                <c:pt idx="6">
                  <c:v>22.377622377622377</c:v>
                </c:pt>
                <c:pt idx="7">
                  <c:v>27.972027972027973</c:v>
                </c:pt>
                <c:pt idx="8">
                  <c:v>18.88111888111888</c:v>
                </c:pt>
                <c:pt idx="9">
                  <c:v>25.874125874125873</c:v>
                </c:pt>
                <c:pt idx="10">
                  <c:v>32.167832167832167</c:v>
                </c:pt>
                <c:pt idx="11">
                  <c:v>11.888111888111888</c:v>
                </c:pt>
                <c:pt idx="12">
                  <c:v>25.874125874125873</c:v>
                </c:pt>
                <c:pt idx="13">
                  <c:v>42.657342657342653</c:v>
                </c:pt>
                <c:pt idx="14">
                  <c:v>27.27272727272727</c:v>
                </c:pt>
                <c:pt idx="15">
                  <c:v>43.356643356643353</c:v>
                </c:pt>
                <c:pt idx="16">
                  <c:v>40.55944055944056</c:v>
                </c:pt>
                <c:pt idx="17">
                  <c:v>54.54545454545454</c:v>
                </c:pt>
              </c:numCache>
            </c:numRef>
          </c:val>
          <c:extLst>
            <c:ext xmlns:c16="http://schemas.microsoft.com/office/drawing/2014/chart" uri="{C3380CC4-5D6E-409C-BE32-E72D297353CC}">
              <c16:uniqueId val="{00000002-B566-4C0A-B756-4D1497CE3778}"/>
            </c:ext>
          </c:extLst>
        </c:ser>
        <c:ser>
          <c:idx val="3"/>
          <c:order val="3"/>
          <c:tx>
            <c:strRef>
              <c:f>TABLES!$F$162</c:f>
              <c:strCache>
                <c:ptCount val="1"/>
                <c:pt idx="0">
                  <c:v>Don't know / No answer</c:v>
                </c:pt>
              </c:strCache>
            </c:strRef>
          </c:tx>
          <c:spPr>
            <a:solidFill>
              <a:sysClr val="window" lastClr="FFFFFF">
                <a:lumMod val="65000"/>
              </a:sysClr>
            </a:solidFill>
            <a:ln>
              <a:noFill/>
            </a:ln>
            <a:effectLst/>
          </c:spPr>
          <c:invertIfNegative val="0"/>
          <c:dLbls>
            <c:spPr>
              <a:noFill/>
              <a:ln>
                <a:noFill/>
              </a:ln>
              <a:effectLst/>
            </c:spPr>
            <c:txPr>
              <a:bodyPr/>
              <a:lstStyle/>
              <a:p>
                <a:pPr>
                  <a:defRPr sz="1000"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TABLES!$B$163:$B$180</c:f>
              <c:strCache>
                <c:ptCount val="18"/>
                <c:pt idx="0">
                  <c:v>Contract cheating</c:v>
                </c:pt>
                <c:pt idx="1">
                  <c:v>Cyber security</c:v>
                </c:pt>
                <c:pt idx="2">
                  <c:v>Stereotyping of private providers</c:v>
                </c:pt>
                <c:pt idx="3">
                  <c:v>Reliance on income from overseas students</c:v>
                </c:pt>
                <c:pt idx="4">
                  <c:v>Graduating poorly trained students</c:v>
                </c:pt>
                <c:pt idx="5">
                  <c:v>Stifling of innovation through accreditation processes</c:v>
                </c:pt>
                <c:pt idx="6">
                  <c:v>Admission of underqualified students</c:v>
                </c:pt>
                <c:pt idx="7">
                  <c:v>Having a regulator that operates under cost recovery model</c:v>
                </c:pt>
                <c:pt idx="8">
                  <c:v>Difficulty in holding to account providers that are too big to fail</c:v>
                </c:pt>
                <c:pt idx="9">
                  <c:v>Students whose well-being has not been safeguarded</c:v>
                </c:pt>
                <c:pt idx="10">
                  <c:v>Management of sexual harassment / sexual assault on campus</c:v>
                </c:pt>
                <c:pt idx="11">
                  <c:v>Costs of research for the higher education sector</c:v>
                </c:pt>
                <c:pt idx="12">
                  <c:v>TEQSA being unable to see problems in large complex providers</c:v>
                </c:pt>
                <c:pt idx="13">
                  <c:v>Management of bullying on campus</c:v>
                </c:pt>
                <c:pt idx="14">
                  <c:v>Poor co-op'n among national / international profess accreditation bodies, regulators &amp; govt</c:v>
                </c:pt>
                <c:pt idx="15">
                  <c:v>Discouragement of free enquiry in higher education sector</c:v>
                </c:pt>
                <c:pt idx="16">
                  <c:v>Over-reliance on paper-based assessment of providers including desk audits</c:v>
                </c:pt>
                <c:pt idx="17">
                  <c:v>Micro-credentials</c:v>
                </c:pt>
              </c:strCache>
            </c:strRef>
          </c:cat>
          <c:val>
            <c:numRef>
              <c:f>TABLES!$F$163:$F$180</c:f>
              <c:numCache>
                <c:formatCode>0</c:formatCode>
                <c:ptCount val="18"/>
                <c:pt idx="0">
                  <c:v>4.1958041958041958</c:v>
                </c:pt>
                <c:pt idx="1">
                  <c:v>4.1958041958041958</c:v>
                </c:pt>
                <c:pt idx="2">
                  <c:v>10.48951048951049</c:v>
                </c:pt>
                <c:pt idx="3">
                  <c:v>4.1958041958041958</c:v>
                </c:pt>
                <c:pt idx="4">
                  <c:v>2.7972027972027971</c:v>
                </c:pt>
                <c:pt idx="5">
                  <c:v>5.5944055944055942</c:v>
                </c:pt>
                <c:pt idx="6">
                  <c:v>3.4965034965034967</c:v>
                </c:pt>
                <c:pt idx="7">
                  <c:v>7.6923076923076925</c:v>
                </c:pt>
                <c:pt idx="8">
                  <c:v>16.083916083916083</c:v>
                </c:pt>
                <c:pt idx="9">
                  <c:v>6.9930069930069934</c:v>
                </c:pt>
                <c:pt idx="10">
                  <c:v>5.5944055944055942</c:v>
                </c:pt>
                <c:pt idx="11">
                  <c:v>26.573426573426577</c:v>
                </c:pt>
                <c:pt idx="12">
                  <c:v>16.783216783216783</c:v>
                </c:pt>
                <c:pt idx="13">
                  <c:v>4.895104895104895</c:v>
                </c:pt>
                <c:pt idx="14">
                  <c:v>11.188811188811188</c:v>
                </c:pt>
                <c:pt idx="15">
                  <c:v>9.0909090909090917</c:v>
                </c:pt>
                <c:pt idx="16">
                  <c:v>13.286713286713287</c:v>
                </c:pt>
                <c:pt idx="17">
                  <c:v>13.986013986013987</c:v>
                </c:pt>
              </c:numCache>
            </c:numRef>
          </c:val>
          <c:extLst>
            <c:ext xmlns:c16="http://schemas.microsoft.com/office/drawing/2014/chart" uri="{C3380CC4-5D6E-409C-BE32-E72D297353CC}">
              <c16:uniqueId val="{00000003-B566-4C0A-B756-4D1497CE3778}"/>
            </c:ext>
          </c:extLst>
        </c:ser>
        <c:dLbls>
          <c:dLblPos val="ctr"/>
          <c:showLegendKey val="0"/>
          <c:showVal val="1"/>
          <c:showCatName val="0"/>
          <c:showSerName val="0"/>
          <c:showPercent val="0"/>
          <c:showBubbleSize val="0"/>
        </c:dLbls>
        <c:gapWidth val="60"/>
        <c:overlap val="100"/>
        <c:axId val="1999404976"/>
        <c:axId val="1999412592"/>
      </c:barChart>
      <c:catAx>
        <c:axId val="19994049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999412592"/>
        <c:crosses val="autoZero"/>
        <c:auto val="1"/>
        <c:lblAlgn val="ctr"/>
        <c:lblOffset val="100"/>
        <c:noMultiLvlLbl val="0"/>
      </c:catAx>
      <c:valAx>
        <c:axId val="1999412592"/>
        <c:scaling>
          <c:orientation val="minMax"/>
          <c:max val="100"/>
        </c:scaling>
        <c:delete val="0"/>
        <c:axPos val="b"/>
        <c:majorGridlines>
          <c:spPr>
            <a:ln w="9525" cap="flat" cmpd="sng" algn="ctr">
              <a:solidFill>
                <a:sysClr val="window" lastClr="FFFFFF">
                  <a:lumMod val="75000"/>
                </a:sys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1999404976"/>
        <c:crosses val="max"/>
        <c:crossBetween val="between"/>
        <c:majorUnit val="20"/>
      </c:valAx>
      <c:spPr>
        <a:noFill/>
        <a:ln>
          <a:noFill/>
        </a:ln>
        <a:effectLst/>
      </c:spPr>
    </c:plotArea>
    <c:legend>
      <c:legendPos val="b"/>
      <c:layout>
        <c:manualLayout>
          <c:xMode val="edge"/>
          <c:yMode val="edge"/>
          <c:x val="4.3902180496668698E-2"/>
          <c:y val="0.94712429764615291"/>
          <c:w val="0.90236908621716405"/>
          <c:h val="3.8119445344002544E-2"/>
        </c:manualLayout>
      </c:layout>
      <c:overlay val="0"/>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Nova" panose="020B0504020202020204" pitchFamily="34" charset="0"/>
        </a:defRPr>
      </a:pPr>
      <a:endParaRPr lang="en-US"/>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lgn="l" rtl="0">
              <a:defRPr/>
            </a:pPr>
            <a:r>
              <a:rPr lang="en-US" sz="1100"/>
              <a:t>TEQSA as a regulator</a:t>
            </a:r>
          </a:p>
          <a:p>
            <a:pPr algn="l" rtl="0">
              <a:defRPr/>
            </a:pPr>
            <a:r>
              <a:rPr lang="en-US" sz="900" b="0" i="1"/>
              <a:t>% of respondents choosing a rating point, n=140</a:t>
            </a:r>
          </a:p>
        </c:rich>
      </c:tx>
      <c:layout>
        <c:manualLayout>
          <c:xMode val="edge"/>
          <c:yMode val="edge"/>
          <c:x val="5.1769971061308556E-4"/>
          <c:y val="1.4988783841466183E-3"/>
        </c:manualLayout>
      </c:layout>
      <c:overlay val="0"/>
    </c:title>
    <c:autoTitleDeleted val="0"/>
    <c:plotArea>
      <c:layout/>
      <c:barChart>
        <c:barDir val="col"/>
        <c:grouping val="clustered"/>
        <c:varyColors val="0"/>
        <c:ser>
          <c:idx val="4"/>
          <c:order val="0"/>
          <c:tx>
            <c:strRef>
              <c:f>TABLES!$C$182</c:f>
              <c:strCache>
                <c:ptCount val="1"/>
                <c:pt idx="0">
                  <c:v>Excellent</c:v>
                </c:pt>
              </c:strCache>
            </c:strRef>
          </c:tx>
          <c:spPr>
            <a:solidFill>
              <a:srgbClr val="008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TABLES!$C$183</c:f>
              <c:numCache>
                <c:formatCode>0</c:formatCode>
                <c:ptCount val="1"/>
                <c:pt idx="0">
                  <c:v>17.857142857142858</c:v>
                </c:pt>
              </c:numCache>
            </c:numRef>
          </c:val>
          <c:extLst>
            <c:ext xmlns:c16="http://schemas.microsoft.com/office/drawing/2014/chart" uri="{C3380CC4-5D6E-409C-BE32-E72D297353CC}">
              <c16:uniqueId val="{00000000-DC9B-4F89-9B3B-0B8916287A4E}"/>
            </c:ext>
          </c:extLst>
        </c:ser>
        <c:ser>
          <c:idx val="3"/>
          <c:order val="1"/>
          <c:tx>
            <c:strRef>
              <c:f>TABLES!$D$182</c:f>
              <c:strCache>
                <c:ptCount val="1"/>
                <c:pt idx="0">
                  <c:v>Good</c:v>
                </c:pt>
              </c:strCache>
            </c:strRef>
          </c:tx>
          <c:spPr>
            <a:solidFill>
              <a:srgbClr val="92D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TABLES!$D$183</c:f>
              <c:numCache>
                <c:formatCode>0</c:formatCode>
                <c:ptCount val="1"/>
                <c:pt idx="0">
                  <c:v>56.428571428571431</c:v>
                </c:pt>
              </c:numCache>
            </c:numRef>
          </c:val>
          <c:extLst>
            <c:ext xmlns:c16="http://schemas.microsoft.com/office/drawing/2014/chart" uri="{C3380CC4-5D6E-409C-BE32-E72D297353CC}">
              <c16:uniqueId val="{00000001-DC9B-4F89-9B3B-0B8916287A4E}"/>
            </c:ext>
          </c:extLst>
        </c:ser>
        <c:ser>
          <c:idx val="2"/>
          <c:order val="2"/>
          <c:tx>
            <c:strRef>
              <c:f>TABLES!$E$182</c:f>
              <c:strCache>
                <c:ptCount val="1"/>
                <c:pt idx="0">
                  <c:v>Fair</c:v>
                </c:pt>
              </c:strCache>
            </c:strRef>
          </c:tx>
          <c:spPr>
            <a:solidFill>
              <a:srgbClr val="FFFF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TABLES!$E$183</c:f>
              <c:numCache>
                <c:formatCode>0</c:formatCode>
                <c:ptCount val="1"/>
                <c:pt idx="0">
                  <c:v>17.142857142857142</c:v>
                </c:pt>
              </c:numCache>
            </c:numRef>
          </c:val>
          <c:extLst>
            <c:ext xmlns:c16="http://schemas.microsoft.com/office/drawing/2014/chart" uri="{C3380CC4-5D6E-409C-BE32-E72D297353CC}">
              <c16:uniqueId val="{00000002-DC9B-4F89-9B3B-0B8916287A4E}"/>
            </c:ext>
          </c:extLst>
        </c:ser>
        <c:ser>
          <c:idx val="1"/>
          <c:order val="3"/>
          <c:tx>
            <c:strRef>
              <c:f>TABLES!$F$182</c:f>
              <c:strCache>
                <c:ptCount val="1"/>
                <c:pt idx="0">
                  <c:v>Poor</c:v>
                </c:pt>
              </c:strCache>
            </c:strRef>
          </c:tx>
          <c:spPr>
            <a:solidFill>
              <a:srgbClr val="FF9933"/>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TABLES!$F$183</c:f>
              <c:numCache>
                <c:formatCode>0</c:formatCode>
                <c:ptCount val="1"/>
                <c:pt idx="0">
                  <c:v>3.5714285714285712</c:v>
                </c:pt>
              </c:numCache>
            </c:numRef>
          </c:val>
          <c:extLst>
            <c:ext xmlns:c16="http://schemas.microsoft.com/office/drawing/2014/chart" uri="{C3380CC4-5D6E-409C-BE32-E72D297353CC}">
              <c16:uniqueId val="{00000003-DC9B-4F89-9B3B-0B8916287A4E}"/>
            </c:ext>
          </c:extLst>
        </c:ser>
        <c:ser>
          <c:idx val="0"/>
          <c:order val="4"/>
          <c:tx>
            <c:strRef>
              <c:f>TABLES!$G$182</c:f>
              <c:strCache>
                <c:ptCount val="1"/>
                <c:pt idx="0">
                  <c:v>Very poor</c:v>
                </c:pt>
              </c:strCache>
            </c:strRef>
          </c:tx>
          <c:spPr>
            <a:solidFill>
              <a:srgbClr val="C0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TABLES!$G$183</c:f>
              <c:numCache>
                <c:formatCode>0</c:formatCode>
                <c:ptCount val="1"/>
                <c:pt idx="0">
                  <c:v>2.1428571428571428</c:v>
                </c:pt>
              </c:numCache>
            </c:numRef>
          </c:val>
          <c:extLst>
            <c:ext xmlns:c16="http://schemas.microsoft.com/office/drawing/2014/chart" uri="{C3380CC4-5D6E-409C-BE32-E72D297353CC}">
              <c16:uniqueId val="{00000004-DC9B-4F89-9B3B-0B8916287A4E}"/>
            </c:ext>
          </c:extLst>
        </c:ser>
        <c:ser>
          <c:idx val="5"/>
          <c:order val="5"/>
          <c:tx>
            <c:strRef>
              <c:f>TABLES!$H$182</c:f>
              <c:strCache>
                <c:ptCount val="1"/>
                <c:pt idx="0">
                  <c:v>Don't know / No answer</c:v>
                </c:pt>
              </c:strCache>
            </c:strRef>
          </c:tx>
          <c:spPr>
            <a:solidFill>
              <a:sysClr val="window" lastClr="FFFFFF">
                <a:lumMod val="65000"/>
              </a:sys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TABLES!$H$183</c:f>
              <c:numCache>
                <c:formatCode>0</c:formatCode>
                <c:ptCount val="1"/>
                <c:pt idx="0">
                  <c:v>2.8571428571428572</c:v>
                </c:pt>
              </c:numCache>
            </c:numRef>
          </c:val>
          <c:extLst>
            <c:ext xmlns:c16="http://schemas.microsoft.com/office/drawing/2014/chart" uri="{C3380CC4-5D6E-409C-BE32-E72D297353CC}">
              <c16:uniqueId val="{00000005-DC9B-4F89-9B3B-0B8916287A4E}"/>
            </c:ext>
          </c:extLst>
        </c:ser>
        <c:dLbls>
          <c:dLblPos val="outEnd"/>
          <c:showLegendKey val="0"/>
          <c:showVal val="1"/>
          <c:showCatName val="0"/>
          <c:showSerName val="0"/>
          <c:showPercent val="0"/>
          <c:showBubbleSize val="0"/>
        </c:dLbls>
        <c:gapWidth val="75"/>
        <c:overlap val="-25"/>
        <c:axId val="317818672"/>
        <c:axId val="317817496"/>
      </c:barChart>
      <c:catAx>
        <c:axId val="317818672"/>
        <c:scaling>
          <c:orientation val="minMax"/>
        </c:scaling>
        <c:delete val="0"/>
        <c:axPos val="b"/>
        <c:numFmt formatCode="General" sourceLinked="0"/>
        <c:majorTickMark val="none"/>
        <c:minorTickMark val="none"/>
        <c:tickLblPos val="none"/>
        <c:spPr>
          <a:ln>
            <a:solidFill>
              <a:sysClr val="window" lastClr="FFFFFF">
                <a:lumMod val="75000"/>
              </a:sysClr>
            </a:solidFill>
          </a:ln>
        </c:spPr>
        <c:crossAx val="317817496"/>
        <c:crosses val="autoZero"/>
        <c:auto val="1"/>
        <c:lblAlgn val="ctr"/>
        <c:lblOffset val="100"/>
        <c:noMultiLvlLbl val="0"/>
      </c:catAx>
      <c:valAx>
        <c:axId val="317817496"/>
        <c:scaling>
          <c:orientation val="minMax"/>
          <c:max val="100"/>
          <c:min val="0"/>
        </c:scaling>
        <c:delete val="0"/>
        <c:axPos val="l"/>
        <c:majorGridlines>
          <c:spPr>
            <a:ln>
              <a:solidFill>
                <a:sysClr val="window" lastClr="FFFFFF">
                  <a:lumMod val="75000"/>
                </a:sysClr>
              </a:solidFill>
            </a:ln>
          </c:spPr>
        </c:majorGridlines>
        <c:numFmt formatCode="0" sourceLinked="0"/>
        <c:majorTickMark val="none"/>
        <c:minorTickMark val="none"/>
        <c:tickLblPos val="nextTo"/>
        <c:spPr>
          <a:ln>
            <a:solidFill>
              <a:sysClr val="window" lastClr="FFFFFF">
                <a:lumMod val="75000"/>
              </a:sysClr>
            </a:solidFill>
          </a:ln>
        </c:spPr>
        <c:crossAx val="317818672"/>
        <c:crosses val="autoZero"/>
        <c:crossBetween val="between"/>
        <c:majorUnit val="20"/>
      </c:valAx>
    </c:plotArea>
    <c:legend>
      <c:legendPos val="b"/>
      <c:layout>
        <c:manualLayout>
          <c:xMode val="edge"/>
          <c:yMode val="edge"/>
          <c:x val="0.13886657171266559"/>
          <c:y val="0.88865651793525813"/>
          <c:w val="0.74630480234339314"/>
          <c:h val="9.4201691455234757E-2"/>
        </c:manualLayout>
      </c:layout>
      <c:overlay val="0"/>
    </c:legend>
    <c:plotVisOnly val="1"/>
    <c:dispBlanksAs val="gap"/>
    <c:showDLblsOverMax val="0"/>
  </c:chart>
  <c:spPr>
    <a:ln>
      <a:noFill/>
    </a:ln>
  </c:spPr>
  <c:txPr>
    <a:bodyPr/>
    <a:lstStyle/>
    <a:p>
      <a:pPr>
        <a:defRPr sz="900">
          <a:latin typeface="Arial Nova" panose="020B0504020202020204" pitchFamily="34"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vert="horz"/>
          <a:lstStyle/>
          <a:p>
            <a:pPr algn="l">
              <a:defRPr/>
            </a:pPr>
            <a:r>
              <a:rPr lang="en-AU" sz="1100"/>
              <a:t>PPSB</a:t>
            </a:r>
            <a:r>
              <a:rPr lang="en-AU" sz="1100" baseline="0"/>
              <a:t> i</a:t>
            </a:r>
            <a:r>
              <a:rPr lang="en-AU" sz="1100"/>
              <a:t>nteractions with TEQSA in last 12 months </a:t>
            </a:r>
          </a:p>
          <a:p>
            <a:pPr algn="l">
              <a:defRPr/>
            </a:pPr>
            <a:r>
              <a:rPr lang="en-AU" sz="900" b="0" i="1"/>
              <a:t>% of respondents choosing a rating point; % based on n=20; Multiple answers allowed so total &gt;100%</a:t>
            </a:r>
          </a:p>
        </c:rich>
      </c:tx>
      <c:layout>
        <c:manualLayout>
          <c:xMode val="edge"/>
          <c:yMode val="edge"/>
          <c:x val="1.0145366444579106E-4"/>
          <c:y val="0"/>
        </c:manualLayout>
      </c:layout>
      <c:overlay val="0"/>
      <c:spPr>
        <a:noFill/>
        <a:ln>
          <a:noFill/>
        </a:ln>
        <a:effectLst/>
      </c:spPr>
    </c:title>
    <c:autoTitleDeleted val="0"/>
    <c:plotArea>
      <c:layout>
        <c:manualLayout>
          <c:layoutTarget val="inner"/>
          <c:xMode val="edge"/>
          <c:yMode val="edge"/>
          <c:x val="0.49303277913588417"/>
          <c:y val="0.2390404117773216"/>
          <c:w val="0.46464022185906007"/>
          <c:h val="0.64020752269779513"/>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1A2E46"/>
              </a:solidFill>
              <a:ln>
                <a:noFill/>
              </a:ln>
              <a:effectLst/>
            </c:spPr>
            <c:extLst>
              <c:ext xmlns:c16="http://schemas.microsoft.com/office/drawing/2014/chart" uri="{C3380CC4-5D6E-409C-BE32-E72D297353CC}">
                <c16:uniqueId val="{00000001-A34A-4380-A012-9FC2F32C71F8}"/>
              </c:ext>
            </c:extLst>
          </c:dPt>
          <c:dPt>
            <c:idx val="1"/>
            <c:invertIfNegative val="0"/>
            <c:bubble3D val="0"/>
            <c:spPr>
              <a:solidFill>
                <a:schemeClr val="tx2">
                  <a:lumMod val="75000"/>
                </a:schemeClr>
              </a:solidFill>
              <a:ln>
                <a:noFill/>
              </a:ln>
              <a:effectLst/>
            </c:spPr>
            <c:extLst>
              <c:ext xmlns:c16="http://schemas.microsoft.com/office/drawing/2014/chart" uri="{C3380CC4-5D6E-409C-BE32-E72D297353CC}">
                <c16:uniqueId val="{00000003-A34A-4380-A012-9FC2F32C71F8}"/>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A34A-4380-A012-9FC2F32C71F8}"/>
              </c:ext>
            </c:extLst>
          </c:dPt>
          <c:dPt>
            <c:idx val="3"/>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7-A34A-4380-A012-9FC2F32C71F8}"/>
              </c:ext>
            </c:extLst>
          </c:dPt>
          <c:dPt>
            <c:idx val="4"/>
            <c:invertIfNegative val="0"/>
            <c:bubble3D val="0"/>
            <c:spPr>
              <a:solidFill>
                <a:schemeClr val="tx2">
                  <a:lumMod val="40000"/>
                  <a:lumOff val="60000"/>
                </a:schemeClr>
              </a:solidFill>
              <a:ln>
                <a:noFill/>
              </a:ln>
              <a:effectLst/>
            </c:spPr>
            <c:extLst>
              <c:ext xmlns:c16="http://schemas.microsoft.com/office/drawing/2014/chart" uri="{C3380CC4-5D6E-409C-BE32-E72D297353CC}">
                <c16:uniqueId val="{00000009-A34A-4380-A012-9FC2F32C71F8}"/>
              </c:ext>
            </c:extLst>
          </c:dPt>
          <c:dPt>
            <c:idx val="5"/>
            <c:invertIfNegative val="0"/>
            <c:bubble3D val="0"/>
            <c:spPr>
              <a:solidFill>
                <a:schemeClr val="bg1">
                  <a:lumMod val="50000"/>
                </a:schemeClr>
              </a:solidFill>
              <a:ln>
                <a:noFill/>
              </a:ln>
              <a:effectLst/>
            </c:spPr>
            <c:extLst>
              <c:ext xmlns:c16="http://schemas.microsoft.com/office/drawing/2014/chart" uri="{C3380CC4-5D6E-409C-BE32-E72D297353CC}">
                <c16:uniqueId val="{0000000B-A34A-4380-A012-9FC2F32C71F8}"/>
              </c:ext>
            </c:extLst>
          </c:dPt>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PPSB!$A$2:$A$6</c:f>
              <c:strCache>
                <c:ptCount val="5"/>
                <c:pt idx="0">
                  <c:v>Direct first-hand experience dealing with TEQSA</c:v>
                </c:pt>
                <c:pt idx="1">
                  <c:v>Indirect feedback</c:v>
                </c:pt>
                <c:pt idx="2">
                  <c:v>Feedback from members of my organisation about dealings with TEQSA</c:v>
                </c:pt>
                <c:pt idx="3">
                  <c:v>Media reports</c:v>
                </c:pt>
                <c:pt idx="4">
                  <c:v>Other</c:v>
                </c:pt>
              </c:strCache>
            </c:strRef>
          </c:cat>
          <c:val>
            <c:numRef>
              <c:f>PPSB!$D$2:$D$6</c:f>
              <c:numCache>
                <c:formatCode>###0</c:formatCode>
                <c:ptCount val="5"/>
                <c:pt idx="0">
                  <c:v>81</c:v>
                </c:pt>
                <c:pt idx="1">
                  <c:v>61.9</c:v>
                </c:pt>
                <c:pt idx="2">
                  <c:v>47.6</c:v>
                </c:pt>
                <c:pt idx="3">
                  <c:v>42.9</c:v>
                </c:pt>
                <c:pt idx="4">
                  <c:v>4.8</c:v>
                </c:pt>
              </c:numCache>
            </c:numRef>
          </c:val>
          <c:extLst>
            <c:ext xmlns:c16="http://schemas.microsoft.com/office/drawing/2014/chart" uri="{C3380CC4-5D6E-409C-BE32-E72D297353CC}">
              <c16:uniqueId val="{0000000C-A34A-4380-A012-9FC2F32C71F8}"/>
            </c:ext>
          </c:extLst>
        </c:ser>
        <c:dLbls>
          <c:showLegendKey val="0"/>
          <c:showVal val="0"/>
          <c:showCatName val="0"/>
          <c:showSerName val="0"/>
          <c:showPercent val="0"/>
          <c:showBubbleSize val="0"/>
        </c:dLbls>
        <c:gapWidth val="80"/>
        <c:axId val="1999400624"/>
        <c:axId val="1999411504"/>
      </c:barChart>
      <c:catAx>
        <c:axId val="1999400624"/>
        <c:scaling>
          <c:orientation val="maxMin"/>
        </c:scaling>
        <c:delete val="0"/>
        <c:axPos val="l"/>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999411504"/>
        <c:crosses val="autoZero"/>
        <c:auto val="1"/>
        <c:lblAlgn val="ctr"/>
        <c:lblOffset val="100"/>
        <c:noMultiLvlLbl val="0"/>
      </c:catAx>
      <c:valAx>
        <c:axId val="1999411504"/>
        <c:scaling>
          <c:orientation val="minMax"/>
        </c:scaling>
        <c:delete val="0"/>
        <c:axPos val="b"/>
        <c:majorGridlines>
          <c:spPr>
            <a:ln w="9525" cap="flat" cmpd="sng" algn="ctr">
              <a:solidFill>
                <a:srgbClr val="868686"/>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1999400624"/>
        <c:crosses val="max"/>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Nova" panose="020B0504020202020204"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l">
              <a:defRPr/>
            </a:pPr>
            <a:r>
              <a:rPr lang="en-AU" sz="1100"/>
              <a:t>TEQSA ratings</a:t>
            </a:r>
          </a:p>
          <a:p>
            <a:pPr algn="l">
              <a:defRPr/>
            </a:pPr>
            <a:r>
              <a:rPr lang="en-AU" sz="900" b="0" i="1"/>
              <a:t>% of respondents choosing a rating point; n=23</a:t>
            </a:r>
          </a:p>
        </c:rich>
      </c:tx>
      <c:layout>
        <c:manualLayout>
          <c:xMode val="edge"/>
          <c:yMode val="edge"/>
          <c:x val="7.2376447824567224E-4"/>
          <c:y val="1.9300984984305086E-3"/>
        </c:manualLayout>
      </c:layout>
      <c:overlay val="0"/>
      <c:spPr>
        <a:noFill/>
        <a:ln>
          <a:noFill/>
        </a:ln>
        <a:effectLst/>
      </c:spPr>
    </c:title>
    <c:autoTitleDeleted val="0"/>
    <c:plotArea>
      <c:layout>
        <c:manualLayout>
          <c:layoutTarget val="inner"/>
          <c:xMode val="edge"/>
          <c:yMode val="edge"/>
          <c:x val="0.14612861788180911"/>
          <c:y val="0.15985918989855999"/>
          <c:w val="0.77188101487314087"/>
          <c:h val="0.64864652053628424"/>
        </c:manualLayout>
      </c:layout>
      <c:barChart>
        <c:barDir val="bar"/>
        <c:grouping val="stacked"/>
        <c:varyColors val="0"/>
        <c:ser>
          <c:idx val="0"/>
          <c:order val="0"/>
          <c:tx>
            <c:strRef>
              <c:f>PPSB!$C$9</c:f>
              <c:strCache>
                <c:ptCount val="1"/>
                <c:pt idx="0">
                  <c:v>Excellent</c:v>
                </c:pt>
              </c:strCache>
            </c:strRef>
          </c:tx>
          <c:spPr>
            <a:solidFill>
              <a:srgbClr val="008000"/>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4CBC-49E9-AECA-58A863795E57}"/>
                </c:ext>
              </c:extLst>
            </c:dLbl>
            <c:spPr>
              <a:noFill/>
              <a:ln>
                <a:noFill/>
              </a:ln>
              <a:effectLst/>
            </c:spPr>
            <c:txPr>
              <a:bodyPr/>
              <a:lstStyle/>
              <a:p>
                <a:pPr>
                  <a:defRPr sz="1000"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PPSB!$B$11:$B$17</c:f>
              <c:strCache>
                <c:ptCount val="7"/>
                <c:pt idx="0">
                  <c:v>KPI 1</c:v>
                </c:pt>
                <c:pt idx="1">
                  <c:v>KPI 2</c:v>
                </c:pt>
                <c:pt idx="2">
                  <c:v>KPI 3</c:v>
                </c:pt>
                <c:pt idx="3">
                  <c:v>KPI 4</c:v>
                </c:pt>
                <c:pt idx="4">
                  <c:v>KPI 5</c:v>
                </c:pt>
                <c:pt idx="5">
                  <c:v>KPI 6</c:v>
                </c:pt>
                <c:pt idx="6">
                  <c:v>Overall</c:v>
                </c:pt>
              </c:strCache>
            </c:strRef>
          </c:cat>
          <c:val>
            <c:numRef>
              <c:f>PPSB!$C$11:$C$17</c:f>
              <c:numCache>
                <c:formatCode>0</c:formatCode>
                <c:ptCount val="7"/>
                <c:pt idx="0">
                  <c:v>8.695652173913043</c:v>
                </c:pt>
                <c:pt idx="1">
                  <c:v>17.391304347826086</c:v>
                </c:pt>
                <c:pt idx="2">
                  <c:v>4.3478260869565215</c:v>
                </c:pt>
                <c:pt idx="3">
                  <c:v>0</c:v>
                </c:pt>
                <c:pt idx="4">
                  <c:v>30.434782608695656</c:v>
                </c:pt>
                <c:pt idx="5">
                  <c:v>21.739130434782609</c:v>
                </c:pt>
                <c:pt idx="6">
                  <c:v>17.391304347826086</c:v>
                </c:pt>
              </c:numCache>
            </c:numRef>
          </c:val>
          <c:extLst>
            <c:ext xmlns:c16="http://schemas.microsoft.com/office/drawing/2014/chart" uri="{C3380CC4-5D6E-409C-BE32-E72D297353CC}">
              <c16:uniqueId val="{00000001-4CBC-49E9-AECA-58A863795E57}"/>
            </c:ext>
          </c:extLst>
        </c:ser>
        <c:ser>
          <c:idx val="1"/>
          <c:order val="1"/>
          <c:tx>
            <c:strRef>
              <c:f>PPSB!$D$9</c:f>
              <c:strCache>
                <c:ptCount val="1"/>
                <c:pt idx="0">
                  <c:v>Good</c:v>
                </c:pt>
              </c:strCache>
            </c:strRef>
          </c:tx>
          <c:spPr>
            <a:solidFill>
              <a:srgbClr val="92D050"/>
            </a:solidFill>
            <a:ln>
              <a:noFill/>
            </a:ln>
            <a:effectLst/>
          </c:spPr>
          <c:invertIfNegative val="0"/>
          <c:dLbls>
            <c:spPr>
              <a:noFill/>
              <a:ln>
                <a:noFill/>
              </a:ln>
              <a:effectLst/>
            </c:spPr>
            <c:txPr>
              <a:bodyPr/>
              <a:lstStyle/>
              <a:p>
                <a:pPr>
                  <a:defRPr sz="1000"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PPSB!$B$11:$B$17</c:f>
              <c:strCache>
                <c:ptCount val="7"/>
                <c:pt idx="0">
                  <c:v>KPI 1</c:v>
                </c:pt>
                <c:pt idx="1">
                  <c:v>KPI 2</c:v>
                </c:pt>
                <c:pt idx="2">
                  <c:v>KPI 3</c:v>
                </c:pt>
                <c:pt idx="3">
                  <c:v>KPI 4</c:v>
                </c:pt>
                <c:pt idx="4">
                  <c:v>KPI 5</c:v>
                </c:pt>
                <c:pt idx="5">
                  <c:v>KPI 6</c:v>
                </c:pt>
                <c:pt idx="6">
                  <c:v>Overall</c:v>
                </c:pt>
              </c:strCache>
            </c:strRef>
          </c:cat>
          <c:val>
            <c:numRef>
              <c:f>PPSB!$D$11:$D$17</c:f>
              <c:numCache>
                <c:formatCode>0</c:formatCode>
                <c:ptCount val="7"/>
                <c:pt idx="0">
                  <c:v>43.478260869565219</c:v>
                </c:pt>
                <c:pt idx="1">
                  <c:v>47.826086956521742</c:v>
                </c:pt>
                <c:pt idx="2">
                  <c:v>43.478260869565219</c:v>
                </c:pt>
                <c:pt idx="3">
                  <c:v>43.478260869565219</c:v>
                </c:pt>
                <c:pt idx="4">
                  <c:v>34.782608695652172</c:v>
                </c:pt>
                <c:pt idx="5">
                  <c:v>43.478260869565219</c:v>
                </c:pt>
                <c:pt idx="6">
                  <c:v>43.478260869565219</c:v>
                </c:pt>
              </c:numCache>
            </c:numRef>
          </c:val>
          <c:extLst>
            <c:ext xmlns:c16="http://schemas.microsoft.com/office/drawing/2014/chart" uri="{C3380CC4-5D6E-409C-BE32-E72D297353CC}">
              <c16:uniqueId val="{00000002-4CBC-49E9-AECA-58A863795E57}"/>
            </c:ext>
          </c:extLst>
        </c:ser>
        <c:ser>
          <c:idx val="2"/>
          <c:order val="2"/>
          <c:tx>
            <c:strRef>
              <c:f>PPSB!$E$9</c:f>
              <c:strCache>
                <c:ptCount val="1"/>
                <c:pt idx="0">
                  <c:v>Fair</c:v>
                </c:pt>
              </c:strCache>
            </c:strRef>
          </c:tx>
          <c:spPr>
            <a:solidFill>
              <a:srgbClr val="FFFF00"/>
            </a:solidFill>
            <a:ln>
              <a:noFill/>
            </a:ln>
            <a:effectLst/>
          </c:spPr>
          <c:invertIfNegative val="0"/>
          <c:dLbls>
            <c:spPr>
              <a:noFill/>
              <a:ln>
                <a:noFill/>
              </a:ln>
              <a:effectLst/>
            </c:spPr>
            <c:txPr>
              <a:bodyPr/>
              <a:lstStyle/>
              <a:p>
                <a:pPr>
                  <a:defRPr sz="1000"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PPSB!$B$11:$B$17</c:f>
              <c:strCache>
                <c:ptCount val="7"/>
                <c:pt idx="0">
                  <c:v>KPI 1</c:v>
                </c:pt>
                <c:pt idx="1">
                  <c:v>KPI 2</c:v>
                </c:pt>
                <c:pt idx="2">
                  <c:v>KPI 3</c:v>
                </c:pt>
                <c:pt idx="3">
                  <c:v>KPI 4</c:v>
                </c:pt>
                <c:pt idx="4">
                  <c:v>KPI 5</c:v>
                </c:pt>
                <c:pt idx="5">
                  <c:v>KPI 6</c:v>
                </c:pt>
                <c:pt idx="6">
                  <c:v>Overall</c:v>
                </c:pt>
              </c:strCache>
            </c:strRef>
          </c:cat>
          <c:val>
            <c:numRef>
              <c:f>PPSB!$E$11:$E$17</c:f>
              <c:numCache>
                <c:formatCode>0</c:formatCode>
                <c:ptCount val="7"/>
                <c:pt idx="0">
                  <c:v>21.739130434782609</c:v>
                </c:pt>
                <c:pt idx="1">
                  <c:v>17.391304347826086</c:v>
                </c:pt>
                <c:pt idx="2">
                  <c:v>21.739130434782609</c:v>
                </c:pt>
                <c:pt idx="3">
                  <c:v>13.043478260869565</c:v>
                </c:pt>
                <c:pt idx="4">
                  <c:v>21.739130434782609</c:v>
                </c:pt>
                <c:pt idx="5">
                  <c:v>8.695652173913043</c:v>
                </c:pt>
                <c:pt idx="6">
                  <c:v>26.086956521739129</c:v>
                </c:pt>
              </c:numCache>
            </c:numRef>
          </c:val>
          <c:extLst>
            <c:ext xmlns:c16="http://schemas.microsoft.com/office/drawing/2014/chart" uri="{C3380CC4-5D6E-409C-BE32-E72D297353CC}">
              <c16:uniqueId val="{00000003-4CBC-49E9-AECA-58A863795E57}"/>
            </c:ext>
          </c:extLst>
        </c:ser>
        <c:ser>
          <c:idx val="3"/>
          <c:order val="3"/>
          <c:tx>
            <c:strRef>
              <c:f>PPSB!$F$9</c:f>
              <c:strCache>
                <c:ptCount val="1"/>
                <c:pt idx="0">
                  <c:v>Poor</c:v>
                </c:pt>
              </c:strCache>
            </c:strRef>
          </c:tx>
          <c:spPr>
            <a:solidFill>
              <a:srgbClr val="FF9933"/>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4-4CBC-49E9-AECA-58A863795E57}"/>
                </c:ext>
              </c:extLst>
            </c:dLbl>
            <c:dLbl>
              <c:idx val="4"/>
              <c:delete val="1"/>
              <c:extLst>
                <c:ext xmlns:c15="http://schemas.microsoft.com/office/drawing/2012/chart" uri="{CE6537A1-D6FC-4f65-9D91-7224C49458BB}"/>
                <c:ext xmlns:c16="http://schemas.microsoft.com/office/drawing/2014/chart" uri="{C3380CC4-5D6E-409C-BE32-E72D297353CC}">
                  <c16:uniqueId val="{00000005-4CBC-49E9-AECA-58A863795E57}"/>
                </c:ext>
              </c:extLst>
            </c:dLbl>
            <c:spPr>
              <a:noFill/>
              <a:ln>
                <a:noFill/>
              </a:ln>
              <a:effectLst/>
            </c:spPr>
            <c:txPr>
              <a:bodyPr/>
              <a:lstStyle/>
              <a:p>
                <a:pPr>
                  <a:defRPr sz="1000"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PPSB!$B$11:$B$17</c:f>
              <c:strCache>
                <c:ptCount val="7"/>
                <c:pt idx="0">
                  <c:v>KPI 1</c:v>
                </c:pt>
                <c:pt idx="1">
                  <c:v>KPI 2</c:v>
                </c:pt>
                <c:pt idx="2">
                  <c:v>KPI 3</c:v>
                </c:pt>
                <c:pt idx="3">
                  <c:v>KPI 4</c:v>
                </c:pt>
                <c:pt idx="4">
                  <c:v>KPI 5</c:v>
                </c:pt>
                <c:pt idx="5">
                  <c:v>KPI 6</c:v>
                </c:pt>
                <c:pt idx="6">
                  <c:v>Overall</c:v>
                </c:pt>
              </c:strCache>
            </c:strRef>
          </c:cat>
          <c:val>
            <c:numRef>
              <c:f>PPSB!$F$11:$F$17</c:f>
              <c:numCache>
                <c:formatCode>0</c:formatCode>
                <c:ptCount val="7"/>
                <c:pt idx="0">
                  <c:v>8.695652173913043</c:v>
                </c:pt>
                <c:pt idx="1">
                  <c:v>8.695652173913043</c:v>
                </c:pt>
                <c:pt idx="2">
                  <c:v>0</c:v>
                </c:pt>
                <c:pt idx="3">
                  <c:v>4.3478260869565215</c:v>
                </c:pt>
                <c:pt idx="4">
                  <c:v>0</c:v>
                </c:pt>
                <c:pt idx="5">
                  <c:v>13.043478260869565</c:v>
                </c:pt>
                <c:pt idx="6">
                  <c:v>4.3478260869565215</c:v>
                </c:pt>
              </c:numCache>
            </c:numRef>
          </c:val>
          <c:extLst>
            <c:ext xmlns:c16="http://schemas.microsoft.com/office/drawing/2014/chart" uri="{C3380CC4-5D6E-409C-BE32-E72D297353CC}">
              <c16:uniqueId val="{00000006-4CBC-49E9-AECA-58A863795E57}"/>
            </c:ext>
          </c:extLst>
        </c:ser>
        <c:ser>
          <c:idx val="4"/>
          <c:order val="4"/>
          <c:tx>
            <c:strRef>
              <c:f>PPSB!$G$9</c:f>
              <c:strCache>
                <c:ptCount val="1"/>
                <c:pt idx="0">
                  <c:v>Very poor</c:v>
                </c:pt>
              </c:strCache>
            </c:strRef>
          </c:tx>
          <c:spPr>
            <a:solidFill>
              <a:srgbClr val="C0000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4CBC-49E9-AECA-58A863795E57}"/>
                </c:ext>
              </c:extLst>
            </c:dLbl>
            <c:spPr>
              <a:noFill/>
              <a:ln>
                <a:noFill/>
              </a:ln>
              <a:effectLst/>
            </c:spPr>
            <c:txPr>
              <a:bodyPr/>
              <a:lstStyle/>
              <a:p>
                <a:pPr>
                  <a:defRPr sz="1000"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PPSB!$B$11:$B$17</c:f>
              <c:strCache>
                <c:ptCount val="7"/>
                <c:pt idx="0">
                  <c:v>KPI 1</c:v>
                </c:pt>
                <c:pt idx="1">
                  <c:v>KPI 2</c:v>
                </c:pt>
                <c:pt idx="2">
                  <c:v>KPI 3</c:v>
                </c:pt>
                <c:pt idx="3">
                  <c:v>KPI 4</c:v>
                </c:pt>
                <c:pt idx="4">
                  <c:v>KPI 5</c:v>
                </c:pt>
                <c:pt idx="5">
                  <c:v>KPI 6</c:v>
                </c:pt>
                <c:pt idx="6">
                  <c:v>Overall</c:v>
                </c:pt>
              </c:strCache>
            </c:strRef>
          </c:cat>
          <c:val>
            <c:numRef>
              <c:f>PPSB!$G$11:$G$17</c:f>
              <c:numCache>
                <c:formatCode>0</c:formatCode>
                <c:ptCount val="7"/>
                <c:pt idx="0">
                  <c:v>0</c:v>
                </c:pt>
                <c:pt idx="1">
                  <c:v>4.3478260869565215</c:v>
                </c:pt>
                <c:pt idx="2">
                  <c:v>4.3478260869565215</c:v>
                </c:pt>
                <c:pt idx="3">
                  <c:v>8.695652173913043</c:v>
                </c:pt>
                <c:pt idx="4">
                  <c:v>4.3478260869565215</c:v>
                </c:pt>
                <c:pt idx="5">
                  <c:v>8.695652173913043</c:v>
                </c:pt>
                <c:pt idx="6">
                  <c:v>4.3478260869565215</c:v>
                </c:pt>
              </c:numCache>
            </c:numRef>
          </c:val>
          <c:extLst>
            <c:ext xmlns:c16="http://schemas.microsoft.com/office/drawing/2014/chart" uri="{C3380CC4-5D6E-409C-BE32-E72D297353CC}">
              <c16:uniqueId val="{00000008-4CBC-49E9-AECA-58A863795E57}"/>
            </c:ext>
          </c:extLst>
        </c:ser>
        <c:ser>
          <c:idx val="5"/>
          <c:order val="5"/>
          <c:tx>
            <c:strRef>
              <c:f>PPSB!$H$9</c:f>
              <c:strCache>
                <c:ptCount val="1"/>
                <c:pt idx="0">
                  <c:v>Don't know / No answer</c:v>
                </c:pt>
              </c:strCache>
            </c:strRef>
          </c:tx>
          <c:spPr>
            <a:solidFill>
              <a:srgbClr val="A6A6A6"/>
            </a:solidFill>
            <a:ln>
              <a:noFill/>
            </a:ln>
            <a:effectLst/>
          </c:spPr>
          <c:invertIfNegative val="0"/>
          <c:dLbls>
            <c:spPr>
              <a:noFill/>
              <a:ln>
                <a:noFill/>
              </a:ln>
              <a:effectLst/>
            </c:spPr>
            <c:txPr>
              <a:bodyPr/>
              <a:lstStyle/>
              <a:p>
                <a:pPr>
                  <a:defRPr sz="1000"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PPSB!$B$11:$B$17</c:f>
              <c:strCache>
                <c:ptCount val="7"/>
                <c:pt idx="0">
                  <c:v>KPI 1</c:v>
                </c:pt>
                <c:pt idx="1">
                  <c:v>KPI 2</c:v>
                </c:pt>
                <c:pt idx="2">
                  <c:v>KPI 3</c:v>
                </c:pt>
                <c:pt idx="3">
                  <c:v>KPI 4</c:v>
                </c:pt>
                <c:pt idx="4">
                  <c:v>KPI 5</c:v>
                </c:pt>
                <c:pt idx="5">
                  <c:v>KPI 6</c:v>
                </c:pt>
                <c:pt idx="6">
                  <c:v>Overall</c:v>
                </c:pt>
              </c:strCache>
            </c:strRef>
          </c:cat>
          <c:val>
            <c:numRef>
              <c:f>PPSB!$H$11:$H$17</c:f>
              <c:numCache>
                <c:formatCode>0</c:formatCode>
                <c:ptCount val="7"/>
                <c:pt idx="0">
                  <c:v>17.391304347826086</c:v>
                </c:pt>
                <c:pt idx="1">
                  <c:v>4.3478260869565215</c:v>
                </c:pt>
                <c:pt idx="2">
                  <c:v>26.086956521739133</c:v>
                </c:pt>
                <c:pt idx="3">
                  <c:v>30.434782608695649</c:v>
                </c:pt>
                <c:pt idx="4">
                  <c:v>8.695652173913043</c:v>
                </c:pt>
                <c:pt idx="5">
                  <c:v>4.3478260869565215</c:v>
                </c:pt>
                <c:pt idx="6">
                  <c:v>4.3478260869565215</c:v>
                </c:pt>
              </c:numCache>
            </c:numRef>
          </c:val>
          <c:extLst>
            <c:ext xmlns:c16="http://schemas.microsoft.com/office/drawing/2014/chart" uri="{C3380CC4-5D6E-409C-BE32-E72D297353CC}">
              <c16:uniqueId val="{00000009-4CBC-49E9-AECA-58A863795E57}"/>
            </c:ext>
          </c:extLst>
        </c:ser>
        <c:dLbls>
          <c:dLblPos val="ctr"/>
          <c:showLegendKey val="0"/>
          <c:showVal val="1"/>
          <c:showCatName val="0"/>
          <c:showSerName val="0"/>
          <c:showPercent val="0"/>
          <c:showBubbleSize val="0"/>
        </c:dLbls>
        <c:gapWidth val="80"/>
        <c:overlap val="100"/>
        <c:axId val="1999404976"/>
        <c:axId val="1999412592"/>
      </c:barChart>
      <c:catAx>
        <c:axId val="19994049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999412592"/>
        <c:crosses val="autoZero"/>
        <c:auto val="1"/>
        <c:lblAlgn val="ctr"/>
        <c:lblOffset val="100"/>
        <c:noMultiLvlLbl val="0"/>
      </c:catAx>
      <c:valAx>
        <c:axId val="1999412592"/>
        <c:scaling>
          <c:orientation val="minMax"/>
          <c:max val="100"/>
        </c:scaling>
        <c:delete val="0"/>
        <c:axPos val="b"/>
        <c:majorGridlines>
          <c:spPr>
            <a:ln w="9525" cap="flat" cmpd="sng" algn="ctr">
              <a:solidFill>
                <a:srgbClr val="868686"/>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1999404976"/>
        <c:crosses val="max"/>
        <c:crossBetween val="between"/>
      </c:valAx>
      <c:spPr>
        <a:noFill/>
        <a:ln>
          <a:noFill/>
        </a:ln>
        <a:effectLst/>
      </c:spPr>
    </c:plotArea>
    <c:legend>
      <c:legendPos val="b"/>
      <c:layout>
        <c:manualLayout>
          <c:xMode val="edge"/>
          <c:yMode val="edge"/>
          <c:x val="0.14883790968436639"/>
          <c:y val="0.89061573384408033"/>
          <c:w val="0.71449289992597076"/>
          <c:h val="9.5750868979215434E-2"/>
        </c:manualLayout>
      </c:layout>
      <c:overlay val="0"/>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Nova" panose="020B0504020202020204" pitchFamily="34"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Arial Nova" panose="020B0504020202020204" pitchFamily="34" charset="0"/>
                <a:ea typeface="+mn-ea"/>
                <a:cs typeface="+mn-cs"/>
              </a:defRPr>
            </a:pPr>
            <a:r>
              <a:rPr lang="en-AU" sz="1100" b="1"/>
              <a:t>Comparable items between principal contact and peak bodies surveys</a:t>
            </a:r>
            <a:r>
              <a:rPr lang="en-AU"/>
              <a:t/>
            </a:r>
            <a:br>
              <a:rPr lang="en-AU"/>
            </a:br>
            <a:r>
              <a:rPr lang="en-AU" sz="900" i="1"/>
              <a:t>Top 2 scores (%) for each item</a:t>
            </a:r>
          </a:p>
        </c:rich>
      </c:tx>
      <c:layout>
        <c:manualLayout>
          <c:xMode val="edge"/>
          <c:yMode val="edge"/>
          <c:x val="1.3543863034149077E-3"/>
          <c:y val="7.7638201734677057E-3"/>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ysClr val="windowText" lastClr="000000"/>
              </a:solidFill>
              <a:latin typeface="Arial Nova" panose="020B0504020202020204" pitchFamily="34" charset="0"/>
              <a:ea typeface="+mn-ea"/>
              <a:cs typeface="+mn-cs"/>
            </a:defRPr>
          </a:pPr>
          <a:endParaRPr lang="en-US"/>
        </a:p>
      </c:txPr>
    </c:title>
    <c:autoTitleDeleted val="0"/>
    <c:plotArea>
      <c:layout/>
      <c:barChart>
        <c:barDir val="bar"/>
        <c:grouping val="clustered"/>
        <c:varyColors val="0"/>
        <c:ser>
          <c:idx val="0"/>
          <c:order val="0"/>
          <c:tx>
            <c:strRef>
              <c:f>'KPI comparison'!$B$1</c:f>
              <c:strCache>
                <c:ptCount val="1"/>
                <c:pt idx="0">
                  <c:v>Principal Contacts n=143</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ova" panose="020B05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'KPI comparison'!$A$2:$A$8</c:f>
              <c:strCache>
                <c:ptCount val="7"/>
                <c:pt idx="0">
                  <c:v>KPI 1 - Regulation does not impede efficient operation</c:v>
                </c:pt>
                <c:pt idx="1">
                  <c:v>KPI 2 - TEQSA’s communication with your organisation</c:v>
                </c:pt>
                <c:pt idx="2">
                  <c:v>KPI 3 - Regulatory actions are proportionate to risks</c:v>
                </c:pt>
                <c:pt idx="3">
                  <c:v>KPI 4 - TEQSA has a streamlined and co-ordinated approach</c:v>
                </c:pt>
                <c:pt idx="4">
                  <c:v>KPI 5 - TEQSA is open, transparent and consistent in its dealings</c:v>
                </c:pt>
                <c:pt idx="5">
                  <c:v>KPI 6 - TEQSA continues to improve its regulatory framework</c:v>
                </c:pt>
                <c:pt idx="6">
                  <c:v>Overall TEQSA's performance as a regulator over the last 12 months</c:v>
                </c:pt>
              </c:strCache>
            </c:strRef>
          </c:cat>
          <c:val>
            <c:numRef>
              <c:f>'KPI comparison'!$B$2:$B$8</c:f>
              <c:numCache>
                <c:formatCode>0</c:formatCode>
                <c:ptCount val="7"/>
                <c:pt idx="0">
                  <c:v>58.955223880597018</c:v>
                </c:pt>
                <c:pt idx="1">
                  <c:v>64.748201438848923</c:v>
                </c:pt>
                <c:pt idx="2">
                  <c:v>62.878787878787875</c:v>
                </c:pt>
                <c:pt idx="3">
                  <c:v>53.787878787878782</c:v>
                </c:pt>
                <c:pt idx="4">
                  <c:v>72.661870503597129</c:v>
                </c:pt>
                <c:pt idx="5">
                  <c:v>66.666666666666657</c:v>
                </c:pt>
                <c:pt idx="6">
                  <c:v>76.470588235294116</c:v>
                </c:pt>
              </c:numCache>
            </c:numRef>
          </c:val>
          <c:extLst>
            <c:ext xmlns:c16="http://schemas.microsoft.com/office/drawing/2014/chart" uri="{C3380CC4-5D6E-409C-BE32-E72D297353CC}">
              <c16:uniqueId val="{00000000-178A-4570-80D3-0C19BE24DA6A}"/>
            </c:ext>
          </c:extLst>
        </c:ser>
        <c:ser>
          <c:idx val="2"/>
          <c:order val="1"/>
          <c:tx>
            <c:strRef>
              <c:f>'KPI comparison'!$C$1</c:f>
              <c:strCache>
                <c:ptCount val="1"/>
                <c:pt idx="0">
                  <c:v>PPSBs n=23</c:v>
                </c:pt>
              </c:strCache>
            </c:strRef>
          </c:tx>
          <c:spPr>
            <a:solidFill>
              <a:srgbClr val="00386E"/>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ova" panose="020B05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'KPI comparison'!$A$2:$A$8</c:f>
              <c:strCache>
                <c:ptCount val="7"/>
                <c:pt idx="0">
                  <c:v>KPI 1 - Regulation does not impede efficient operation</c:v>
                </c:pt>
                <c:pt idx="1">
                  <c:v>KPI 2 - TEQSA’s communication with your organisation</c:v>
                </c:pt>
                <c:pt idx="2">
                  <c:v>KPI 3 - Regulatory actions are proportionate to risks</c:v>
                </c:pt>
                <c:pt idx="3">
                  <c:v>KPI 4 - TEQSA has a streamlined and co-ordinated approach</c:v>
                </c:pt>
                <c:pt idx="4">
                  <c:v>KPI 5 - TEQSA is open, transparent and consistent in its dealings</c:v>
                </c:pt>
                <c:pt idx="5">
                  <c:v>KPI 6 - TEQSA continues to improve its regulatory framework</c:v>
                </c:pt>
                <c:pt idx="6">
                  <c:v>Overall TEQSA's performance as a regulator over the last 12 months</c:v>
                </c:pt>
              </c:strCache>
            </c:strRef>
          </c:cat>
          <c:val>
            <c:numRef>
              <c:f>'KPI comparison'!$C$2:$C$8</c:f>
              <c:numCache>
                <c:formatCode>0</c:formatCode>
                <c:ptCount val="7"/>
                <c:pt idx="0">
                  <c:v>63.157894736842103</c:v>
                </c:pt>
                <c:pt idx="1">
                  <c:v>68.181818181818173</c:v>
                </c:pt>
                <c:pt idx="2">
                  <c:v>64.705882352941174</c:v>
                </c:pt>
                <c:pt idx="3">
                  <c:v>62.5</c:v>
                </c:pt>
                <c:pt idx="4">
                  <c:v>71.428571428571431</c:v>
                </c:pt>
                <c:pt idx="5">
                  <c:v>68.181818181818173</c:v>
                </c:pt>
                <c:pt idx="6">
                  <c:v>63.636363636363633</c:v>
                </c:pt>
              </c:numCache>
            </c:numRef>
          </c:val>
          <c:extLst>
            <c:ext xmlns:c16="http://schemas.microsoft.com/office/drawing/2014/chart" uri="{C3380CC4-5D6E-409C-BE32-E72D297353CC}">
              <c16:uniqueId val="{00000001-178A-4570-80D3-0C19BE24DA6A}"/>
            </c:ext>
          </c:extLst>
        </c:ser>
        <c:dLbls>
          <c:dLblPos val="outEnd"/>
          <c:showLegendKey val="0"/>
          <c:showVal val="1"/>
          <c:showCatName val="0"/>
          <c:showSerName val="0"/>
          <c:showPercent val="0"/>
          <c:showBubbleSize val="0"/>
        </c:dLbls>
        <c:gapWidth val="83"/>
        <c:axId val="135538560"/>
        <c:axId val="135540096"/>
      </c:barChart>
      <c:catAx>
        <c:axId val="1355385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ova" panose="020B0504020202020204" pitchFamily="34" charset="0"/>
                <a:ea typeface="+mn-ea"/>
                <a:cs typeface="+mn-cs"/>
              </a:defRPr>
            </a:pPr>
            <a:endParaRPr lang="en-US"/>
          </a:p>
        </c:txPr>
        <c:crossAx val="135540096"/>
        <c:crosses val="autoZero"/>
        <c:auto val="1"/>
        <c:lblAlgn val="ctr"/>
        <c:lblOffset val="100"/>
        <c:noMultiLvlLbl val="0"/>
      </c:catAx>
      <c:valAx>
        <c:axId val="135540096"/>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ova" panose="020B0504020202020204" pitchFamily="34" charset="0"/>
                <a:ea typeface="+mn-ea"/>
                <a:cs typeface="+mn-cs"/>
              </a:defRPr>
            </a:pPr>
            <a:endParaRPr lang="en-US"/>
          </a:p>
        </c:txPr>
        <c:crossAx val="135538560"/>
        <c:crosses val="max"/>
        <c:crossBetween val="between"/>
      </c:valAx>
      <c:spPr>
        <a:noFill/>
        <a:ln>
          <a:noFill/>
        </a:ln>
        <a:effectLst/>
      </c:spPr>
    </c:plotArea>
    <c:legend>
      <c:legendPos val="b"/>
      <c:layout>
        <c:manualLayout>
          <c:xMode val="edge"/>
          <c:yMode val="edge"/>
          <c:x val="0.12493126262931732"/>
          <c:y val="0.94810586726953205"/>
          <c:w val="0.6133361733465148"/>
          <c:h val="3.370292423040899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ova" panose="020B05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Nova" panose="020B05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title>
      <c:tx>
        <c:rich>
          <a:bodyPr/>
          <a:lstStyle/>
          <a:p>
            <a:pPr algn="l">
              <a:defRPr sz="1100"/>
            </a:pPr>
            <a:r>
              <a:rPr lang="en-AU" sz="1100"/>
              <a:t>Types of provider interactions with TEQSA in last 12 months</a:t>
            </a:r>
          </a:p>
          <a:p>
            <a:pPr algn="l">
              <a:defRPr sz="1100"/>
            </a:pPr>
            <a:r>
              <a:rPr lang="en-AU" sz="900" b="0" i="1"/>
              <a:t>% of respondents. Multiple answers allowed so total may be &gt;100%; % based on n=143</a:t>
            </a:r>
          </a:p>
        </c:rich>
      </c:tx>
      <c:layout>
        <c:manualLayout>
          <c:xMode val="edge"/>
          <c:yMode val="edge"/>
          <c:x val="1.09882899252979E-3"/>
          <c:y val="1.7524125273814457E-4"/>
        </c:manualLayout>
      </c:layout>
      <c:overlay val="0"/>
    </c:title>
    <c:autoTitleDeleted val="0"/>
    <c:plotArea>
      <c:layout>
        <c:manualLayout>
          <c:layoutTarget val="inner"/>
          <c:xMode val="edge"/>
          <c:yMode val="edge"/>
          <c:x val="0.41491337709242254"/>
          <c:y val="0.15494542290848742"/>
          <c:w val="0.55101637253745939"/>
          <c:h val="0.77058232623429024"/>
        </c:manualLayout>
      </c:layout>
      <c:barChart>
        <c:barDir val="bar"/>
        <c:grouping val="clustered"/>
        <c:varyColors val="1"/>
        <c:ser>
          <c:idx val="0"/>
          <c:order val="0"/>
          <c:spPr>
            <a:solidFill>
              <a:srgbClr val="4F81BD">
                <a:lumMod val="75000"/>
              </a:srgbClr>
            </a:solidFill>
            <a:effectLst/>
          </c:spPr>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TABLES!$B$84:$B$91</c:f>
              <c:strCache>
                <c:ptCount val="8"/>
                <c:pt idx="0">
                  <c:v>Interaction with TEQSA staff including case manager</c:v>
                </c:pt>
                <c:pt idx="1">
                  <c:v>Application for / renewal of course accreditation</c:v>
                </c:pt>
                <c:pt idx="2">
                  <c:v>Application for / renewal of CRICOS registration</c:v>
                </c:pt>
                <c:pt idx="3">
                  <c:v>Application for / renewal of TEQSA registration</c:v>
                </c:pt>
                <c:pt idx="4">
                  <c:v>Interaction about regulatory decision</c:v>
                </c:pt>
                <c:pt idx="5">
                  <c:v>CRICOS – other application</c:v>
                </c:pt>
                <c:pt idx="6">
                  <c:v>Application for self-accrediting authority</c:v>
                </c:pt>
                <c:pt idx="7">
                  <c:v>None of the above</c:v>
                </c:pt>
              </c:strCache>
            </c:strRef>
          </c:cat>
          <c:val>
            <c:numRef>
              <c:f>TABLES!$C$84:$C$91</c:f>
              <c:numCache>
                <c:formatCode>0</c:formatCode>
                <c:ptCount val="8"/>
                <c:pt idx="0">
                  <c:v>89.510489510489506</c:v>
                </c:pt>
                <c:pt idx="1">
                  <c:v>46.853146853146853</c:v>
                </c:pt>
                <c:pt idx="2">
                  <c:v>44.05594405594406</c:v>
                </c:pt>
                <c:pt idx="3">
                  <c:v>41.25874125874126</c:v>
                </c:pt>
                <c:pt idx="4">
                  <c:v>39.16083916083916</c:v>
                </c:pt>
                <c:pt idx="5">
                  <c:v>38.461538461538467</c:v>
                </c:pt>
                <c:pt idx="6">
                  <c:v>2.0979020979020979</c:v>
                </c:pt>
                <c:pt idx="7">
                  <c:v>2.0979020979020979</c:v>
                </c:pt>
              </c:numCache>
            </c:numRef>
          </c:val>
          <c:extLst>
            <c:ext xmlns:c16="http://schemas.microsoft.com/office/drawing/2014/chart" uri="{C3380CC4-5D6E-409C-BE32-E72D297353CC}">
              <c16:uniqueId val="{00000000-30B7-415F-8543-D98D7B731D92}"/>
            </c:ext>
          </c:extLst>
        </c:ser>
        <c:dLbls>
          <c:showLegendKey val="0"/>
          <c:showVal val="0"/>
          <c:showCatName val="0"/>
          <c:showSerName val="0"/>
          <c:showPercent val="0"/>
          <c:showBubbleSize val="0"/>
        </c:dLbls>
        <c:gapWidth val="80"/>
        <c:axId val="532693832"/>
        <c:axId val="532694224"/>
      </c:barChart>
      <c:catAx>
        <c:axId val="532693832"/>
        <c:scaling>
          <c:orientation val="maxMin"/>
        </c:scaling>
        <c:delete val="0"/>
        <c:axPos val="l"/>
        <c:numFmt formatCode="General" sourceLinked="0"/>
        <c:majorTickMark val="none"/>
        <c:minorTickMark val="none"/>
        <c:tickLblPos val="nextTo"/>
        <c:txPr>
          <a:bodyPr/>
          <a:lstStyle/>
          <a:p>
            <a:pPr>
              <a:defRPr sz="900"/>
            </a:pPr>
            <a:endParaRPr lang="en-US"/>
          </a:p>
        </c:txPr>
        <c:crossAx val="532694224"/>
        <c:crosses val="autoZero"/>
        <c:auto val="1"/>
        <c:lblAlgn val="ctr"/>
        <c:lblOffset val="100"/>
        <c:noMultiLvlLbl val="0"/>
      </c:catAx>
      <c:valAx>
        <c:axId val="532694224"/>
        <c:scaling>
          <c:orientation val="minMax"/>
        </c:scaling>
        <c:delete val="0"/>
        <c:axPos val="b"/>
        <c:majorGridlines>
          <c:spPr>
            <a:ln>
              <a:solidFill>
                <a:sysClr val="window" lastClr="FFFFFF">
                  <a:lumMod val="75000"/>
                </a:sysClr>
              </a:solidFill>
            </a:ln>
          </c:spPr>
        </c:majorGridlines>
        <c:numFmt formatCode="###0" sourceLinked="0"/>
        <c:majorTickMark val="none"/>
        <c:minorTickMark val="none"/>
        <c:tickLblPos val="nextTo"/>
        <c:spPr>
          <a:ln>
            <a:noFill/>
          </a:ln>
        </c:spPr>
        <c:txPr>
          <a:bodyPr/>
          <a:lstStyle/>
          <a:p>
            <a:pPr>
              <a:defRPr sz="900"/>
            </a:pPr>
            <a:endParaRPr lang="en-US"/>
          </a:p>
        </c:txPr>
        <c:crossAx val="532693832"/>
        <c:crosses val="max"/>
        <c:crossBetween val="between"/>
        <c:majorUnit val="20"/>
      </c:valAx>
    </c:plotArea>
    <c:plotVisOnly val="1"/>
    <c:dispBlanksAs val="gap"/>
    <c:showDLblsOverMax val="0"/>
  </c:chart>
  <c:spPr>
    <a:ln>
      <a:noFill/>
    </a:ln>
  </c:spPr>
  <c:txPr>
    <a:bodyPr/>
    <a:lstStyle/>
    <a:p>
      <a:pPr>
        <a:defRPr>
          <a:latin typeface="Arial Nova" panose="020B0504020202020204" pitchFamily="34" charset="0"/>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l">
              <a:defRPr/>
            </a:pPr>
            <a:r>
              <a:rPr lang="en-AU" sz="1100"/>
              <a:t>Communication</a:t>
            </a:r>
          </a:p>
          <a:p>
            <a:pPr algn="l">
              <a:defRPr/>
            </a:pPr>
            <a:r>
              <a:rPr lang="en-AU" sz="900" b="0" i="1"/>
              <a:t>% of respondents choosing a rating point, n=143</a:t>
            </a:r>
          </a:p>
        </c:rich>
      </c:tx>
      <c:layout>
        <c:manualLayout>
          <c:xMode val="edge"/>
          <c:yMode val="edge"/>
          <c:x val="7.237355465701923E-4"/>
          <c:y val="1.9301544969096995E-3"/>
        </c:manualLayout>
      </c:layout>
      <c:overlay val="0"/>
      <c:spPr>
        <a:noFill/>
        <a:ln>
          <a:noFill/>
        </a:ln>
        <a:effectLst/>
      </c:spPr>
    </c:title>
    <c:autoTitleDeleted val="0"/>
    <c:plotArea>
      <c:layout>
        <c:manualLayout>
          <c:layoutTarget val="inner"/>
          <c:xMode val="edge"/>
          <c:yMode val="edge"/>
          <c:x val="0.46518103800947824"/>
          <c:y val="9.8772143307323701E-2"/>
          <c:w val="0.50133384815514526"/>
          <c:h val="0.76589555126239017"/>
        </c:manualLayout>
      </c:layout>
      <c:barChart>
        <c:barDir val="bar"/>
        <c:grouping val="stacked"/>
        <c:varyColors val="0"/>
        <c:ser>
          <c:idx val="0"/>
          <c:order val="0"/>
          <c:tx>
            <c:strRef>
              <c:f>TABLES!$C$43</c:f>
              <c:strCache>
                <c:ptCount val="1"/>
                <c:pt idx="0">
                  <c:v>Excellent</c:v>
                </c:pt>
              </c:strCache>
            </c:strRef>
          </c:tx>
          <c:spPr>
            <a:solidFill>
              <a:srgbClr val="008000"/>
            </a:solidFill>
            <a:ln>
              <a:noFill/>
            </a:ln>
            <a:effectLst/>
          </c:spPr>
          <c:invertIfNegative val="0"/>
          <c:dLbls>
            <c:spPr>
              <a:noFill/>
              <a:ln>
                <a:noFill/>
              </a:ln>
              <a:effectLst/>
            </c:spPr>
            <c:txPr>
              <a:bodyPr/>
              <a:lstStyle/>
              <a:p>
                <a:pPr>
                  <a:defRPr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TABLES!$B$44:$B$49</c:f>
              <c:strCache>
                <c:ptCount val="6"/>
                <c:pt idx="0">
                  <c:v>Usefulness of regulatory information</c:v>
                </c:pt>
                <c:pt idx="1">
                  <c:v>Usefulness of the information on the HES Framework (Threshold Standards) 2015</c:v>
                </c:pt>
                <c:pt idx="2">
                  <c:v>Usefulness of TEQSA-facilitated workshops and webinars to discuss regulatory requirements</c:v>
                </c:pt>
                <c:pt idx="3">
                  <c:v>Usefulness of information provided on National Register</c:v>
                </c:pt>
                <c:pt idx="4">
                  <c:v>Using a variety of media and channels to communicate sector-wide updates</c:v>
                </c:pt>
                <c:pt idx="5">
                  <c:v>Usefulness of the TEQSA conference</c:v>
                </c:pt>
              </c:strCache>
            </c:strRef>
          </c:cat>
          <c:val>
            <c:numRef>
              <c:f>TABLES!$C$44:$C$49</c:f>
              <c:numCache>
                <c:formatCode>0</c:formatCode>
                <c:ptCount val="6"/>
                <c:pt idx="0">
                  <c:v>30.76923076923077</c:v>
                </c:pt>
                <c:pt idx="1">
                  <c:v>27.27272727272727</c:v>
                </c:pt>
                <c:pt idx="2">
                  <c:v>20.27972027972028</c:v>
                </c:pt>
                <c:pt idx="3">
                  <c:v>23.076923076923077</c:v>
                </c:pt>
                <c:pt idx="4">
                  <c:v>13.986013986013987</c:v>
                </c:pt>
                <c:pt idx="5">
                  <c:v>20.27972027972028</c:v>
                </c:pt>
              </c:numCache>
            </c:numRef>
          </c:val>
          <c:extLst>
            <c:ext xmlns:c16="http://schemas.microsoft.com/office/drawing/2014/chart" uri="{C3380CC4-5D6E-409C-BE32-E72D297353CC}">
              <c16:uniqueId val="{00000000-9FCD-445C-8914-53E16599B468}"/>
            </c:ext>
          </c:extLst>
        </c:ser>
        <c:ser>
          <c:idx val="1"/>
          <c:order val="1"/>
          <c:tx>
            <c:strRef>
              <c:f>TABLES!$D$43</c:f>
              <c:strCache>
                <c:ptCount val="1"/>
                <c:pt idx="0">
                  <c:v>Good</c:v>
                </c:pt>
              </c:strCache>
            </c:strRef>
          </c:tx>
          <c:spPr>
            <a:solidFill>
              <a:srgbClr val="92D050"/>
            </a:solidFill>
            <a:ln>
              <a:noFill/>
            </a:ln>
            <a:effectLst/>
          </c:spPr>
          <c:invertIfNegative val="0"/>
          <c:dLbls>
            <c:spPr>
              <a:noFill/>
              <a:ln>
                <a:noFill/>
              </a:ln>
              <a:effectLst/>
            </c:spPr>
            <c:txPr>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TABLES!$B$44:$B$49</c:f>
              <c:strCache>
                <c:ptCount val="6"/>
                <c:pt idx="0">
                  <c:v>Usefulness of regulatory information</c:v>
                </c:pt>
                <c:pt idx="1">
                  <c:v>Usefulness of the information on the HES Framework (Threshold Standards) 2015</c:v>
                </c:pt>
                <c:pt idx="2">
                  <c:v>Usefulness of TEQSA-facilitated workshops and webinars to discuss regulatory requirements</c:v>
                </c:pt>
                <c:pt idx="3">
                  <c:v>Usefulness of information provided on National Register</c:v>
                </c:pt>
                <c:pt idx="4">
                  <c:v>Using a variety of media and channels to communicate sector-wide updates</c:v>
                </c:pt>
                <c:pt idx="5">
                  <c:v>Usefulness of the TEQSA conference</c:v>
                </c:pt>
              </c:strCache>
            </c:strRef>
          </c:cat>
          <c:val>
            <c:numRef>
              <c:f>TABLES!$D$44:$D$49</c:f>
              <c:numCache>
                <c:formatCode>0</c:formatCode>
                <c:ptCount val="6"/>
                <c:pt idx="0">
                  <c:v>56.643356643356647</c:v>
                </c:pt>
                <c:pt idx="1">
                  <c:v>57.342657342657347</c:v>
                </c:pt>
                <c:pt idx="2">
                  <c:v>48.951048951048953</c:v>
                </c:pt>
                <c:pt idx="3">
                  <c:v>43.356643356643353</c:v>
                </c:pt>
                <c:pt idx="4">
                  <c:v>53.146853146853147</c:v>
                </c:pt>
                <c:pt idx="5">
                  <c:v>34.265734265734267</c:v>
                </c:pt>
              </c:numCache>
            </c:numRef>
          </c:val>
          <c:extLst>
            <c:ext xmlns:c16="http://schemas.microsoft.com/office/drawing/2014/chart" uri="{C3380CC4-5D6E-409C-BE32-E72D297353CC}">
              <c16:uniqueId val="{00000001-9FCD-445C-8914-53E16599B468}"/>
            </c:ext>
          </c:extLst>
        </c:ser>
        <c:ser>
          <c:idx val="2"/>
          <c:order val="2"/>
          <c:tx>
            <c:strRef>
              <c:f>TABLES!$E$43</c:f>
              <c:strCache>
                <c:ptCount val="1"/>
                <c:pt idx="0">
                  <c:v>Fair</c:v>
                </c:pt>
              </c:strCache>
            </c:strRef>
          </c:tx>
          <c:spPr>
            <a:solidFill>
              <a:srgbClr val="FFFF00"/>
            </a:solidFill>
            <a:ln>
              <a:noFill/>
            </a:ln>
            <a:effectLst/>
          </c:spPr>
          <c:invertIfNegative val="0"/>
          <c:dLbls>
            <c:spPr>
              <a:noFill/>
              <a:ln>
                <a:noFill/>
              </a:ln>
              <a:effectLst/>
            </c:spPr>
            <c:txPr>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TABLES!$B$44:$B$49</c:f>
              <c:strCache>
                <c:ptCount val="6"/>
                <c:pt idx="0">
                  <c:v>Usefulness of regulatory information</c:v>
                </c:pt>
                <c:pt idx="1">
                  <c:v>Usefulness of the information on the HES Framework (Threshold Standards) 2015</c:v>
                </c:pt>
                <c:pt idx="2">
                  <c:v>Usefulness of TEQSA-facilitated workshops and webinars to discuss regulatory requirements</c:v>
                </c:pt>
                <c:pt idx="3">
                  <c:v>Usefulness of information provided on National Register</c:v>
                </c:pt>
                <c:pt idx="4">
                  <c:v>Using a variety of media and channels to communicate sector-wide updates</c:v>
                </c:pt>
                <c:pt idx="5">
                  <c:v>Usefulness of the TEQSA conference</c:v>
                </c:pt>
              </c:strCache>
            </c:strRef>
          </c:cat>
          <c:val>
            <c:numRef>
              <c:f>TABLES!$E$44:$E$49</c:f>
              <c:numCache>
                <c:formatCode>0</c:formatCode>
                <c:ptCount val="6"/>
                <c:pt idx="0">
                  <c:v>8.3916083916083917</c:v>
                </c:pt>
                <c:pt idx="1">
                  <c:v>8.3916083916083917</c:v>
                </c:pt>
                <c:pt idx="2">
                  <c:v>13.986013986013987</c:v>
                </c:pt>
                <c:pt idx="3">
                  <c:v>22.377622377622377</c:v>
                </c:pt>
                <c:pt idx="4">
                  <c:v>23.076923076923077</c:v>
                </c:pt>
                <c:pt idx="5">
                  <c:v>23.776223776223777</c:v>
                </c:pt>
              </c:numCache>
            </c:numRef>
          </c:val>
          <c:extLst>
            <c:ext xmlns:c16="http://schemas.microsoft.com/office/drawing/2014/chart" uri="{C3380CC4-5D6E-409C-BE32-E72D297353CC}">
              <c16:uniqueId val="{00000002-9FCD-445C-8914-53E16599B468}"/>
            </c:ext>
          </c:extLst>
        </c:ser>
        <c:ser>
          <c:idx val="3"/>
          <c:order val="3"/>
          <c:tx>
            <c:strRef>
              <c:f>TABLES!$F$43</c:f>
              <c:strCache>
                <c:ptCount val="1"/>
                <c:pt idx="0">
                  <c:v>Poor</c:v>
                </c:pt>
              </c:strCache>
            </c:strRef>
          </c:tx>
          <c:spPr>
            <a:solidFill>
              <a:srgbClr val="FF993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9FCD-445C-8914-53E16599B468}"/>
                </c:ext>
              </c:extLst>
            </c:dLbl>
            <c:spPr>
              <a:noFill/>
              <a:ln>
                <a:noFill/>
              </a:ln>
              <a:effectLst/>
            </c:spPr>
            <c:txPr>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TABLES!$B$44:$B$49</c:f>
              <c:strCache>
                <c:ptCount val="6"/>
                <c:pt idx="0">
                  <c:v>Usefulness of regulatory information</c:v>
                </c:pt>
                <c:pt idx="1">
                  <c:v>Usefulness of the information on the HES Framework (Threshold Standards) 2015</c:v>
                </c:pt>
                <c:pt idx="2">
                  <c:v>Usefulness of TEQSA-facilitated workshops and webinars to discuss regulatory requirements</c:v>
                </c:pt>
                <c:pt idx="3">
                  <c:v>Usefulness of information provided on National Register</c:v>
                </c:pt>
                <c:pt idx="4">
                  <c:v>Using a variety of media and channels to communicate sector-wide updates</c:v>
                </c:pt>
                <c:pt idx="5">
                  <c:v>Usefulness of the TEQSA conference</c:v>
                </c:pt>
              </c:strCache>
            </c:strRef>
          </c:cat>
          <c:val>
            <c:numRef>
              <c:f>TABLES!$F$44:$F$49</c:f>
              <c:numCache>
                <c:formatCode>0</c:formatCode>
                <c:ptCount val="6"/>
                <c:pt idx="0">
                  <c:v>0.69930069930069927</c:v>
                </c:pt>
                <c:pt idx="1">
                  <c:v>2.0979020979020979</c:v>
                </c:pt>
                <c:pt idx="2">
                  <c:v>2.0979020979020979</c:v>
                </c:pt>
                <c:pt idx="3">
                  <c:v>2.7972027972027971</c:v>
                </c:pt>
                <c:pt idx="4">
                  <c:v>2.7972027972027971</c:v>
                </c:pt>
                <c:pt idx="5">
                  <c:v>2.7972027972027971</c:v>
                </c:pt>
              </c:numCache>
            </c:numRef>
          </c:val>
          <c:extLst>
            <c:ext xmlns:c16="http://schemas.microsoft.com/office/drawing/2014/chart" uri="{C3380CC4-5D6E-409C-BE32-E72D297353CC}">
              <c16:uniqueId val="{00000004-9FCD-445C-8914-53E16599B468}"/>
            </c:ext>
          </c:extLst>
        </c:ser>
        <c:ser>
          <c:idx val="4"/>
          <c:order val="4"/>
          <c:tx>
            <c:strRef>
              <c:f>TABLES!$G$43</c:f>
              <c:strCache>
                <c:ptCount val="1"/>
                <c:pt idx="0">
                  <c:v>Very poor</c:v>
                </c:pt>
              </c:strCache>
            </c:strRef>
          </c:tx>
          <c:spPr>
            <a:solidFill>
              <a:srgbClr val="C0000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9FCD-445C-8914-53E16599B468}"/>
                </c:ext>
              </c:extLst>
            </c:dLbl>
            <c:dLbl>
              <c:idx val="1"/>
              <c:delete val="1"/>
              <c:extLst>
                <c:ext xmlns:c15="http://schemas.microsoft.com/office/drawing/2012/chart" uri="{CE6537A1-D6FC-4f65-9D91-7224C49458BB}"/>
                <c:ext xmlns:c16="http://schemas.microsoft.com/office/drawing/2014/chart" uri="{C3380CC4-5D6E-409C-BE32-E72D297353CC}">
                  <c16:uniqueId val="{00000006-9FCD-445C-8914-53E16599B468}"/>
                </c:ext>
              </c:extLst>
            </c:dLbl>
            <c:spPr>
              <a:noFill/>
              <a:ln>
                <a:noFill/>
              </a:ln>
              <a:effectLst/>
            </c:spPr>
            <c:txPr>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TABLES!$B$44:$B$49</c:f>
              <c:strCache>
                <c:ptCount val="6"/>
                <c:pt idx="0">
                  <c:v>Usefulness of regulatory information</c:v>
                </c:pt>
                <c:pt idx="1">
                  <c:v>Usefulness of the information on the HES Framework (Threshold Standards) 2015</c:v>
                </c:pt>
                <c:pt idx="2">
                  <c:v>Usefulness of TEQSA-facilitated workshops and webinars to discuss regulatory requirements</c:v>
                </c:pt>
                <c:pt idx="3">
                  <c:v>Usefulness of information provided on National Register</c:v>
                </c:pt>
                <c:pt idx="4">
                  <c:v>Using a variety of media and channels to communicate sector-wide updates</c:v>
                </c:pt>
                <c:pt idx="5">
                  <c:v>Usefulness of the TEQSA conference</c:v>
                </c:pt>
              </c:strCache>
            </c:strRef>
          </c:cat>
          <c:val>
            <c:numRef>
              <c:f>TABLES!$G$44:$G$49</c:f>
              <c:numCache>
                <c:formatCode>0</c:formatCode>
                <c:ptCount val="6"/>
                <c:pt idx="0">
                  <c:v>1.3986013986013985</c:v>
                </c:pt>
                <c:pt idx="1">
                  <c:v>1.3986013986013985</c:v>
                </c:pt>
                <c:pt idx="2">
                  <c:v>2.0979020979020979</c:v>
                </c:pt>
                <c:pt idx="3">
                  <c:v>2.0979020979020979</c:v>
                </c:pt>
                <c:pt idx="4">
                  <c:v>2.0979020979020979</c:v>
                </c:pt>
                <c:pt idx="5">
                  <c:v>2.7972027972027971</c:v>
                </c:pt>
              </c:numCache>
            </c:numRef>
          </c:val>
          <c:extLst>
            <c:ext xmlns:c16="http://schemas.microsoft.com/office/drawing/2014/chart" uri="{C3380CC4-5D6E-409C-BE32-E72D297353CC}">
              <c16:uniqueId val="{00000007-9FCD-445C-8914-53E16599B468}"/>
            </c:ext>
          </c:extLst>
        </c:ser>
        <c:ser>
          <c:idx val="5"/>
          <c:order val="5"/>
          <c:tx>
            <c:strRef>
              <c:f>TABLES!$H$43</c:f>
              <c:strCache>
                <c:ptCount val="1"/>
                <c:pt idx="0">
                  <c:v>Don't know / No answer</c:v>
                </c:pt>
              </c:strCache>
            </c:strRef>
          </c:tx>
          <c:spPr>
            <a:solidFill>
              <a:srgbClr val="A6A6A6"/>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9FCD-445C-8914-53E16599B468}"/>
                </c:ext>
              </c:extLst>
            </c:dLbl>
            <c:spPr>
              <a:noFill/>
              <a:ln>
                <a:noFill/>
              </a:ln>
              <a:effectLst/>
            </c:spPr>
            <c:txPr>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TABLES!$B$44:$B$49</c:f>
              <c:strCache>
                <c:ptCount val="6"/>
                <c:pt idx="0">
                  <c:v>Usefulness of regulatory information</c:v>
                </c:pt>
                <c:pt idx="1">
                  <c:v>Usefulness of the information on the HES Framework (Threshold Standards) 2015</c:v>
                </c:pt>
                <c:pt idx="2">
                  <c:v>Usefulness of TEQSA-facilitated workshops and webinars to discuss regulatory requirements</c:v>
                </c:pt>
                <c:pt idx="3">
                  <c:v>Usefulness of information provided on National Register</c:v>
                </c:pt>
                <c:pt idx="4">
                  <c:v>Using a variety of media and channels to communicate sector-wide updates</c:v>
                </c:pt>
                <c:pt idx="5">
                  <c:v>Usefulness of the TEQSA conference</c:v>
                </c:pt>
              </c:strCache>
            </c:strRef>
          </c:cat>
          <c:val>
            <c:numRef>
              <c:f>TABLES!$H$44:$H$49</c:f>
              <c:numCache>
                <c:formatCode>0</c:formatCode>
                <c:ptCount val="6"/>
                <c:pt idx="0">
                  <c:v>1.3986013986013985</c:v>
                </c:pt>
                <c:pt idx="1">
                  <c:v>2.0979020979020979</c:v>
                </c:pt>
                <c:pt idx="2">
                  <c:v>9.0909090909090917</c:v>
                </c:pt>
                <c:pt idx="3">
                  <c:v>4.1958041958041958</c:v>
                </c:pt>
                <c:pt idx="4">
                  <c:v>3.4965034965034967</c:v>
                </c:pt>
                <c:pt idx="5">
                  <c:v>10.48951048951049</c:v>
                </c:pt>
              </c:numCache>
            </c:numRef>
          </c:val>
          <c:extLst>
            <c:ext xmlns:c16="http://schemas.microsoft.com/office/drawing/2014/chart" uri="{C3380CC4-5D6E-409C-BE32-E72D297353CC}">
              <c16:uniqueId val="{00000009-9FCD-445C-8914-53E16599B468}"/>
            </c:ext>
          </c:extLst>
        </c:ser>
        <c:ser>
          <c:idx val="6"/>
          <c:order val="6"/>
          <c:tx>
            <c:strRef>
              <c:f>TABLES!$I$43</c:f>
              <c:strCache>
                <c:ptCount val="1"/>
                <c:pt idx="0">
                  <c:v>Not applicable</c:v>
                </c:pt>
              </c:strCache>
            </c:strRef>
          </c:tx>
          <c:spPr>
            <a:solidFill>
              <a:srgbClr val="00206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A-9FCD-445C-8914-53E16599B468}"/>
                </c:ext>
              </c:extLst>
            </c:dLbl>
            <c:dLbl>
              <c:idx val="1"/>
              <c:delete val="1"/>
              <c:extLst>
                <c:ext xmlns:c15="http://schemas.microsoft.com/office/drawing/2012/chart" uri="{CE6537A1-D6FC-4f65-9D91-7224C49458BB}"/>
                <c:ext xmlns:c16="http://schemas.microsoft.com/office/drawing/2014/chart" uri="{C3380CC4-5D6E-409C-BE32-E72D297353CC}">
                  <c16:uniqueId val="{0000000B-9FCD-445C-8914-53E16599B468}"/>
                </c:ext>
              </c:extLst>
            </c:dLbl>
            <c:dLbl>
              <c:idx val="4"/>
              <c:delete val="1"/>
              <c:extLst>
                <c:ext xmlns:c15="http://schemas.microsoft.com/office/drawing/2012/chart" uri="{CE6537A1-D6FC-4f65-9D91-7224C49458BB}"/>
                <c:ext xmlns:c16="http://schemas.microsoft.com/office/drawing/2014/chart" uri="{C3380CC4-5D6E-409C-BE32-E72D297353CC}">
                  <c16:uniqueId val="{0000000C-9FCD-445C-8914-53E16599B468}"/>
                </c:ext>
              </c:extLst>
            </c:dLbl>
            <c:spPr>
              <a:noFill/>
              <a:ln>
                <a:noFill/>
              </a:ln>
              <a:effectLst/>
            </c:spPr>
            <c:txPr>
              <a:bodyPr/>
              <a:lstStyle/>
              <a:p>
                <a:pPr>
                  <a:defRPr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TABLES!$B$44:$B$49</c:f>
              <c:strCache>
                <c:ptCount val="6"/>
                <c:pt idx="0">
                  <c:v>Usefulness of regulatory information</c:v>
                </c:pt>
                <c:pt idx="1">
                  <c:v>Usefulness of the information on the HES Framework (Threshold Standards) 2015</c:v>
                </c:pt>
                <c:pt idx="2">
                  <c:v>Usefulness of TEQSA-facilitated workshops and webinars to discuss regulatory requirements</c:v>
                </c:pt>
                <c:pt idx="3">
                  <c:v>Usefulness of information provided on National Register</c:v>
                </c:pt>
                <c:pt idx="4">
                  <c:v>Using a variety of media and channels to communicate sector-wide updates</c:v>
                </c:pt>
                <c:pt idx="5">
                  <c:v>Usefulness of the TEQSA conference</c:v>
                </c:pt>
              </c:strCache>
            </c:strRef>
          </c:cat>
          <c:val>
            <c:numRef>
              <c:f>TABLES!$I$44:$I$49</c:f>
              <c:numCache>
                <c:formatCode>0</c:formatCode>
                <c:ptCount val="6"/>
                <c:pt idx="0">
                  <c:v>0.69930069930069927</c:v>
                </c:pt>
                <c:pt idx="1">
                  <c:v>1.3986013986013985</c:v>
                </c:pt>
                <c:pt idx="2">
                  <c:v>3.4965034965034967</c:v>
                </c:pt>
                <c:pt idx="3">
                  <c:v>2.0979020979020979</c:v>
                </c:pt>
                <c:pt idx="4">
                  <c:v>1.3986013986013985</c:v>
                </c:pt>
                <c:pt idx="5">
                  <c:v>5.5944055944055942</c:v>
                </c:pt>
              </c:numCache>
            </c:numRef>
          </c:val>
          <c:extLst>
            <c:ext xmlns:c16="http://schemas.microsoft.com/office/drawing/2014/chart" uri="{C3380CC4-5D6E-409C-BE32-E72D297353CC}">
              <c16:uniqueId val="{0000000D-9FCD-445C-8914-53E16599B468}"/>
            </c:ext>
          </c:extLst>
        </c:ser>
        <c:dLbls>
          <c:dLblPos val="ctr"/>
          <c:showLegendKey val="0"/>
          <c:showVal val="1"/>
          <c:showCatName val="0"/>
          <c:showSerName val="0"/>
          <c:showPercent val="0"/>
          <c:showBubbleSize val="0"/>
        </c:dLbls>
        <c:gapWidth val="60"/>
        <c:overlap val="100"/>
        <c:axId val="1999404976"/>
        <c:axId val="1999412592"/>
      </c:barChart>
      <c:catAx>
        <c:axId val="19994049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en-US"/>
          </a:p>
        </c:txPr>
        <c:crossAx val="1999412592"/>
        <c:crosses val="autoZero"/>
        <c:auto val="1"/>
        <c:lblAlgn val="ctr"/>
        <c:lblOffset val="100"/>
        <c:noMultiLvlLbl val="0"/>
      </c:catAx>
      <c:valAx>
        <c:axId val="1999412592"/>
        <c:scaling>
          <c:orientation val="minMax"/>
          <c:max val="100"/>
        </c:scaling>
        <c:delete val="0"/>
        <c:axPos val="b"/>
        <c:majorGridlines>
          <c:spPr>
            <a:ln w="9525" cap="flat" cmpd="sng" algn="ctr">
              <a:solidFill>
                <a:sysClr val="window" lastClr="FFFFFF">
                  <a:lumMod val="75000"/>
                </a:sysClr>
              </a:solidFill>
              <a:round/>
            </a:ln>
            <a:effectLst/>
          </c:spPr>
        </c:majorGridlines>
        <c:numFmt formatCode="0" sourceLinked="1"/>
        <c:majorTickMark val="none"/>
        <c:minorTickMark val="none"/>
        <c:tickLblPos val="nextTo"/>
        <c:spPr>
          <a:noFill/>
          <a:ln>
            <a:noFill/>
          </a:ln>
          <a:effectLst/>
        </c:spPr>
        <c:txPr>
          <a:bodyPr rot="-60000000" vert="horz"/>
          <a:lstStyle/>
          <a:p>
            <a:pPr>
              <a:defRPr sz="900"/>
            </a:pPr>
            <a:endParaRPr lang="en-US"/>
          </a:p>
        </c:txPr>
        <c:crossAx val="1999404976"/>
        <c:crosses val="max"/>
        <c:crossBetween val="between"/>
      </c:valAx>
      <c:spPr>
        <a:noFill/>
        <a:ln>
          <a:noFill/>
        </a:ln>
        <a:effectLst/>
      </c:spPr>
    </c:plotArea>
    <c:legend>
      <c:legendPos val="b"/>
      <c:layout>
        <c:manualLayout>
          <c:xMode val="edge"/>
          <c:yMode val="edge"/>
          <c:x val="1.0574945023763927E-2"/>
          <c:y val="0.94712429764615291"/>
          <c:w val="0.96519135277009294"/>
          <c:h val="3.8119445344002544E-2"/>
        </c:manualLayout>
      </c:layout>
      <c:overlay val="0"/>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Nova" panose="020B050402020202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l">
              <a:defRPr/>
            </a:pPr>
            <a:r>
              <a:rPr lang="en-AU" sz="1100"/>
              <a:t>Consultation</a:t>
            </a:r>
          </a:p>
          <a:p>
            <a:pPr algn="l">
              <a:defRPr/>
            </a:pPr>
            <a:r>
              <a:rPr lang="en-AU" sz="900" b="0" i="1"/>
              <a:t>% of respondents choosing a rating point, n=143</a:t>
            </a:r>
          </a:p>
        </c:rich>
      </c:tx>
      <c:layout>
        <c:manualLayout>
          <c:xMode val="edge"/>
          <c:yMode val="edge"/>
          <c:x val="7.2376447824567224E-4"/>
          <c:y val="1.9300984984305086E-3"/>
        </c:manualLayout>
      </c:layout>
      <c:overlay val="0"/>
      <c:spPr>
        <a:noFill/>
        <a:ln>
          <a:noFill/>
        </a:ln>
        <a:effectLst/>
      </c:spPr>
    </c:title>
    <c:autoTitleDeleted val="0"/>
    <c:plotArea>
      <c:layout>
        <c:manualLayout>
          <c:layoutTarget val="inner"/>
          <c:xMode val="edge"/>
          <c:yMode val="edge"/>
          <c:x val="0.22940506839375455"/>
          <c:y val="0.14637322508599471"/>
          <c:w val="0.74623998280078474"/>
          <c:h val="0.71829445232389433"/>
        </c:manualLayout>
      </c:layout>
      <c:barChart>
        <c:barDir val="bar"/>
        <c:grouping val="stacked"/>
        <c:varyColors val="0"/>
        <c:ser>
          <c:idx val="0"/>
          <c:order val="0"/>
          <c:tx>
            <c:strRef>
              <c:f>TABLES!$C$52</c:f>
              <c:strCache>
                <c:ptCount val="1"/>
                <c:pt idx="0">
                  <c:v>Excellent</c:v>
                </c:pt>
              </c:strCache>
            </c:strRef>
          </c:tx>
          <c:spPr>
            <a:solidFill>
              <a:srgbClr val="008000"/>
            </a:solidFill>
            <a:ln>
              <a:noFill/>
            </a:ln>
            <a:effectLst/>
          </c:spPr>
          <c:invertIfNegative val="0"/>
          <c:dLbls>
            <c:spPr>
              <a:noFill/>
              <a:ln>
                <a:noFill/>
              </a:ln>
              <a:effectLst/>
            </c:spPr>
            <c:txPr>
              <a:bodyPr/>
              <a:lstStyle/>
              <a:p>
                <a:pPr>
                  <a:defRPr sz="1000"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TABLES!$B$53:$B$57</c:f>
              <c:strCache>
                <c:ptCount val="5"/>
                <c:pt idx="0">
                  <c:v>Providing organisation with opportunity to give feedback on annual risk assessment process</c:v>
                </c:pt>
                <c:pt idx="1">
                  <c:v>Listening to organisation’s views on better ways to protect student interests</c:v>
                </c:pt>
                <c:pt idx="2">
                  <c:v>Providing organisation with opportunity to give feedback on application processes</c:v>
                </c:pt>
                <c:pt idx="3">
                  <c:v>Listening to organisation’s views on improving quality assurance</c:v>
                </c:pt>
                <c:pt idx="4">
                  <c:v>Listening to organisation’s views on ways to reduce regulatory burden</c:v>
                </c:pt>
              </c:strCache>
            </c:strRef>
          </c:cat>
          <c:val>
            <c:numRef>
              <c:f>TABLES!$C$53:$C$57</c:f>
              <c:numCache>
                <c:formatCode>0</c:formatCode>
                <c:ptCount val="5"/>
                <c:pt idx="0">
                  <c:v>12.587412587412588</c:v>
                </c:pt>
                <c:pt idx="1">
                  <c:v>11.188811188811188</c:v>
                </c:pt>
                <c:pt idx="2">
                  <c:v>14.685314685314685</c:v>
                </c:pt>
                <c:pt idx="3">
                  <c:v>10.48951048951049</c:v>
                </c:pt>
                <c:pt idx="4">
                  <c:v>9.0909090909090917</c:v>
                </c:pt>
              </c:numCache>
            </c:numRef>
          </c:val>
          <c:extLst>
            <c:ext xmlns:c16="http://schemas.microsoft.com/office/drawing/2014/chart" uri="{C3380CC4-5D6E-409C-BE32-E72D297353CC}">
              <c16:uniqueId val="{00000000-9190-4AB8-886F-BCBA8B674D72}"/>
            </c:ext>
          </c:extLst>
        </c:ser>
        <c:ser>
          <c:idx val="1"/>
          <c:order val="1"/>
          <c:tx>
            <c:strRef>
              <c:f>TABLES!$D$52</c:f>
              <c:strCache>
                <c:ptCount val="1"/>
                <c:pt idx="0">
                  <c:v>Good</c:v>
                </c:pt>
              </c:strCache>
            </c:strRef>
          </c:tx>
          <c:spPr>
            <a:solidFill>
              <a:srgbClr val="92D050"/>
            </a:solidFill>
            <a:ln>
              <a:noFill/>
            </a:ln>
            <a:effectLst/>
          </c:spPr>
          <c:invertIfNegative val="0"/>
          <c:dLbls>
            <c:spPr>
              <a:noFill/>
              <a:ln>
                <a:noFill/>
              </a:ln>
              <a:effectLst/>
            </c:spPr>
            <c:txPr>
              <a:bodyPr/>
              <a:lstStyle/>
              <a:p>
                <a:pPr>
                  <a:defRPr sz="1000"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TABLES!$B$53:$B$57</c:f>
              <c:strCache>
                <c:ptCount val="5"/>
                <c:pt idx="0">
                  <c:v>Providing organisation with opportunity to give feedback on annual risk assessment process</c:v>
                </c:pt>
                <c:pt idx="1">
                  <c:v>Listening to organisation’s views on better ways to protect student interests</c:v>
                </c:pt>
                <c:pt idx="2">
                  <c:v>Providing organisation with opportunity to give feedback on application processes</c:v>
                </c:pt>
                <c:pt idx="3">
                  <c:v>Listening to organisation’s views on improving quality assurance</c:v>
                </c:pt>
                <c:pt idx="4">
                  <c:v>Listening to organisation’s views on ways to reduce regulatory burden</c:v>
                </c:pt>
              </c:strCache>
            </c:strRef>
          </c:cat>
          <c:val>
            <c:numRef>
              <c:f>TABLES!$D$53:$D$57</c:f>
              <c:numCache>
                <c:formatCode>0</c:formatCode>
                <c:ptCount val="5"/>
                <c:pt idx="0">
                  <c:v>44.755244755244753</c:v>
                </c:pt>
                <c:pt idx="1">
                  <c:v>29.37062937062937</c:v>
                </c:pt>
                <c:pt idx="2">
                  <c:v>32.867132867132867</c:v>
                </c:pt>
                <c:pt idx="3">
                  <c:v>30.069930069930066</c:v>
                </c:pt>
                <c:pt idx="4">
                  <c:v>25.174825174825177</c:v>
                </c:pt>
              </c:numCache>
            </c:numRef>
          </c:val>
          <c:extLst>
            <c:ext xmlns:c16="http://schemas.microsoft.com/office/drawing/2014/chart" uri="{C3380CC4-5D6E-409C-BE32-E72D297353CC}">
              <c16:uniqueId val="{00000001-9190-4AB8-886F-BCBA8B674D72}"/>
            </c:ext>
          </c:extLst>
        </c:ser>
        <c:ser>
          <c:idx val="2"/>
          <c:order val="2"/>
          <c:tx>
            <c:strRef>
              <c:f>TABLES!$E$52</c:f>
              <c:strCache>
                <c:ptCount val="1"/>
                <c:pt idx="0">
                  <c:v>Fair</c:v>
                </c:pt>
              </c:strCache>
            </c:strRef>
          </c:tx>
          <c:spPr>
            <a:solidFill>
              <a:srgbClr val="FFFF00"/>
            </a:solidFill>
            <a:ln>
              <a:noFill/>
            </a:ln>
            <a:effectLst/>
          </c:spPr>
          <c:invertIfNegative val="0"/>
          <c:dLbls>
            <c:spPr>
              <a:noFill/>
              <a:ln>
                <a:noFill/>
              </a:ln>
              <a:effectLst/>
            </c:spPr>
            <c:txPr>
              <a:bodyPr/>
              <a:lstStyle/>
              <a:p>
                <a:pPr>
                  <a:defRPr sz="1000"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TABLES!$B$53:$B$57</c:f>
              <c:strCache>
                <c:ptCount val="5"/>
                <c:pt idx="0">
                  <c:v>Providing organisation with opportunity to give feedback on annual risk assessment process</c:v>
                </c:pt>
                <c:pt idx="1">
                  <c:v>Listening to organisation’s views on better ways to protect student interests</c:v>
                </c:pt>
                <c:pt idx="2">
                  <c:v>Providing organisation with opportunity to give feedback on application processes</c:v>
                </c:pt>
                <c:pt idx="3">
                  <c:v>Listening to organisation’s views on improving quality assurance</c:v>
                </c:pt>
                <c:pt idx="4">
                  <c:v>Listening to organisation’s views on ways to reduce regulatory burden</c:v>
                </c:pt>
              </c:strCache>
            </c:strRef>
          </c:cat>
          <c:val>
            <c:numRef>
              <c:f>TABLES!$E$53:$E$57</c:f>
              <c:numCache>
                <c:formatCode>0</c:formatCode>
                <c:ptCount val="5"/>
                <c:pt idx="0">
                  <c:v>21.678321678321677</c:v>
                </c:pt>
                <c:pt idx="1">
                  <c:v>16.083916083916083</c:v>
                </c:pt>
                <c:pt idx="2">
                  <c:v>18.88111888111888</c:v>
                </c:pt>
                <c:pt idx="3">
                  <c:v>18.181818181818183</c:v>
                </c:pt>
                <c:pt idx="4">
                  <c:v>20.97902097902098</c:v>
                </c:pt>
              </c:numCache>
            </c:numRef>
          </c:val>
          <c:extLst>
            <c:ext xmlns:c16="http://schemas.microsoft.com/office/drawing/2014/chart" uri="{C3380CC4-5D6E-409C-BE32-E72D297353CC}">
              <c16:uniqueId val="{00000002-9190-4AB8-886F-BCBA8B674D72}"/>
            </c:ext>
          </c:extLst>
        </c:ser>
        <c:ser>
          <c:idx val="3"/>
          <c:order val="3"/>
          <c:tx>
            <c:strRef>
              <c:f>TABLES!$F$52</c:f>
              <c:strCache>
                <c:ptCount val="1"/>
                <c:pt idx="0">
                  <c:v>Poor</c:v>
                </c:pt>
              </c:strCache>
            </c:strRef>
          </c:tx>
          <c:spPr>
            <a:solidFill>
              <a:srgbClr val="FF9933"/>
            </a:solidFill>
            <a:ln>
              <a:noFill/>
            </a:ln>
            <a:effectLst/>
          </c:spPr>
          <c:invertIfNegative val="0"/>
          <c:dLbls>
            <c:dLbl>
              <c:idx val="0"/>
              <c:spPr>
                <a:noFill/>
                <a:ln>
                  <a:noFill/>
                </a:ln>
                <a:effectLst/>
              </c:spPr>
              <c:txPr>
                <a:bodyPr/>
                <a:lstStyle/>
                <a:p>
                  <a:pPr>
                    <a:defRPr sz="1050" b="1"/>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0-8ADC-4602-8529-2E5EC8FED523}"/>
                </c:ext>
              </c:extLst>
            </c:dLbl>
            <c:dLbl>
              <c:idx val="1"/>
              <c:delete val="1"/>
              <c:extLst>
                <c:ext xmlns:c15="http://schemas.microsoft.com/office/drawing/2012/chart" uri="{CE6537A1-D6FC-4f65-9D91-7224C49458BB}"/>
                <c:ext xmlns:c16="http://schemas.microsoft.com/office/drawing/2014/chart" uri="{C3380CC4-5D6E-409C-BE32-E72D297353CC}">
                  <c16:uniqueId val="{00000003-9190-4AB8-886F-BCBA8B674D72}"/>
                </c:ext>
              </c:extLst>
            </c:dLbl>
            <c:spPr>
              <a:noFill/>
              <a:ln>
                <a:noFill/>
              </a:ln>
              <a:effectLst/>
            </c:spPr>
            <c:txPr>
              <a:bodyPr/>
              <a:lstStyle/>
              <a:p>
                <a:pPr>
                  <a:defRPr sz="1000"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TABLES!$B$53:$B$57</c:f>
              <c:strCache>
                <c:ptCount val="5"/>
                <c:pt idx="0">
                  <c:v>Providing organisation with opportunity to give feedback on annual risk assessment process</c:v>
                </c:pt>
                <c:pt idx="1">
                  <c:v>Listening to organisation’s views on better ways to protect student interests</c:v>
                </c:pt>
                <c:pt idx="2">
                  <c:v>Providing organisation with opportunity to give feedback on application processes</c:v>
                </c:pt>
                <c:pt idx="3">
                  <c:v>Listening to organisation’s views on improving quality assurance</c:v>
                </c:pt>
                <c:pt idx="4">
                  <c:v>Listening to organisation’s views on ways to reduce regulatory burden</c:v>
                </c:pt>
              </c:strCache>
            </c:strRef>
          </c:cat>
          <c:val>
            <c:numRef>
              <c:f>TABLES!$F$53:$F$57</c:f>
              <c:numCache>
                <c:formatCode>0</c:formatCode>
                <c:ptCount val="5"/>
                <c:pt idx="0">
                  <c:v>3.4965034965034967</c:v>
                </c:pt>
                <c:pt idx="1">
                  <c:v>1.3986013986013985</c:v>
                </c:pt>
                <c:pt idx="2">
                  <c:v>6.2937062937062942</c:v>
                </c:pt>
                <c:pt idx="3">
                  <c:v>6.2937062937062942</c:v>
                </c:pt>
                <c:pt idx="4">
                  <c:v>8.3916083916083917</c:v>
                </c:pt>
              </c:numCache>
            </c:numRef>
          </c:val>
          <c:extLst>
            <c:ext xmlns:c16="http://schemas.microsoft.com/office/drawing/2014/chart" uri="{C3380CC4-5D6E-409C-BE32-E72D297353CC}">
              <c16:uniqueId val="{00000004-9190-4AB8-886F-BCBA8B674D72}"/>
            </c:ext>
          </c:extLst>
        </c:ser>
        <c:ser>
          <c:idx val="4"/>
          <c:order val="4"/>
          <c:tx>
            <c:strRef>
              <c:f>TABLES!$G$52</c:f>
              <c:strCache>
                <c:ptCount val="1"/>
                <c:pt idx="0">
                  <c:v>Very poor</c:v>
                </c:pt>
              </c:strCache>
            </c:strRef>
          </c:tx>
          <c:spPr>
            <a:solidFill>
              <a:srgbClr val="C00000"/>
            </a:solidFill>
            <a:ln>
              <a:noFill/>
            </a:ln>
            <a:effectLst/>
          </c:spPr>
          <c:invertIfNegative val="0"/>
          <c:dLbls>
            <c:spPr>
              <a:noFill/>
              <a:ln>
                <a:noFill/>
              </a:ln>
              <a:effectLst/>
            </c:spPr>
            <c:txPr>
              <a:bodyPr/>
              <a:lstStyle/>
              <a:p>
                <a:pPr>
                  <a:defRPr sz="1050"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TABLES!$B$53:$B$57</c:f>
              <c:strCache>
                <c:ptCount val="5"/>
                <c:pt idx="0">
                  <c:v>Providing organisation with opportunity to give feedback on annual risk assessment process</c:v>
                </c:pt>
                <c:pt idx="1">
                  <c:v>Listening to organisation’s views on better ways to protect student interests</c:v>
                </c:pt>
                <c:pt idx="2">
                  <c:v>Providing organisation with opportunity to give feedback on application processes</c:v>
                </c:pt>
                <c:pt idx="3">
                  <c:v>Listening to organisation’s views on improving quality assurance</c:v>
                </c:pt>
                <c:pt idx="4">
                  <c:v>Listening to organisation’s views on ways to reduce regulatory burden</c:v>
                </c:pt>
              </c:strCache>
            </c:strRef>
          </c:cat>
          <c:val>
            <c:numRef>
              <c:f>TABLES!$G$53:$G$57</c:f>
              <c:numCache>
                <c:formatCode>0</c:formatCode>
                <c:ptCount val="5"/>
                <c:pt idx="0">
                  <c:v>5.5944055944055942</c:v>
                </c:pt>
                <c:pt idx="1">
                  <c:v>6.2937062937062942</c:v>
                </c:pt>
                <c:pt idx="2">
                  <c:v>4.895104895104895</c:v>
                </c:pt>
                <c:pt idx="3">
                  <c:v>6.9930069930069934</c:v>
                </c:pt>
                <c:pt idx="4">
                  <c:v>8.3916083916083917</c:v>
                </c:pt>
              </c:numCache>
            </c:numRef>
          </c:val>
          <c:extLst>
            <c:ext xmlns:c16="http://schemas.microsoft.com/office/drawing/2014/chart" uri="{C3380CC4-5D6E-409C-BE32-E72D297353CC}">
              <c16:uniqueId val="{00000005-9190-4AB8-886F-BCBA8B674D72}"/>
            </c:ext>
          </c:extLst>
        </c:ser>
        <c:ser>
          <c:idx val="5"/>
          <c:order val="5"/>
          <c:tx>
            <c:strRef>
              <c:f>TABLES!$H$52</c:f>
              <c:strCache>
                <c:ptCount val="1"/>
                <c:pt idx="0">
                  <c:v>Don't know / No answer</c:v>
                </c:pt>
              </c:strCache>
            </c:strRef>
          </c:tx>
          <c:spPr>
            <a:solidFill>
              <a:srgbClr val="A6A6A6"/>
            </a:solidFill>
            <a:ln>
              <a:noFill/>
            </a:ln>
            <a:effectLst/>
          </c:spPr>
          <c:invertIfNegative val="0"/>
          <c:dLbls>
            <c:spPr>
              <a:noFill/>
              <a:ln>
                <a:noFill/>
              </a:ln>
              <a:effectLst/>
            </c:spPr>
            <c:txPr>
              <a:bodyPr/>
              <a:lstStyle/>
              <a:p>
                <a:pPr>
                  <a:defRPr sz="1050"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TABLES!$B$53:$B$57</c:f>
              <c:strCache>
                <c:ptCount val="5"/>
                <c:pt idx="0">
                  <c:v>Providing organisation with opportunity to give feedback on annual risk assessment process</c:v>
                </c:pt>
                <c:pt idx="1">
                  <c:v>Listening to organisation’s views on better ways to protect student interests</c:v>
                </c:pt>
                <c:pt idx="2">
                  <c:v>Providing organisation with opportunity to give feedback on application processes</c:v>
                </c:pt>
                <c:pt idx="3">
                  <c:v>Listening to organisation’s views on improving quality assurance</c:v>
                </c:pt>
                <c:pt idx="4">
                  <c:v>Listening to organisation’s views on ways to reduce regulatory burden</c:v>
                </c:pt>
              </c:strCache>
            </c:strRef>
          </c:cat>
          <c:val>
            <c:numRef>
              <c:f>TABLES!$H$53:$H$57</c:f>
              <c:numCache>
                <c:formatCode>0</c:formatCode>
                <c:ptCount val="5"/>
                <c:pt idx="0">
                  <c:v>5.594405594405595</c:v>
                </c:pt>
                <c:pt idx="1">
                  <c:v>9.79020979020979</c:v>
                </c:pt>
                <c:pt idx="2">
                  <c:v>4.1958041958041958</c:v>
                </c:pt>
                <c:pt idx="3">
                  <c:v>7.6923076923076916</c:v>
                </c:pt>
                <c:pt idx="4">
                  <c:v>9.79020979020979</c:v>
                </c:pt>
              </c:numCache>
            </c:numRef>
          </c:val>
          <c:extLst>
            <c:ext xmlns:c16="http://schemas.microsoft.com/office/drawing/2014/chart" uri="{C3380CC4-5D6E-409C-BE32-E72D297353CC}">
              <c16:uniqueId val="{00000006-9190-4AB8-886F-BCBA8B674D72}"/>
            </c:ext>
          </c:extLst>
        </c:ser>
        <c:ser>
          <c:idx val="6"/>
          <c:order val="6"/>
          <c:tx>
            <c:strRef>
              <c:f>TABLES!$I$52</c:f>
              <c:strCache>
                <c:ptCount val="1"/>
                <c:pt idx="0">
                  <c:v>Not applicable</c:v>
                </c:pt>
              </c:strCache>
            </c:strRef>
          </c:tx>
          <c:spPr>
            <a:solidFill>
              <a:srgbClr val="002060"/>
            </a:solidFill>
            <a:ln>
              <a:noFill/>
            </a:ln>
            <a:effectLst/>
          </c:spPr>
          <c:invertIfNegative val="0"/>
          <c:dLbls>
            <c:spPr>
              <a:noFill/>
              <a:ln>
                <a:noFill/>
              </a:ln>
              <a:effectLst/>
            </c:spPr>
            <c:txPr>
              <a:bodyPr/>
              <a:lstStyle/>
              <a:p>
                <a:pPr>
                  <a:defRPr sz="1050"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TABLES!$B$53:$B$57</c:f>
              <c:strCache>
                <c:ptCount val="5"/>
                <c:pt idx="0">
                  <c:v>Providing organisation with opportunity to give feedback on annual risk assessment process</c:v>
                </c:pt>
                <c:pt idx="1">
                  <c:v>Listening to organisation’s views on better ways to protect student interests</c:v>
                </c:pt>
                <c:pt idx="2">
                  <c:v>Providing organisation with opportunity to give feedback on application processes</c:v>
                </c:pt>
                <c:pt idx="3">
                  <c:v>Listening to organisation’s views on improving quality assurance</c:v>
                </c:pt>
                <c:pt idx="4">
                  <c:v>Listening to organisation’s views on ways to reduce regulatory burden</c:v>
                </c:pt>
              </c:strCache>
            </c:strRef>
          </c:cat>
          <c:val>
            <c:numRef>
              <c:f>TABLES!$I$53:$I$57</c:f>
              <c:numCache>
                <c:formatCode>0</c:formatCode>
                <c:ptCount val="5"/>
                <c:pt idx="0">
                  <c:v>6.2937062937062942</c:v>
                </c:pt>
                <c:pt idx="1">
                  <c:v>25.874125874125873</c:v>
                </c:pt>
                <c:pt idx="2">
                  <c:v>18.181818181818183</c:v>
                </c:pt>
                <c:pt idx="3">
                  <c:v>20.27972027972028</c:v>
                </c:pt>
                <c:pt idx="4">
                  <c:v>18.181818181818183</c:v>
                </c:pt>
              </c:numCache>
            </c:numRef>
          </c:val>
          <c:extLst>
            <c:ext xmlns:c16="http://schemas.microsoft.com/office/drawing/2014/chart" uri="{C3380CC4-5D6E-409C-BE32-E72D297353CC}">
              <c16:uniqueId val="{00000007-9190-4AB8-886F-BCBA8B674D72}"/>
            </c:ext>
          </c:extLst>
        </c:ser>
        <c:dLbls>
          <c:dLblPos val="ctr"/>
          <c:showLegendKey val="0"/>
          <c:showVal val="1"/>
          <c:showCatName val="0"/>
          <c:showSerName val="0"/>
          <c:showPercent val="0"/>
          <c:showBubbleSize val="0"/>
        </c:dLbls>
        <c:gapWidth val="80"/>
        <c:overlap val="100"/>
        <c:axId val="1999404976"/>
        <c:axId val="1999412592"/>
      </c:barChart>
      <c:catAx>
        <c:axId val="19994049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en-US"/>
          </a:p>
        </c:txPr>
        <c:crossAx val="1999412592"/>
        <c:crosses val="autoZero"/>
        <c:auto val="1"/>
        <c:lblAlgn val="ctr"/>
        <c:lblOffset val="100"/>
        <c:noMultiLvlLbl val="0"/>
      </c:catAx>
      <c:valAx>
        <c:axId val="1999412592"/>
        <c:scaling>
          <c:orientation val="minMax"/>
          <c:max val="100"/>
        </c:scaling>
        <c:delete val="0"/>
        <c:axPos val="b"/>
        <c:majorGridlines>
          <c:spPr>
            <a:ln w="9525" cap="flat" cmpd="sng" algn="ctr">
              <a:solidFill>
                <a:sysClr val="window" lastClr="FFFFFF">
                  <a:lumMod val="75000"/>
                </a:sysClr>
              </a:solidFill>
              <a:round/>
            </a:ln>
            <a:effectLst/>
          </c:spPr>
        </c:majorGridlines>
        <c:numFmt formatCode="0" sourceLinked="1"/>
        <c:majorTickMark val="none"/>
        <c:minorTickMark val="none"/>
        <c:tickLblPos val="nextTo"/>
        <c:spPr>
          <a:noFill/>
          <a:ln>
            <a:noFill/>
          </a:ln>
          <a:effectLst/>
        </c:spPr>
        <c:txPr>
          <a:bodyPr rot="-60000000" vert="horz"/>
          <a:lstStyle/>
          <a:p>
            <a:pPr>
              <a:defRPr sz="900"/>
            </a:pPr>
            <a:endParaRPr lang="en-US"/>
          </a:p>
        </c:txPr>
        <c:crossAx val="1999404976"/>
        <c:crosses val="max"/>
        <c:crossBetween val="between"/>
        <c:majorUnit val="20"/>
      </c:valAx>
      <c:spPr>
        <a:noFill/>
        <a:ln>
          <a:noFill/>
        </a:ln>
        <a:effectLst/>
      </c:spPr>
    </c:plotArea>
    <c:legend>
      <c:legendPos val="b"/>
      <c:layout>
        <c:manualLayout>
          <c:xMode val="edge"/>
          <c:yMode val="edge"/>
          <c:x val="8.2363718958207141E-2"/>
          <c:y val="0.94712439592082731"/>
          <c:w val="0.85338178881485971"/>
          <c:h val="3.8119445344002544E-2"/>
        </c:manualLayout>
      </c:layout>
      <c:overlay val="0"/>
      <c:txPr>
        <a:bodyPr/>
        <a:lstStyle/>
        <a:p>
          <a:pPr>
            <a:defRPr sz="900"/>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Nova" panose="020B050402020202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l">
              <a:defRPr/>
            </a:pPr>
            <a:r>
              <a:rPr lang="en-AU" sz="1100"/>
              <a:t>Regulatory approach</a:t>
            </a:r>
          </a:p>
          <a:p>
            <a:pPr algn="l">
              <a:defRPr/>
            </a:pPr>
            <a:r>
              <a:rPr lang="en-AU" sz="900" b="0" i="1"/>
              <a:t>% of respondents choosing a rating point, n=143</a:t>
            </a:r>
          </a:p>
        </c:rich>
      </c:tx>
      <c:layout>
        <c:manualLayout>
          <c:xMode val="edge"/>
          <c:yMode val="edge"/>
          <c:x val="7.2376447824567224E-4"/>
          <c:y val="1.9300984984305086E-3"/>
        </c:manualLayout>
      </c:layout>
      <c:overlay val="0"/>
      <c:spPr>
        <a:noFill/>
        <a:ln>
          <a:noFill/>
        </a:ln>
        <a:effectLst/>
      </c:spPr>
    </c:title>
    <c:autoTitleDeleted val="0"/>
    <c:plotArea>
      <c:layout>
        <c:manualLayout>
          <c:layoutTarget val="inner"/>
          <c:xMode val="edge"/>
          <c:yMode val="edge"/>
          <c:x val="0.22940506839375455"/>
          <c:y val="0.14583109464258145"/>
          <c:w val="0.74623998280078474"/>
          <c:h val="0.6913858267716535"/>
        </c:manualLayout>
      </c:layout>
      <c:barChart>
        <c:barDir val="bar"/>
        <c:grouping val="stacked"/>
        <c:varyColors val="0"/>
        <c:ser>
          <c:idx val="0"/>
          <c:order val="0"/>
          <c:tx>
            <c:strRef>
              <c:f>TABLES!$C$60</c:f>
              <c:strCache>
                <c:ptCount val="1"/>
                <c:pt idx="0">
                  <c:v>Excellent</c:v>
                </c:pt>
              </c:strCache>
            </c:strRef>
          </c:tx>
          <c:spPr>
            <a:solidFill>
              <a:srgbClr val="008000"/>
            </a:solidFill>
            <a:ln>
              <a:noFill/>
            </a:ln>
            <a:effectLst/>
          </c:spPr>
          <c:invertIfNegative val="0"/>
          <c:dLbls>
            <c:spPr>
              <a:noFill/>
              <a:ln>
                <a:noFill/>
              </a:ln>
              <a:effectLst/>
            </c:spPr>
            <c:txPr>
              <a:bodyPr/>
              <a:lstStyle/>
              <a:p>
                <a:pPr>
                  <a:defRPr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TABLES!$B$61:$B$66</c:f>
              <c:strCache>
                <c:ptCount val="6"/>
                <c:pt idx="0">
                  <c:v>Helping the sector as a whole to protect students</c:v>
                </c:pt>
                <c:pt idx="1">
                  <c:v>Helping the sector as a whole to manage risks</c:v>
                </c:pt>
                <c:pt idx="2">
                  <c:v>Helping the sector as a whole to deliver quality higher education</c:v>
                </c:pt>
                <c:pt idx="3">
                  <c:v>Helping organisation deliver quality higher education</c:v>
                </c:pt>
                <c:pt idx="4">
                  <c:v>Strengthening organisation’s capacity to protect students</c:v>
                </c:pt>
                <c:pt idx="5">
                  <c:v>Strengthening organisation’s capacity to manage risks</c:v>
                </c:pt>
              </c:strCache>
            </c:strRef>
          </c:cat>
          <c:val>
            <c:numRef>
              <c:f>TABLES!$C$61:$C$66</c:f>
              <c:numCache>
                <c:formatCode>0</c:formatCode>
                <c:ptCount val="6"/>
                <c:pt idx="0">
                  <c:v>27.972027972027973</c:v>
                </c:pt>
                <c:pt idx="1">
                  <c:v>19.58041958041958</c:v>
                </c:pt>
                <c:pt idx="2">
                  <c:v>23.776223776223777</c:v>
                </c:pt>
                <c:pt idx="3">
                  <c:v>18.181818181818183</c:v>
                </c:pt>
                <c:pt idx="4">
                  <c:v>20.27972027972028</c:v>
                </c:pt>
                <c:pt idx="5">
                  <c:v>16.783216783216783</c:v>
                </c:pt>
              </c:numCache>
            </c:numRef>
          </c:val>
          <c:extLst>
            <c:ext xmlns:c16="http://schemas.microsoft.com/office/drawing/2014/chart" uri="{C3380CC4-5D6E-409C-BE32-E72D297353CC}">
              <c16:uniqueId val="{00000000-F3AE-48F0-A2B9-1D7BCE85F5E5}"/>
            </c:ext>
          </c:extLst>
        </c:ser>
        <c:ser>
          <c:idx val="1"/>
          <c:order val="1"/>
          <c:tx>
            <c:strRef>
              <c:f>TABLES!$D$60</c:f>
              <c:strCache>
                <c:ptCount val="1"/>
                <c:pt idx="0">
                  <c:v>Good</c:v>
                </c:pt>
              </c:strCache>
            </c:strRef>
          </c:tx>
          <c:spPr>
            <a:solidFill>
              <a:srgbClr val="92D050"/>
            </a:solidFill>
            <a:ln>
              <a:noFill/>
            </a:ln>
            <a:effectLst/>
          </c:spPr>
          <c:invertIfNegative val="0"/>
          <c:dLbls>
            <c:spPr>
              <a:noFill/>
              <a:ln>
                <a:noFill/>
              </a:ln>
              <a:effectLst/>
            </c:spPr>
            <c:txPr>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TABLES!$B$61:$B$66</c:f>
              <c:strCache>
                <c:ptCount val="6"/>
                <c:pt idx="0">
                  <c:v>Helping the sector as a whole to protect students</c:v>
                </c:pt>
                <c:pt idx="1">
                  <c:v>Helping the sector as a whole to manage risks</c:v>
                </c:pt>
                <c:pt idx="2">
                  <c:v>Helping the sector as a whole to deliver quality higher education</c:v>
                </c:pt>
                <c:pt idx="3">
                  <c:v>Helping organisation deliver quality higher education</c:v>
                </c:pt>
                <c:pt idx="4">
                  <c:v>Strengthening organisation’s capacity to protect students</c:v>
                </c:pt>
                <c:pt idx="5">
                  <c:v>Strengthening organisation’s capacity to manage risks</c:v>
                </c:pt>
              </c:strCache>
            </c:strRef>
          </c:cat>
          <c:val>
            <c:numRef>
              <c:f>TABLES!$D$61:$D$66</c:f>
              <c:numCache>
                <c:formatCode>0</c:formatCode>
                <c:ptCount val="6"/>
                <c:pt idx="0">
                  <c:v>44.05594405594406</c:v>
                </c:pt>
                <c:pt idx="1">
                  <c:v>46.853146853146853</c:v>
                </c:pt>
                <c:pt idx="2">
                  <c:v>44.05594405594406</c:v>
                </c:pt>
                <c:pt idx="3">
                  <c:v>46.853146853146853</c:v>
                </c:pt>
                <c:pt idx="4">
                  <c:v>42.657342657342653</c:v>
                </c:pt>
                <c:pt idx="5">
                  <c:v>40.55944055944056</c:v>
                </c:pt>
              </c:numCache>
            </c:numRef>
          </c:val>
          <c:extLst>
            <c:ext xmlns:c16="http://schemas.microsoft.com/office/drawing/2014/chart" uri="{C3380CC4-5D6E-409C-BE32-E72D297353CC}">
              <c16:uniqueId val="{00000001-F3AE-48F0-A2B9-1D7BCE85F5E5}"/>
            </c:ext>
          </c:extLst>
        </c:ser>
        <c:ser>
          <c:idx val="2"/>
          <c:order val="2"/>
          <c:tx>
            <c:strRef>
              <c:f>TABLES!$E$60</c:f>
              <c:strCache>
                <c:ptCount val="1"/>
                <c:pt idx="0">
                  <c:v>Fair</c:v>
                </c:pt>
              </c:strCache>
            </c:strRef>
          </c:tx>
          <c:spPr>
            <a:solidFill>
              <a:srgbClr val="FFFF00"/>
            </a:solidFill>
            <a:ln>
              <a:noFill/>
            </a:ln>
            <a:effectLst/>
          </c:spPr>
          <c:invertIfNegative val="0"/>
          <c:dLbls>
            <c:spPr>
              <a:noFill/>
              <a:ln>
                <a:noFill/>
              </a:ln>
              <a:effectLst/>
            </c:spPr>
            <c:txPr>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TABLES!$B$61:$B$66</c:f>
              <c:strCache>
                <c:ptCount val="6"/>
                <c:pt idx="0">
                  <c:v>Helping the sector as a whole to protect students</c:v>
                </c:pt>
                <c:pt idx="1">
                  <c:v>Helping the sector as a whole to manage risks</c:v>
                </c:pt>
                <c:pt idx="2">
                  <c:v>Helping the sector as a whole to deliver quality higher education</c:v>
                </c:pt>
                <c:pt idx="3">
                  <c:v>Helping organisation deliver quality higher education</c:v>
                </c:pt>
                <c:pt idx="4">
                  <c:v>Strengthening organisation’s capacity to protect students</c:v>
                </c:pt>
                <c:pt idx="5">
                  <c:v>Strengthening organisation’s capacity to manage risks</c:v>
                </c:pt>
              </c:strCache>
            </c:strRef>
          </c:cat>
          <c:val>
            <c:numRef>
              <c:f>TABLES!$E$61:$E$66</c:f>
              <c:numCache>
                <c:formatCode>0</c:formatCode>
                <c:ptCount val="6"/>
                <c:pt idx="0">
                  <c:v>16.083916083916083</c:v>
                </c:pt>
                <c:pt idx="1">
                  <c:v>18.88111888111888</c:v>
                </c:pt>
                <c:pt idx="2">
                  <c:v>20.97902097902098</c:v>
                </c:pt>
                <c:pt idx="3">
                  <c:v>16.783216783216783</c:v>
                </c:pt>
                <c:pt idx="4">
                  <c:v>23.776223776223777</c:v>
                </c:pt>
                <c:pt idx="5">
                  <c:v>20.97902097902098</c:v>
                </c:pt>
              </c:numCache>
            </c:numRef>
          </c:val>
          <c:extLst>
            <c:ext xmlns:c16="http://schemas.microsoft.com/office/drawing/2014/chart" uri="{C3380CC4-5D6E-409C-BE32-E72D297353CC}">
              <c16:uniqueId val="{00000002-F3AE-48F0-A2B9-1D7BCE85F5E5}"/>
            </c:ext>
          </c:extLst>
        </c:ser>
        <c:ser>
          <c:idx val="3"/>
          <c:order val="3"/>
          <c:tx>
            <c:strRef>
              <c:f>TABLES!$F$60</c:f>
              <c:strCache>
                <c:ptCount val="1"/>
                <c:pt idx="0">
                  <c:v>Poor</c:v>
                </c:pt>
              </c:strCache>
            </c:strRef>
          </c:tx>
          <c:spPr>
            <a:solidFill>
              <a:srgbClr val="FF9933"/>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F3AE-48F0-A2B9-1D7BCE85F5E5}"/>
                </c:ext>
              </c:extLst>
            </c:dLbl>
            <c:spPr>
              <a:noFill/>
              <a:ln>
                <a:noFill/>
              </a:ln>
              <a:effectLst/>
            </c:spPr>
            <c:txPr>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TABLES!$B$61:$B$66</c:f>
              <c:strCache>
                <c:ptCount val="6"/>
                <c:pt idx="0">
                  <c:v>Helping the sector as a whole to protect students</c:v>
                </c:pt>
                <c:pt idx="1">
                  <c:v>Helping the sector as a whole to manage risks</c:v>
                </c:pt>
                <c:pt idx="2">
                  <c:v>Helping the sector as a whole to deliver quality higher education</c:v>
                </c:pt>
                <c:pt idx="3">
                  <c:v>Helping organisation deliver quality higher education</c:v>
                </c:pt>
                <c:pt idx="4">
                  <c:v>Strengthening organisation’s capacity to protect students</c:v>
                </c:pt>
                <c:pt idx="5">
                  <c:v>Strengthening organisation’s capacity to manage risks</c:v>
                </c:pt>
              </c:strCache>
            </c:strRef>
          </c:cat>
          <c:val>
            <c:numRef>
              <c:f>TABLES!$F$61:$F$66</c:f>
              <c:numCache>
                <c:formatCode>0</c:formatCode>
                <c:ptCount val="6"/>
                <c:pt idx="0">
                  <c:v>2.0979020979020979</c:v>
                </c:pt>
                <c:pt idx="1">
                  <c:v>1.3986013986013985</c:v>
                </c:pt>
                <c:pt idx="2">
                  <c:v>2.0979020979020979</c:v>
                </c:pt>
                <c:pt idx="3">
                  <c:v>4.895104895104895</c:v>
                </c:pt>
                <c:pt idx="4">
                  <c:v>2.7972027972027971</c:v>
                </c:pt>
                <c:pt idx="5">
                  <c:v>4.895104895104895</c:v>
                </c:pt>
              </c:numCache>
            </c:numRef>
          </c:val>
          <c:extLst>
            <c:ext xmlns:c16="http://schemas.microsoft.com/office/drawing/2014/chart" uri="{C3380CC4-5D6E-409C-BE32-E72D297353CC}">
              <c16:uniqueId val="{00000004-F3AE-48F0-A2B9-1D7BCE85F5E5}"/>
            </c:ext>
          </c:extLst>
        </c:ser>
        <c:ser>
          <c:idx val="4"/>
          <c:order val="4"/>
          <c:tx>
            <c:strRef>
              <c:f>TABLES!$G$60</c:f>
              <c:strCache>
                <c:ptCount val="1"/>
                <c:pt idx="0">
                  <c:v>Very poor</c:v>
                </c:pt>
              </c:strCache>
            </c:strRef>
          </c:tx>
          <c:spPr>
            <a:solidFill>
              <a:srgbClr val="C00000"/>
            </a:solidFill>
            <a:ln>
              <a:noFill/>
            </a:ln>
            <a:effectLst/>
          </c:spPr>
          <c:invertIfNegative val="0"/>
          <c:dLbls>
            <c:spPr>
              <a:noFill/>
              <a:ln>
                <a:noFill/>
              </a:ln>
              <a:effectLst/>
            </c:spPr>
            <c:txPr>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TABLES!$B$61:$B$66</c:f>
              <c:strCache>
                <c:ptCount val="6"/>
                <c:pt idx="0">
                  <c:v>Helping the sector as a whole to protect students</c:v>
                </c:pt>
                <c:pt idx="1">
                  <c:v>Helping the sector as a whole to manage risks</c:v>
                </c:pt>
                <c:pt idx="2">
                  <c:v>Helping the sector as a whole to deliver quality higher education</c:v>
                </c:pt>
                <c:pt idx="3">
                  <c:v>Helping organisation deliver quality higher education</c:v>
                </c:pt>
                <c:pt idx="4">
                  <c:v>Strengthening organisation’s capacity to protect students</c:v>
                </c:pt>
                <c:pt idx="5">
                  <c:v>Strengthening organisation’s capacity to manage risks</c:v>
                </c:pt>
              </c:strCache>
            </c:strRef>
          </c:cat>
          <c:val>
            <c:numRef>
              <c:f>TABLES!$G$61:$G$66</c:f>
              <c:numCache>
                <c:formatCode>0</c:formatCode>
                <c:ptCount val="6"/>
                <c:pt idx="0">
                  <c:v>3.4965034965034967</c:v>
                </c:pt>
                <c:pt idx="1">
                  <c:v>4.1958041958041958</c:v>
                </c:pt>
                <c:pt idx="2">
                  <c:v>4.1958041958041958</c:v>
                </c:pt>
                <c:pt idx="3">
                  <c:v>4.895104895104895</c:v>
                </c:pt>
                <c:pt idx="4">
                  <c:v>4.1958041958041958</c:v>
                </c:pt>
                <c:pt idx="5">
                  <c:v>5.5944055944055942</c:v>
                </c:pt>
              </c:numCache>
            </c:numRef>
          </c:val>
          <c:extLst>
            <c:ext xmlns:c16="http://schemas.microsoft.com/office/drawing/2014/chart" uri="{C3380CC4-5D6E-409C-BE32-E72D297353CC}">
              <c16:uniqueId val="{00000005-F3AE-48F0-A2B9-1D7BCE85F5E5}"/>
            </c:ext>
          </c:extLst>
        </c:ser>
        <c:ser>
          <c:idx val="5"/>
          <c:order val="5"/>
          <c:tx>
            <c:strRef>
              <c:f>TABLES!$H$60</c:f>
              <c:strCache>
                <c:ptCount val="1"/>
                <c:pt idx="0">
                  <c:v>Don't know / No answer</c:v>
                </c:pt>
              </c:strCache>
            </c:strRef>
          </c:tx>
          <c:spPr>
            <a:solidFill>
              <a:srgbClr val="A6A6A6"/>
            </a:solidFill>
            <a:ln>
              <a:noFill/>
            </a:ln>
            <a:effectLst/>
          </c:spPr>
          <c:invertIfNegative val="0"/>
          <c:dLbls>
            <c:dLbl>
              <c:idx val="0"/>
              <c:spPr>
                <a:noFill/>
                <a:ln>
                  <a:noFill/>
                </a:ln>
                <a:effectLst/>
              </c:spPr>
              <c:txPr>
                <a:bodyPr/>
                <a:lstStyle/>
                <a:p>
                  <a:pPr>
                    <a:defRPr b="0"/>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0-3127-4019-80AF-364C1B8A8306}"/>
                </c:ext>
              </c:extLst>
            </c:dLbl>
            <c:dLbl>
              <c:idx val="3"/>
              <c:delete val="1"/>
              <c:extLst>
                <c:ext xmlns:c15="http://schemas.microsoft.com/office/drawing/2012/chart" uri="{CE6537A1-D6FC-4f65-9D91-7224C49458BB}"/>
                <c:ext xmlns:c16="http://schemas.microsoft.com/office/drawing/2014/chart" uri="{C3380CC4-5D6E-409C-BE32-E72D297353CC}">
                  <c16:uniqueId val="{00000003-3127-4019-80AF-364C1B8A8306}"/>
                </c:ext>
              </c:extLst>
            </c:dLbl>
            <c:spPr>
              <a:noFill/>
              <a:ln>
                <a:noFill/>
              </a:ln>
              <a:effectLst/>
            </c:spPr>
            <c:txPr>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TABLES!$B$61:$B$66</c:f>
              <c:strCache>
                <c:ptCount val="6"/>
                <c:pt idx="0">
                  <c:v>Helping the sector as a whole to protect students</c:v>
                </c:pt>
                <c:pt idx="1">
                  <c:v>Helping the sector as a whole to manage risks</c:v>
                </c:pt>
                <c:pt idx="2">
                  <c:v>Helping the sector as a whole to deliver quality higher education</c:v>
                </c:pt>
                <c:pt idx="3">
                  <c:v>Helping organisation deliver quality higher education</c:v>
                </c:pt>
                <c:pt idx="4">
                  <c:v>Strengthening organisation’s capacity to protect students</c:v>
                </c:pt>
                <c:pt idx="5">
                  <c:v>Strengthening organisation’s capacity to manage risks</c:v>
                </c:pt>
              </c:strCache>
            </c:strRef>
          </c:cat>
          <c:val>
            <c:numRef>
              <c:f>TABLES!$H$61:$H$66</c:f>
              <c:numCache>
                <c:formatCode>0</c:formatCode>
                <c:ptCount val="6"/>
                <c:pt idx="0">
                  <c:v>5.594405594405595</c:v>
                </c:pt>
                <c:pt idx="1">
                  <c:v>8.3916083916083917</c:v>
                </c:pt>
                <c:pt idx="2">
                  <c:v>4.1958041958041958</c:v>
                </c:pt>
                <c:pt idx="3">
                  <c:v>1.3986013986013985</c:v>
                </c:pt>
                <c:pt idx="4">
                  <c:v>2.0979020979020979</c:v>
                </c:pt>
                <c:pt idx="5">
                  <c:v>4.895104895104895</c:v>
                </c:pt>
              </c:numCache>
            </c:numRef>
          </c:val>
          <c:extLst>
            <c:ext xmlns:c16="http://schemas.microsoft.com/office/drawing/2014/chart" uri="{C3380CC4-5D6E-409C-BE32-E72D297353CC}">
              <c16:uniqueId val="{00000006-F3AE-48F0-A2B9-1D7BCE85F5E5}"/>
            </c:ext>
          </c:extLst>
        </c:ser>
        <c:ser>
          <c:idx val="6"/>
          <c:order val="6"/>
          <c:tx>
            <c:strRef>
              <c:f>TABLES!$I$60</c:f>
              <c:strCache>
                <c:ptCount val="1"/>
                <c:pt idx="0">
                  <c:v>Not applicable</c:v>
                </c:pt>
              </c:strCache>
            </c:strRef>
          </c:tx>
          <c:spPr>
            <a:solidFill>
              <a:srgbClr val="00206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3127-4019-80AF-364C1B8A8306}"/>
                </c:ext>
              </c:extLst>
            </c:dLbl>
            <c:dLbl>
              <c:idx val="1"/>
              <c:delete val="1"/>
              <c:extLst>
                <c:ext xmlns:c15="http://schemas.microsoft.com/office/drawing/2012/chart" uri="{CE6537A1-D6FC-4f65-9D91-7224C49458BB}"/>
                <c:ext xmlns:c16="http://schemas.microsoft.com/office/drawing/2014/chart" uri="{C3380CC4-5D6E-409C-BE32-E72D297353CC}">
                  <c16:uniqueId val="{00000007-F3AE-48F0-A2B9-1D7BCE85F5E5}"/>
                </c:ext>
              </c:extLst>
            </c:dLbl>
            <c:dLbl>
              <c:idx val="2"/>
              <c:delete val="1"/>
              <c:extLst>
                <c:ext xmlns:c15="http://schemas.microsoft.com/office/drawing/2012/chart" uri="{CE6537A1-D6FC-4f65-9D91-7224C49458BB}"/>
                <c:ext xmlns:c16="http://schemas.microsoft.com/office/drawing/2014/chart" uri="{C3380CC4-5D6E-409C-BE32-E72D297353CC}">
                  <c16:uniqueId val="{00000001-3127-4019-80AF-364C1B8A8306}"/>
                </c:ext>
              </c:extLst>
            </c:dLbl>
            <c:spPr>
              <a:noFill/>
              <a:ln>
                <a:noFill/>
              </a:ln>
              <a:effectLst/>
            </c:spPr>
            <c:txPr>
              <a:bodyPr/>
              <a:lstStyle/>
              <a:p>
                <a:pPr>
                  <a:defRPr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TABLES!$B$61:$B$66</c:f>
              <c:strCache>
                <c:ptCount val="6"/>
                <c:pt idx="0">
                  <c:v>Helping the sector as a whole to protect students</c:v>
                </c:pt>
                <c:pt idx="1">
                  <c:v>Helping the sector as a whole to manage risks</c:v>
                </c:pt>
                <c:pt idx="2">
                  <c:v>Helping the sector as a whole to deliver quality higher education</c:v>
                </c:pt>
                <c:pt idx="3">
                  <c:v>Helping organisation deliver quality higher education</c:v>
                </c:pt>
                <c:pt idx="4">
                  <c:v>Strengthening organisation’s capacity to protect students</c:v>
                </c:pt>
                <c:pt idx="5">
                  <c:v>Strengthening organisation’s capacity to manage risks</c:v>
                </c:pt>
              </c:strCache>
            </c:strRef>
          </c:cat>
          <c:val>
            <c:numRef>
              <c:f>TABLES!$I$61:$I$66</c:f>
              <c:numCache>
                <c:formatCode>0</c:formatCode>
                <c:ptCount val="6"/>
                <c:pt idx="0">
                  <c:v>0.69930069930069927</c:v>
                </c:pt>
                <c:pt idx="1">
                  <c:v>0.69930069930069927</c:v>
                </c:pt>
                <c:pt idx="2">
                  <c:v>0.69930069930069927</c:v>
                </c:pt>
                <c:pt idx="3">
                  <c:v>6.9930069930069934</c:v>
                </c:pt>
                <c:pt idx="4">
                  <c:v>4.1958041958041958</c:v>
                </c:pt>
                <c:pt idx="5">
                  <c:v>6.2937062937062942</c:v>
                </c:pt>
              </c:numCache>
            </c:numRef>
          </c:val>
          <c:extLst>
            <c:ext xmlns:c16="http://schemas.microsoft.com/office/drawing/2014/chart" uri="{C3380CC4-5D6E-409C-BE32-E72D297353CC}">
              <c16:uniqueId val="{00000008-F3AE-48F0-A2B9-1D7BCE85F5E5}"/>
            </c:ext>
          </c:extLst>
        </c:ser>
        <c:dLbls>
          <c:dLblPos val="ctr"/>
          <c:showLegendKey val="0"/>
          <c:showVal val="1"/>
          <c:showCatName val="0"/>
          <c:showSerName val="0"/>
          <c:showPercent val="0"/>
          <c:showBubbleSize val="0"/>
        </c:dLbls>
        <c:gapWidth val="80"/>
        <c:overlap val="100"/>
        <c:axId val="1999404976"/>
        <c:axId val="1999412592"/>
      </c:barChart>
      <c:catAx>
        <c:axId val="19994049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en-US"/>
          </a:p>
        </c:txPr>
        <c:crossAx val="1999412592"/>
        <c:crosses val="autoZero"/>
        <c:auto val="1"/>
        <c:lblAlgn val="ctr"/>
        <c:lblOffset val="100"/>
        <c:noMultiLvlLbl val="0"/>
      </c:catAx>
      <c:valAx>
        <c:axId val="1999412592"/>
        <c:scaling>
          <c:orientation val="minMax"/>
          <c:max val="100"/>
        </c:scaling>
        <c:delete val="0"/>
        <c:axPos val="b"/>
        <c:majorGridlines>
          <c:spPr>
            <a:ln w="9525" cap="flat" cmpd="sng" algn="ctr">
              <a:solidFill>
                <a:sysClr val="window" lastClr="FFFFFF">
                  <a:lumMod val="75000"/>
                </a:sysClr>
              </a:solidFill>
              <a:round/>
            </a:ln>
            <a:effectLst/>
          </c:spPr>
        </c:majorGridlines>
        <c:numFmt formatCode="0" sourceLinked="1"/>
        <c:majorTickMark val="none"/>
        <c:minorTickMark val="none"/>
        <c:tickLblPos val="nextTo"/>
        <c:spPr>
          <a:noFill/>
          <a:ln>
            <a:noFill/>
          </a:ln>
          <a:effectLst/>
        </c:spPr>
        <c:txPr>
          <a:bodyPr rot="-60000000" vert="horz"/>
          <a:lstStyle/>
          <a:p>
            <a:pPr>
              <a:defRPr sz="900"/>
            </a:pPr>
            <a:endParaRPr lang="en-US"/>
          </a:p>
        </c:txPr>
        <c:crossAx val="1999404976"/>
        <c:crosses val="max"/>
        <c:crossBetween val="between"/>
        <c:majorUnit val="20"/>
      </c:valAx>
      <c:spPr>
        <a:noFill/>
        <a:ln>
          <a:noFill/>
        </a:ln>
        <a:effectLst/>
      </c:spPr>
    </c:plotArea>
    <c:legend>
      <c:legendPos val="b"/>
      <c:layout>
        <c:manualLayout>
          <c:xMode val="edge"/>
          <c:yMode val="edge"/>
          <c:x val="2.4671411265899449E-2"/>
          <c:y val="0.947124237998476"/>
          <c:w val="0.95808264351571437"/>
          <c:h val="3.8119445344002544E-2"/>
        </c:manualLayout>
      </c:layout>
      <c:overlay val="0"/>
      <c:txPr>
        <a:bodyPr/>
        <a:lstStyle/>
        <a:p>
          <a:pPr>
            <a:defRPr sz="900"/>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Nova" panose="020B050402020202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l">
              <a:defRPr/>
            </a:pPr>
            <a:r>
              <a:rPr lang="en-AU" sz="1100"/>
              <a:t>Regulatory activities</a:t>
            </a:r>
          </a:p>
          <a:p>
            <a:pPr algn="l">
              <a:defRPr/>
            </a:pPr>
            <a:r>
              <a:rPr lang="en-AU" sz="900" b="0" i="1"/>
              <a:t>% of respondents choosing a rating point, n=143</a:t>
            </a:r>
          </a:p>
        </c:rich>
      </c:tx>
      <c:layout>
        <c:manualLayout>
          <c:xMode val="edge"/>
          <c:yMode val="edge"/>
          <c:x val="7.2376447824567224E-4"/>
          <c:y val="1.9300984984305086E-3"/>
        </c:manualLayout>
      </c:layout>
      <c:overlay val="0"/>
      <c:spPr>
        <a:noFill/>
        <a:ln>
          <a:noFill/>
        </a:ln>
        <a:effectLst/>
      </c:spPr>
    </c:title>
    <c:autoTitleDeleted val="0"/>
    <c:plotArea>
      <c:layout>
        <c:manualLayout>
          <c:layoutTarget val="inner"/>
          <c:xMode val="edge"/>
          <c:yMode val="edge"/>
          <c:x val="0.22940506839375455"/>
          <c:y val="0.16838362357989919"/>
          <c:w val="0.74623998280078474"/>
          <c:h val="0.61842519685039365"/>
        </c:manualLayout>
      </c:layout>
      <c:barChart>
        <c:barDir val="bar"/>
        <c:grouping val="stacked"/>
        <c:varyColors val="0"/>
        <c:ser>
          <c:idx val="0"/>
          <c:order val="0"/>
          <c:tx>
            <c:strRef>
              <c:f>TABLES!$C$69</c:f>
              <c:strCache>
                <c:ptCount val="1"/>
                <c:pt idx="0">
                  <c:v>Excellent</c:v>
                </c:pt>
              </c:strCache>
            </c:strRef>
          </c:tx>
          <c:spPr>
            <a:solidFill>
              <a:srgbClr val="008000"/>
            </a:solidFill>
            <a:ln>
              <a:noFill/>
            </a:ln>
            <a:effectLst/>
          </c:spPr>
          <c:invertIfNegative val="0"/>
          <c:dLbls>
            <c:spPr>
              <a:noFill/>
              <a:ln>
                <a:noFill/>
              </a:ln>
              <a:effectLst/>
            </c:spPr>
            <c:txPr>
              <a:bodyPr/>
              <a:lstStyle/>
              <a:p>
                <a:pPr>
                  <a:defRPr sz="1000"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TABLES!$B$70:$B$73</c:f>
              <c:strCache>
                <c:ptCount val="4"/>
                <c:pt idx="0">
                  <c:v>Treating with politeness and respect</c:v>
                </c:pt>
                <c:pt idx="1">
                  <c:v>Being fair and reasonable</c:v>
                </c:pt>
                <c:pt idx="2">
                  <c:v>Being encouraging without setting up unrealistic expectations</c:v>
                </c:pt>
                <c:pt idx="3">
                  <c:v>Having accountable regulatory process where decisions are justified openly</c:v>
                </c:pt>
              </c:strCache>
            </c:strRef>
          </c:cat>
          <c:val>
            <c:numRef>
              <c:f>TABLES!$C$70:$C$73</c:f>
              <c:numCache>
                <c:formatCode>0</c:formatCode>
                <c:ptCount val="4"/>
                <c:pt idx="0">
                  <c:v>52.447552447552447</c:v>
                </c:pt>
                <c:pt idx="1">
                  <c:v>34.965034965034967</c:v>
                </c:pt>
                <c:pt idx="2">
                  <c:v>27.27272727272727</c:v>
                </c:pt>
                <c:pt idx="3">
                  <c:v>23.076923076923077</c:v>
                </c:pt>
              </c:numCache>
            </c:numRef>
          </c:val>
          <c:extLst>
            <c:ext xmlns:c16="http://schemas.microsoft.com/office/drawing/2014/chart" uri="{C3380CC4-5D6E-409C-BE32-E72D297353CC}">
              <c16:uniqueId val="{00000000-EA92-4A64-BA42-90900125C77E}"/>
            </c:ext>
          </c:extLst>
        </c:ser>
        <c:ser>
          <c:idx val="1"/>
          <c:order val="1"/>
          <c:tx>
            <c:strRef>
              <c:f>TABLES!$D$69</c:f>
              <c:strCache>
                <c:ptCount val="1"/>
                <c:pt idx="0">
                  <c:v>Good</c:v>
                </c:pt>
              </c:strCache>
            </c:strRef>
          </c:tx>
          <c:spPr>
            <a:solidFill>
              <a:srgbClr val="92D050"/>
            </a:solidFill>
            <a:ln>
              <a:noFill/>
            </a:ln>
            <a:effectLst/>
          </c:spPr>
          <c:invertIfNegative val="0"/>
          <c:dLbls>
            <c:spPr>
              <a:noFill/>
              <a:ln>
                <a:noFill/>
              </a:ln>
              <a:effectLst/>
            </c:spPr>
            <c:txPr>
              <a:bodyPr/>
              <a:lstStyle/>
              <a:p>
                <a:pPr>
                  <a:defRPr sz="1000"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TABLES!$B$70:$B$73</c:f>
              <c:strCache>
                <c:ptCount val="4"/>
                <c:pt idx="0">
                  <c:v>Treating with politeness and respect</c:v>
                </c:pt>
                <c:pt idx="1">
                  <c:v>Being fair and reasonable</c:v>
                </c:pt>
                <c:pt idx="2">
                  <c:v>Being encouraging without setting up unrealistic expectations</c:v>
                </c:pt>
                <c:pt idx="3">
                  <c:v>Having accountable regulatory process where decisions are justified openly</c:v>
                </c:pt>
              </c:strCache>
            </c:strRef>
          </c:cat>
          <c:val>
            <c:numRef>
              <c:f>TABLES!$D$70:$D$73</c:f>
              <c:numCache>
                <c:formatCode>0</c:formatCode>
                <c:ptCount val="4"/>
                <c:pt idx="0">
                  <c:v>31.46853146853147</c:v>
                </c:pt>
                <c:pt idx="1">
                  <c:v>35.664335664335667</c:v>
                </c:pt>
                <c:pt idx="2">
                  <c:v>29.37062937062937</c:v>
                </c:pt>
                <c:pt idx="3">
                  <c:v>27.27272727272727</c:v>
                </c:pt>
              </c:numCache>
            </c:numRef>
          </c:val>
          <c:extLst>
            <c:ext xmlns:c16="http://schemas.microsoft.com/office/drawing/2014/chart" uri="{C3380CC4-5D6E-409C-BE32-E72D297353CC}">
              <c16:uniqueId val="{00000001-EA92-4A64-BA42-90900125C77E}"/>
            </c:ext>
          </c:extLst>
        </c:ser>
        <c:ser>
          <c:idx val="2"/>
          <c:order val="2"/>
          <c:tx>
            <c:strRef>
              <c:f>TABLES!$E$69</c:f>
              <c:strCache>
                <c:ptCount val="1"/>
                <c:pt idx="0">
                  <c:v>Fair</c:v>
                </c:pt>
              </c:strCache>
            </c:strRef>
          </c:tx>
          <c:spPr>
            <a:solidFill>
              <a:srgbClr val="FFFF00"/>
            </a:solidFill>
            <a:ln>
              <a:noFill/>
            </a:ln>
            <a:effectLst/>
          </c:spPr>
          <c:invertIfNegative val="0"/>
          <c:dLbls>
            <c:spPr>
              <a:noFill/>
              <a:ln>
                <a:noFill/>
              </a:ln>
              <a:effectLst/>
            </c:spPr>
            <c:txPr>
              <a:bodyPr/>
              <a:lstStyle/>
              <a:p>
                <a:pPr>
                  <a:defRPr sz="1000"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TABLES!$B$70:$B$73</c:f>
              <c:strCache>
                <c:ptCount val="4"/>
                <c:pt idx="0">
                  <c:v>Treating with politeness and respect</c:v>
                </c:pt>
                <c:pt idx="1">
                  <c:v>Being fair and reasonable</c:v>
                </c:pt>
                <c:pt idx="2">
                  <c:v>Being encouraging without setting up unrealistic expectations</c:v>
                </c:pt>
                <c:pt idx="3">
                  <c:v>Having accountable regulatory process where decisions are justified openly</c:v>
                </c:pt>
              </c:strCache>
            </c:strRef>
          </c:cat>
          <c:val>
            <c:numRef>
              <c:f>TABLES!$E$70:$E$73</c:f>
              <c:numCache>
                <c:formatCode>0</c:formatCode>
                <c:ptCount val="4"/>
                <c:pt idx="0">
                  <c:v>9.79020979020979</c:v>
                </c:pt>
                <c:pt idx="1">
                  <c:v>18.181818181818183</c:v>
                </c:pt>
                <c:pt idx="2">
                  <c:v>24.475524475524477</c:v>
                </c:pt>
                <c:pt idx="3">
                  <c:v>27.27272727272727</c:v>
                </c:pt>
              </c:numCache>
            </c:numRef>
          </c:val>
          <c:extLst>
            <c:ext xmlns:c16="http://schemas.microsoft.com/office/drawing/2014/chart" uri="{C3380CC4-5D6E-409C-BE32-E72D297353CC}">
              <c16:uniqueId val="{00000002-EA92-4A64-BA42-90900125C77E}"/>
            </c:ext>
          </c:extLst>
        </c:ser>
        <c:ser>
          <c:idx val="3"/>
          <c:order val="3"/>
          <c:tx>
            <c:strRef>
              <c:f>TABLES!$F$69</c:f>
              <c:strCache>
                <c:ptCount val="1"/>
                <c:pt idx="0">
                  <c:v>Poor</c:v>
                </c:pt>
              </c:strCache>
            </c:strRef>
          </c:tx>
          <c:spPr>
            <a:solidFill>
              <a:srgbClr val="FF9933"/>
            </a:solidFill>
            <a:ln>
              <a:noFill/>
            </a:ln>
            <a:effectLst/>
          </c:spPr>
          <c:invertIfNegative val="0"/>
          <c:dLbls>
            <c:spPr>
              <a:noFill/>
              <a:ln>
                <a:noFill/>
              </a:ln>
              <a:effectLst/>
            </c:spPr>
            <c:txPr>
              <a:bodyPr/>
              <a:lstStyle/>
              <a:p>
                <a:pPr>
                  <a:defRPr sz="1000"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TABLES!$B$70:$B$73</c:f>
              <c:strCache>
                <c:ptCount val="4"/>
                <c:pt idx="0">
                  <c:v>Treating with politeness and respect</c:v>
                </c:pt>
                <c:pt idx="1">
                  <c:v>Being fair and reasonable</c:v>
                </c:pt>
                <c:pt idx="2">
                  <c:v>Being encouraging without setting up unrealistic expectations</c:v>
                </c:pt>
                <c:pt idx="3">
                  <c:v>Having accountable regulatory process where decisions are justified openly</c:v>
                </c:pt>
              </c:strCache>
            </c:strRef>
          </c:cat>
          <c:val>
            <c:numRef>
              <c:f>TABLES!$F$70:$F$73</c:f>
              <c:numCache>
                <c:formatCode>0</c:formatCode>
                <c:ptCount val="4"/>
                <c:pt idx="0">
                  <c:v>2.0979020979020979</c:v>
                </c:pt>
                <c:pt idx="1">
                  <c:v>3.4965034965034967</c:v>
                </c:pt>
                <c:pt idx="2">
                  <c:v>4.895104895104895</c:v>
                </c:pt>
                <c:pt idx="3">
                  <c:v>4.895104895104895</c:v>
                </c:pt>
              </c:numCache>
            </c:numRef>
          </c:val>
          <c:extLst>
            <c:ext xmlns:c16="http://schemas.microsoft.com/office/drawing/2014/chart" uri="{C3380CC4-5D6E-409C-BE32-E72D297353CC}">
              <c16:uniqueId val="{00000003-EA92-4A64-BA42-90900125C77E}"/>
            </c:ext>
          </c:extLst>
        </c:ser>
        <c:ser>
          <c:idx val="4"/>
          <c:order val="4"/>
          <c:tx>
            <c:strRef>
              <c:f>TABLES!$G$69</c:f>
              <c:strCache>
                <c:ptCount val="1"/>
                <c:pt idx="0">
                  <c:v>Very poor</c:v>
                </c:pt>
              </c:strCache>
            </c:strRef>
          </c:tx>
          <c:spPr>
            <a:solidFill>
              <a:srgbClr val="C0000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EA92-4A64-BA42-90900125C77E}"/>
                </c:ext>
              </c:extLst>
            </c:dLbl>
            <c:spPr>
              <a:noFill/>
              <a:ln>
                <a:noFill/>
              </a:ln>
              <a:effectLst/>
            </c:spPr>
            <c:txPr>
              <a:bodyPr/>
              <a:lstStyle/>
              <a:p>
                <a:pPr>
                  <a:defRPr sz="1000"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TABLES!$B$70:$B$73</c:f>
              <c:strCache>
                <c:ptCount val="4"/>
                <c:pt idx="0">
                  <c:v>Treating with politeness and respect</c:v>
                </c:pt>
                <c:pt idx="1">
                  <c:v>Being fair and reasonable</c:v>
                </c:pt>
                <c:pt idx="2">
                  <c:v>Being encouraging without setting up unrealistic expectations</c:v>
                </c:pt>
                <c:pt idx="3">
                  <c:v>Having accountable regulatory process where decisions are justified openly</c:v>
                </c:pt>
              </c:strCache>
            </c:strRef>
          </c:cat>
          <c:val>
            <c:numRef>
              <c:f>TABLES!$G$70:$G$73</c:f>
              <c:numCache>
                <c:formatCode>0</c:formatCode>
                <c:ptCount val="4"/>
                <c:pt idx="0">
                  <c:v>1.3986013986013985</c:v>
                </c:pt>
                <c:pt idx="1">
                  <c:v>3.4965034965034967</c:v>
                </c:pt>
                <c:pt idx="2">
                  <c:v>5.5944055944055942</c:v>
                </c:pt>
                <c:pt idx="3">
                  <c:v>6.2937062937062942</c:v>
                </c:pt>
              </c:numCache>
            </c:numRef>
          </c:val>
          <c:extLst>
            <c:ext xmlns:c16="http://schemas.microsoft.com/office/drawing/2014/chart" uri="{C3380CC4-5D6E-409C-BE32-E72D297353CC}">
              <c16:uniqueId val="{00000005-EA92-4A64-BA42-90900125C77E}"/>
            </c:ext>
          </c:extLst>
        </c:ser>
        <c:ser>
          <c:idx val="5"/>
          <c:order val="5"/>
          <c:tx>
            <c:strRef>
              <c:f>TABLES!$H$69</c:f>
              <c:strCache>
                <c:ptCount val="1"/>
                <c:pt idx="0">
                  <c:v>Don't know / No answer</c:v>
                </c:pt>
              </c:strCache>
            </c:strRef>
          </c:tx>
          <c:spPr>
            <a:solidFill>
              <a:srgbClr val="A6A6A6"/>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EA92-4A64-BA42-90900125C77E}"/>
                </c:ext>
              </c:extLst>
            </c:dLbl>
            <c:spPr>
              <a:noFill/>
              <a:ln>
                <a:noFill/>
              </a:ln>
              <a:effectLst/>
            </c:spPr>
            <c:txPr>
              <a:bodyPr/>
              <a:lstStyle/>
              <a:p>
                <a:pPr>
                  <a:defRPr sz="1000"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TABLES!$B$70:$B$73</c:f>
              <c:strCache>
                <c:ptCount val="4"/>
                <c:pt idx="0">
                  <c:v>Treating with politeness and respect</c:v>
                </c:pt>
                <c:pt idx="1">
                  <c:v>Being fair and reasonable</c:v>
                </c:pt>
                <c:pt idx="2">
                  <c:v>Being encouraging without setting up unrealistic expectations</c:v>
                </c:pt>
                <c:pt idx="3">
                  <c:v>Having accountable regulatory process where decisions are justified openly</c:v>
                </c:pt>
              </c:strCache>
            </c:strRef>
          </c:cat>
          <c:val>
            <c:numRef>
              <c:f>TABLES!$H$70:$H$73</c:f>
              <c:numCache>
                <c:formatCode>0</c:formatCode>
                <c:ptCount val="4"/>
                <c:pt idx="0">
                  <c:v>1.3986013986013985</c:v>
                </c:pt>
                <c:pt idx="1">
                  <c:v>2.7972027972027971</c:v>
                </c:pt>
                <c:pt idx="2">
                  <c:v>4.895104895104895</c:v>
                </c:pt>
                <c:pt idx="3">
                  <c:v>4.1958041958041958</c:v>
                </c:pt>
              </c:numCache>
            </c:numRef>
          </c:val>
          <c:extLst>
            <c:ext xmlns:c16="http://schemas.microsoft.com/office/drawing/2014/chart" uri="{C3380CC4-5D6E-409C-BE32-E72D297353CC}">
              <c16:uniqueId val="{00000007-EA92-4A64-BA42-90900125C77E}"/>
            </c:ext>
          </c:extLst>
        </c:ser>
        <c:ser>
          <c:idx val="6"/>
          <c:order val="6"/>
          <c:tx>
            <c:strRef>
              <c:f>TABLES!$I$69</c:f>
              <c:strCache>
                <c:ptCount val="1"/>
                <c:pt idx="0">
                  <c:v>Not applicable</c:v>
                </c:pt>
              </c:strCache>
            </c:strRef>
          </c:tx>
          <c:spPr>
            <a:solidFill>
              <a:srgbClr val="00206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EA92-4A64-BA42-90900125C77E}"/>
                </c:ext>
              </c:extLst>
            </c:dLbl>
            <c:dLbl>
              <c:idx val="1"/>
              <c:delete val="1"/>
              <c:extLst>
                <c:ext xmlns:c15="http://schemas.microsoft.com/office/drawing/2012/chart" uri="{CE6537A1-D6FC-4f65-9D91-7224C49458BB}"/>
                <c:ext xmlns:c16="http://schemas.microsoft.com/office/drawing/2014/chart" uri="{C3380CC4-5D6E-409C-BE32-E72D297353CC}">
                  <c16:uniqueId val="{00000009-EA92-4A64-BA42-90900125C77E}"/>
                </c:ext>
              </c:extLst>
            </c:dLbl>
            <c:spPr>
              <a:noFill/>
              <a:ln>
                <a:noFill/>
              </a:ln>
              <a:effectLst/>
            </c:spPr>
            <c:txPr>
              <a:bodyPr/>
              <a:lstStyle/>
              <a:p>
                <a:pPr>
                  <a:defRPr sz="1000"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TABLES!$B$70:$B$73</c:f>
              <c:strCache>
                <c:ptCount val="4"/>
                <c:pt idx="0">
                  <c:v>Treating with politeness and respect</c:v>
                </c:pt>
                <c:pt idx="1">
                  <c:v>Being fair and reasonable</c:v>
                </c:pt>
                <c:pt idx="2">
                  <c:v>Being encouraging without setting up unrealistic expectations</c:v>
                </c:pt>
                <c:pt idx="3">
                  <c:v>Having accountable regulatory process where decisions are justified openly</c:v>
                </c:pt>
              </c:strCache>
            </c:strRef>
          </c:cat>
          <c:val>
            <c:numRef>
              <c:f>TABLES!$I$70:$I$73</c:f>
              <c:numCache>
                <c:formatCode>0</c:formatCode>
                <c:ptCount val="4"/>
                <c:pt idx="0">
                  <c:v>1.3986013986013985</c:v>
                </c:pt>
                <c:pt idx="1">
                  <c:v>1.3986013986013985</c:v>
                </c:pt>
                <c:pt idx="2">
                  <c:v>3.4965034965034967</c:v>
                </c:pt>
                <c:pt idx="3">
                  <c:v>6.9930069930069934</c:v>
                </c:pt>
              </c:numCache>
            </c:numRef>
          </c:val>
          <c:extLst>
            <c:ext xmlns:c16="http://schemas.microsoft.com/office/drawing/2014/chart" uri="{C3380CC4-5D6E-409C-BE32-E72D297353CC}">
              <c16:uniqueId val="{0000000A-EA92-4A64-BA42-90900125C77E}"/>
            </c:ext>
          </c:extLst>
        </c:ser>
        <c:dLbls>
          <c:dLblPos val="ctr"/>
          <c:showLegendKey val="0"/>
          <c:showVal val="1"/>
          <c:showCatName val="0"/>
          <c:showSerName val="0"/>
          <c:showPercent val="0"/>
          <c:showBubbleSize val="0"/>
        </c:dLbls>
        <c:gapWidth val="80"/>
        <c:overlap val="100"/>
        <c:axId val="1999404976"/>
        <c:axId val="1999412592"/>
      </c:barChart>
      <c:catAx>
        <c:axId val="19994049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999412592"/>
        <c:crosses val="autoZero"/>
        <c:auto val="1"/>
        <c:lblAlgn val="ctr"/>
        <c:lblOffset val="100"/>
        <c:noMultiLvlLbl val="0"/>
      </c:catAx>
      <c:valAx>
        <c:axId val="1999412592"/>
        <c:scaling>
          <c:orientation val="minMax"/>
          <c:max val="100"/>
        </c:scaling>
        <c:delete val="0"/>
        <c:axPos val="b"/>
        <c:majorGridlines>
          <c:spPr>
            <a:ln w="9525" cap="flat" cmpd="sng" algn="ctr">
              <a:solidFill>
                <a:sysClr val="window" lastClr="FFFFFF">
                  <a:lumMod val="75000"/>
                </a:sys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1999404976"/>
        <c:crosses val="max"/>
        <c:crossBetween val="between"/>
        <c:majorUnit val="20"/>
      </c:valAx>
      <c:spPr>
        <a:noFill/>
        <a:ln>
          <a:noFill/>
        </a:ln>
        <a:effectLst/>
      </c:spPr>
    </c:plotArea>
    <c:legend>
      <c:legendPos val="b"/>
      <c:layout>
        <c:manualLayout>
          <c:xMode val="edge"/>
          <c:yMode val="edge"/>
          <c:x val="5.0312436906925086E-2"/>
          <c:y val="0.89359618368871752"/>
          <c:w val="0.91962110505417594"/>
          <c:h val="7.2182692491905662E-2"/>
        </c:manualLayout>
      </c:layout>
      <c:overlay val="0"/>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Nova" panose="020B0504020202020204"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l" rtl="0">
              <a:defRPr/>
            </a:pPr>
            <a:r>
              <a:rPr lang="en-AU" sz="1100"/>
              <a:t>Regulatory decisions</a:t>
            </a:r>
          </a:p>
          <a:p>
            <a:pPr algn="l" rtl="0">
              <a:defRPr/>
            </a:pPr>
            <a:r>
              <a:rPr lang="en-AU" sz="900" b="0" i="1"/>
              <a:t>% of respondents choosing a rating point, n=56</a:t>
            </a:r>
          </a:p>
        </c:rich>
      </c:tx>
      <c:layout>
        <c:manualLayout>
          <c:xMode val="edge"/>
          <c:yMode val="edge"/>
          <c:x val="7.2375438736262511E-4"/>
          <c:y val="1.9299632155645975E-3"/>
        </c:manualLayout>
      </c:layout>
      <c:overlay val="0"/>
      <c:spPr>
        <a:noFill/>
        <a:ln>
          <a:noFill/>
        </a:ln>
        <a:effectLst/>
      </c:spPr>
    </c:title>
    <c:autoTitleDeleted val="0"/>
    <c:plotArea>
      <c:layout>
        <c:manualLayout>
          <c:layoutTarget val="inner"/>
          <c:xMode val="edge"/>
          <c:yMode val="edge"/>
          <c:x val="0.22940506839375455"/>
          <c:y val="0.19294792611890058"/>
          <c:w val="0.74623998280078474"/>
          <c:h val="0.57258710690903425"/>
        </c:manualLayout>
      </c:layout>
      <c:barChart>
        <c:barDir val="bar"/>
        <c:grouping val="stacked"/>
        <c:varyColors val="0"/>
        <c:ser>
          <c:idx val="0"/>
          <c:order val="0"/>
          <c:tx>
            <c:strRef>
              <c:f>TABLES!$C$116</c:f>
              <c:strCache>
                <c:ptCount val="1"/>
                <c:pt idx="0">
                  <c:v>Excellent</c:v>
                </c:pt>
              </c:strCache>
            </c:strRef>
          </c:tx>
          <c:spPr>
            <a:solidFill>
              <a:srgbClr val="008000"/>
            </a:solidFill>
            <a:ln>
              <a:noFill/>
            </a:ln>
            <a:effectLst/>
          </c:spPr>
          <c:invertIfNegative val="0"/>
          <c:dLbls>
            <c:spPr>
              <a:noFill/>
              <a:ln>
                <a:noFill/>
              </a:ln>
              <a:effectLst/>
            </c:spPr>
            <c:txPr>
              <a:bodyPr/>
              <a:lstStyle/>
              <a:p>
                <a:pPr>
                  <a:defRPr sz="1000"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TABLES!$B$117:$B$119</c:f>
              <c:strCache>
                <c:ptCount val="3"/>
                <c:pt idx="0">
                  <c:v>Providing opportunities to address matters relevant to regulatory decision, prior to final decision</c:v>
                </c:pt>
                <c:pt idx="1">
                  <c:v>Explaining clearly and constructively why a decision was made</c:v>
                </c:pt>
                <c:pt idx="2">
                  <c:v>Consistent and clear about goal posts for successful decision outcomes</c:v>
                </c:pt>
              </c:strCache>
            </c:strRef>
          </c:cat>
          <c:val>
            <c:numRef>
              <c:f>TABLES!$C$117:$C$119</c:f>
              <c:numCache>
                <c:formatCode>0</c:formatCode>
                <c:ptCount val="3"/>
                <c:pt idx="0">
                  <c:v>33.928571428571431</c:v>
                </c:pt>
                <c:pt idx="1">
                  <c:v>17.857142857142858</c:v>
                </c:pt>
                <c:pt idx="2">
                  <c:v>14.285714285714285</c:v>
                </c:pt>
              </c:numCache>
            </c:numRef>
          </c:val>
          <c:extLst>
            <c:ext xmlns:c16="http://schemas.microsoft.com/office/drawing/2014/chart" uri="{C3380CC4-5D6E-409C-BE32-E72D297353CC}">
              <c16:uniqueId val="{00000000-626F-4FB8-9406-60F705BE5F48}"/>
            </c:ext>
          </c:extLst>
        </c:ser>
        <c:ser>
          <c:idx val="1"/>
          <c:order val="1"/>
          <c:tx>
            <c:strRef>
              <c:f>TABLES!$D$116</c:f>
              <c:strCache>
                <c:ptCount val="1"/>
                <c:pt idx="0">
                  <c:v>Good</c:v>
                </c:pt>
              </c:strCache>
            </c:strRef>
          </c:tx>
          <c:spPr>
            <a:solidFill>
              <a:srgbClr val="92D050"/>
            </a:solidFill>
            <a:ln>
              <a:noFill/>
            </a:ln>
            <a:effectLst/>
          </c:spPr>
          <c:invertIfNegative val="0"/>
          <c:dLbls>
            <c:spPr>
              <a:noFill/>
              <a:ln>
                <a:noFill/>
              </a:ln>
              <a:effectLst/>
            </c:spPr>
            <c:txPr>
              <a:bodyPr/>
              <a:lstStyle/>
              <a:p>
                <a:pPr>
                  <a:defRPr sz="1000"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TABLES!$B$117:$B$119</c:f>
              <c:strCache>
                <c:ptCount val="3"/>
                <c:pt idx="0">
                  <c:v>Providing opportunities to address matters relevant to regulatory decision, prior to final decision</c:v>
                </c:pt>
                <c:pt idx="1">
                  <c:v>Explaining clearly and constructively why a decision was made</c:v>
                </c:pt>
                <c:pt idx="2">
                  <c:v>Consistent and clear about goal posts for successful decision outcomes</c:v>
                </c:pt>
              </c:strCache>
            </c:strRef>
          </c:cat>
          <c:val>
            <c:numRef>
              <c:f>TABLES!$D$117:$D$119</c:f>
              <c:numCache>
                <c:formatCode>0</c:formatCode>
                <c:ptCount val="3"/>
                <c:pt idx="0">
                  <c:v>32.142857142857146</c:v>
                </c:pt>
                <c:pt idx="1">
                  <c:v>39.285714285714285</c:v>
                </c:pt>
                <c:pt idx="2">
                  <c:v>39.285714285714285</c:v>
                </c:pt>
              </c:numCache>
            </c:numRef>
          </c:val>
          <c:extLst>
            <c:ext xmlns:c16="http://schemas.microsoft.com/office/drawing/2014/chart" uri="{C3380CC4-5D6E-409C-BE32-E72D297353CC}">
              <c16:uniqueId val="{00000001-626F-4FB8-9406-60F705BE5F48}"/>
            </c:ext>
          </c:extLst>
        </c:ser>
        <c:ser>
          <c:idx val="2"/>
          <c:order val="2"/>
          <c:tx>
            <c:strRef>
              <c:f>TABLES!$E$116</c:f>
              <c:strCache>
                <c:ptCount val="1"/>
                <c:pt idx="0">
                  <c:v>Fair</c:v>
                </c:pt>
              </c:strCache>
            </c:strRef>
          </c:tx>
          <c:spPr>
            <a:solidFill>
              <a:srgbClr val="FFFF00"/>
            </a:solidFill>
            <a:ln>
              <a:noFill/>
            </a:ln>
            <a:effectLst/>
          </c:spPr>
          <c:invertIfNegative val="0"/>
          <c:dLbls>
            <c:spPr>
              <a:noFill/>
              <a:ln>
                <a:noFill/>
              </a:ln>
              <a:effectLst/>
            </c:spPr>
            <c:txPr>
              <a:bodyPr/>
              <a:lstStyle/>
              <a:p>
                <a:pPr>
                  <a:defRPr sz="1000"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TABLES!$B$117:$B$119</c:f>
              <c:strCache>
                <c:ptCount val="3"/>
                <c:pt idx="0">
                  <c:v>Providing opportunities to address matters relevant to regulatory decision, prior to final decision</c:v>
                </c:pt>
                <c:pt idx="1">
                  <c:v>Explaining clearly and constructively why a decision was made</c:v>
                </c:pt>
                <c:pt idx="2">
                  <c:v>Consistent and clear about goal posts for successful decision outcomes</c:v>
                </c:pt>
              </c:strCache>
            </c:strRef>
          </c:cat>
          <c:val>
            <c:numRef>
              <c:f>TABLES!$E$117:$E$119</c:f>
              <c:numCache>
                <c:formatCode>0</c:formatCode>
                <c:ptCount val="3"/>
                <c:pt idx="0">
                  <c:v>14.285714285714285</c:v>
                </c:pt>
                <c:pt idx="1">
                  <c:v>17.857142857142858</c:v>
                </c:pt>
                <c:pt idx="2">
                  <c:v>25</c:v>
                </c:pt>
              </c:numCache>
            </c:numRef>
          </c:val>
          <c:extLst>
            <c:ext xmlns:c16="http://schemas.microsoft.com/office/drawing/2014/chart" uri="{C3380CC4-5D6E-409C-BE32-E72D297353CC}">
              <c16:uniqueId val="{00000002-626F-4FB8-9406-60F705BE5F48}"/>
            </c:ext>
          </c:extLst>
        </c:ser>
        <c:ser>
          <c:idx val="3"/>
          <c:order val="3"/>
          <c:tx>
            <c:strRef>
              <c:f>TABLES!$F$116</c:f>
              <c:strCache>
                <c:ptCount val="1"/>
                <c:pt idx="0">
                  <c:v>Poor</c:v>
                </c:pt>
              </c:strCache>
            </c:strRef>
          </c:tx>
          <c:spPr>
            <a:solidFill>
              <a:srgbClr val="FF9933"/>
            </a:solidFill>
            <a:ln>
              <a:noFill/>
            </a:ln>
            <a:effectLst/>
          </c:spPr>
          <c:invertIfNegative val="0"/>
          <c:dLbls>
            <c:spPr>
              <a:noFill/>
              <a:ln>
                <a:noFill/>
              </a:ln>
              <a:effectLst/>
            </c:spPr>
            <c:txPr>
              <a:bodyPr/>
              <a:lstStyle/>
              <a:p>
                <a:pPr>
                  <a:defRPr sz="1000"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TABLES!$B$117:$B$119</c:f>
              <c:strCache>
                <c:ptCount val="3"/>
                <c:pt idx="0">
                  <c:v>Providing opportunities to address matters relevant to regulatory decision, prior to final decision</c:v>
                </c:pt>
                <c:pt idx="1">
                  <c:v>Explaining clearly and constructively why a decision was made</c:v>
                </c:pt>
                <c:pt idx="2">
                  <c:v>Consistent and clear about goal posts for successful decision outcomes</c:v>
                </c:pt>
              </c:strCache>
            </c:strRef>
          </c:cat>
          <c:val>
            <c:numRef>
              <c:f>TABLES!$F$117:$F$119</c:f>
              <c:numCache>
                <c:formatCode>0</c:formatCode>
                <c:ptCount val="3"/>
                <c:pt idx="0">
                  <c:v>1.7857142857142856</c:v>
                </c:pt>
                <c:pt idx="1">
                  <c:v>3.5714285714285712</c:v>
                </c:pt>
                <c:pt idx="2">
                  <c:v>5.3571428571428568</c:v>
                </c:pt>
              </c:numCache>
            </c:numRef>
          </c:val>
          <c:extLst>
            <c:ext xmlns:c16="http://schemas.microsoft.com/office/drawing/2014/chart" uri="{C3380CC4-5D6E-409C-BE32-E72D297353CC}">
              <c16:uniqueId val="{00000003-626F-4FB8-9406-60F705BE5F48}"/>
            </c:ext>
          </c:extLst>
        </c:ser>
        <c:ser>
          <c:idx val="4"/>
          <c:order val="4"/>
          <c:tx>
            <c:strRef>
              <c:f>TABLES!$G$116</c:f>
              <c:strCache>
                <c:ptCount val="1"/>
                <c:pt idx="0">
                  <c:v>Very poor</c:v>
                </c:pt>
              </c:strCache>
            </c:strRef>
          </c:tx>
          <c:spPr>
            <a:solidFill>
              <a:srgbClr val="C00000"/>
            </a:solidFill>
            <a:ln>
              <a:noFill/>
            </a:ln>
            <a:effectLst/>
          </c:spPr>
          <c:invertIfNegative val="0"/>
          <c:dLbls>
            <c:spPr>
              <a:noFill/>
              <a:ln>
                <a:noFill/>
              </a:ln>
              <a:effectLst/>
            </c:spPr>
            <c:txPr>
              <a:bodyPr/>
              <a:lstStyle/>
              <a:p>
                <a:pPr>
                  <a:defRPr sz="1000"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TABLES!$B$117:$B$119</c:f>
              <c:strCache>
                <c:ptCount val="3"/>
                <c:pt idx="0">
                  <c:v>Providing opportunities to address matters relevant to regulatory decision, prior to final decision</c:v>
                </c:pt>
                <c:pt idx="1">
                  <c:v>Explaining clearly and constructively why a decision was made</c:v>
                </c:pt>
                <c:pt idx="2">
                  <c:v>Consistent and clear about goal posts for successful decision outcomes</c:v>
                </c:pt>
              </c:strCache>
            </c:strRef>
          </c:cat>
          <c:val>
            <c:numRef>
              <c:f>TABLES!$G$117:$G$119</c:f>
              <c:numCache>
                <c:formatCode>0</c:formatCode>
                <c:ptCount val="3"/>
                <c:pt idx="0">
                  <c:v>7.1428571428571423</c:v>
                </c:pt>
                <c:pt idx="1">
                  <c:v>8.9285714285714288</c:v>
                </c:pt>
                <c:pt idx="2">
                  <c:v>8.9285714285714288</c:v>
                </c:pt>
              </c:numCache>
            </c:numRef>
          </c:val>
          <c:extLst>
            <c:ext xmlns:c16="http://schemas.microsoft.com/office/drawing/2014/chart" uri="{C3380CC4-5D6E-409C-BE32-E72D297353CC}">
              <c16:uniqueId val="{00000004-626F-4FB8-9406-60F705BE5F48}"/>
            </c:ext>
          </c:extLst>
        </c:ser>
        <c:ser>
          <c:idx val="5"/>
          <c:order val="5"/>
          <c:tx>
            <c:strRef>
              <c:f>TABLES!$H$116</c:f>
              <c:strCache>
                <c:ptCount val="1"/>
                <c:pt idx="0">
                  <c:v>Don't know / No answer</c:v>
                </c:pt>
              </c:strCache>
            </c:strRef>
          </c:tx>
          <c:spPr>
            <a:solidFill>
              <a:srgbClr val="A6A6A6"/>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626F-4FB8-9406-60F705BE5F48}"/>
                </c:ext>
              </c:extLst>
            </c:dLbl>
            <c:dLbl>
              <c:idx val="1"/>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26F-4FB8-9406-60F705BE5F48}"/>
                </c:ext>
              </c:extLst>
            </c:dLbl>
            <c:dLbl>
              <c:idx val="2"/>
              <c:delete val="1"/>
              <c:extLst>
                <c:ext xmlns:c15="http://schemas.microsoft.com/office/drawing/2012/chart" uri="{CE6537A1-D6FC-4f65-9D91-7224C49458BB}"/>
                <c:ext xmlns:c16="http://schemas.microsoft.com/office/drawing/2014/chart" uri="{C3380CC4-5D6E-409C-BE32-E72D297353CC}">
                  <c16:uniqueId val="{00000007-626F-4FB8-9406-60F705BE5F48}"/>
                </c:ext>
              </c:extLst>
            </c:dLbl>
            <c:spPr>
              <a:noFill/>
              <a:ln>
                <a:noFill/>
              </a:ln>
              <a:effectLst/>
            </c:spPr>
            <c:txPr>
              <a:bodyPr/>
              <a:lstStyle/>
              <a:p>
                <a:pPr>
                  <a:defRPr sz="1000"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TABLES!$B$117:$B$119</c:f>
              <c:strCache>
                <c:ptCount val="3"/>
                <c:pt idx="0">
                  <c:v>Providing opportunities to address matters relevant to regulatory decision, prior to final decision</c:v>
                </c:pt>
                <c:pt idx="1">
                  <c:v>Explaining clearly and constructively why a decision was made</c:v>
                </c:pt>
                <c:pt idx="2">
                  <c:v>Consistent and clear about goal posts for successful decision outcomes</c:v>
                </c:pt>
              </c:strCache>
            </c:strRef>
          </c:cat>
          <c:val>
            <c:numRef>
              <c:f>TABLES!$H$117:$H$119</c:f>
              <c:numCache>
                <c:formatCode>0</c:formatCode>
                <c:ptCount val="3"/>
                <c:pt idx="0">
                  <c:v>0</c:v>
                </c:pt>
                <c:pt idx="1">
                  <c:v>1.7857142857142856</c:v>
                </c:pt>
                <c:pt idx="2">
                  <c:v>0</c:v>
                </c:pt>
              </c:numCache>
            </c:numRef>
          </c:val>
          <c:extLst>
            <c:ext xmlns:c16="http://schemas.microsoft.com/office/drawing/2014/chart" uri="{C3380CC4-5D6E-409C-BE32-E72D297353CC}">
              <c16:uniqueId val="{00000008-626F-4FB8-9406-60F705BE5F48}"/>
            </c:ext>
          </c:extLst>
        </c:ser>
        <c:ser>
          <c:idx val="6"/>
          <c:order val="6"/>
          <c:tx>
            <c:strRef>
              <c:f>TABLES!$I$116</c:f>
              <c:strCache>
                <c:ptCount val="1"/>
                <c:pt idx="0">
                  <c:v>Not applicable</c:v>
                </c:pt>
              </c:strCache>
            </c:strRef>
          </c:tx>
          <c:spPr>
            <a:solidFill>
              <a:srgbClr val="002060"/>
            </a:solidFill>
            <a:ln>
              <a:noFill/>
            </a:ln>
            <a:effectLst/>
          </c:spPr>
          <c:invertIfNegative val="0"/>
          <c:dLbls>
            <c:spPr>
              <a:noFill/>
              <a:ln>
                <a:noFill/>
              </a:ln>
              <a:effectLst/>
            </c:spPr>
            <c:txPr>
              <a:bodyPr/>
              <a:lstStyle/>
              <a:p>
                <a:pPr>
                  <a:defRPr sz="1000"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TABLES!$B$117:$B$119</c:f>
              <c:strCache>
                <c:ptCount val="3"/>
                <c:pt idx="0">
                  <c:v>Providing opportunities to address matters relevant to regulatory decision, prior to final decision</c:v>
                </c:pt>
                <c:pt idx="1">
                  <c:v>Explaining clearly and constructively why a decision was made</c:v>
                </c:pt>
                <c:pt idx="2">
                  <c:v>Consistent and clear about goal posts for successful decision outcomes</c:v>
                </c:pt>
              </c:strCache>
            </c:strRef>
          </c:cat>
          <c:val>
            <c:numRef>
              <c:f>TABLES!$I$117:$I$119</c:f>
              <c:numCache>
                <c:formatCode>0</c:formatCode>
                <c:ptCount val="3"/>
                <c:pt idx="0">
                  <c:v>10.714285714285714</c:v>
                </c:pt>
                <c:pt idx="1">
                  <c:v>10.714285714285714</c:v>
                </c:pt>
                <c:pt idx="2">
                  <c:v>7.1428571428571423</c:v>
                </c:pt>
              </c:numCache>
            </c:numRef>
          </c:val>
          <c:extLst>
            <c:ext xmlns:c16="http://schemas.microsoft.com/office/drawing/2014/chart" uri="{C3380CC4-5D6E-409C-BE32-E72D297353CC}">
              <c16:uniqueId val="{00000009-626F-4FB8-9406-60F705BE5F48}"/>
            </c:ext>
          </c:extLst>
        </c:ser>
        <c:dLbls>
          <c:dLblPos val="ctr"/>
          <c:showLegendKey val="0"/>
          <c:showVal val="1"/>
          <c:showCatName val="0"/>
          <c:showSerName val="0"/>
          <c:showPercent val="0"/>
          <c:showBubbleSize val="0"/>
        </c:dLbls>
        <c:gapWidth val="80"/>
        <c:overlap val="100"/>
        <c:axId val="1999404976"/>
        <c:axId val="1999412592"/>
      </c:barChart>
      <c:catAx>
        <c:axId val="19994049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999412592"/>
        <c:crosses val="autoZero"/>
        <c:auto val="1"/>
        <c:lblAlgn val="ctr"/>
        <c:lblOffset val="100"/>
        <c:noMultiLvlLbl val="0"/>
      </c:catAx>
      <c:valAx>
        <c:axId val="1999412592"/>
        <c:scaling>
          <c:orientation val="minMax"/>
          <c:max val="100"/>
        </c:scaling>
        <c:delete val="0"/>
        <c:axPos val="b"/>
        <c:majorGridlines>
          <c:spPr>
            <a:ln w="9525" cap="flat" cmpd="sng" algn="ctr">
              <a:solidFill>
                <a:sysClr val="window" lastClr="FFFFFF">
                  <a:lumMod val="75000"/>
                </a:sys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1999404976"/>
        <c:crosses val="max"/>
        <c:crossBetween val="between"/>
        <c:majorUnit val="20"/>
      </c:valAx>
      <c:spPr>
        <a:noFill/>
        <a:ln>
          <a:noFill/>
        </a:ln>
        <a:effectLst/>
      </c:spPr>
    </c:plotArea>
    <c:legend>
      <c:legendPos val="b"/>
      <c:layout>
        <c:manualLayout>
          <c:xMode val="edge"/>
          <c:yMode val="edge"/>
          <c:x val="3.1081603838306045E-2"/>
          <c:y val="0.8579051410395262"/>
          <c:w val="0.93244161787468871"/>
          <c:h val="8.7685897998809617E-2"/>
        </c:manualLayout>
      </c:layout>
      <c:overlay val="0"/>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Nova" panose="020B0504020202020204"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200" b="1" i="0" u="none" strike="noStrike" kern="1200" spc="0" baseline="0">
                <a:solidFill>
                  <a:sysClr val="windowText" lastClr="000000"/>
                </a:solidFill>
                <a:latin typeface="Arial Nova" panose="020B0504020202020204" pitchFamily="34" charset="0"/>
                <a:ea typeface="+mn-ea"/>
                <a:cs typeface="+mn-cs"/>
              </a:defRPr>
            </a:pPr>
            <a:r>
              <a:rPr lang="en-AU" sz="1100">
                <a:latin typeface="Arial Nova" panose="020B0504020202020204" pitchFamily="34" charset="0"/>
              </a:rPr>
              <a:t>Monitoring quality</a:t>
            </a:r>
          </a:p>
          <a:p>
            <a:pPr algn="l">
              <a:defRPr sz="1200" b="1" i="0" u="none" strike="noStrike" kern="1200" spc="0" baseline="0">
                <a:solidFill>
                  <a:sysClr val="windowText" lastClr="000000"/>
                </a:solidFill>
                <a:latin typeface="Arial Nova" panose="020B0504020202020204" pitchFamily="34" charset="0"/>
                <a:ea typeface="+mn-ea"/>
                <a:cs typeface="+mn-cs"/>
              </a:defRPr>
            </a:pPr>
            <a:r>
              <a:rPr lang="en-AU" sz="900" b="0" i="1">
                <a:latin typeface="Arial Nova" panose="020B0504020202020204" pitchFamily="34" charset="0"/>
              </a:rPr>
              <a:t>% of </a:t>
            </a:r>
            <a:r>
              <a:rPr lang="en-AU" sz="900" b="0" i="1" u="none" strike="noStrike" baseline="0">
                <a:effectLst/>
                <a:latin typeface="Arial Nova" panose="020B0504020202020204" pitchFamily="34" charset="0"/>
              </a:rPr>
              <a:t>respondents choosing a rating point</a:t>
            </a:r>
            <a:r>
              <a:rPr lang="en-AU" sz="900" b="0" i="1">
                <a:latin typeface="Arial Nova" panose="020B0504020202020204" pitchFamily="34" charset="0"/>
              </a:rPr>
              <a:t>, n=143</a:t>
            </a:r>
          </a:p>
        </c:rich>
      </c:tx>
      <c:layout>
        <c:manualLayout>
          <c:xMode val="edge"/>
          <c:yMode val="edge"/>
          <c:x val="7.2376447824567224E-4"/>
          <c:y val="1.9300984984305086E-3"/>
        </c:manualLayout>
      </c:layout>
      <c:overlay val="0"/>
      <c:spPr>
        <a:noFill/>
        <a:ln>
          <a:noFill/>
        </a:ln>
        <a:effectLst/>
      </c:spPr>
    </c:title>
    <c:autoTitleDeleted val="0"/>
    <c:plotArea>
      <c:layout>
        <c:manualLayout>
          <c:layoutTarget val="inner"/>
          <c:xMode val="edge"/>
          <c:yMode val="edge"/>
          <c:x val="0.22940506839375455"/>
          <c:y val="0.16611221577100843"/>
          <c:w val="0.74623998280078474"/>
          <c:h val="0.65370319535746102"/>
        </c:manualLayout>
      </c:layout>
      <c:barChart>
        <c:barDir val="bar"/>
        <c:grouping val="stacked"/>
        <c:varyColors val="0"/>
        <c:ser>
          <c:idx val="0"/>
          <c:order val="0"/>
          <c:tx>
            <c:strRef>
              <c:f>TABLES!$C$76</c:f>
              <c:strCache>
                <c:ptCount val="1"/>
                <c:pt idx="0">
                  <c:v>Excellent</c:v>
                </c:pt>
              </c:strCache>
            </c:strRef>
          </c:tx>
          <c:spPr>
            <a:solidFill>
              <a:srgbClr val="008000"/>
            </a:solidFill>
            <a:ln>
              <a:noFill/>
            </a:ln>
            <a:effectLst/>
          </c:spPr>
          <c:invertIfNegative val="0"/>
          <c:dLbls>
            <c:spPr>
              <a:noFill/>
              <a:ln>
                <a:noFill/>
              </a:ln>
              <a:effectLst/>
            </c:spPr>
            <c:txPr>
              <a:bodyPr wrap="square" lIns="38100" tIns="19050" rIns="38100" bIns="19050" anchor="ctr">
                <a:spAutoFit/>
              </a:bodyPr>
              <a:lstStyle/>
              <a:p>
                <a:pPr>
                  <a:defRPr b="1">
                    <a:solidFill>
                      <a:schemeClr val="bg1"/>
                    </a:solidFill>
                    <a:latin typeface="Arial Nova" panose="020B05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TABLES!$B$77:$B$81</c:f>
              <c:strCache>
                <c:ptCount val="5"/>
                <c:pt idx="0">
                  <c:v>Providing quality feedback on whether organisation is meeting expected standards</c:v>
                </c:pt>
                <c:pt idx="1">
                  <c:v>Taking regulatory action that is necessary to manage risks effectively</c:v>
                </c:pt>
                <c:pt idx="2">
                  <c:v>Giving feedback that continuously improves the quality of higher education in organisation</c:v>
                </c:pt>
                <c:pt idx="3">
                  <c:v>Providing timely feedback on whether organisation is meeting expected standards</c:v>
                </c:pt>
                <c:pt idx="4">
                  <c:v>Suggesting networks and resources that organisation might use to improve performance</c:v>
                </c:pt>
              </c:strCache>
            </c:strRef>
          </c:cat>
          <c:val>
            <c:numRef>
              <c:f>TABLES!$C$77:$C$81</c:f>
              <c:numCache>
                <c:formatCode>0</c:formatCode>
                <c:ptCount val="5"/>
                <c:pt idx="0">
                  <c:v>13.986013986013987</c:v>
                </c:pt>
                <c:pt idx="1">
                  <c:v>9.79020979020979</c:v>
                </c:pt>
                <c:pt idx="2">
                  <c:v>10.48951048951049</c:v>
                </c:pt>
                <c:pt idx="3">
                  <c:v>9.0909090909090917</c:v>
                </c:pt>
                <c:pt idx="4">
                  <c:v>8.3916083916083917</c:v>
                </c:pt>
              </c:numCache>
            </c:numRef>
          </c:val>
          <c:extLst>
            <c:ext xmlns:c16="http://schemas.microsoft.com/office/drawing/2014/chart" uri="{C3380CC4-5D6E-409C-BE32-E72D297353CC}">
              <c16:uniqueId val="{00000000-B51A-4394-BBB4-8EAB55878BD0}"/>
            </c:ext>
          </c:extLst>
        </c:ser>
        <c:ser>
          <c:idx val="1"/>
          <c:order val="1"/>
          <c:tx>
            <c:strRef>
              <c:f>TABLES!$D$76</c:f>
              <c:strCache>
                <c:ptCount val="1"/>
                <c:pt idx="0">
                  <c:v>Good</c:v>
                </c:pt>
              </c:strCache>
            </c:strRef>
          </c:tx>
          <c:spPr>
            <a:solidFill>
              <a:srgbClr val="92D050"/>
            </a:solidFill>
            <a:ln>
              <a:noFill/>
            </a:ln>
            <a:effectLst/>
          </c:spPr>
          <c:invertIfNegative val="0"/>
          <c:dLbls>
            <c:spPr>
              <a:noFill/>
              <a:ln>
                <a:noFill/>
              </a:ln>
              <a:effectLst/>
            </c:spPr>
            <c:txPr>
              <a:bodyPr wrap="square" lIns="38100" tIns="19050" rIns="38100" bIns="19050" anchor="ctr">
                <a:spAutoFit/>
              </a:bodyPr>
              <a:lstStyle/>
              <a:p>
                <a:pPr>
                  <a:defRPr b="1">
                    <a:latin typeface="Arial Nova" panose="020B05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TABLES!$B$77:$B$81</c:f>
              <c:strCache>
                <c:ptCount val="5"/>
                <c:pt idx="0">
                  <c:v>Providing quality feedback on whether organisation is meeting expected standards</c:v>
                </c:pt>
                <c:pt idx="1">
                  <c:v>Taking regulatory action that is necessary to manage risks effectively</c:v>
                </c:pt>
                <c:pt idx="2">
                  <c:v>Giving feedback that continuously improves the quality of higher education in organisation</c:v>
                </c:pt>
                <c:pt idx="3">
                  <c:v>Providing timely feedback on whether organisation is meeting expected standards</c:v>
                </c:pt>
                <c:pt idx="4">
                  <c:v>Suggesting networks and resources that organisation might use to improve performance</c:v>
                </c:pt>
              </c:strCache>
            </c:strRef>
          </c:cat>
          <c:val>
            <c:numRef>
              <c:f>TABLES!$D$77:$D$81</c:f>
              <c:numCache>
                <c:formatCode>0</c:formatCode>
                <c:ptCount val="5"/>
                <c:pt idx="0">
                  <c:v>38.461538461538467</c:v>
                </c:pt>
                <c:pt idx="1">
                  <c:v>36.363636363636367</c:v>
                </c:pt>
                <c:pt idx="2">
                  <c:v>39.86013986013986</c:v>
                </c:pt>
                <c:pt idx="3">
                  <c:v>27.972027972027973</c:v>
                </c:pt>
                <c:pt idx="4">
                  <c:v>23.076923076923077</c:v>
                </c:pt>
              </c:numCache>
            </c:numRef>
          </c:val>
          <c:extLst>
            <c:ext xmlns:c16="http://schemas.microsoft.com/office/drawing/2014/chart" uri="{C3380CC4-5D6E-409C-BE32-E72D297353CC}">
              <c16:uniqueId val="{00000001-B51A-4394-BBB4-8EAB55878BD0}"/>
            </c:ext>
          </c:extLst>
        </c:ser>
        <c:ser>
          <c:idx val="2"/>
          <c:order val="2"/>
          <c:tx>
            <c:strRef>
              <c:f>TABLES!$E$76</c:f>
              <c:strCache>
                <c:ptCount val="1"/>
                <c:pt idx="0">
                  <c:v>Fair</c:v>
                </c:pt>
              </c:strCache>
            </c:strRef>
          </c:tx>
          <c:spPr>
            <a:solidFill>
              <a:srgbClr val="FFFF00"/>
            </a:solidFill>
            <a:ln>
              <a:noFill/>
            </a:ln>
            <a:effectLst/>
          </c:spPr>
          <c:invertIfNegative val="0"/>
          <c:dLbls>
            <c:spPr>
              <a:noFill/>
              <a:ln>
                <a:noFill/>
              </a:ln>
              <a:effectLst/>
            </c:spPr>
            <c:txPr>
              <a:bodyPr wrap="square" lIns="38100" tIns="19050" rIns="38100" bIns="19050" anchor="ctr">
                <a:spAutoFit/>
              </a:bodyPr>
              <a:lstStyle/>
              <a:p>
                <a:pPr>
                  <a:defRPr b="1">
                    <a:latin typeface="Arial Nova" panose="020B05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TABLES!$B$77:$B$81</c:f>
              <c:strCache>
                <c:ptCount val="5"/>
                <c:pt idx="0">
                  <c:v>Providing quality feedback on whether organisation is meeting expected standards</c:v>
                </c:pt>
                <c:pt idx="1">
                  <c:v>Taking regulatory action that is necessary to manage risks effectively</c:v>
                </c:pt>
                <c:pt idx="2">
                  <c:v>Giving feedback that continuously improves the quality of higher education in organisation</c:v>
                </c:pt>
                <c:pt idx="3">
                  <c:v>Providing timely feedback on whether organisation is meeting expected standards</c:v>
                </c:pt>
                <c:pt idx="4">
                  <c:v>Suggesting networks and resources that organisation might use to improve performance</c:v>
                </c:pt>
              </c:strCache>
            </c:strRef>
          </c:cat>
          <c:val>
            <c:numRef>
              <c:f>TABLES!$E$77:$E$81</c:f>
              <c:numCache>
                <c:formatCode>0</c:formatCode>
                <c:ptCount val="5"/>
                <c:pt idx="0">
                  <c:v>18.181818181818183</c:v>
                </c:pt>
                <c:pt idx="1">
                  <c:v>21.678321678321677</c:v>
                </c:pt>
                <c:pt idx="2">
                  <c:v>22.377622377622377</c:v>
                </c:pt>
                <c:pt idx="3">
                  <c:v>26.573426573426573</c:v>
                </c:pt>
                <c:pt idx="4">
                  <c:v>25.874125874125873</c:v>
                </c:pt>
              </c:numCache>
            </c:numRef>
          </c:val>
          <c:extLst>
            <c:ext xmlns:c16="http://schemas.microsoft.com/office/drawing/2014/chart" uri="{C3380CC4-5D6E-409C-BE32-E72D297353CC}">
              <c16:uniqueId val="{00000002-B51A-4394-BBB4-8EAB55878BD0}"/>
            </c:ext>
          </c:extLst>
        </c:ser>
        <c:ser>
          <c:idx val="3"/>
          <c:order val="3"/>
          <c:tx>
            <c:strRef>
              <c:f>TABLES!$F$76</c:f>
              <c:strCache>
                <c:ptCount val="1"/>
                <c:pt idx="0">
                  <c:v>Poor</c:v>
                </c:pt>
              </c:strCache>
            </c:strRef>
          </c:tx>
          <c:spPr>
            <a:solidFill>
              <a:srgbClr val="FF9933"/>
            </a:solidFill>
            <a:ln>
              <a:noFill/>
            </a:ln>
            <a:effectLst/>
          </c:spPr>
          <c:invertIfNegative val="0"/>
          <c:dLbls>
            <c:spPr>
              <a:noFill/>
              <a:ln>
                <a:noFill/>
              </a:ln>
              <a:effectLst/>
            </c:spPr>
            <c:txPr>
              <a:bodyPr wrap="square" lIns="38100" tIns="19050" rIns="38100" bIns="19050" anchor="ctr">
                <a:spAutoFit/>
              </a:bodyPr>
              <a:lstStyle/>
              <a:p>
                <a:pPr>
                  <a:defRPr b="1">
                    <a:latin typeface="Arial Nova" panose="020B05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TABLES!$B$77:$B$81</c:f>
              <c:strCache>
                <c:ptCount val="5"/>
                <c:pt idx="0">
                  <c:v>Providing quality feedback on whether organisation is meeting expected standards</c:v>
                </c:pt>
                <c:pt idx="1">
                  <c:v>Taking regulatory action that is necessary to manage risks effectively</c:v>
                </c:pt>
                <c:pt idx="2">
                  <c:v>Giving feedback that continuously improves the quality of higher education in organisation</c:v>
                </c:pt>
                <c:pt idx="3">
                  <c:v>Providing timely feedback on whether organisation is meeting expected standards</c:v>
                </c:pt>
                <c:pt idx="4">
                  <c:v>Suggesting networks and resources that organisation might use to improve performance</c:v>
                </c:pt>
              </c:strCache>
            </c:strRef>
          </c:cat>
          <c:val>
            <c:numRef>
              <c:f>TABLES!$F$77:$F$81</c:f>
              <c:numCache>
                <c:formatCode>0</c:formatCode>
                <c:ptCount val="5"/>
                <c:pt idx="0">
                  <c:v>13.286713286713287</c:v>
                </c:pt>
                <c:pt idx="1">
                  <c:v>4.1958041958041958</c:v>
                </c:pt>
                <c:pt idx="2">
                  <c:v>11.888111888111888</c:v>
                </c:pt>
                <c:pt idx="3">
                  <c:v>16.783216783216783</c:v>
                </c:pt>
                <c:pt idx="4">
                  <c:v>11.888111888111888</c:v>
                </c:pt>
              </c:numCache>
            </c:numRef>
          </c:val>
          <c:extLst>
            <c:ext xmlns:c16="http://schemas.microsoft.com/office/drawing/2014/chart" uri="{C3380CC4-5D6E-409C-BE32-E72D297353CC}">
              <c16:uniqueId val="{00000003-B51A-4394-BBB4-8EAB55878BD0}"/>
            </c:ext>
          </c:extLst>
        </c:ser>
        <c:ser>
          <c:idx val="4"/>
          <c:order val="4"/>
          <c:tx>
            <c:strRef>
              <c:f>TABLES!$G$76</c:f>
              <c:strCache>
                <c:ptCount val="1"/>
                <c:pt idx="0">
                  <c:v>Very poor</c:v>
                </c:pt>
              </c:strCache>
            </c:strRef>
          </c:tx>
          <c:spPr>
            <a:solidFill>
              <a:srgbClr val="C00000"/>
            </a:solidFill>
            <a:ln>
              <a:noFill/>
            </a:ln>
            <a:effectLst/>
          </c:spPr>
          <c:invertIfNegative val="0"/>
          <c:dLbls>
            <c:spPr>
              <a:noFill/>
              <a:ln>
                <a:noFill/>
              </a:ln>
              <a:effectLst/>
            </c:spPr>
            <c:txPr>
              <a:bodyPr wrap="square" lIns="38100" tIns="19050" rIns="38100" bIns="19050" anchor="ctr">
                <a:spAutoFit/>
              </a:bodyPr>
              <a:lstStyle/>
              <a:p>
                <a:pPr>
                  <a:defRPr b="1">
                    <a:solidFill>
                      <a:schemeClr val="bg1"/>
                    </a:solidFill>
                    <a:latin typeface="Arial Nova" panose="020B05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TABLES!$B$77:$B$81</c:f>
              <c:strCache>
                <c:ptCount val="5"/>
                <c:pt idx="0">
                  <c:v>Providing quality feedback on whether organisation is meeting expected standards</c:v>
                </c:pt>
                <c:pt idx="1">
                  <c:v>Taking regulatory action that is necessary to manage risks effectively</c:v>
                </c:pt>
                <c:pt idx="2">
                  <c:v>Giving feedback that continuously improves the quality of higher education in organisation</c:v>
                </c:pt>
                <c:pt idx="3">
                  <c:v>Providing timely feedback on whether organisation is meeting expected standards</c:v>
                </c:pt>
                <c:pt idx="4">
                  <c:v>Suggesting networks and resources that organisation might use to improve performance</c:v>
                </c:pt>
              </c:strCache>
            </c:strRef>
          </c:cat>
          <c:val>
            <c:numRef>
              <c:f>TABLES!$G$77:$G$81</c:f>
              <c:numCache>
                <c:formatCode>0</c:formatCode>
                <c:ptCount val="5"/>
                <c:pt idx="0">
                  <c:v>4.1958041958041958</c:v>
                </c:pt>
                <c:pt idx="1">
                  <c:v>5.5944055944055942</c:v>
                </c:pt>
                <c:pt idx="2">
                  <c:v>2.7972027972027971</c:v>
                </c:pt>
                <c:pt idx="3">
                  <c:v>7.6923076923076925</c:v>
                </c:pt>
                <c:pt idx="4">
                  <c:v>8.3916083916083917</c:v>
                </c:pt>
              </c:numCache>
            </c:numRef>
          </c:val>
          <c:extLst>
            <c:ext xmlns:c16="http://schemas.microsoft.com/office/drawing/2014/chart" uri="{C3380CC4-5D6E-409C-BE32-E72D297353CC}">
              <c16:uniqueId val="{00000004-B51A-4394-BBB4-8EAB55878BD0}"/>
            </c:ext>
          </c:extLst>
        </c:ser>
        <c:ser>
          <c:idx val="5"/>
          <c:order val="5"/>
          <c:tx>
            <c:strRef>
              <c:f>TABLES!$H$76</c:f>
              <c:strCache>
                <c:ptCount val="1"/>
                <c:pt idx="0">
                  <c:v>Don't know / No answer</c:v>
                </c:pt>
              </c:strCache>
            </c:strRef>
          </c:tx>
          <c:spPr>
            <a:solidFill>
              <a:srgbClr val="A6A6A6"/>
            </a:solidFill>
            <a:ln>
              <a:noFill/>
            </a:ln>
            <a:effectLst/>
          </c:spPr>
          <c:invertIfNegative val="0"/>
          <c:dLbls>
            <c:spPr>
              <a:noFill/>
              <a:ln>
                <a:noFill/>
              </a:ln>
              <a:effectLst/>
            </c:spPr>
            <c:txPr>
              <a:bodyPr wrap="square" lIns="38100" tIns="19050" rIns="38100" bIns="19050" anchor="ctr">
                <a:spAutoFit/>
              </a:bodyPr>
              <a:lstStyle/>
              <a:p>
                <a:pPr>
                  <a:defRPr b="1">
                    <a:solidFill>
                      <a:schemeClr val="tx1"/>
                    </a:solidFill>
                    <a:latin typeface="Arial Nova" panose="020B05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TABLES!$B$77:$B$81</c:f>
              <c:strCache>
                <c:ptCount val="5"/>
                <c:pt idx="0">
                  <c:v>Providing quality feedback on whether organisation is meeting expected standards</c:v>
                </c:pt>
                <c:pt idx="1">
                  <c:v>Taking regulatory action that is necessary to manage risks effectively</c:v>
                </c:pt>
                <c:pt idx="2">
                  <c:v>Giving feedback that continuously improves the quality of higher education in organisation</c:v>
                </c:pt>
                <c:pt idx="3">
                  <c:v>Providing timely feedback on whether organisation is meeting expected standards</c:v>
                </c:pt>
                <c:pt idx="4">
                  <c:v>Suggesting networks and resources that organisation might use to improve performance</c:v>
                </c:pt>
              </c:strCache>
            </c:strRef>
          </c:cat>
          <c:val>
            <c:numRef>
              <c:f>TABLES!$H$77:$H$81</c:f>
              <c:numCache>
                <c:formatCode>0</c:formatCode>
                <c:ptCount val="5"/>
                <c:pt idx="0">
                  <c:v>4.1958041958041958</c:v>
                </c:pt>
                <c:pt idx="1">
                  <c:v>6.2937062937062933</c:v>
                </c:pt>
                <c:pt idx="2">
                  <c:v>2.7972027972027971</c:v>
                </c:pt>
                <c:pt idx="3">
                  <c:v>3.4965034965034967</c:v>
                </c:pt>
                <c:pt idx="4">
                  <c:v>10.48951048951049</c:v>
                </c:pt>
              </c:numCache>
            </c:numRef>
          </c:val>
          <c:extLst>
            <c:ext xmlns:c16="http://schemas.microsoft.com/office/drawing/2014/chart" uri="{C3380CC4-5D6E-409C-BE32-E72D297353CC}">
              <c16:uniqueId val="{00000005-B51A-4394-BBB4-8EAB55878BD0}"/>
            </c:ext>
          </c:extLst>
        </c:ser>
        <c:ser>
          <c:idx val="6"/>
          <c:order val="6"/>
          <c:tx>
            <c:strRef>
              <c:f>TABLES!$I$76</c:f>
              <c:strCache>
                <c:ptCount val="1"/>
                <c:pt idx="0">
                  <c:v>Not applicable</c:v>
                </c:pt>
              </c:strCache>
            </c:strRef>
          </c:tx>
          <c:spPr>
            <a:solidFill>
              <a:srgbClr val="002060"/>
            </a:solidFill>
            <a:ln>
              <a:noFill/>
            </a:ln>
            <a:effectLst/>
          </c:spPr>
          <c:invertIfNegative val="0"/>
          <c:dLbls>
            <c:spPr>
              <a:noFill/>
              <a:ln>
                <a:noFill/>
              </a:ln>
              <a:effectLst/>
            </c:spPr>
            <c:txPr>
              <a:bodyPr wrap="square" lIns="38100" tIns="19050" rIns="38100" bIns="19050" anchor="ctr">
                <a:spAutoFit/>
              </a:bodyPr>
              <a:lstStyle/>
              <a:p>
                <a:pPr>
                  <a:defRPr b="1">
                    <a:solidFill>
                      <a:schemeClr val="bg1"/>
                    </a:solidFill>
                    <a:latin typeface="Arial Nova" panose="020B05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TABLES!$B$77:$B$81</c:f>
              <c:strCache>
                <c:ptCount val="5"/>
                <c:pt idx="0">
                  <c:v>Providing quality feedback on whether organisation is meeting expected standards</c:v>
                </c:pt>
                <c:pt idx="1">
                  <c:v>Taking regulatory action that is necessary to manage risks effectively</c:v>
                </c:pt>
                <c:pt idx="2">
                  <c:v>Giving feedback that continuously improves the quality of higher education in organisation</c:v>
                </c:pt>
                <c:pt idx="3">
                  <c:v>Providing timely feedback on whether organisation is meeting expected standards</c:v>
                </c:pt>
                <c:pt idx="4">
                  <c:v>Suggesting networks and resources that organisation might use to improve performance</c:v>
                </c:pt>
              </c:strCache>
            </c:strRef>
          </c:cat>
          <c:val>
            <c:numRef>
              <c:f>TABLES!$I$77:$I$81</c:f>
              <c:numCache>
                <c:formatCode>0</c:formatCode>
                <c:ptCount val="5"/>
                <c:pt idx="0">
                  <c:v>7.6923076923076925</c:v>
                </c:pt>
                <c:pt idx="1">
                  <c:v>16.083916083916083</c:v>
                </c:pt>
                <c:pt idx="2">
                  <c:v>9.79020979020979</c:v>
                </c:pt>
                <c:pt idx="3">
                  <c:v>8.3916083916083917</c:v>
                </c:pt>
                <c:pt idx="4">
                  <c:v>11.888111888111888</c:v>
                </c:pt>
              </c:numCache>
            </c:numRef>
          </c:val>
          <c:extLst>
            <c:ext xmlns:c16="http://schemas.microsoft.com/office/drawing/2014/chart" uri="{C3380CC4-5D6E-409C-BE32-E72D297353CC}">
              <c16:uniqueId val="{00000006-B51A-4394-BBB4-8EAB55878BD0}"/>
            </c:ext>
          </c:extLst>
        </c:ser>
        <c:dLbls>
          <c:dLblPos val="ctr"/>
          <c:showLegendKey val="0"/>
          <c:showVal val="1"/>
          <c:showCatName val="0"/>
          <c:showSerName val="0"/>
          <c:showPercent val="0"/>
          <c:showBubbleSize val="0"/>
        </c:dLbls>
        <c:gapWidth val="80"/>
        <c:overlap val="100"/>
        <c:axId val="1999404976"/>
        <c:axId val="1999412592"/>
      </c:barChart>
      <c:catAx>
        <c:axId val="19994049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ova" panose="020B0504020202020204" pitchFamily="34" charset="0"/>
                <a:ea typeface="+mn-ea"/>
                <a:cs typeface="+mn-cs"/>
              </a:defRPr>
            </a:pPr>
            <a:endParaRPr lang="en-US"/>
          </a:p>
        </c:txPr>
        <c:crossAx val="1999412592"/>
        <c:crosses val="autoZero"/>
        <c:auto val="1"/>
        <c:lblAlgn val="ctr"/>
        <c:lblOffset val="100"/>
        <c:noMultiLvlLbl val="0"/>
      </c:catAx>
      <c:valAx>
        <c:axId val="1999412592"/>
        <c:scaling>
          <c:orientation val="minMax"/>
          <c:max val="100"/>
        </c:scaling>
        <c:delete val="0"/>
        <c:axPos val="b"/>
        <c:majorGridlines>
          <c:spPr>
            <a:ln w="9525" cap="flat" cmpd="sng" algn="ctr">
              <a:solidFill>
                <a:sysClr val="window" lastClr="FFFFFF">
                  <a:lumMod val="75000"/>
                </a:sys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99404976"/>
        <c:crosses val="max"/>
        <c:crossBetween val="between"/>
        <c:majorUnit val="20"/>
      </c:valAx>
      <c:spPr>
        <a:noFill/>
        <a:ln>
          <a:noFill/>
        </a:ln>
        <a:effectLst/>
      </c:spPr>
    </c:plotArea>
    <c:legend>
      <c:legendPos val="b"/>
      <c:layout>
        <c:manualLayout>
          <c:xMode val="edge"/>
          <c:yMode val="edge"/>
          <c:x val="4.2477690288713905E-2"/>
          <c:y val="0.91858187451339224"/>
          <c:w val="0.92503416560109486"/>
          <c:h val="7.07393227222744E-2"/>
        </c:manualLayout>
      </c:layout>
      <c:overlay val="0"/>
      <c:txPr>
        <a:bodyPr/>
        <a:lstStyle/>
        <a:p>
          <a:pPr>
            <a:defRPr sz="900">
              <a:latin typeface="Arial Nova" panose="020B05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l">
              <a:defRPr/>
            </a:pPr>
            <a:r>
              <a:rPr lang="en-AU" sz="1100"/>
              <a:t>Application process</a:t>
            </a:r>
          </a:p>
          <a:p>
            <a:pPr algn="l">
              <a:defRPr/>
            </a:pPr>
            <a:r>
              <a:rPr lang="en-AU" sz="900" b="0" i="1"/>
              <a:t>% of respondents choosing a rating point, n=89</a:t>
            </a:r>
          </a:p>
        </c:rich>
      </c:tx>
      <c:layout>
        <c:manualLayout>
          <c:xMode val="edge"/>
          <c:yMode val="edge"/>
          <c:x val="7.2376447824567224E-4"/>
          <c:y val="1.9300984984305086E-3"/>
        </c:manualLayout>
      </c:layout>
      <c:overlay val="0"/>
      <c:spPr>
        <a:noFill/>
        <a:ln>
          <a:noFill/>
        </a:ln>
        <a:effectLst/>
      </c:spPr>
    </c:title>
    <c:autoTitleDeleted val="0"/>
    <c:plotArea>
      <c:layout>
        <c:manualLayout>
          <c:layoutTarget val="inner"/>
          <c:xMode val="edge"/>
          <c:yMode val="edge"/>
          <c:x val="0.22940506839375455"/>
          <c:y val="0.12151198551704581"/>
          <c:w val="0.74623998280078474"/>
          <c:h val="0.74315556815785844"/>
        </c:manualLayout>
      </c:layout>
      <c:barChart>
        <c:barDir val="bar"/>
        <c:grouping val="stacked"/>
        <c:varyColors val="0"/>
        <c:ser>
          <c:idx val="0"/>
          <c:order val="0"/>
          <c:tx>
            <c:strRef>
              <c:f>TABLES!$C$95</c:f>
              <c:strCache>
                <c:ptCount val="1"/>
                <c:pt idx="0">
                  <c:v>Excellent</c:v>
                </c:pt>
              </c:strCache>
            </c:strRef>
          </c:tx>
          <c:spPr>
            <a:solidFill>
              <a:srgbClr val="008000"/>
            </a:solidFill>
            <a:ln>
              <a:noFill/>
            </a:ln>
            <a:effectLst/>
          </c:spPr>
          <c:invertIfNegative val="0"/>
          <c:dLbls>
            <c:spPr>
              <a:noFill/>
              <a:ln>
                <a:noFill/>
              </a:ln>
              <a:effectLst/>
            </c:spPr>
            <c:txPr>
              <a:bodyPr/>
              <a:lstStyle/>
              <a:p>
                <a:pPr>
                  <a:defRPr b="0">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TABLES!$B$96:$B$102</c:f>
              <c:strCache>
                <c:ptCount val="7"/>
                <c:pt idx="0">
                  <c:v>Clarity of the application guide</c:v>
                </c:pt>
                <c:pt idx="1">
                  <c:v>Clarity of assessment scope and evidence requirements</c:v>
                </c:pt>
                <c:pt idx="2">
                  <c:v>Usefulness of information about how to prepare an application</c:v>
                </c:pt>
                <c:pt idx="3">
                  <c:v>Usefulness of feedback from TEQSA about application</c:v>
                </c:pt>
                <c:pt idx="4">
                  <c:v>Tailoring application process to meet needs</c:v>
                </c:pt>
                <c:pt idx="5">
                  <c:v>Timeliness of feedback from TEQSA about application, including those unlikely successful</c:v>
                </c:pt>
                <c:pt idx="6">
                  <c:v>Minimising time taken between submitting application and first receiving a regulatory decision</c:v>
                </c:pt>
              </c:strCache>
            </c:strRef>
          </c:cat>
          <c:val>
            <c:numRef>
              <c:f>TABLES!$C$96:$C$102</c:f>
              <c:numCache>
                <c:formatCode>0</c:formatCode>
                <c:ptCount val="7"/>
                <c:pt idx="0">
                  <c:v>13.48314606741573</c:v>
                </c:pt>
                <c:pt idx="1">
                  <c:v>16.853932584269664</c:v>
                </c:pt>
                <c:pt idx="2">
                  <c:v>13.48314606741573</c:v>
                </c:pt>
                <c:pt idx="3">
                  <c:v>12.359550561797752</c:v>
                </c:pt>
                <c:pt idx="4">
                  <c:v>15.730337078651685</c:v>
                </c:pt>
                <c:pt idx="5">
                  <c:v>11.235955056179774</c:v>
                </c:pt>
                <c:pt idx="6">
                  <c:v>8.9887640449438209</c:v>
                </c:pt>
              </c:numCache>
            </c:numRef>
          </c:val>
          <c:extLst>
            <c:ext xmlns:c16="http://schemas.microsoft.com/office/drawing/2014/chart" uri="{C3380CC4-5D6E-409C-BE32-E72D297353CC}">
              <c16:uniqueId val="{00000000-4546-41BC-ACDF-57EE73E2FAC3}"/>
            </c:ext>
          </c:extLst>
        </c:ser>
        <c:ser>
          <c:idx val="1"/>
          <c:order val="1"/>
          <c:tx>
            <c:strRef>
              <c:f>TABLES!$D$95</c:f>
              <c:strCache>
                <c:ptCount val="1"/>
                <c:pt idx="0">
                  <c:v>Good</c:v>
                </c:pt>
              </c:strCache>
            </c:strRef>
          </c:tx>
          <c:spPr>
            <a:solidFill>
              <a:srgbClr val="92D050"/>
            </a:solidFill>
            <a:ln>
              <a:noFill/>
            </a:ln>
            <a:effectLst/>
          </c:spPr>
          <c:invertIfNegative val="0"/>
          <c:dLbls>
            <c:spPr>
              <a:noFill/>
              <a:ln>
                <a:noFill/>
              </a:ln>
              <a:effectLst/>
            </c:spPr>
            <c:txPr>
              <a:bodyPr/>
              <a:lstStyle/>
              <a:p>
                <a:pPr>
                  <a:defRPr sz="1000"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TABLES!$B$96:$B$102</c:f>
              <c:strCache>
                <c:ptCount val="7"/>
                <c:pt idx="0">
                  <c:v>Clarity of the application guide</c:v>
                </c:pt>
                <c:pt idx="1">
                  <c:v>Clarity of assessment scope and evidence requirements</c:v>
                </c:pt>
                <c:pt idx="2">
                  <c:v>Usefulness of information about how to prepare an application</c:v>
                </c:pt>
                <c:pt idx="3">
                  <c:v>Usefulness of feedback from TEQSA about application</c:v>
                </c:pt>
                <c:pt idx="4">
                  <c:v>Tailoring application process to meet needs</c:v>
                </c:pt>
                <c:pt idx="5">
                  <c:v>Timeliness of feedback from TEQSA about application, including those unlikely successful</c:v>
                </c:pt>
                <c:pt idx="6">
                  <c:v>Minimising time taken between submitting application and first receiving a regulatory decision</c:v>
                </c:pt>
              </c:strCache>
            </c:strRef>
          </c:cat>
          <c:val>
            <c:numRef>
              <c:f>TABLES!$D$96:$D$102</c:f>
              <c:numCache>
                <c:formatCode>0</c:formatCode>
                <c:ptCount val="7"/>
                <c:pt idx="0">
                  <c:v>61.797752808988761</c:v>
                </c:pt>
                <c:pt idx="1">
                  <c:v>50.561797752808992</c:v>
                </c:pt>
                <c:pt idx="2">
                  <c:v>52.80898876404494</c:v>
                </c:pt>
                <c:pt idx="3">
                  <c:v>35.955056179775283</c:v>
                </c:pt>
                <c:pt idx="4">
                  <c:v>38.202247191011232</c:v>
                </c:pt>
                <c:pt idx="5">
                  <c:v>23.595505617977526</c:v>
                </c:pt>
                <c:pt idx="6">
                  <c:v>17.977528089887642</c:v>
                </c:pt>
              </c:numCache>
            </c:numRef>
          </c:val>
          <c:extLst>
            <c:ext xmlns:c16="http://schemas.microsoft.com/office/drawing/2014/chart" uri="{C3380CC4-5D6E-409C-BE32-E72D297353CC}">
              <c16:uniqueId val="{00000001-4546-41BC-ACDF-57EE73E2FAC3}"/>
            </c:ext>
          </c:extLst>
        </c:ser>
        <c:ser>
          <c:idx val="2"/>
          <c:order val="2"/>
          <c:tx>
            <c:strRef>
              <c:f>TABLES!$E$95</c:f>
              <c:strCache>
                <c:ptCount val="1"/>
                <c:pt idx="0">
                  <c:v>Fair</c:v>
                </c:pt>
              </c:strCache>
            </c:strRef>
          </c:tx>
          <c:spPr>
            <a:solidFill>
              <a:srgbClr val="FFFF00"/>
            </a:solidFill>
            <a:ln>
              <a:noFill/>
            </a:ln>
            <a:effectLst/>
          </c:spPr>
          <c:invertIfNegative val="0"/>
          <c:dLbls>
            <c:spPr>
              <a:noFill/>
              <a:ln>
                <a:noFill/>
              </a:ln>
              <a:effectLst/>
            </c:spPr>
            <c:txPr>
              <a:bodyPr/>
              <a:lstStyle/>
              <a:p>
                <a:pPr>
                  <a:defRPr sz="1000"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TABLES!$B$96:$B$102</c:f>
              <c:strCache>
                <c:ptCount val="7"/>
                <c:pt idx="0">
                  <c:v>Clarity of the application guide</c:v>
                </c:pt>
                <c:pt idx="1">
                  <c:v>Clarity of assessment scope and evidence requirements</c:v>
                </c:pt>
                <c:pt idx="2">
                  <c:v>Usefulness of information about how to prepare an application</c:v>
                </c:pt>
                <c:pt idx="3">
                  <c:v>Usefulness of feedback from TEQSA about application</c:v>
                </c:pt>
                <c:pt idx="4">
                  <c:v>Tailoring application process to meet needs</c:v>
                </c:pt>
                <c:pt idx="5">
                  <c:v>Timeliness of feedback from TEQSA about application, including those unlikely successful</c:v>
                </c:pt>
                <c:pt idx="6">
                  <c:v>Minimising time taken between submitting application and first receiving a regulatory decision</c:v>
                </c:pt>
              </c:strCache>
            </c:strRef>
          </c:cat>
          <c:val>
            <c:numRef>
              <c:f>TABLES!$E$96:$E$102</c:f>
              <c:numCache>
                <c:formatCode>0</c:formatCode>
                <c:ptCount val="7"/>
                <c:pt idx="0">
                  <c:v>14.606741573033707</c:v>
                </c:pt>
                <c:pt idx="1">
                  <c:v>21.348314606741571</c:v>
                </c:pt>
                <c:pt idx="2">
                  <c:v>16.853932584269664</c:v>
                </c:pt>
                <c:pt idx="3">
                  <c:v>17.977528089887642</c:v>
                </c:pt>
                <c:pt idx="4">
                  <c:v>22.471910112359549</c:v>
                </c:pt>
                <c:pt idx="5">
                  <c:v>24.719101123595504</c:v>
                </c:pt>
                <c:pt idx="6">
                  <c:v>19.101123595505616</c:v>
                </c:pt>
              </c:numCache>
            </c:numRef>
          </c:val>
          <c:extLst>
            <c:ext xmlns:c16="http://schemas.microsoft.com/office/drawing/2014/chart" uri="{C3380CC4-5D6E-409C-BE32-E72D297353CC}">
              <c16:uniqueId val="{00000002-4546-41BC-ACDF-57EE73E2FAC3}"/>
            </c:ext>
          </c:extLst>
        </c:ser>
        <c:ser>
          <c:idx val="3"/>
          <c:order val="3"/>
          <c:tx>
            <c:strRef>
              <c:f>TABLES!$F$95</c:f>
              <c:strCache>
                <c:ptCount val="1"/>
                <c:pt idx="0">
                  <c:v>Poor</c:v>
                </c:pt>
              </c:strCache>
            </c:strRef>
          </c:tx>
          <c:spPr>
            <a:solidFill>
              <a:srgbClr val="FF9933"/>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4546-41BC-ACDF-57EE73E2FAC3}"/>
                </c:ext>
              </c:extLst>
            </c:dLbl>
            <c:spPr>
              <a:noFill/>
              <a:ln>
                <a:noFill/>
              </a:ln>
              <a:effectLst/>
            </c:spPr>
            <c:txPr>
              <a:bodyPr/>
              <a:lstStyle/>
              <a:p>
                <a:pPr>
                  <a:defRPr sz="1000"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TABLES!$B$96:$B$102</c:f>
              <c:strCache>
                <c:ptCount val="7"/>
                <c:pt idx="0">
                  <c:v>Clarity of the application guide</c:v>
                </c:pt>
                <c:pt idx="1">
                  <c:v>Clarity of assessment scope and evidence requirements</c:v>
                </c:pt>
                <c:pt idx="2">
                  <c:v>Usefulness of information about how to prepare an application</c:v>
                </c:pt>
                <c:pt idx="3">
                  <c:v>Usefulness of feedback from TEQSA about application</c:v>
                </c:pt>
                <c:pt idx="4">
                  <c:v>Tailoring application process to meet needs</c:v>
                </c:pt>
                <c:pt idx="5">
                  <c:v>Timeliness of feedback from TEQSA about application, including those unlikely successful</c:v>
                </c:pt>
                <c:pt idx="6">
                  <c:v>Minimising time taken between submitting application and first receiving a regulatory decision</c:v>
                </c:pt>
              </c:strCache>
            </c:strRef>
          </c:cat>
          <c:val>
            <c:numRef>
              <c:f>TABLES!$F$96:$F$102</c:f>
              <c:numCache>
                <c:formatCode>0</c:formatCode>
                <c:ptCount val="7"/>
                <c:pt idx="0">
                  <c:v>3.3707865168539324</c:v>
                </c:pt>
                <c:pt idx="1">
                  <c:v>1.1235955056179776</c:v>
                </c:pt>
                <c:pt idx="2">
                  <c:v>5.6179775280898872</c:v>
                </c:pt>
                <c:pt idx="3">
                  <c:v>4.4943820224719104</c:v>
                </c:pt>
                <c:pt idx="4">
                  <c:v>6.7415730337078648</c:v>
                </c:pt>
                <c:pt idx="5">
                  <c:v>11.235955056179774</c:v>
                </c:pt>
                <c:pt idx="6">
                  <c:v>10.112359550561797</c:v>
                </c:pt>
              </c:numCache>
            </c:numRef>
          </c:val>
          <c:extLst>
            <c:ext xmlns:c16="http://schemas.microsoft.com/office/drawing/2014/chart" uri="{C3380CC4-5D6E-409C-BE32-E72D297353CC}">
              <c16:uniqueId val="{00000004-4546-41BC-ACDF-57EE73E2FAC3}"/>
            </c:ext>
          </c:extLst>
        </c:ser>
        <c:ser>
          <c:idx val="4"/>
          <c:order val="4"/>
          <c:tx>
            <c:strRef>
              <c:f>TABLES!$G$95</c:f>
              <c:strCache>
                <c:ptCount val="1"/>
                <c:pt idx="0">
                  <c:v>Very poor</c:v>
                </c:pt>
              </c:strCache>
            </c:strRef>
          </c:tx>
          <c:spPr>
            <a:solidFill>
              <a:srgbClr val="C0000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4546-41BC-ACDF-57EE73E2FAC3}"/>
                </c:ext>
              </c:extLst>
            </c:dLbl>
            <c:dLbl>
              <c:idx val="1"/>
              <c:delete val="1"/>
              <c:extLst>
                <c:ext xmlns:c15="http://schemas.microsoft.com/office/drawing/2012/chart" uri="{CE6537A1-D6FC-4f65-9D91-7224C49458BB}"/>
                <c:ext xmlns:c16="http://schemas.microsoft.com/office/drawing/2014/chart" uri="{C3380CC4-5D6E-409C-BE32-E72D297353CC}">
                  <c16:uniqueId val="{00000006-4546-41BC-ACDF-57EE73E2FAC3}"/>
                </c:ext>
              </c:extLst>
            </c:dLbl>
            <c:dLbl>
              <c:idx val="2"/>
              <c:delete val="1"/>
              <c:extLst>
                <c:ext xmlns:c15="http://schemas.microsoft.com/office/drawing/2012/chart" uri="{CE6537A1-D6FC-4f65-9D91-7224C49458BB}"/>
                <c:ext xmlns:c16="http://schemas.microsoft.com/office/drawing/2014/chart" uri="{C3380CC4-5D6E-409C-BE32-E72D297353CC}">
                  <c16:uniqueId val="{00000007-4546-41BC-ACDF-57EE73E2FAC3}"/>
                </c:ext>
              </c:extLst>
            </c:dLbl>
            <c:spPr>
              <a:noFill/>
              <a:ln>
                <a:noFill/>
              </a:ln>
              <a:effectLst/>
            </c:spPr>
            <c:txPr>
              <a:bodyPr/>
              <a:lstStyle/>
              <a:p>
                <a:pPr>
                  <a:defRPr sz="1000"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TABLES!$B$96:$B$102</c:f>
              <c:strCache>
                <c:ptCount val="7"/>
                <c:pt idx="0">
                  <c:v>Clarity of the application guide</c:v>
                </c:pt>
                <c:pt idx="1">
                  <c:v>Clarity of assessment scope and evidence requirements</c:v>
                </c:pt>
                <c:pt idx="2">
                  <c:v>Usefulness of information about how to prepare an application</c:v>
                </c:pt>
                <c:pt idx="3">
                  <c:v>Usefulness of feedback from TEQSA about application</c:v>
                </c:pt>
                <c:pt idx="4">
                  <c:v>Tailoring application process to meet needs</c:v>
                </c:pt>
                <c:pt idx="5">
                  <c:v>Timeliness of feedback from TEQSA about application, including those unlikely successful</c:v>
                </c:pt>
                <c:pt idx="6">
                  <c:v>Minimising time taken between submitting application and first receiving a regulatory decision</c:v>
                </c:pt>
              </c:strCache>
            </c:strRef>
          </c:cat>
          <c:val>
            <c:numRef>
              <c:f>TABLES!$G$96:$G$102</c:f>
              <c:numCache>
                <c:formatCode>0</c:formatCode>
                <c:ptCount val="7"/>
                <c:pt idx="0">
                  <c:v>1.1235955056179776</c:v>
                </c:pt>
                <c:pt idx="1">
                  <c:v>1.1235955056179776</c:v>
                </c:pt>
                <c:pt idx="2">
                  <c:v>1.1235955056179776</c:v>
                </c:pt>
                <c:pt idx="3">
                  <c:v>5.6179775280898872</c:v>
                </c:pt>
                <c:pt idx="4">
                  <c:v>4.4943820224719104</c:v>
                </c:pt>
                <c:pt idx="5">
                  <c:v>10.112359550561797</c:v>
                </c:pt>
                <c:pt idx="6">
                  <c:v>16.853932584269664</c:v>
                </c:pt>
              </c:numCache>
            </c:numRef>
          </c:val>
          <c:extLst>
            <c:ext xmlns:c16="http://schemas.microsoft.com/office/drawing/2014/chart" uri="{C3380CC4-5D6E-409C-BE32-E72D297353CC}">
              <c16:uniqueId val="{00000008-4546-41BC-ACDF-57EE73E2FAC3}"/>
            </c:ext>
          </c:extLst>
        </c:ser>
        <c:ser>
          <c:idx val="5"/>
          <c:order val="5"/>
          <c:tx>
            <c:strRef>
              <c:f>TABLES!$H$95</c:f>
              <c:strCache>
                <c:ptCount val="1"/>
                <c:pt idx="0">
                  <c:v>Don't know / No answer</c:v>
                </c:pt>
              </c:strCache>
            </c:strRef>
          </c:tx>
          <c:spPr>
            <a:solidFill>
              <a:srgbClr val="A6A6A6"/>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9-4546-41BC-ACDF-57EE73E2FAC3}"/>
                </c:ext>
              </c:extLst>
            </c:dLbl>
            <c:dLbl>
              <c:idx val="1"/>
              <c:delete val="1"/>
              <c:extLst>
                <c:ext xmlns:c15="http://schemas.microsoft.com/office/drawing/2012/chart" uri="{CE6537A1-D6FC-4f65-9D91-7224C49458BB}"/>
                <c:ext xmlns:c16="http://schemas.microsoft.com/office/drawing/2014/chart" uri="{C3380CC4-5D6E-409C-BE32-E72D297353CC}">
                  <c16:uniqueId val="{0000000A-4546-41BC-ACDF-57EE73E2FAC3}"/>
                </c:ext>
              </c:extLst>
            </c:dLbl>
            <c:dLbl>
              <c:idx val="2"/>
              <c:delete val="1"/>
              <c:extLst>
                <c:ext xmlns:c15="http://schemas.microsoft.com/office/drawing/2012/chart" uri="{CE6537A1-D6FC-4f65-9D91-7224C49458BB}"/>
                <c:ext xmlns:c16="http://schemas.microsoft.com/office/drawing/2014/chart" uri="{C3380CC4-5D6E-409C-BE32-E72D297353CC}">
                  <c16:uniqueId val="{0000000B-4546-41BC-ACDF-57EE73E2FAC3}"/>
                </c:ext>
              </c:extLst>
            </c:dLbl>
            <c:spPr>
              <a:noFill/>
              <a:ln>
                <a:noFill/>
              </a:ln>
              <a:effectLst/>
            </c:spPr>
            <c:txPr>
              <a:bodyPr/>
              <a:lstStyle/>
              <a:p>
                <a:pPr>
                  <a:defRPr sz="1000"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TABLES!$B$96:$B$102</c:f>
              <c:strCache>
                <c:ptCount val="7"/>
                <c:pt idx="0">
                  <c:v>Clarity of the application guide</c:v>
                </c:pt>
                <c:pt idx="1">
                  <c:v>Clarity of assessment scope and evidence requirements</c:v>
                </c:pt>
                <c:pt idx="2">
                  <c:v>Usefulness of information about how to prepare an application</c:v>
                </c:pt>
                <c:pt idx="3">
                  <c:v>Usefulness of feedback from TEQSA about application</c:v>
                </c:pt>
                <c:pt idx="4">
                  <c:v>Tailoring application process to meet needs</c:v>
                </c:pt>
                <c:pt idx="5">
                  <c:v>Timeliness of feedback from TEQSA about application, including those unlikely successful</c:v>
                </c:pt>
                <c:pt idx="6">
                  <c:v>Minimising time taken between submitting application and first receiving a regulatory decision</c:v>
                </c:pt>
              </c:strCache>
            </c:strRef>
          </c:cat>
          <c:val>
            <c:numRef>
              <c:f>TABLES!$H$96:$H$102</c:f>
              <c:numCache>
                <c:formatCode>0</c:formatCode>
                <c:ptCount val="7"/>
                <c:pt idx="0">
                  <c:v>0</c:v>
                </c:pt>
                <c:pt idx="1">
                  <c:v>1.1235955056179776</c:v>
                </c:pt>
                <c:pt idx="2">
                  <c:v>0</c:v>
                </c:pt>
                <c:pt idx="3">
                  <c:v>3.3707865168539324</c:v>
                </c:pt>
                <c:pt idx="4">
                  <c:v>3.3707865168539324</c:v>
                </c:pt>
                <c:pt idx="5">
                  <c:v>3.3707865168539324</c:v>
                </c:pt>
                <c:pt idx="6">
                  <c:v>5.6179775280898872</c:v>
                </c:pt>
              </c:numCache>
            </c:numRef>
          </c:val>
          <c:extLst>
            <c:ext xmlns:c16="http://schemas.microsoft.com/office/drawing/2014/chart" uri="{C3380CC4-5D6E-409C-BE32-E72D297353CC}">
              <c16:uniqueId val="{0000000C-4546-41BC-ACDF-57EE73E2FAC3}"/>
            </c:ext>
          </c:extLst>
        </c:ser>
        <c:ser>
          <c:idx val="6"/>
          <c:order val="6"/>
          <c:tx>
            <c:strRef>
              <c:f>TABLES!$I$95</c:f>
              <c:strCache>
                <c:ptCount val="1"/>
                <c:pt idx="0">
                  <c:v>Not applicable</c:v>
                </c:pt>
              </c:strCache>
            </c:strRef>
          </c:tx>
          <c:spPr>
            <a:solidFill>
              <a:srgbClr val="002060"/>
            </a:solidFill>
            <a:ln>
              <a:noFill/>
            </a:ln>
            <a:effectLst/>
          </c:spPr>
          <c:invertIfNegative val="0"/>
          <c:dLbls>
            <c:spPr>
              <a:noFill/>
              <a:ln>
                <a:noFill/>
              </a:ln>
              <a:effectLst/>
            </c:spPr>
            <c:txPr>
              <a:bodyPr/>
              <a:lstStyle/>
              <a:p>
                <a:pPr>
                  <a:defRPr sz="1000"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TABLES!$B$96:$B$102</c:f>
              <c:strCache>
                <c:ptCount val="7"/>
                <c:pt idx="0">
                  <c:v>Clarity of the application guide</c:v>
                </c:pt>
                <c:pt idx="1">
                  <c:v>Clarity of assessment scope and evidence requirements</c:v>
                </c:pt>
                <c:pt idx="2">
                  <c:v>Usefulness of information about how to prepare an application</c:v>
                </c:pt>
                <c:pt idx="3">
                  <c:v>Usefulness of feedback from TEQSA about application</c:v>
                </c:pt>
                <c:pt idx="4">
                  <c:v>Tailoring application process to meet needs</c:v>
                </c:pt>
                <c:pt idx="5">
                  <c:v>Timeliness of feedback from TEQSA about application, including those unlikely successful</c:v>
                </c:pt>
                <c:pt idx="6">
                  <c:v>Minimising time taken between submitting application and first receiving a regulatory decision</c:v>
                </c:pt>
              </c:strCache>
            </c:strRef>
          </c:cat>
          <c:val>
            <c:numRef>
              <c:f>TABLES!$I$96:$I$102</c:f>
              <c:numCache>
                <c:formatCode>0</c:formatCode>
                <c:ptCount val="7"/>
                <c:pt idx="0">
                  <c:v>5.6179775280898872</c:v>
                </c:pt>
                <c:pt idx="1">
                  <c:v>7.8651685393258424</c:v>
                </c:pt>
                <c:pt idx="2">
                  <c:v>10.112359550561797</c:v>
                </c:pt>
                <c:pt idx="3">
                  <c:v>20.224719101123593</c:v>
                </c:pt>
                <c:pt idx="4">
                  <c:v>8.9887640449438209</c:v>
                </c:pt>
                <c:pt idx="5">
                  <c:v>15.730337078651685</c:v>
                </c:pt>
                <c:pt idx="6">
                  <c:v>21.348314606741571</c:v>
                </c:pt>
              </c:numCache>
            </c:numRef>
          </c:val>
          <c:extLst>
            <c:ext xmlns:c16="http://schemas.microsoft.com/office/drawing/2014/chart" uri="{C3380CC4-5D6E-409C-BE32-E72D297353CC}">
              <c16:uniqueId val="{0000000D-4546-41BC-ACDF-57EE73E2FAC3}"/>
            </c:ext>
          </c:extLst>
        </c:ser>
        <c:dLbls>
          <c:dLblPos val="ctr"/>
          <c:showLegendKey val="0"/>
          <c:showVal val="1"/>
          <c:showCatName val="0"/>
          <c:showSerName val="0"/>
          <c:showPercent val="0"/>
          <c:showBubbleSize val="0"/>
        </c:dLbls>
        <c:gapWidth val="80"/>
        <c:overlap val="100"/>
        <c:axId val="1999404976"/>
        <c:axId val="1999412592"/>
      </c:barChart>
      <c:catAx>
        <c:axId val="19994049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999412592"/>
        <c:crosses val="autoZero"/>
        <c:auto val="1"/>
        <c:lblAlgn val="ctr"/>
        <c:lblOffset val="100"/>
        <c:noMultiLvlLbl val="0"/>
      </c:catAx>
      <c:valAx>
        <c:axId val="1999412592"/>
        <c:scaling>
          <c:orientation val="minMax"/>
          <c:max val="100"/>
        </c:scaling>
        <c:delete val="0"/>
        <c:axPos val="b"/>
        <c:majorGridlines>
          <c:spPr>
            <a:ln w="9525" cap="flat" cmpd="sng" algn="ctr">
              <a:solidFill>
                <a:sysClr val="window" lastClr="FFFFFF">
                  <a:lumMod val="75000"/>
                </a:sys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1999404976"/>
        <c:crosses val="max"/>
        <c:crossBetween val="between"/>
        <c:majorUnit val="20"/>
      </c:valAx>
      <c:spPr>
        <a:noFill/>
        <a:ln>
          <a:noFill/>
        </a:ln>
        <a:effectLst/>
      </c:spPr>
    </c:plotArea>
    <c:legend>
      <c:legendPos val="b"/>
      <c:layout>
        <c:manualLayout>
          <c:xMode val="edge"/>
          <c:yMode val="edge"/>
          <c:x val="9.7320983915472101E-2"/>
          <c:y val="0.94712429764615291"/>
          <c:w val="0.89152738260658593"/>
          <c:h val="3.8119445344002544E-2"/>
        </c:manualLayout>
      </c:layout>
      <c:overlay val="0"/>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Nova" panose="020B0504020202020204" pitchFamily="34"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0.22954</cdr:x>
      <cdr:y>0.07</cdr:y>
    </cdr:from>
    <cdr:to>
      <cdr:x>0.33156</cdr:x>
      <cdr:y>0.20714</cdr:y>
    </cdr:to>
    <cdr:sp macro="" textlink="">
      <cdr:nvSpPr>
        <cdr:cNvPr id="3" name="TextBox 2"/>
        <cdr:cNvSpPr txBox="1"/>
      </cdr:nvSpPr>
      <cdr:spPr>
        <a:xfrm xmlns:a="http://schemas.openxmlformats.org/drawingml/2006/main">
          <a:off x="2057399" y="4667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0.2221</cdr:x>
      <cdr:y>0.08857</cdr:y>
    </cdr:from>
    <cdr:to>
      <cdr:x>0.28905</cdr:x>
      <cdr:y>0.14</cdr:y>
    </cdr:to>
    <cdr:sp macro="" textlink="">
      <cdr:nvSpPr>
        <cdr:cNvPr id="4" name="TextBox 3"/>
        <cdr:cNvSpPr txBox="1"/>
      </cdr:nvSpPr>
      <cdr:spPr>
        <a:xfrm xmlns:a="http://schemas.openxmlformats.org/drawingml/2006/main">
          <a:off x="1990724" y="590550"/>
          <a:ext cx="600075"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0.30818</cdr:x>
      <cdr:y>0.25286</cdr:y>
    </cdr:from>
    <cdr:to>
      <cdr:x>0.4102</cdr:x>
      <cdr:y>0.39</cdr:y>
    </cdr:to>
    <cdr:sp macro="" textlink="">
      <cdr:nvSpPr>
        <cdr:cNvPr id="6" name="TextBox 5"/>
        <cdr:cNvSpPr txBox="1"/>
      </cdr:nvSpPr>
      <cdr:spPr>
        <a:xfrm xmlns:a="http://schemas.openxmlformats.org/drawingml/2006/main">
          <a:off x="2762249" y="16859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0.56323</cdr:x>
      <cdr:y>0.42</cdr:y>
    </cdr:from>
    <cdr:to>
      <cdr:x>0.66525</cdr:x>
      <cdr:y>0.55714</cdr:y>
    </cdr:to>
    <cdr:sp macro="" textlink="">
      <cdr:nvSpPr>
        <cdr:cNvPr id="8" name="TextBox 7"/>
        <cdr:cNvSpPr txBox="1"/>
      </cdr:nvSpPr>
      <cdr:spPr>
        <a:xfrm xmlns:a="http://schemas.openxmlformats.org/drawingml/2006/main">
          <a:off x="5048249" y="28003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0.56111</cdr:x>
      <cdr:y>0.44286</cdr:y>
    </cdr:from>
    <cdr:to>
      <cdr:x>0.66312</cdr:x>
      <cdr:y>0.58</cdr:y>
    </cdr:to>
    <cdr:sp macro="" textlink="">
      <cdr:nvSpPr>
        <cdr:cNvPr id="9" name="TextBox 8"/>
        <cdr:cNvSpPr txBox="1"/>
      </cdr:nvSpPr>
      <cdr:spPr>
        <a:xfrm xmlns:a="http://schemas.openxmlformats.org/drawingml/2006/main">
          <a:off x="5029199" y="29527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0.55473</cdr:x>
      <cdr:y>0.47857</cdr:y>
    </cdr:from>
    <cdr:to>
      <cdr:x>0.65675</cdr:x>
      <cdr:y>0.61571</cdr:y>
    </cdr:to>
    <cdr:sp macro="" textlink="">
      <cdr:nvSpPr>
        <cdr:cNvPr id="10" name="TextBox 9"/>
        <cdr:cNvSpPr txBox="1"/>
      </cdr:nvSpPr>
      <cdr:spPr>
        <a:xfrm xmlns:a="http://schemas.openxmlformats.org/drawingml/2006/main">
          <a:off x="4972049" y="31908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0.40438</cdr:x>
      <cdr:y>0</cdr:y>
    </cdr:from>
    <cdr:to>
      <cdr:x>0.6317</cdr:x>
      <cdr:y>0.1093</cdr:y>
    </cdr:to>
    <cdr:sp macro="" textlink="">
      <cdr:nvSpPr>
        <cdr:cNvPr id="14" name="TextBox 13"/>
        <cdr:cNvSpPr txBox="1"/>
      </cdr:nvSpPr>
      <cdr:spPr>
        <a:xfrm xmlns:a="http://schemas.openxmlformats.org/drawingml/2006/main">
          <a:off x="3724574" y="0"/>
          <a:ext cx="2093798" cy="61319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endParaRPr lang="en-US" sz="1200" i="1"/>
        </a:p>
      </cdr:txBody>
    </cdr:sp>
  </cdr:relSizeAnchor>
  <cdr:relSizeAnchor xmlns:cdr="http://schemas.openxmlformats.org/drawingml/2006/chartDrawing">
    <cdr:from>
      <cdr:x>0.22954</cdr:x>
      <cdr:y>0.07</cdr:y>
    </cdr:from>
    <cdr:to>
      <cdr:x>0.33156</cdr:x>
      <cdr:y>0.20714</cdr:y>
    </cdr:to>
    <cdr:sp macro="" textlink="">
      <cdr:nvSpPr>
        <cdr:cNvPr id="5" name="TextBox 2"/>
        <cdr:cNvSpPr txBox="1"/>
      </cdr:nvSpPr>
      <cdr:spPr>
        <a:xfrm xmlns:a="http://schemas.openxmlformats.org/drawingml/2006/main">
          <a:off x="2057399" y="4667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0.2221</cdr:x>
      <cdr:y>0.08857</cdr:y>
    </cdr:from>
    <cdr:to>
      <cdr:x>0.28905</cdr:x>
      <cdr:y>0.14</cdr:y>
    </cdr:to>
    <cdr:sp macro="" textlink="">
      <cdr:nvSpPr>
        <cdr:cNvPr id="7" name="TextBox 3"/>
        <cdr:cNvSpPr txBox="1"/>
      </cdr:nvSpPr>
      <cdr:spPr>
        <a:xfrm xmlns:a="http://schemas.openxmlformats.org/drawingml/2006/main">
          <a:off x="1990724" y="590550"/>
          <a:ext cx="600075"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0.30818</cdr:x>
      <cdr:y>0.25286</cdr:y>
    </cdr:from>
    <cdr:to>
      <cdr:x>0.4102</cdr:x>
      <cdr:y>0.39</cdr:y>
    </cdr:to>
    <cdr:sp macro="" textlink="">
      <cdr:nvSpPr>
        <cdr:cNvPr id="11" name="TextBox 5"/>
        <cdr:cNvSpPr txBox="1"/>
      </cdr:nvSpPr>
      <cdr:spPr>
        <a:xfrm xmlns:a="http://schemas.openxmlformats.org/drawingml/2006/main">
          <a:off x="2762249" y="16859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0.56323</cdr:x>
      <cdr:y>0.42</cdr:y>
    </cdr:from>
    <cdr:to>
      <cdr:x>0.66525</cdr:x>
      <cdr:y>0.55714</cdr:y>
    </cdr:to>
    <cdr:sp macro="" textlink="">
      <cdr:nvSpPr>
        <cdr:cNvPr id="12" name="TextBox 7"/>
        <cdr:cNvSpPr txBox="1"/>
      </cdr:nvSpPr>
      <cdr:spPr>
        <a:xfrm xmlns:a="http://schemas.openxmlformats.org/drawingml/2006/main">
          <a:off x="5048249" y="28003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0.56111</cdr:x>
      <cdr:y>0.44286</cdr:y>
    </cdr:from>
    <cdr:to>
      <cdr:x>0.66312</cdr:x>
      <cdr:y>0.58</cdr:y>
    </cdr:to>
    <cdr:sp macro="" textlink="">
      <cdr:nvSpPr>
        <cdr:cNvPr id="13" name="TextBox 8"/>
        <cdr:cNvSpPr txBox="1"/>
      </cdr:nvSpPr>
      <cdr:spPr>
        <a:xfrm xmlns:a="http://schemas.openxmlformats.org/drawingml/2006/main">
          <a:off x="5029199" y="29527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0.55473</cdr:x>
      <cdr:y>0.47857</cdr:y>
    </cdr:from>
    <cdr:to>
      <cdr:x>0.65675</cdr:x>
      <cdr:y>0.61571</cdr:y>
    </cdr:to>
    <cdr:sp macro="" textlink="">
      <cdr:nvSpPr>
        <cdr:cNvPr id="15" name="TextBox 9"/>
        <cdr:cNvSpPr txBox="1"/>
      </cdr:nvSpPr>
      <cdr:spPr>
        <a:xfrm xmlns:a="http://schemas.openxmlformats.org/drawingml/2006/main">
          <a:off x="4972049" y="31908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0.40438</cdr:x>
      <cdr:y>0</cdr:y>
    </cdr:from>
    <cdr:to>
      <cdr:x>0.6317</cdr:x>
      <cdr:y>0.1093</cdr:y>
    </cdr:to>
    <cdr:sp macro="" textlink="">
      <cdr:nvSpPr>
        <cdr:cNvPr id="16" name="TextBox 13"/>
        <cdr:cNvSpPr txBox="1"/>
      </cdr:nvSpPr>
      <cdr:spPr>
        <a:xfrm xmlns:a="http://schemas.openxmlformats.org/drawingml/2006/main">
          <a:off x="3724574" y="0"/>
          <a:ext cx="2093798" cy="61319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endParaRPr lang="en-US" sz="1200" i="1"/>
        </a:p>
      </cdr:txBody>
    </cdr:sp>
  </cdr:relSizeAnchor>
  <cdr:relSizeAnchor xmlns:cdr="http://schemas.openxmlformats.org/drawingml/2006/chartDrawing">
    <cdr:from>
      <cdr:x>0.22954</cdr:x>
      <cdr:y>0.07</cdr:y>
    </cdr:from>
    <cdr:to>
      <cdr:x>0.33156</cdr:x>
      <cdr:y>0.20714</cdr:y>
    </cdr:to>
    <cdr:sp macro="" textlink="">
      <cdr:nvSpPr>
        <cdr:cNvPr id="18" name="TextBox 2"/>
        <cdr:cNvSpPr txBox="1"/>
      </cdr:nvSpPr>
      <cdr:spPr>
        <a:xfrm xmlns:a="http://schemas.openxmlformats.org/drawingml/2006/main">
          <a:off x="2057399" y="4667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0.2221</cdr:x>
      <cdr:y>0.08857</cdr:y>
    </cdr:from>
    <cdr:to>
      <cdr:x>0.28905</cdr:x>
      <cdr:y>0.14</cdr:y>
    </cdr:to>
    <cdr:sp macro="" textlink="">
      <cdr:nvSpPr>
        <cdr:cNvPr id="19" name="TextBox 3"/>
        <cdr:cNvSpPr txBox="1"/>
      </cdr:nvSpPr>
      <cdr:spPr>
        <a:xfrm xmlns:a="http://schemas.openxmlformats.org/drawingml/2006/main">
          <a:off x="1990724" y="590550"/>
          <a:ext cx="600075"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0.30818</cdr:x>
      <cdr:y>0.25286</cdr:y>
    </cdr:from>
    <cdr:to>
      <cdr:x>0.4102</cdr:x>
      <cdr:y>0.39</cdr:y>
    </cdr:to>
    <cdr:sp macro="" textlink="">
      <cdr:nvSpPr>
        <cdr:cNvPr id="20" name="TextBox 5"/>
        <cdr:cNvSpPr txBox="1"/>
      </cdr:nvSpPr>
      <cdr:spPr>
        <a:xfrm xmlns:a="http://schemas.openxmlformats.org/drawingml/2006/main">
          <a:off x="2762249" y="16859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0.56323</cdr:x>
      <cdr:y>0.42</cdr:y>
    </cdr:from>
    <cdr:to>
      <cdr:x>0.66525</cdr:x>
      <cdr:y>0.55714</cdr:y>
    </cdr:to>
    <cdr:sp macro="" textlink="">
      <cdr:nvSpPr>
        <cdr:cNvPr id="21" name="TextBox 7"/>
        <cdr:cNvSpPr txBox="1"/>
      </cdr:nvSpPr>
      <cdr:spPr>
        <a:xfrm xmlns:a="http://schemas.openxmlformats.org/drawingml/2006/main">
          <a:off x="5048249" y="28003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0.56111</cdr:x>
      <cdr:y>0.44286</cdr:y>
    </cdr:from>
    <cdr:to>
      <cdr:x>0.66312</cdr:x>
      <cdr:y>0.58</cdr:y>
    </cdr:to>
    <cdr:sp macro="" textlink="">
      <cdr:nvSpPr>
        <cdr:cNvPr id="22" name="TextBox 8"/>
        <cdr:cNvSpPr txBox="1"/>
      </cdr:nvSpPr>
      <cdr:spPr>
        <a:xfrm xmlns:a="http://schemas.openxmlformats.org/drawingml/2006/main">
          <a:off x="5029199" y="29527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0.55473</cdr:x>
      <cdr:y>0.47857</cdr:y>
    </cdr:from>
    <cdr:to>
      <cdr:x>0.65675</cdr:x>
      <cdr:y>0.61571</cdr:y>
    </cdr:to>
    <cdr:sp macro="" textlink="">
      <cdr:nvSpPr>
        <cdr:cNvPr id="23" name="TextBox 9"/>
        <cdr:cNvSpPr txBox="1"/>
      </cdr:nvSpPr>
      <cdr:spPr>
        <a:xfrm xmlns:a="http://schemas.openxmlformats.org/drawingml/2006/main">
          <a:off x="4972049" y="31908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0.40438</cdr:x>
      <cdr:y>0</cdr:y>
    </cdr:from>
    <cdr:to>
      <cdr:x>0.6317</cdr:x>
      <cdr:y>0.1093</cdr:y>
    </cdr:to>
    <cdr:sp macro="" textlink="">
      <cdr:nvSpPr>
        <cdr:cNvPr id="24" name="TextBox 13"/>
        <cdr:cNvSpPr txBox="1"/>
      </cdr:nvSpPr>
      <cdr:spPr>
        <a:xfrm xmlns:a="http://schemas.openxmlformats.org/drawingml/2006/main">
          <a:off x="3724574" y="0"/>
          <a:ext cx="2093798" cy="61319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endParaRPr lang="en-US" sz="1200" i="1"/>
        </a:p>
      </cdr:txBody>
    </cdr:sp>
  </cdr:relSizeAnchor>
</c:userShapes>
</file>

<file path=word/drawings/drawing2.xml><?xml version="1.0" encoding="utf-8"?>
<c:userShapes xmlns:c="http://schemas.openxmlformats.org/drawingml/2006/chart">
  <cdr:relSizeAnchor xmlns:cdr="http://schemas.openxmlformats.org/drawingml/2006/chartDrawing">
    <cdr:from>
      <cdr:x>0.22992</cdr:x>
      <cdr:y>0.11333</cdr:y>
    </cdr:from>
    <cdr:to>
      <cdr:x>0.50498</cdr:x>
      <cdr:y>0.15609</cdr:y>
    </cdr:to>
    <cdr:sp macro="" textlink="">
      <cdr:nvSpPr>
        <cdr:cNvPr id="12289" name="Text Box 1"/>
        <cdr:cNvSpPr txBox="1">
          <a:spLocks xmlns:a="http://schemas.openxmlformats.org/drawingml/2006/main" noChangeArrowheads="1"/>
        </cdr:cNvSpPr>
      </cdr:nvSpPr>
      <cdr:spPr bwMode="auto">
        <a:xfrm xmlns:a="http://schemas.openxmlformats.org/drawingml/2006/main">
          <a:off x="2060812" y="755636"/>
          <a:ext cx="2465369" cy="28510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0" tIns="22860" rIns="27432" bIns="0" anchor="t" upright="1"/>
        <a:lstStyle xmlns:a="http://schemas.openxmlformats.org/drawingml/2006/main"/>
        <a:p xmlns:a="http://schemas.openxmlformats.org/drawingml/2006/main">
          <a:endParaRPr lang="en-US"/>
        </a:p>
      </cdr:txBody>
    </cdr:sp>
  </cdr:relSizeAnchor>
  <cdr:relSizeAnchor xmlns:cdr="http://schemas.openxmlformats.org/drawingml/2006/chartDrawing">
    <cdr:from>
      <cdr:x>0.22954</cdr:x>
      <cdr:y>0.07</cdr:y>
    </cdr:from>
    <cdr:to>
      <cdr:x>0.33156</cdr:x>
      <cdr:y>0.20714</cdr:y>
    </cdr:to>
    <cdr:sp macro="" textlink="">
      <cdr:nvSpPr>
        <cdr:cNvPr id="3" name="TextBox 2"/>
        <cdr:cNvSpPr txBox="1"/>
      </cdr:nvSpPr>
      <cdr:spPr>
        <a:xfrm xmlns:a="http://schemas.openxmlformats.org/drawingml/2006/main">
          <a:off x="2057399" y="4667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0.2221</cdr:x>
      <cdr:y>0.08857</cdr:y>
    </cdr:from>
    <cdr:to>
      <cdr:x>0.28905</cdr:x>
      <cdr:y>0.14</cdr:y>
    </cdr:to>
    <cdr:sp macro="" textlink="">
      <cdr:nvSpPr>
        <cdr:cNvPr id="4" name="TextBox 3"/>
        <cdr:cNvSpPr txBox="1"/>
      </cdr:nvSpPr>
      <cdr:spPr>
        <a:xfrm xmlns:a="http://schemas.openxmlformats.org/drawingml/2006/main">
          <a:off x="1990724" y="590550"/>
          <a:ext cx="600075"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0.30818</cdr:x>
      <cdr:y>0.25286</cdr:y>
    </cdr:from>
    <cdr:to>
      <cdr:x>0.4102</cdr:x>
      <cdr:y>0.39</cdr:y>
    </cdr:to>
    <cdr:sp macro="" textlink="">
      <cdr:nvSpPr>
        <cdr:cNvPr id="6" name="TextBox 5"/>
        <cdr:cNvSpPr txBox="1"/>
      </cdr:nvSpPr>
      <cdr:spPr>
        <a:xfrm xmlns:a="http://schemas.openxmlformats.org/drawingml/2006/main">
          <a:off x="2762249" y="16859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0.56323</cdr:x>
      <cdr:y>0.42</cdr:y>
    </cdr:from>
    <cdr:to>
      <cdr:x>0.66525</cdr:x>
      <cdr:y>0.55714</cdr:y>
    </cdr:to>
    <cdr:sp macro="" textlink="">
      <cdr:nvSpPr>
        <cdr:cNvPr id="8" name="TextBox 7"/>
        <cdr:cNvSpPr txBox="1"/>
      </cdr:nvSpPr>
      <cdr:spPr>
        <a:xfrm xmlns:a="http://schemas.openxmlformats.org/drawingml/2006/main">
          <a:off x="5048249" y="28003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0.56111</cdr:x>
      <cdr:y>0.44286</cdr:y>
    </cdr:from>
    <cdr:to>
      <cdr:x>0.66312</cdr:x>
      <cdr:y>0.58</cdr:y>
    </cdr:to>
    <cdr:sp macro="" textlink="">
      <cdr:nvSpPr>
        <cdr:cNvPr id="9" name="TextBox 8"/>
        <cdr:cNvSpPr txBox="1"/>
      </cdr:nvSpPr>
      <cdr:spPr>
        <a:xfrm xmlns:a="http://schemas.openxmlformats.org/drawingml/2006/main">
          <a:off x="5029199" y="29527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0.55473</cdr:x>
      <cdr:y>0.47857</cdr:y>
    </cdr:from>
    <cdr:to>
      <cdr:x>0.65675</cdr:x>
      <cdr:y>0.61571</cdr:y>
    </cdr:to>
    <cdr:sp macro="" textlink="">
      <cdr:nvSpPr>
        <cdr:cNvPr id="10" name="TextBox 9"/>
        <cdr:cNvSpPr txBox="1"/>
      </cdr:nvSpPr>
      <cdr:spPr>
        <a:xfrm xmlns:a="http://schemas.openxmlformats.org/drawingml/2006/main">
          <a:off x="4972049" y="31908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0.40438</cdr:x>
      <cdr:y>0</cdr:y>
    </cdr:from>
    <cdr:to>
      <cdr:x>0.6317</cdr:x>
      <cdr:y>0.1093</cdr:y>
    </cdr:to>
    <cdr:sp macro="" textlink="">
      <cdr:nvSpPr>
        <cdr:cNvPr id="14" name="TextBox 13"/>
        <cdr:cNvSpPr txBox="1"/>
      </cdr:nvSpPr>
      <cdr:spPr>
        <a:xfrm xmlns:a="http://schemas.openxmlformats.org/drawingml/2006/main">
          <a:off x="3724574" y="0"/>
          <a:ext cx="2093798" cy="61319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endParaRPr lang="en-US" sz="1200" i="1"/>
        </a:p>
      </cdr:txBody>
    </cdr:sp>
  </cdr:relSizeAnchor>
  <cdr:relSizeAnchor xmlns:cdr="http://schemas.openxmlformats.org/drawingml/2006/chartDrawing">
    <cdr:from>
      <cdr:x>0.22992</cdr:x>
      <cdr:y>0.11333</cdr:y>
    </cdr:from>
    <cdr:to>
      <cdr:x>0.50498</cdr:x>
      <cdr:y>0.15609</cdr:y>
    </cdr:to>
    <cdr:sp macro="" textlink="">
      <cdr:nvSpPr>
        <cdr:cNvPr id="2" name="Text Box 1"/>
        <cdr:cNvSpPr txBox="1">
          <a:spLocks xmlns:a="http://schemas.openxmlformats.org/drawingml/2006/main" noChangeArrowheads="1"/>
        </cdr:cNvSpPr>
      </cdr:nvSpPr>
      <cdr:spPr bwMode="auto">
        <a:xfrm xmlns:a="http://schemas.openxmlformats.org/drawingml/2006/main">
          <a:off x="2060812" y="755636"/>
          <a:ext cx="2465369" cy="28510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0" tIns="22860" rIns="27432" bIns="0" anchor="t" upright="1"/>
        <a:lstStyle xmlns:a="http://schemas.openxmlformats.org/drawingml/2006/main"/>
        <a:p xmlns:a="http://schemas.openxmlformats.org/drawingml/2006/main">
          <a:endParaRPr lang="en-US"/>
        </a:p>
      </cdr:txBody>
    </cdr:sp>
  </cdr:relSizeAnchor>
  <cdr:relSizeAnchor xmlns:cdr="http://schemas.openxmlformats.org/drawingml/2006/chartDrawing">
    <cdr:from>
      <cdr:x>0.22954</cdr:x>
      <cdr:y>0.07</cdr:y>
    </cdr:from>
    <cdr:to>
      <cdr:x>0.33156</cdr:x>
      <cdr:y>0.20714</cdr:y>
    </cdr:to>
    <cdr:sp macro="" textlink="">
      <cdr:nvSpPr>
        <cdr:cNvPr id="5" name="TextBox 2"/>
        <cdr:cNvSpPr txBox="1"/>
      </cdr:nvSpPr>
      <cdr:spPr>
        <a:xfrm xmlns:a="http://schemas.openxmlformats.org/drawingml/2006/main">
          <a:off x="2057399" y="4667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0.2221</cdr:x>
      <cdr:y>0.08857</cdr:y>
    </cdr:from>
    <cdr:to>
      <cdr:x>0.28905</cdr:x>
      <cdr:y>0.14</cdr:y>
    </cdr:to>
    <cdr:sp macro="" textlink="">
      <cdr:nvSpPr>
        <cdr:cNvPr id="7" name="TextBox 3"/>
        <cdr:cNvSpPr txBox="1"/>
      </cdr:nvSpPr>
      <cdr:spPr>
        <a:xfrm xmlns:a="http://schemas.openxmlformats.org/drawingml/2006/main">
          <a:off x="1990724" y="590550"/>
          <a:ext cx="600075"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0.30818</cdr:x>
      <cdr:y>0.25286</cdr:y>
    </cdr:from>
    <cdr:to>
      <cdr:x>0.4102</cdr:x>
      <cdr:y>0.39</cdr:y>
    </cdr:to>
    <cdr:sp macro="" textlink="">
      <cdr:nvSpPr>
        <cdr:cNvPr id="11" name="TextBox 5"/>
        <cdr:cNvSpPr txBox="1"/>
      </cdr:nvSpPr>
      <cdr:spPr>
        <a:xfrm xmlns:a="http://schemas.openxmlformats.org/drawingml/2006/main">
          <a:off x="2762249" y="16859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0.56323</cdr:x>
      <cdr:y>0.42</cdr:y>
    </cdr:from>
    <cdr:to>
      <cdr:x>0.66525</cdr:x>
      <cdr:y>0.55714</cdr:y>
    </cdr:to>
    <cdr:sp macro="" textlink="">
      <cdr:nvSpPr>
        <cdr:cNvPr id="12" name="TextBox 7"/>
        <cdr:cNvSpPr txBox="1"/>
      </cdr:nvSpPr>
      <cdr:spPr>
        <a:xfrm xmlns:a="http://schemas.openxmlformats.org/drawingml/2006/main">
          <a:off x="5048249" y="28003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0.56111</cdr:x>
      <cdr:y>0.44286</cdr:y>
    </cdr:from>
    <cdr:to>
      <cdr:x>0.66312</cdr:x>
      <cdr:y>0.58</cdr:y>
    </cdr:to>
    <cdr:sp macro="" textlink="">
      <cdr:nvSpPr>
        <cdr:cNvPr id="13" name="TextBox 8"/>
        <cdr:cNvSpPr txBox="1"/>
      </cdr:nvSpPr>
      <cdr:spPr>
        <a:xfrm xmlns:a="http://schemas.openxmlformats.org/drawingml/2006/main">
          <a:off x="5029199" y="29527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0.55473</cdr:x>
      <cdr:y>0.47857</cdr:y>
    </cdr:from>
    <cdr:to>
      <cdr:x>0.65675</cdr:x>
      <cdr:y>0.61571</cdr:y>
    </cdr:to>
    <cdr:sp macro="" textlink="">
      <cdr:nvSpPr>
        <cdr:cNvPr id="15" name="TextBox 9"/>
        <cdr:cNvSpPr txBox="1"/>
      </cdr:nvSpPr>
      <cdr:spPr>
        <a:xfrm xmlns:a="http://schemas.openxmlformats.org/drawingml/2006/main">
          <a:off x="4972049" y="31908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0.40438</cdr:x>
      <cdr:y>0</cdr:y>
    </cdr:from>
    <cdr:to>
      <cdr:x>0.6317</cdr:x>
      <cdr:y>0.1093</cdr:y>
    </cdr:to>
    <cdr:sp macro="" textlink="">
      <cdr:nvSpPr>
        <cdr:cNvPr id="16" name="TextBox 13"/>
        <cdr:cNvSpPr txBox="1"/>
      </cdr:nvSpPr>
      <cdr:spPr>
        <a:xfrm xmlns:a="http://schemas.openxmlformats.org/drawingml/2006/main">
          <a:off x="3724574" y="0"/>
          <a:ext cx="2093798" cy="61319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endParaRPr lang="en-US" sz="1200" i="1"/>
        </a:p>
      </cdr:txBody>
    </cdr:sp>
  </cdr:relSizeAnchor>
  <cdr:relSizeAnchor xmlns:cdr="http://schemas.openxmlformats.org/drawingml/2006/chartDrawing">
    <cdr:from>
      <cdr:x>0.22954</cdr:x>
      <cdr:y>0.07</cdr:y>
    </cdr:from>
    <cdr:to>
      <cdr:x>0.33156</cdr:x>
      <cdr:y>0.20714</cdr:y>
    </cdr:to>
    <cdr:sp macro="" textlink="">
      <cdr:nvSpPr>
        <cdr:cNvPr id="18" name="TextBox 2"/>
        <cdr:cNvSpPr txBox="1"/>
      </cdr:nvSpPr>
      <cdr:spPr>
        <a:xfrm xmlns:a="http://schemas.openxmlformats.org/drawingml/2006/main">
          <a:off x="2057399" y="4667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0.2221</cdr:x>
      <cdr:y>0.08857</cdr:y>
    </cdr:from>
    <cdr:to>
      <cdr:x>0.28905</cdr:x>
      <cdr:y>0.14</cdr:y>
    </cdr:to>
    <cdr:sp macro="" textlink="">
      <cdr:nvSpPr>
        <cdr:cNvPr id="19" name="TextBox 3"/>
        <cdr:cNvSpPr txBox="1"/>
      </cdr:nvSpPr>
      <cdr:spPr>
        <a:xfrm xmlns:a="http://schemas.openxmlformats.org/drawingml/2006/main">
          <a:off x="1990724" y="590550"/>
          <a:ext cx="600075"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0.30818</cdr:x>
      <cdr:y>0.25286</cdr:y>
    </cdr:from>
    <cdr:to>
      <cdr:x>0.4102</cdr:x>
      <cdr:y>0.39</cdr:y>
    </cdr:to>
    <cdr:sp macro="" textlink="">
      <cdr:nvSpPr>
        <cdr:cNvPr id="20" name="TextBox 5"/>
        <cdr:cNvSpPr txBox="1"/>
      </cdr:nvSpPr>
      <cdr:spPr>
        <a:xfrm xmlns:a="http://schemas.openxmlformats.org/drawingml/2006/main">
          <a:off x="2762249" y="16859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0.56323</cdr:x>
      <cdr:y>0.42</cdr:y>
    </cdr:from>
    <cdr:to>
      <cdr:x>0.66525</cdr:x>
      <cdr:y>0.55714</cdr:y>
    </cdr:to>
    <cdr:sp macro="" textlink="">
      <cdr:nvSpPr>
        <cdr:cNvPr id="21" name="TextBox 7"/>
        <cdr:cNvSpPr txBox="1"/>
      </cdr:nvSpPr>
      <cdr:spPr>
        <a:xfrm xmlns:a="http://schemas.openxmlformats.org/drawingml/2006/main">
          <a:off x="5048249" y="28003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0.56111</cdr:x>
      <cdr:y>0.44286</cdr:y>
    </cdr:from>
    <cdr:to>
      <cdr:x>0.66312</cdr:x>
      <cdr:y>0.58</cdr:y>
    </cdr:to>
    <cdr:sp macro="" textlink="">
      <cdr:nvSpPr>
        <cdr:cNvPr id="22" name="TextBox 8"/>
        <cdr:cNvSpPr txBox="1"/>
      </cdr:nvSpPr>
      <cdr:spPr>
        <a:xfrm xmlns:a="http://schemas.openxmlformats.org/drawingml/2006/main">
          <a:off x="5029199" y="29527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0.55473</cdr:x>
      <cdr:y>0.47857</cdr:y>
    </cdr:from>
    <cdr:to>
      <cdr:x>0.65675</cdr:x>
      <cdr:y>0.61571</cdr:y>
    </cdr:to>
    <cdr:sp macro="" textlink="">
      <cdr:nvSpPr>
        <cdr:cNvPr id="23" name="TextBox 9"/>
        <cdr:cNvSpPr txBox="1"/>
      </cdr:nvSpPr>
      <cdr:spPr>
        <a:xfrm xmlns:a="http://schemas.openxmlformats.org/drawingml/2006/main">
          <a:off x="4972049" y="31908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0.40438</cdr:x>
      <cdr:y>0</cdr:y>
    </cdr:from>
    <cdr:to>
      <cdr:x>0.6317</cdr:x>
      <cdr:y>0.1093</cdr:y>
    </cdr:to>
    <cdr:sp macro="" textlink="">
      <cdr:nvSpPr>
        <cdr:cNvPr id="24" name="TextBox 13"/>
        <cdr:cNvSpPr txBox="1"/>
      </cdr:nvSpPr>
      <cdr:spPr>
        <a:xfrm xmlns:a="http://schemas.openxmlformats.org/drawingml/2006/main">
          <a:off x="3724574" y="0"/>
          <a:ext cx="2093798" cy="61319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endParaRPr lang="en-US" sz="1200" i="1"/>
        </a:p>
      </cdr:txBody>
    </cdr:sp>
  </cdr:relSizeAnchor>
</c:userShapes>
</file>

<file path=word/drawings/drawing3.xml><?xml version="1.0" encoding="utf-8"?>
<c:userShapes xmlns:c="http://schemas.openxmlformats.org/drawingml/2006/chart">
  <cdr:relSizeAnchor xmlns:cdr="http://schemas.openxmlformats.org/drawingml/2006/chartDrawing">
    <cdr:from>
      <cdr:x>0.22992</cdr:x>
      <cdr:y>0.11333</cdr:y>
    </cdr:from>
    <cdr:to>
      <cdr:x>0.50498</cdr:x>
      <cdr:y>0.15609</cdr:y>
    </cdr:to>
    <cdr:sp macro="" textlink="">
      <cdr:nvSpPr>
        <cdr:cNvPr id="12289" name="Text Box 1"/>
        <cdr:cNvSpPr txBox="1">
          <a:spLocks xmlns:a="http://schemas.openxmlformats.org/drawingml/2006/main" noChangeArrowheads="1"/>
        </cdr:cNvSpPr>
      </cdr:nvSpPr>
      <cdr:spPr bwMode="auto">
        <a:xfrm xmlns:a="http://schemas.openxmlformats.org/drawingml/2006/main">
          <a:off x="2060812" y="755636"/>
          <a:ext cx="2465369" cy="28510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0" tIns="22860" rIns="27432" bIns="0" anchor="t" upright="1"/>
        <a:lstStyle xmlns:a="http://schemas.openxmlformats.org/drawingml/2006/main"/>
        <a:p xmlns:a="http://schemas.openxmlformats.org/drawingml/2006/main">
          <a:endParaRPr lang="en-US"/>
        </a:p>
      </cdr:txBody>
    </cdr:sp>
  </cdr:relSizeAnchor>
  <cdr:relSizeAnchor xmlns:cdr="http://schemas.openxmlformats.org/drawingml/2006/chartDrawing">
    <cdr:from>
      <cdr:x>0.22954</cdr:x>
      <cdr:y>0.07</cdr:y>
    </cdr:from>
    <cdr:to>
      <cdr:x>0.33156</cdr:x>
      <cdr:y>0.20714</cdr:y>
    </cdr:to>
    <cdr:sp macro="" textlink="">
      <cdr:nvSpPr>
        <cdr:cNvPr id="3" name="TextBox 2"/>
        <cdr:cNvSpPr txBox="1"/>
      </cdr:nvSpPr>
      <cdr:spPr>
        <a:xfrm xmlns:a="http://schemas.openxmlformats.org/drawingml/2006/main">
          <a:off x="2057399" y="4667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0.2221</cdr:x>
      <cdr:y>0.08857</cdr:y>
    </cdr:from>
    <cdr:to>
      <cdr:x>0.28905</cdr:x>
      <cdr:y>0.14</cdr:y>
    </cdr:to>
    <cdr:sp macro="" textlink="">
      <cdr:nvSpPr>
        <cdr:cNvPr id="4" name="TextBox 3"/>
        <cdr:cNvSpPr txBox="1"/>
      </cdr:nvSpPr>
      <cdr:spPr>
        <a:xfrm xmlns:a="http://schemas.openxmlformats.org/drawingml/2006/main">
          <a:off x="1990724" y="590550"/>
          <a:ext cx="600075"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0.30818</cdr:x>
      <cdr:y>0.25286</cdr:y>
    </cdr:from>
    <cdr:to>
      <cdr:x>0.4102</cdr:x>
      <cdr:y>0.39</cdr:y>
    </cdr:to>
    <cdr:sp macro="" textlink="">
      <cdr:nvSpPr>
        <cdr:cNvPr id="6" name="TextBox 5"/>
        <cdr:cNvSpPr txBox="1"/>
      </cdr:nvSpPr>
      <cdr:spPr>
        <a:xfrm xmlns:a="http://schemas.openxmlformats.org/drawingml/2006/main">
          <a:off x="2762249" y="16859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0.56323</cdr:x>
      <cdr:y>0.42</cdr:y>
    </cdr:from>
    <cdr:to>
      <cdr:x>0.66525</cdr:x>
      <cdr:y>0.55714</cdr:y>
    </cdr:to>
    <cdr:sp macro="" textlink="">
      <cdr:nvSpPr>
        <cdr:cNvPr id="8" name="TextBox 7"/>
        <cdr:cNvSpPr txBox="1"/>
      </cdr:nvSpPr>
      <cdr:spPr>
        <a:xfrm xmlns:a="http://schemas.openxmlformats.org/drawingml/2006/main">
          <a:off x="5048249" y="28003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0.56111</cdr:x>
      <cdr:y>0.44286</cdr:y>
    </cdr:from>
    <cdr:to>
      <cdr:x>0.66312</cdr:x>
      <cdr:y>0.58</cdr:y>
    </cdr:to>
    <cdr:sp macro="" textlink="">
      <cdr:nvSpPr>
        <cdr:cNvPr id="9" name="TextBox 8"/>
        <cdr:cNvSpPr txBox="1"/>
      </cdr:nvSpPr>
      <cdr:spPr>
        <a:xfrm xmlns:a="http://schemas.openxmlformats.org/drawingml/2006/main">
          <a:off x="5029199" y="29527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0.55473</cdr:x>
      <cdr:y>0.47857</cdr:y>
    </cdr:from>
    <cdr:to>
      <cdr:x>0.65675</cdr:x>
      <cdr:y>0.61571</cdr:y>
    </cdr:to>
    <cdr:sp macro="" textlink="">
      <cdr:nvSpPr>
        <cdr:cNvPr id="10" name="TextBox 9"/>
        <cdr:cNvSpPr txBox="1"/>
      </cdr:nvSpPr>
      <cdr:spPr>
        <a:xfrm xmlns:a="http://schemas.openxmlformats.org/drawingml/2006/main">
          <a:off x="4972049" y="31908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0.40438</cdr:x>
      <cdr:y>0</cdr:y>
    </cdr:from>
    <cdr:to>
      <cdr:x>0.6317</cdr:x>
      <cdr:y>0.1093</cdr:y>
    </cdr:to>
    <cdr:sp macro="" textlink="">
      <cdr:nvSpPr>
        <cdr:cNvPr id="14" name="TextBox 13"/>
        <cdr:cNvSpPr txBox="1"/>
      </cdr:nvSpPr>
      <cdr:spPr>
        <a:xfrm xmlns:a="http://schemas.openxmlformats.org/drawingml/2006/main">
          <a:off x="3724574" y="0"/>
          <a:ext cx="2093798" cy="61319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endParaRPr lang="en-US" sz="1200" i="1"/>
        </a:p>
      </cdr:txBody>
    </cdr:sp>
  </cdr:relSizeAnchor>
  <cdr:relSizeAnchor xmlns:cdr="http://schemas.openxmlformats.org/drawingml/2006/chartDrawing">
    <cdr:from>
      <cdr:x>0.22954</cdr:x>
      <cdr:y>0.07</cdr:y>
    </cdr:from>
    <cdr:to>
      <cdr:x>0.33156</cdr:x>
      <cdr:y>0.20714</cdr:y>
    </cdr:to>
    <cdr:sp macro="" textlink="">
      <cdr:nvSpPr>
        <cdr:cNvPr id="5" name="TextBox 2"/>
        <cdr:cNvSpPr txBox="1"/>
      </cdr:nvSpPr>
      <cdr:spPr>
        <a:xfrm xmlns:a="http://schemas.openxmlformats.org/drawingml/2006/main">
          <a:off x="2057399" y="4667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0.2221</cdr:x>
      <cdr:y>0.08857</cdr:y>
    </cdr:from>
    <cdr:to>
      <cdr:x>0.28905</cdr:x>
      <cdr:y>0.14</cdr:y>
    </cdr:to>
    <cdr:sp macro="" textlink="">
      <cdr:nvSpPr>
        <cdr:cNvPr id="7" name="TextBox 3"/>
        <cdr:cNvSpPr txBox="1"/>
      </cdr:nvSpPr>
      <cdr:spPr>
        <a:xfrm xmlns:a="http://schemas.openxmlformats.org/drawingml/2006/main">
          <a:off x="1990724" y="590550"/>
          <a:ext cx="600075"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0.30818</cdr:x>
      <cdr:y>0.25286</cdr:y>
    </cdr:from>
    <cdr:to>
      <cdr:x>0.4102</cdr:x>
      <cdr:y>0.39</cdr:y>
    </cdr:to>
    <cdr:sp macro="" textlink="">
      <cdr:nvSpPr>
        <cdr:cNvPr id="11" name="TextBox 5"/>
        <cdr:cNvSpPr txBox="1"/>
      </cdr:nvSpPr>
      <cdr:spPr>
        <a:xfrm xmlns:a="http://schemas.openxmlformats.org/drawingml/2006/main">
          <a:off x="2762249" y="16859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0.56323</cdr:x>
      <cdr:y>0.42</cdr:y>
    </cdr:from>
    <cdr:to>
      <cdr:x>0.66525</cdr:x>
      <cdr:y>0.55714</cdr:y>
    </cdr:to>
    <cdr:sp macro="" textlink="">
      <cdr:nvSpPr>
        <cdr:cNvPr id="12" name="TextBox 7"/>
        <cdr:cNvSpPr txBox="1"/>
      </cdr:nvSpPr>
      <cdr:spPr>
        <a:xfrm xmlns:a="http://schemas.openxmlformats.org/drawingml/2006/main">
          <a:off x="5048249" y="28003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0.56111</cdr:x>
      <cdr:y>0.44286</cdr:y>
    </cdr:from>
    <cdr:to>
      <cdr:x>0.66312</cdr:x>
      <cdr:y>0.58</cdr:y>
    </cdr:to>
    <cdr:sp macro="" textlink="">
      <cdr:nvSpPr>
        <cdr:cNvPr id="13" name="TextBox 8"/>
        <cdr:cNvSpPr txBox="1"/>
      </cdr:nvSpPr>
      <cdr:spPr>
        <a:xfrm xmlns:a="http://schemas.openxmlformats.org/drawingml/2006/main">
          <a:off x="5029199" y="29527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0.55473</cdr:x>
      <cdr:y>0.47857</cdr:y>
    </cdr:from>
    <cdr:to>
      <cdr:x>0.65675</cdr:x>
      <cdr:y>0.61571</cdr:y>
    </cdr:to>
    <cdr:sp macro="" textlink="">
      <cdr:nvSpPr>
        <cdr:cNvPr id="15" name="TextBox 9"/>
        <cdr:cNvSpPr txBox="1"/>
      </cdr:nvSpPr>
      <cdr:spPr>
        <a:xfrm xmlns:a="http://schemas.openxmlformats.org/drawingml/2006/main">
          <a:off x="4972049" y="31908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0.40438</cdr:x>
      <cdr:y>0</cdr:y>
    </cdr:from>
    <cdr:to>
      <cdr:x>0.6317</cdr:x>
      <cdr:y>0.1093</cdr:y>
    </cdr:to>
    <cdr:sp macro="" textlink="">
      <cdr:nvSpPr>
        <cdr:cNvPr id="16" name="TextBox 13"/>
        <cdr:cNvSpPr txBox="1"/>
      </cdr:nvSpPr>
      <cdr:spPr>
        <a:xfrm xmlns:a="http://schemas.openxmlformats.org/drawingml/2006/main">
          <a:off x="3724574" y="0"/>
          <a:ext cx="2093798" cy="61319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endParaRPr lang="en-US" sz="1200" i="1"/>
        </a:p>
      </cdr:txBody>
    </cdr:sp>
  </cdr:relSizeAnchor>
  <cdr:relSizeAnchor xmlns:cdr="http://schemas.openxmlformats.org/drawingml/2006/chartDrawing">
    <cdr:from>
      <cdr:x>0.22954</cdr:x>
      <cdr:y>0.07</cdr:y>
    </cdr:from>
    <cdr:to>
      <cdr:x>0.33156</cdr:x>
      <cdr:y>0.20714</cdr:y>
    </cdr:to>
    <cdr:sp macro="" textlink="">
      <cdr:nvSpPr>
        <cdr:cNvPr id="18" name="TextBox 2"/>
        <cdr:cNvSpPr txBox="1"/>
      </cdr:nvSpPr>
      <cdr:spPr>
        <a:xfrm xmlns:a="http://schemas.openxmlformats.org/drawingml/2006/main">
          <a:off x="2057399" y="4667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0.2221</cdr:x>
      <cdr:y>0.08857</cdr:y>
    </cdr:from>
    <cdr:to>
      <cdr:x>0.28905</cdr:x>
      <cdr:y>0.14</cdr:y>
    </cdr:to>
    <cdr:sp macro="" textlink="">
      <cdr:nvSpPr>
        <cdr:cNvPr id="19" name="TextBox 3"/>
        <cdr:cNvSpPr txBox="1"/>
      </cdr:nvSpPr>
      <cdr:spPr>
        <a:xfrm xmlns:a="http://schemas.openxmlformats.org/drawingml/2006/main">
          <a:off x="1990724" y="590550"/>
          <a:ext cx="600075"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0.30818</cdr:x>
      <cdr:y>0.25286</cdr:y>
    </cdr:from>
    <cdr:to>
      <cdr:x>0.4102</cdr:x>
      <cdr:y>0.39</cdr:y>
    </cdr:to>
    <cdr:sp macro="" textlink="">
      <cdr:nvSpPr>
        <cdr:cNvPr id="20" name="TextBox 5"/>
        <cdr:cNvSpPr txBox="1"/>
      </cdr:nvSpPr>
      <cdr:spPr>
        <a:xfrm xmlns:a="http://schemas.openxmlformats.org/drawingml/2006/main">
          <a:off x="2762249" y="16859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0.56323</cdr:x>
      <cdr:y>0.42</cdr:y>
    </cdr:from>
    <cdr:to>
      <cdr:x>0.66525</cdr:x>
      <cdr:y>0.55714</cdr:y>
    </cdr:to>
    <cdr:sp macro="" textlink="">
      <cdr:nvSpPr>
        <cdr:cNvPr id="21" name="TextBox 7"/>
        <cdr:cNvSpPr txBox="1"/>
      </cdr:nvSpPr>
      <cdr:spPr>
        <a:xfrm xmlns:a="http://schemas.openxmlformats.org/drawingml/2006/main">
          <a:off x="5048249" y="28003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0.56111</cdr:x>
      <cdr:y>0.44286</cdr:y>
    </cdr:from>
    <cdr:to>
      <cdr:x>0.66312</cdr:x>
      <cdr:y>0.58</cdr:y>
    </cdr:to>
    <cdr:sp macro="" textlink="">
      <cdr:nvSpPr>
        <cdr:cNvPr id="22" name="TextBox 8"/>
        <cdr:cNvSpPr txBox="1"/>
      </cdr:nvSpPr>
      <cdr:spPr>
        <a:xfrm xmlns:a="http://schemas.openxmlformats.org/drawingml/2006/main">
          <a:off x="5029199" y="29527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0.55473</cdr:x>
      <cdr:y>0.47857</cdr:y>
    </cdr:from>
    <cdr:to>
      <cdr:x>0.65675</cdr:x>
      <cdr:y>0.61571</cdr:y>
    </cdr:to>
    <cdr:sp macro="" textlink="">
      <cdr:nvSpPr>
        <cdr:cNvPr id="23" name="TextBox 9"/>
        <cdr:cNvSpPr txBox="1"/>
      </cdr:nvSpPr>
      <cdr:spPr>
        <a:xfrm xmlns:a="http://schemas.openxmlformats.org/drawingml/2006/main">
          <a:off x="4972049" y="31908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0.40438</cdr:x>
      <cdr:y>0</cdr:y>
    </cdr:from>
    <cdr:to>
      <cdr:x>0.6317</cdr:x>
      <cdr:y>0.1093</cdr:y>
    </cdr:to>
    <cdr:sp macro="" textlink="">
      <cdr:nvSpPr>
        <cdr:cNvPr id="24" name="TextBox 13"/>
        <cdr:cNvSpPr txBox="1"/>
      </cdr:nvSpPr>
      <cdr:spPr>
        <a:xfrm xmlns:a="http://schemas.openxmlformats.org/drawingml/2006/main">
          <a:off x="3724574" y="0"/>
          <a:ext cx="2093798" cy="61319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endParaRPr lang="en-US" sz="1200" i="1"/>
        </a:p>
      </cdr:txBody>
    </cdr:sp>
  </cdr:relSizeAnchor>
</c:userShapes>
</file>

<file path=word/drawings/drawing4.xml><?xml version="1.0" encoding="utf-8"?>
<c:userShapes xmlns:c="http://schemas.openxmlformats.org/drawingml/2006/chart">
  <cdr:relSizeAnchor xmlns:cdr="http://schemas.openxmlformats.org/drawingml/2006/chartDrawing">
    <cdr:from>
      <cdr:x>0.22992</cdr:x>
      <cdr:y>0.11333</cdr:y>
    </cdr:from>
    <cdr:to>
      <cdr:x>0.50498</cdr:x>
      <cdr:y>0.15609</cdr:y>
    </cdr:to>
    <cdr:sp macro="" textlink="">
      <cdr:nvSpPr>
        <cdr:cNvPr id="12289" name="Text Box 1"/>
        <cdr:cNvSpPr txBox="1">
          <a:spLocks xmlns:a="http://schemas.openxmlformats.org/drawingml/2006/main" noChangeArrowheads="1"/>
        </cdr:cNvSpPr>
      </cdr:nvSpPr>
      <cdr:spPr bwMode="auto">
        <a:xfrm xmlns:a="http://schemas.openxmlformats.org/drawingml/2006/main">
          <a:off x="2060812" y="755636"/>
          <a:ext cx="2465369" cy="28510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0" tIns="22860" rIns="27432" bIns="0" anchor="t" upright="1"/>
        <a:lstStyle xmlns:a="http://schemas.openxmlformats.org/drawingml/2006/main"/>
        <a:p xmlns:a="http://schemas.openxmlformats.org/drawingml/2006/main">
          <a:endParaRPr lang="en-US"/>
        </a:p>
      </cdr:txBody>
    </cdr:sp>
  </cdr:relSizeAnchor>
  <cdr:relSizeAnchor xmlns:cdr="http://schemas.openxmlformats.org/drawingml/2006/chartDrawing">
    <cdr:from>
      <cdr:x>0.22954</cdr:x>
      <cdr:y>0.07</cdr:y>
    </cdr:from>
    <cdr:to>
      <cdr:x>0.33156</cdr:x>
      <cdr:y>0.20714</cdr:y>
    </cdr:to>
    <cdr:sp macro="" textlink="">
      <cdr:nvSpPr>
        <cdr:cNvPr id="3" name="TextBox 2"/>
        <cdr:cNvSpPr txBox="1"/>
      </cdr:nvSpPr>
      <cdr:spPr>
        <a:xfrm xmlns:a="http://schemas.openxmlformats.org/drawingml/2006/main">
          <a:off x="2057399" y="4667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0.2221</cdr:x>
      <cdr:y>0.08857</cdr:y>
    </cdr:from>
    <cdr:to>
      <cdr:x>0.28905</cdr:x>
      <cdr:y>0.14</cdr:y>
    </cdr:to>
    <cdr:sp macro="" textlink="">
      <cdr:nvSpPr>
        <cdr:cNvPr id="4" name="TextBox 3"/>
        <cdr:cNvSpPr txBox="1"/>
      </cdr:nvSpPr>
      <cdr:spPr>
        <a:xfrm xmlns:a="http://schemas.openxmlformats.org/drawingml/2006/main">
          <a:off x="1990724" y="590550"/>
          <a:ext cx="600075"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0.30818</cdr:x>
      <cdr:y>0.25286</cdr:y>
    </cdr:from>
    <cdr:to>
      <cdr:x>0.4102</cdr:x>
      <cdr:y>0.39</cdr:y>
    </cdr:to>
    <cdr:sp macro="" textlink="">
      <cdr:nvSpPr>
        <cdr:cNvPr id="6" name="TextBox 5"/>
        <cdr:cNvSpPr txBox="1"/>
      </cdr:nvSpPr>
      <cdr:spPr>
        <a:xfrm xmlns:a="http://schemas.openxmlformats.org/drawingml/2006/main">
          <a:off x="2762249" y="16859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0.56323</cdr:x>
      <cdr:y>0.42</cdr:y>
    </cdr:from>
    <cdr:to>
      <cdr:x>0.66525</cdr:x>
      <cdr:y>0.55714</cdr:y>
    </cdr:to>
    <cdr:sp macro="" textlink="">
      <cdr:nvSpPr>
        <cdr:cNvPr id="8" name="TextBox 7"/>
        <cdr:cNvSpPr txBox="1"/>
      </cdr:nvSpPr>
      <cdr:spPr>
        <a:xfrm xmlns:a="http://schemas.openxmlformats.org/drawingml/2006/main">
          <a:off x="5048249" y="28003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0.56111</cdr:x>
      <cdr:y>0.44286</cdr:y>
    </cdr:from>
    <cdr:to>
      <cdr:x>0.66312</cdr:x>
      <cdr:y>0.58</cdr:y>
    </cdr:to>
    <cdr:sp macro="" textlink="">
      <cdr:nvSpPr>
        <cdr:cNvPr id="9" name="TextBox 8"/>
        <cdr:cNvSpPr txBox="1"/>
      </cdr:nvSpPr>
      <cdr:spPr>
        <a:xfrm xmlns:a="http://schemas.openxmlformats.org/drawingml/2006/main">
          <a:off x="5029199" y="29527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0.55473</cdr:x>
      <cdr:y>0.47857</cdr:y>
    </cdr:from>
    <cdr:to>
      <cdr:x>0.65675</cdr:x>
      <cdr:y>0.61571</cdr:y>
    </cdr:to>
    <cdr:sp macro="" textlink="">
      <cdr:nvSpPr>
        <cdr:cNvPr id="10" name="TextBox 9"/>
        <cdr:cNvSpPr txBox="1"/>
      </cdr:nvSpPr>
      <cdr:spPr>
        <a:xfrm xmlns:a="http://schemas.openxmlformats.org/drawingml/2006/main">
          <a:off x="4972049" y="31908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0.40438</cdr:x>
      <cdr:y>0</cdr:y>
    </cdr:from>
    <cdr:to>
      <cdr:x>0.6317</cdr:x>
      <cdr:y>0.1093</cdr:y>
    </cdr:to>
    <cdr:sp macro="" textlink="">
      <cdr:nvSpPr>
        <cdr:cNvPr id="14" name="TextBox 13"/>
        <cdr:cNvSpPr txBox="1"/>
      </cdr:nvSpPr>
      <cdr:spPr>
        <a:xfrm xmlns:a="http://schemas.openxmlformats.org/drawingml/2006/main">
          <a:off x="3724574" y="0"/>
          <a:ext cx="2093798" cy="61319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endParaRPr lang="en-US" sz="1200" i="1"/>
        </a:p>
      </cdr:txBody>
    </cdr:sp>
  </cdr:relSizeAnchor>
  <cdr:relSizeAnchor xmlns:cdr="http://schemas.openxmlformats.org/drawingml/2006/chartDrawing">
    <cdr:from>
      <cdr:x>0.22992</cdr:x>
      <cdr:y>0.11333</cdr:y>
    </cdr:from>
    <cdr:to>
      <cdr:x>0.50498</cdr:x>
      <cdr:y>0.15609</cdr:y>
    </cdr:to>
    <cdr:sp macro="" textlink="">
      <cdr:nvSpPr>
        <cdr:cNvPr id="2" name="Text Box 1"/>
        <cdr:cNvSpPr txBox="1">
          <a:spLocks xmlns:a="http://schemas.openxmlformats.org/drawingml/2006/main" noChangeArrowheads="1"/>
        </cdr:cNvSpPr>
      </cdr:nvSpPr>
      <cdr:spPr bwMode="auto">
        <a:xfrm xmlns:a="http://schemas.openxmlformats.org/drawingml/2006/main">
          <a:off x="2060812" y="755636"/>
          <a:ext cx="2465369" cy="28510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0" tIns="22860" rIns="27432" bIns="0" anchor="t" upright="1"/>
        <a:lstStyle xmlns:a="http://schemas.openxmlformats.org/drawingml/2006/main"/>
        <a:p xmlns:a="http://schemas.openxmlformats.org/drawingml/2006/main">
          <a:endParaRPr lang="en-US"/>
        </a:p>
      </cdr:txBody>
    </cdr:sp>
  </cdr:relSizeAnchor>
  <cdr:relSizeAnchor xmlns:cdr="http://schemas.openxmlformats.org/drawingml/2006/chartDrawing">
    <cdr:from>
      <cdr:x>0.22954</cdr:x>
      <cdr:y>0.07</cdr:y>
    </cdr:from>
    <cdr:to>
      <cdr:x>0.33156</cdr:x>
      <cdr:y>0.20714</cdr:y>
    </cdr:to>
    <cdr:sp macro="" textlink="">
      <cdr:nvSpPr>
        <cdr:cNvPr id="5" name="TextBox 2"/>
        <cdr:cNvSpPr txBox="1"/>
      </cdr:nvSpPr>
      <cdr:spPr>
        <a:xfrm xmlns:a="http://schemas.openxmlformats.org/drawingml/2006/main">
          <a:off x="2057399" y="4667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0.2221</cdr:x>
      <cdr:y>0.08857</cdr:y>
    </cdr:from>
    <cdr:to>
      <cdr:x>0.28905</cdr:x>
      <cdr:y>0.14</cdr:y>
    </cdr:to>
    <cdr:sp macro="" textlink="">
      <cdr:nvSpPr>
        <cdr:cNvPr id="7" name="TextBox 3"/>
        <cdr:cNvSpPr txBox="1"/>
      </cdr:nvSpPr>
      <cdr:spPr>
        <a:xfrm xmlns:a="http://schemas.openxmlformats.org/drawingml/2006/main">
          <a:off x="1990724" y="590550"/>
          <a:ext cx="600075"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0.30818</cdr:x>
      <cdr:y>0.25286</cdr:y>
    </cdr:from>
    <cdr:to>
      <cdr:x>0.4102</cdr:x>
      <cdr:y>0.39</cdr:y>
    </cdr:to>
    <cdr:sp macro="" textlink="">
      <cdr:nvSpPr>
        <cdr:cNvPr id="11" name="TextBox 5"/>
        <cdr:cNvSpPr txBox="1"/>
      </cdr:nvSpPr>
      <cdr:spPr>
        <a:xfrm xmlns:a="http://schemas.openxmlformats.org/drawingml/2006/main">
          <a:off x="2762249" y="16859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0.56323</cdr:x>
      <cdr:y>0.42</cdr:y>
    </cdr:from>
    <cdr:to>
      <cdr:x>0.66525</cdr:x>
      <cdr:y>0.55714</cdr:y>
    </cdr:to>
    <cdr:sp macro="" textlink="">
      <cdr:nvSpPr>
        <cdr:cNvPr id="12" name="TextBox 7"/>
        <cdr:cNvSpPr txBox="1"/>
      </cdr:nvSpPr>
      <cdr:spPr>
        <a:xfrm xmlns:a="http://schemas.openxmlformats.org/drawingml/2006/main">
          <a:off x="5048249" y="28003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0.56111</cdr:x>
      <cdr:y>0.44286</cdr:y>
    </cdr:from>
    <cdr:to>
      <cdr:x>0.66312</cdr:x>
      <cdr:y>0.58</cdr:y>
    </cdr:to>
    <cdr:sp macro="" textlink="">
      <cdr:nvSpPr>
        <cdr:cNvPr id="13" name="TextBox 8"/>
        <cdr:cNvSpPr txBox="1"/>
      </cdr:nvSpPr>
      <cdr:spPr>
        <a:xfrm xmlns:a="http://schemas.openxmlformats.org/drawingml/2006/main">
          <a:off x="5029199" y="29527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0.55473</cdr:x>
      <cdr:y>0.47857</cdr:y>
    </cdr:from>
    <cdr:to>
      <cdr:x>0.65675</cdr:x>
      <cdr:y>0.61571</cdr:y>
    </cdr:to>
    <cdr:sp macro="" textlink="">
      <cdr:nvSpPr>
        <cdr:cNvPr id="15" name="TextBox 9"/>
        <cdr:cNvSpPr txBox="1"/>
      </cdr:nvSpPr>
      <cdr:spPr>
        <a:xfrm xmlns:a="http://schemas.openxmlformats.org/drawingml/2006/main">
          <a:off x="4972049" y="31908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0.40438</cdr:x>
      <cdr:y>0</cdr:y>
    </cdr:from>
    <cdr:to>
      <cdr:x>0.6317</cdr:x>
      <cdr:y>0.1093</cdr:y>
    </cdr:to>
    <cdr:sp macro="" textlink="">
      <cdr:nvSpPr>
        <cdr:cNvPr id="16" name="TextBox 13"/>
        <cdr:cNvSpPr txBox="1"/>
      </cdr:nvSpPr>
      <cdr:spPr>
        <a:xfrm xmlns:a="http://schemas.openxmlformats.org/drawingml/2006/main">
          <a:off x="3724574" y="0"/>
          <a:ext cx="2093798" cy="61319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endParaRPr lang="en-US" sz="1200" i="1"/>
        </a:p>
      </cdr:txBody>
    </cdr:sp>
  </cdr:relSizeAnchor>
  <cdr:relSizeAnchor xmlns:cdr="http://schemas.openxmlformats.org/drawingml/2006/chartDrawing">
    <cdr:from>
      <cdr:x>0.22954</cdr:x>
      <cdr:y>0.07</cdr:y>
    </cdr:from>
    <cdr:to>
      <cdr:x>0.33156</cdr:x>
      <cdr:y>0.20714</cdr:y>
    </cdr:to>
    <cdr:sp macro="" textlink="">
      <cdr:nvSpPr>
        <cdr:cNvPr id="18" name="TextBox 2"/>
        <cdr:cNvSpPr txBox="1"/>
      </cdr:nvSpPr>
      <cdr:spPr>
        <a:xfrm xmlns:a="http://schemas.openxmlformats.org/drawingml/2006/main">
          <a:off x="2057399" y="4667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0.2221</cdr:x>
      <cdr:y>0.08857</cdr:y>
    </cdr:from>
    <cdr:to>
      <cdr:x>0.28905</cdr:x>
      <cdr:y>0.14</cdr:y>
    </cdr:to>
    <cdr:sp macro="" textlink="">
      <cdr:nvSpPr>
        <cdr:cNvPr id="19" name="TextBox 3"/>
        <cdr:cNvSpPr txBox="1"/>
      </cdr:nvSpPr>
      <cdr:spPr>
        <a:xfrm xmlns:a="http://schemas.openxmlformats.org/drawingml/2006/main">
          <a:off x="1990724" y="590550"/>
          <a:ext cx="600075"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0.30818</cdr:x>
      <cdr:y>0.25286</cdr:y>
    </cdr:from>
    <cdr:to>
      <cdr:x>0.4102</cdr:x>
      <cdr:y>0.39</cdr:y>
    </cdr:to>
    <cdr:sp macro="" textlink="">
      <cdr:nvSpPr>
        <cdr:cNvPr id="20" name="TextBox 5"/>
        <cdr:cNvSpPr txBox="1"/>
      </cdr:nvSpPr>
      <cdr:spPr>
        <a:xfrm xmlns:a="http://schemas.openxmlformats.org/drawingml/2006/main">
          <a:off x="2762249" y="16859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0.56323</cdr:x>
      <cdr:y>0.42</cdr:y>
    </cdr:from>
    <cdr:to>
      <cdr:x>0.66525</cdr:x>
      <cdr:y>0.55714</cdr:y>
    </cdr:to>
    <cdr:sp macro="" textlink="">
      <cdr:nvSpPr>
        <cdr:cNvPr id="21" name="TextBox 7"/>
        <cdr:cNvSpPr txBox="1"/>
      </cdr:nvSpPr>
      <cdr:spPr>
        <a:xfrm xmlns:a="http://schemas.openxmlformats.org/drawingml/2006/main">
          <a:off x="5048249" y="28003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0.56111</cdr:x>
      <cdr:y>0.44286</cdr:y>
    </cdr:from>
    <cdr:to>
      <cdr:x>0.66312</cdr:x>
      <cdr:y>0.58</cdr:y>
    </cdr:to>
    <cdr:sp macro="" textlink="">
      <cdr:nvSpPr>
        <cdr:cNvPr id="22" name="TextBox 8"/>
        <cdr:cNvSpPr txBox="1"/>
      </cdr:nvSpPr>
      <cdr:spPr>
        <a:xfrm xmlns:a="http://schemas.openxmlformats.org/drawingml/2006/main">
          <a:off x="5029199" y="29527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0.55473</cdr:x>
      <cdr:y>0.47857</cdr:y>
    </cdr:from>
    <cdr:to>
      <cdr:x>0.65675</cdr:x>
      <cdr:y>0.61571</cdr:y>
    </cdr:to>
    <cdr:sp macro="" textlink="">
      <cdr:nvSpPr>
        <cdr:cNvPr id="23" name="TextBox 9"/>
        <cdr:cNvSpPr txBox="1"/>
      </cdr:nvSpPr>
      <cdr:spPr>
        <a:xfrm xmlns:a="http://schemas.openxmlformats.org/drawingml/2006/main">
          <a:off x="4972049" y="31908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0.40438</cdr:x>
      <cdr:y>0</cdr:y>
    </cdr:from>
    <cdr:to>
      <cdr:x>0.6317</cdr:x>
      <cdr:y>0.1093</cdr:y>
    </cdr:to>
    <cdr:sp macro="" textlink="">
      <cdr:nvSpPr>
        <cdr:cNvPr id="24" name="TextBox 13"/>
        <cdr:cNvSpPr txBox="1"/>
      </cdr:nvSpPr>
      <cdr:spPr>
        <a:xfrm xmlns:a="http://schemas.openxmlformats.org/drawingml/2006/main">
          <a:off x="3724574" y="0"/>
          <a:ext cx="2093798" cy="61319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endParaRPr lang="en-US" sz="1200" i="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437BA-3DEE-4863-BB5C-EF24F9224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ASR blue style</Template>
  <TotalTime>0</TotalTime>
  <Pages>48</Pages>
  <Words>13622</Words>
  <Characters>78658</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Smart Works</Company>
  <LinksUpToDate>false</LinksUpToDate>
  <CharactersWithSpaces>92096</CharactersWithSpaces>
  <SharedDoc>false</SharedDoc>
  <HLinks>
    <vt:vector size="186" baseType="variant">
      <vt:variant>
        <vt:i4>1441852</vt:i4>
      </vt:variant>
      <vt:variant>
        <vt:i4>182</vt:i4>
      </vt:variant>
      <vt:variant>
        <vt:i4>0</vt:i4>
      </vt:variant>
      <vt:variant>
        <vt:i4>5</vt:i4>
      </vt:variant>
      <vt:variant>
        <vt:lpwstr/>
      </vt:variant>
      <vt:variant>
        <vt:lpwstr>_Toc238633574</vt:lpwstr>
      </vt:variant>
      <vt:variant>
        <vt:i4>1441852</vt:i4>
      </vt:variant>
      <vt:variant>
        <vt:i4>176</vt:i4>
      </vt:variant>
      <vt:variant>
        <vt:i4>0</vt:i4>
      </vt:variant>
      <vt:variant>
        <vt:i4>5</vt:i4>
      </vt:variant>
      <vt:variant>
        <vt:lpwstr/>
      </vt:variant>
      <vt:variant>
        <vt:lpwstr>_Toc238633573</vt:lpwstr>
      </vt:variant>
      <vt:variant>
        <vt:i4>1441852</vt:i4>
      </vt:variant>
      <vt:variant>
        <vt:i4>170</vt:i4>
      </vt:variant>
      <vt:variant>
        <vt:i4>0</vt:i4>
      </vt:variant>
      <vt:variant>
        <vt:i4>5</vt:i4>
      </vt:variant>
      <vt:variant>
        <vt:lpwstr/>
      </vt:variant>
      <vt:variant>
        <vt:lpwstr>_Toc238633572</vt:lpwstr>
      </vt:variant>
      <vt:variant>
        <vt:i4>1441852</vt:i4>
      </vt:variant>
      <vt:variant>
        <vt:i4>164</vt:i4>
      </vt:variant>
      <vt:variant>
        <vt:i4>0</vt:i4>
      </vt:variant>
      <vt:variant>
        <vt:i4>5</vt:i4>
      </vt:variant>
      <vt:variant>
        <vt:lpwstr/>
      </vt:variant>
      <vt:variant>
        <vt:lpwstr>_Toc238633571</vt:lpwstr>
      </vt:variant>
      <vt:variant>
        <vt:i4>1441852</vt:i4>
      </vt:variant>
      <vt:variant>
        <vt:i4>158</vt:i4>
      </vt:variant>
      <vt:variant>
        <vt:i4>0</vt:i4>
      </vt:variant>
      <vt:variant>
        <vt:i4>5</vt:i4>
      </vt:variant>
      <vt:variant>
        <vt:lpwstr/>
      </vt:variant>
      <vt:variant>
        <vt:lpwstr>_Toc238633570</vt:lpwstr>
      </vt:variant>
      <vt:variant>
        <vt:i4>1507388</vt:i4>
      </vt:variant>
      <vt:variant>
        <vt:i4>152</vt:i4>
      </vt:variant>
      <vt:variant>
        <vt:i4>0</vt:i4>
      </vt:variant>
      <vt:variant>
        <vt:i4>5</vt:i4>
      </vt:variant>
      <vt:variant>
        <vt:lpwstr/>
      </vt:variant>
      <vt:variant>
        <vt:lpwstr>_Toc238633569</vt:lpwstr>
      </vt:variant>
      <vt:variant>
        <vt:i4>1507388</vt:i4>
      </vt:variant>
      <vt:variant>
        <vt:i4>146</vt:i4>
      </vt:variant>
      <vt:variant>
        <vt:i4>0</vt:i4>
      </vt:variant>
      <vt:variant>
        <vt:i4>5</vt:i4>
      </vt:variant>
      <vt:variant>
        <vt:lpwstr/>
      </vt:variant>
      <vt:variant>
        <vt:lpwstr>_Toc238633568</vt:lpwstr>
      </vt:variant>
      <vt:variant>
        <vt:i4>1507388</vt:i4>
      </vt:variant>
      <vt:variant>
        <vt:i4>140</vt:i4>
      </vt:variant>
      <vt:variant>
        <vt:i4>0</vt:i4>
      </vt:variant>
      <vt:variant>
        <vt:i4>5</vt:i4>
      </vt:variant>
      <vt:variant>
        <vt:lpwstr/>
      </vt:variant>
      <vt:variant>
        <vt:lpwstr>_Toc238633567</vt:lpwstr>
      </vt:variant>
      <vt:variant>
        <vt:i4>1507388</vt:i4>
      </vt:variant>
      <vt:variant>
        <vt:i4>134</vt:i4>
      </vt:variant>
      <vt:variant>
        <vt:i4>0</vt:i4>
      </vt:variant>
      <vt:variant>
        <vt:i4>5</vt:i4>
      </vt:variant>
      <vt:variant>
        <vt:lpwstr/>
      </vt:variant>
      <vt:variant>
        <vt:lpwstr>_Toc238633566</vt:lpwstr>
      </vt:variant>
      <vt:variant>
        <vt:i4>1507388</vt:i4>
      </vt:variant>
      <vt:variant>
        <vt:i4>128</vt:i4>
      </vt:variant>
      <vt:variant>
        <vt:i4>0</vt:i4>
      </vt:variant>
      <vt:variant>
        <vt:i4>5</vt:i4>
      </vt:variant>
      <vt:variant>
        <vt:lpwstr/>
      </vt:variant>
      <vt:variant>
        <vt:lpwstr>_Toc238633565</vt:lpwstr>
      </vt:variant>
      <vt:variant>
        <vt:i4>1507388</vt:i4>
      </vt:variant>
      <vt:variant>
        <vt:i4>122</vt:i4>
      </vt:variant>
      <vt:variant>
        <vt:i4>0</vt:i4>
      </vt:variant>
      <vt:variant>
        <vt:i4>5</vt:i4>
      </vt:variant>
      <vt:variant>
        <vt:lpwstr/>
      </vt:variant>
      <vt:variant>
        <vt:lpwstr>_Toc238633564</vt:lpwstr>
      </vt:variant>
      <vt:variant>
        <vt:i4>1507388</vt:i4>
      </vt:variant>
      <vt:variant>
        <vt:i4>116</vt:i4>
      </vt:variant>
      <vt:variant>
        <vt:i4>0</vt:i4>
      </vt:variant>
      <vt:variant>
        <vt:i4>5</vt:i4>
      </vt:variant>
      <vt:variant>
        <vt:lpwstr/>
      </vt:variant>
      <vt:variant>
        <vt:lpwstr>_Toc238633563</vt:lpwstr>
      </vt:variant>
      <vt:variant>
        <vt:i4>1507388</vt:i4>
      </vt:variant>
      <vt:variant>
        <vt:i4>110</vt:i4>
      </vt:variant>
      <vt:variant>
        <vt:i4>0</vt:i4>
      </vt:variant>
      <vt:variant>
        <vt:i4>5</vt:i4>
      </vt:variant>
      <vt:variant>
        <vt:lpwstr/>
      </vt:variant>
      <vt:variant>
        <vt:lpwstr>_Toc238633562</vt:lpwstr>
      </vt:variant>
      <vt:variant>
        <vt:i4>1507388</vt:i4>
      </vt:variant>
      <vt:variant>
        <vt:i4>104</vt:i4>
      </vt:variant>
      <vt:variant>
        <vt:i4>0</vt:i4>
      </vt:variant>
      <vt:variant>
        <vt:i4>5</vt:i4>
      </vt:variant>
      <vt:variant>
        <vt:lpwstr/>
      </vt:variant>
      <vt:variant>
        <vt:lpwstr>_Toc238633561</vt:lpwstr>
      </vt:variant>
      <vt:variant>
        <vt:i4>1507388</vt:i4>
      </vt:variant>
      <vt:variant>
        <vt:i4>98</vt:i4>
      </vt:variant>
      <vt:variant>
        <vt:i4>0</vt:i4>
      </vt:variant>
      <vt:variant>
        <vt:i4>5</vt:i4>
      </vt:variant>
      <vt:variant>
        <vt:lpwstr/>
      </vt:variant>
      <vt:variant>
        <vt:lpwstr>_Toc238633560</vt:lpwstr>
      </vt:variant>
      <vt:variant>
        <vt:i4>1310780</vt:i4>
      </vt:variant>
      <vt:variant>
        <vt:i4>92</vt:i4>
      </vt:variant>
      <vt:variant>
        <vt:i4>0</vt:i4>
      </vt:variant>
      <vt:variant>
        <vt:i4>5</vt:i4>
      </vt:variant>
      <vt:variant>
        <vt:lpwstr/>
      </vt:variant>
      <vt:variant>
        <vt:lpwstr>_Toc238633559</vt:lpwstr>
      </vt:variant>
      <vt:variant>
        <vt:i4>1310780</vt:i4>
      </vt:variant>
      <vt:variant>
        <vt:i4>86</vt:i4>
      </vt:variant>
      <vt:variant>
        <vt:i4>0</vt:i4>
      </vt:variant>
      <vt:variant>
        <vt:i4>5</vt:i4>
      </vt:variant>
      <vt:variant>
        <vt:lpwstr/>
      </vt:variant>
      <vt:variant>
        <vt:lpwstr>_Toc238633558</vt:lpwstr>
      </vt:variant>
      <vt:variant>
        <vt:i4>1310780</vt:i4>
      </vt:variant>
      <vt:variant>
        <vt:i4>80</vt:i4>
      </vt:variant>
      <vt:variant>
        <vt:i4>0</vt:i4>
      </vt:variant>
      <vt:variant>
        <vt:i4>5</vt:i4>
      </vt:variant>
      <vt:variant>
        <vt:lpwstr/>
      </vt:variant>
      <vt:variant>
        <vt:lpwstr>_Toc238633557</vt:lpwstr>
      </vt:variant>
      <vt:variant>
        <vt:i4>1310780</vt:i4>
      </vt:variant>
      <vt:variant>
        <vt:i4>74</vt:i4>
      </vt:variant>
      <vt:variant>
        <vt:i4>0</vt:i4>
      </vt:variant>
      <vt:variant>
        <vt:i4>5</vt:i4>
      </vt:variant>
      <vt:variant>
        <vt:lpwstr/>
      </vt:variant>
      <vt:variant>
        <vt:lpwstr>_Toc238633556</vt:lpwstr>
      </vt:variant>
      <vt:variant>
        <vt:i4>1310780</vt:i4>
      </vt:variant>
      <vt:variant>
        <vt:i4>68</vt:i4>
      </vt:variant>
      <vt:variant>
        <vt:i4>0</vt:i4>
      </vt:variant>
      <vt:variant>
        <vt:i4>5</vt:i4>
      </vt:variant>
      <vt:variant>
        <vt:lpwstr/>
      </vt:variant>
      <vt:variant>
        <vt:lpwstr>_Toc238633555</vt:lpwstr>
      </vt:variant>
      <vt:variant>
        <vt:i4>1310780</vt:i4>
      </vt:variant>
      <vt:variant>
        <vt:i4>62</vt:i4>
      </vt:variant>
      <vt:variant>
        <vt:i4>0</vt:i4>
      </vt:variant>
      <vt:variant>
        <vt:i4>5</vt:i4>
      </vt:variant>
      <vt:variant>
        <vt:lpwstr/>
      </vt:variant>
      <vt:variant>
        <vt:lpwstr>_Toc238633554</vt:lpwstr>
      </vt:variant>
      <vt:variant>
        <vt:i4>1310780</vt:i4>
      </vt:variant>
      <vt:variant>
        <vt:i4>56</vt:i4>
      </vt:variant>
      <vt:variant>
        <vt:i4>0</vt:i4>
      </vt:variant>
      <vt:variant>
        <vt:i4>5</vt:i4>
      </vt:variant>
      <vt:variant>
        <vt:lpwstr/>
      </vt:variant>
      <vt:variant>
        <vt:lpwstr>_Toc238633553</vt:lpwstr>
      </vt:variant>
      <vt:variant>
        <vt:i4>1310780</vt:i4>
      </vt:variant>
      <vt:variant>
        <vt:i4>50</vt:i4>
      </vt:variant>
      <vt:variant>
        <vt:i4>0</vt:i4>
      </vt:variant>
      <vt:variant>
        <vt:i4>5</vt:i4>
      </vt:variant>
      <vt:variant>
        <vt:lpwstr/>
      </vt:variant>
      <vt:variant>
        <vt:lpwstr>_Toc238633552</vt:lpwstr>
      </vt:variant>
      <vt:variant>
        <vt:i4>1310780</vt:i4>
      </vt:variant>
      <vt:variant>
        <vt:i4>44</vt:i4>
      </vt:variant>
      <vt:variant>
        <vt:i4>0</vt:i4>
      </vt:variant>
      <vt:variant>
        <vt:i4>5</vt:i4>
      </vt:variant>
      <vt:variant>
        <vt:lpwstr/>
      </vt:variant>
      <vt:variant>
        <vt:lpwstr>_Toc238633551</vt:lpwstr>
      </vt:variant>
      <vt:variant>
        <vt:i4>1310780</vt:i4>
      </vt:variant>
      <vt:variant>
        <vt:i4>38</vt:i4>
      </vt:variant>
      <vt:variant>
        <vt:i4>0</vt:i4>
      </vt:variant>
      <vt:variant>
        <vt:i4>5</vt:i4>
      </vt:variant>
      <vt:variant>
        <vt:lpwstr/>
      </vt:variant>
      <vt:variant>
        <vt:lpwstr>_Toc238633550</vt:lpwstr>
      </vt:variant>
      <vt:variant>
        <vt:i4>1376316</vt:i4>
      </vt:variant>
      <vt:variant>
        <vt:i4>32</vt:i4>
      </vt:variant>
      <vt:variant>
        <vt:i4>0</vt:i4>
      </vt:variant>
      <vt:variant>
        <vt:i4>5</vt:i4>
      </vt:variant>
      <vt:variant>
        <vt:lpwstr/>
      </vt:variant>
      <vt:variant>
        <vt:lpwstr>_Toc238633549</vt:lpwstr>
      </vt:variant>
      <vt:variant>
        <vt:i4>1376316</vt:i4>
      </vt:variant>
      <vt:variant>
        <vt:i4>26</vt:i4>
      </vt:variant>
      <vt:variant>
        <vt:i4>0</vt:i4>
      </vt:variant>
      <vt:variant>
        <vt:i4>5</vt:i4>
      </vt:variant>
      <vt:variant>
        <vt:lpwstr/>
      </vt:variant>
      <vt:variant>
        <vt:lpwstr>_Toc238633548</vt:lpwstr>
      </vt:variant>
      <vt:variant>
        <vt:i4>1376316</vt:i4>
      </vt:variant>
      <vt:variant>
        <vt:i4>20</vt:i4>
      </vt:variant>
      <vt:variant>
        <vt:i4>0</vt:i4>
      </vt:variant>
      <vt:variant>
        <vt:i4>5</vt:i4>
      </vt:variant>
      <vt:variant>
        <vt:lpwstr/>
      </vt:variant>
      <vt:variant>
        <vt:lpwstr>_Toc238633547</vt:lpwstr>
      </vt:variant>
      <vt:variant>
        <vt:i4>1376316</vt:i4>
      </vt:variant>
      <vt:variant>
        <vt:i4>14</vt:i4>
      </vt:variant>
      <vt:variant>
        <vt:i4>0</vt:i4>
      </vt:variant>
      <vt:variant>
        <vt:i4>5</vt:i4>
      </vt:variant>
      <vt:variant>
        <vt:lpwstr/>
      </vt:variant>
      <vt:variant>
        <vt:lpwstr>_Toc238633546</vt:lpwstr>
      </vt:variant>
      <vt:variant>
        <vt:i4>1376316</vt:i4>
      </vt:variant>
      <vt:variant>
        <vt:i4>8</vt:i4>
      </vt:variant>
      <vt:variant>
        <vt:i4>0</vt:i4>
      </vt:variant>
      <vt:variant>
        <vt:i4>5</vt:i4>
      </vt:variant>
      <vt:variant>
        <vt:lpwstr/>
      </vt:variant>
      <vt:variant>
        <vt:lpwstr>_Toc238633545</vt:lpwstr>
      </vt:variant>
      <vt:variant>
        <vt:i4>1376316</vt:i4>
      </vt:variant>
      <vt:variant>
        <vt:i4>2</vt:i4>
      </vt:variant>
      <vt:variant>
        <vt:i4>0</vt:i4>
      </vt:variant>
      <vt:variant>
        <vt:i4>5</vt:i4>
      </vt:variant>
      <vt:variant>
        <vt:lpwstr/>
      </vt:variant>
      <vt:variant>
        <vt:lpwstr>_Toc238633544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TEQSA Stakeholder Survey Report 2019</dc:title>
  <dc:creator>Tricia Deasy</dc:creator>
  <cp:lastModifiedBy>Hewitt-McManus, Tom</cp:lastModifiedBy>
  <cp:revision>5</cp:revision>
  <cp:lastPrinted>2019-12-22T22:28:00Z</cp:lastPrinted>
  <dcterms:created xsi:type="dcterms:W3CDTF">2019-12-22T22:28:00Z</dcterms:created>
  <dcterms:modified xsi:type="dcterms:W3CDTF">2019-12-22T22:30:00Z</dcterms:modified>
</cp:coreProperties>
</file>