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FA" w:rsidRPr="00D81186" w:rsidRDefault="004A4AE6" w:rsidP="003160FA">
      <w:pPr>
        <w:pStyle w:val="Heading1"/>
        <w:spacing w:after="480"/>
        <w:rPr>
          <w:color w:val="00A398"/>
          <w:lang w:eastAsia="en-AU"/>
        </w:rPr>
      </w:pPr>
      <w:bookmarkStart w:id="0" w:name="_GoBack"/>
      <w:bookmarkEnd w:id="0"/>
      <w:r w:rsidRPr="00D81186">
        <w:rPr>
          <w:color w:val="00A398"/>
          <w:lang w:eastAsia="en-AU"/>
        </w:rPr>
        <w:t xml:space="preserve">TEQSA </w:t>
      </w:r>
      <w:r w:rsidR="00E27182" w:rsidRPr="00D81186">
        <w:rPr>
          <w:color w:val="00A398"/>
          <w:lang w:eastAsia="en-AU"/>
        </w:rPr>
        <w:t xml:space="preserve">high risk </w:t>
      </w:r>
      <w:r w:rsidR="003700A5" w:rsidRPr="00D81186">
        <w:rPr>
          <w:color w:val="00A398"/>
          <w:lang w:eastAsia="en-AU"/>
        </w:rPr>
        <w:t>provider</w:t>
      </w:r>
      <w:r w:rsidR="00EA628E" w:rsidRPr="00D81186">
        <w:rPr>
          <w:color w:val="00A398"/>
          <w:lang w:eastAsia="en-AU"/>
        </w:rPr>
        <w:t xml:space="preserve"> policy</w:t>
      </w:r>
    </w:p>
    <w:p w:rsidR="004A4AE6" w:rsidRPr="00D81186" w:rsidRDefault="004A4AE6" w:rsidP="00D81186">
      <w:pPr>
        <w:pStyle w:val="Heading2"/>
      </w:pPr>
      <w:r w:rsidRPr="00D81186">
        <w:t>Purpose</w:t>
      </w:r>
    </w:p>
    <w:p w:rsidR="004A4AE6" w:rsidRPr="004B1915" w:rsidRDefault="006B17D9" w:rsidP="00410E62">
      <w:r>
        <w:t xml:space="preserve">The purpose of this policy is to establish a set of principles to inform </w:t>
      </w:r>
      <w:r w:rsidR="00BC4446">
        <w:t>TEQSA’s</w:t>
      </w:r>
      <w:r w:rsidR="00E40C48">
        <w:t xml:space="preserve"> </w:t>
      </w:r>
      <w:r w:rsidR="00BC4446">
        <w:t>treatment of</w:t>
      </w:r>
      <w:r w:rsidR="00E40C48">
        <w:t xml:space="preserve"> </w:t>
      </w:r>
      <w:r w:rsidR="00BC4446">
        <w:t>providers</w:t>
      </w:r>
      <w:r w:rsidR="00E40C48">
        <w:t xml:space="preserve"> identified as high risk</w:t>
      </w:r>
      <w:r w:rsidR="00D02252">
        <w:t xml:space="preserve"> </w:t>
      </w:r>
      <w:r w:rsidR="00ED7EF6">
        <w:t>in relation to</w:t>
      </w:r>
      <w:r w:rsidR="00D02252">
        <w:t xml:space="preserve"> students</w:t>
      </w:r>
      <w:r w:rsidR="00ED7EF6">
        <w:t xml:space="preserve"> or financial position</w:t>
      </w:r>
      <w:r w:rsidR="00BC4446">
        <w:t xml:space="preserve">—at the point of identification, and also in the course of </w:t>
      </w:r>
      <w:r w:rsidR="003A02B3">
        <w:t xml:space="preserve">accreditation, </w:t>
      </w:r>
      <w:r w:rsidR="00964A48">
        <w:t>re</w:t>
      </w:r>
      <w:r w:rsidR="003A02B3">
        <w:t>-</w:t>
      </w:r>
      <w:r w:rsidR="00964A48">
        <w:t xml:space="preserve">accreditation and re-registration </w:t>
      </w:r>
      <w:r w:rsidR="00BC4446">
        <w:t xml:space="preserve">assessments. </w:t>
      </w:r>
      <w:r w:rsidR="002568B8">
        <w:t xml:space="preserve">It elaborates upon and further specifies the principle, published in TEQSA’s Risk Assessment Framework, that </w:t>
      </w:r>
      <w:r w:rsidR="002568B8" w:rsidRPr="002568B8">
        <w:t xml:space="preserve">TEQSA may take various forms of action in relation to providers </w:t>
      </w:r>
      <w:proofErr w:type="gramStart"/>
      <w:r w:rsidR="002568B8" w:rsidRPr="002568B8">
        <w:t>being identified</w:t>
      </w:r>
      <w:proofErr w:type="gramEnd"/>
      <w:r w:rsidR="002568B8" w:rsidRPr="002568B8">
        <w:t xml:space="preserve"> as high risk</w:t>
      </w:r>
      <w:r w:rsidR="002568B8">
        <w:t xml:space="preserve">. </w:t>
      </w:r>
      <w:r w:rsidR="00BC4446">
        <w:t xml:space="preserve">The principles </w:t>
      </w:r>
      <w:r w:rsidR="002568B8">
        <w:t xml:space="preserve">that comprise this policy </w:t>
      </w:r>
      <w:r w:rsidR="00BC4446">
        <w:t>are intended to ensure that identified provider risk</w:t>
      </w:r>
      <w:r w:rsidR="00D02252">
        <w:t>-levels</w:t>
      </w:r>
      <w:r w:rsidR="00BC4446">
        <w:t xml:space="preserve"> </w:t>
      </w:r>
      <w:r w:rsidR="00D02252">
        <w:t>drive</w:t>
      </w:r>
      <w:r w:rsidR="00BC4446">
        <w:t xml:space="preserve"> differential treatment of providers, in line with established good practice in risk-based regulation, and consistent with </w:t>
      </w:r>
      <w:r w:rsidR="002568B8">
        <w:t>the basic principles for regulation included in</w:t>
      </w:r>
      <w:r w:rsidR="00BC4446">
        <w:t xml:space="preserve"> TEQSA</w:t>
      </w:r>
      <w:r w:rsidR="002568B8">
        <w:t>’s establishing legislation</w:t>
      </w:r>
      <w:r w:rsidR="00BC4446">
        <w:t>.</w:t>
      </w:r>
    </w:p>
    <w:p w:rsidR="004A4AE6" w:rsidRPr="004B1915" w:rsidRDefault="004A4AE6" w:rsidP="00D81186">
      <w:pPr>
        <w:pStyle w:val="Heading2"/>
      </w:pPr>
      <w:r w:rsidRPr="004B1915">
        <w:t>Scope</w:t>
      </w:r>
    </w:p>
    <w:p w:rsidR="004A4AE6" w:rsidRPr="004B1915" w:rsidRDefault="00A40D84" w:rsidP="004A4AE6">
      <w:r>
        <w:t>This policy</w:t>
      </w:r>
      <w:r w:rsidR="006B17D9">
        <w:t xml:space="preserve"> </w:t>
      </w:r>
      <w:r w:rsidR="00B17A58">
        <w:t>relates to providers identified as high risk</w:t>
      </w:r>
      <w:r w:rsidR="00326549">
        <w:t xml:space="preserve"> through TEQSA’s annual risk assessment process</w:t>
      </w:r>
      <w:r w:rsidR="006B17D9" w:rsidRPr="006B17D9">
        <w:t>.</w:t>
      </w:r>
      <w:r w:rsidR="00FF3113">
        <w:t xml:space="preserve"> </w:t>
      </w:r>
      <w:r w:rsidR="00FB1461">
        <w:t>It does not relate to providers identified as low or moderate risk</w:t>
      </w:r>
      <w:r w:rsidR="00FB1461" w:rsidRPr="006B17D9">
        <w:t>.</w:t>
      </w:r>
      <w:r w:rsidR="00FB1461">
        <w:t xml:space="preserve"> </w:t>
      </w:r>
      <w:r w:rsidR="00D0690E">
        <w:t xml:space="preserve">Although the policy </w:t>
      </w:r>
      <w:proofErr w:type="gramStart"/>
      <w:r w:rsidR="00D0690E">
        <w:t>may to some extent describe</w:t>
      </w:r>
      <w:proofErr w:type="gramEnd"/>
      <w:r w:rsidR="00D0690E">
        <w:t xml:space="preserve"> TEQSA’s treatment of providers not identified as high risk, this is intended only to enhance clarity through contrast.</w:t>
      </w:r>
    </w:p>
    <w:p w:rsidR="004A4AE6" w:rsidRDefault="004A4AE6" w:rsidP="00D81186">
      <w:pPr>
        <w:pStyle w:val="Heading2"/>
      </w:pPr>
      <w:r w:rsidRPr="004B1915">
        <w:t>Principles</w:t>
      </w:r>
    </w:p>
    <w:p w:rsidR="000A268E" w:rsidRPr="00D81186" w:rsidRDefault="000A268E" w:rsidP="00D81186">
      <w:pPr>
        <w:pStyle w:val="Heading3"/>
      </w:pPr>
      <w:r w:rsidRPr="00D81186">
        <w:t>In-cycle monitoring</w:t>
      </w:r>
    </w:p>
    <w:p w:rsidR="004A4AE6" w:rsidRDefault="0086288E" w:rsidP="00ED7EF6">
      <w:pPr>
        <w:pStyle w:val="ListParagraph"/>
        <w:numPr>
          <w:ilvl w:val="0"/>
          <w:numId w:val="47"/>
        </w:numPr>
      </w:pPr>
      <w:r w:rsidRPr="0086288E">
        <w:t xml:space="preserve">Where a provider is identified </w:t>
      </w:r>
      <w:r>
        <w:t>as high risk</w:t>
      </w:r>
      <w:r w:rsidRPr="0086288E">
        <w:t>, the following activities are immediately triggered:</w:t>
      </w:r>
    </w:p>
    <w:p w:rsidR="0086288E" w:rsidRDefault="0086288E" w:rsidP="00ED7EF6">
      <w:pPr>
        <w:pStyle w:val="ListParagraph"/>
        <w:numPr>
          <w:ilvl w:val="1"/>
          <w:numId w:val="47"/>
        </w:numPr>
      </w:pPr>
      <w:r>
        <w:t>a request for information</w:t>
      </w:r>
      <w:r w:rsidRPr="0086288E">
        <w:t xml:space="preserve"> to enable greater differentiation of risk type and extent</w:t>
      </w:r>
      <w:r>
        <w:t>, with the information requested to be determined on the basis of identified risk factors and other information available to TEQSA</w:t>
      </w:r>
    </w:p>
    <w:p w:rsidR="0086288E" w:rsidRDefault="0086288E" w:rsidP="00ED7EF6">
      <w:pPr>
        <w:pStyle w:val="ListParagraph"/>
        <w:numPr>
          <w:ilvl w:val="1"/>
          <w:numId w:val="47"/>
        </w:numPr>
      </w:pPr>
      <w:r w:rsidRPr="0086288E">
        <w:t>analysis</w:t>
      </w:r>
      <w:r>
        <w:t xml:space="preserve"> </w:t>
      </w:r>
      <w:r w:rsidRPr="0086288E">
        <w:t>of existing data</w:t>
      </w:r>
      <w:r w:rsidR="00752E3D">
        <w:t>,</w:t>
      </w:r>
      <w:r w:rsidRPr="0086288E">
        <w:t xml:space="preserve"> </w:t>
      </w:r>
      <w:r w:rsidR="00ED7EF6">
        <w:t>supplemented by</w:t>
      </w:r>
      <w:r w:rsidRPr="0086288E">
        <w:t xml:space="preserve"> </w:t>
      </w:r>
      <w:r w:rsidR="00ED7EF6">
        <w:t xml:space="preserve">additional </w:t>
      </w:r>
      <w:r w:rsidRPr="0086288E">
        <w:t>information requested of high risk providers</w:t>
      </w:r>
      <w:r w:rsidR="00752E3D">
        <w:t>,</w:t>
      </w:r>
      <w:r>
        <w:t xml:space="preserve"> </w:t>
      </w:r>
      <w:r w:rsidRPr="0086288E">
        <w:t xml:space="preserve">to more precisely identify </w:t>
      </w:r>
      <w:r w:rsidR="00056366">
        <w:t xml:space="preserve">any </w:t>
      </w:r>
      <w:r w:rsidRPr="0086288E">
        <w:t xml:space="preserve">potential </w:t>
      </w:r>
      <w:r w:rsidR="00E00BFE">
        <w:t>areas of concern</w:t>
      </w:r>
      <w:r w:rsidRPr="0086288E">
        <w:t xml:space="preserve"> </w:t>
      </w:r>
      <w:r w:rsidR="00F81355">
        <w:t>with the provider</w:t>
      </w:r>
    </w:p>
    <w:p w:rsidR="00AE0326" w:rsidRDefault="009316BC" w:rsidP="00ED7EF6">
      <w:pPr>
        <w:pStyle w:val="ListParagraph"/>
        <w:numPr>
          <w:ilvl w:val="1"/>
          <w:numId w:val="47"/>
        </w:numPr>
      </w:pPr>
      <w:r w:rsidRPr="009316BC">
        <w:t xml:space="preserve">formulation of an action plan that will include consideration of </w:t>
      </w:r>
      <w:r>
        <w:t xml:space="preserve">the </w:t>
      </w:r>
      <w:r w:rsidR="00911F6F">
        <w:t>full range of available and appropriate regulatory options,</w:t>
      </w:r>
      <w:r w:rsidR="00255BAC">
        <w:t xml:space="preserve"> including in relation to CRICOS applications,</w:t>
      </w:r>
      <w:r w:rsidR="00911F6F">
        <w:t xml:space="preserve"> </w:t>
      </w:r>
      <w:r w:rsidR="00EE6A86">
        <w:t>consistent with</w:t>
      </w:r>
      <w:r w:rsidR="00911F6F">
        <w:t xml:space="preserve"> </w:t>
      </w:r>
      <w:r w:rsidR="00EE6A86">
        <w:t>the</w:t>
      </w:r>
      <w:r w:rsidR="00911F6F">
        <w:t xml:space="preserve"> principles for regulation </w:t>
      </w:r>
      <w:r w:rsidR="00EE6A86">
        <w:t>described in the TEQSA Act</w:t>
      </w:r>
    </w:p>
    <w:p w:rsidR="00183376" w:rsidRDefault="00AE0326" w:rsidP="00ED7EF6">
      <w:pPr>
        <w:pStyle w:val="ListParagraph"/>
        <w:numPr>
          <w:ilvl w:val="1"/>
          <w:numId w:val="47"/>
        </w:numPr>
      </w:pPr>
      <w:r>
        <w:t xml:space="preserve">TEQSA will provide advice to the relevant </w:t>
      </w:r>
      <w:r w:rsidR="00720A25">
        <w:t xml:space="preserve">Australian Government </w:t>
      </w:r>
      <w:r w:rsidR="00300A8D">
        <w:t>d</w:t>
      </w:r>
      <w:r w:rsidR="00720A25">
        <w:t xml:space="preserve">epartment and </w:t>
      </w:r>
      <w:r>
        <w:t xml:space="preserve">portfolio Minister to support decision making under the </w:t>
      </w:r>
      <w:r w:rsidRPr="007A183A">
        <w:rPr>
          <w:i/>
        </w:rPr>
        <w:t>Higher Education Support Act 2003</w:t>
      </w:r>
      <w:r>
        <w:t>.</w:t>
      </w:r>
    </w:p>
    <w:p w:rsidR="000A268E" w:rsidRPr="000A268E" w:rsidRDefault="000A268E" w:rsidP="00D81186">
      <w:pPr>
        <w:pStyle w:val="Heading3"/>
      </w:pPr>
      <w:r>
        <w:lastRenderedPageBreak/>
        <w:t xml:space="preserve">Cyclical </w:t>
      </w:r>
      <w:r w:rsidR="00964A48">
        <w:t>renewal of accreditation and renewal of registration assessments</w:t>
      </w:r>
      <w:r w:rsidR="002530DD">
        <w:t>, and new accreditation assessments</w:t>
      </w:r>
    </w:p>
    <w:p w:rsidR="00964A48" w:rsidRDefault="00EE6A86" w:rsidP="00ED7EF6">
      <w:pPr>
        <w:pStyle w:val="ListParagraph"/>
        <w:numPr>
          <w:ilvl w:val="0"/>
          <w:numId w:val="47"/>
        </w:numPr>
      </w:pPr>
      <w:r>
        <w:t>In general, TEQSA differentiate</w:t>
      </w:r>
      <w:r w:rsidR="00D0690E">
        <w:t>s</w:t>
      </w:r>
      <w:r w:rsidR="00964A48">
        <w:t xml:space="preserve"> the scope </w:t>
      </w:r>
      <w:r w:rsidR="00A1613B">
        <w:t>(</w:t>
      </w:r>
      <w:r w:rsidR="00964A48">
        <w:t xml:space="preserve">of </w:t>
      </w:r>
      <w:r>
        <w:t>Threshold Standards</w:t>
      </w:r>
      <w:r w:rsidR="00A1613B">
        <w:t xml:space="preserve"> tested),</w:t>
      </w:r>
      <w:r w:rsidR="00964A48">
        <w:t xml:space="preserve"> and</w:t>
      </w:r>
      <w:r w:rsidR="00A1613B">
        <w:t xml:space="preserve"> the</w:t>
      </w:r>
      <w:r w:rsidR="00964A48">
        <w:t xml:space="preserve"> depth </w:t>
      </w:r>
      <w:r w:rsidR="00A1613B">
        <w:t>(</w:t>
      </w:r>
      <w:r w:rsidR="00964A48">
        <w:t xml:space="preserve">of </w:t>
      </w:r>
      <w:r w:rsidR="00A1613B">
        <w:t xml:space="preserve">evidence required) of </w:t>
      </w:r>
      <w:r w:rsidR="00964A48">
        <w:t>accreditation- and registration-related</w:t>
      </w:r>
      <w:r w:rsidR="00A1613B">
        <w:t xml:space="preserve"> assessments </w:t>
      </w:r>
      <w:proofErr w:type="gramStart"/>
      <w:r w:rsidR="00A1613B">
        <w:t>on the basis of</w:t>
      </w:r>
      <w:proofErr w:type="gramEnd"/>
      <w:r w:rsidR="00A1613B">
        <w:t xml:space="preserve"> </w:t>
      </w:r>
      <w:r w:rsidR="00414592">
        <w:t xml:space="preserve">assessed </w:t>
      </w:r>
      <w:r w:rsidR="00A1613B">
        <w:t>risk.</w:t>
      </w:r>
    </w:p>
    <w:p w:rsidR="00410E62" w:rsidRDefault="00EE6A86" w:rsidP="00ED7EF6">
      <w:pPr>
        <w:pStyle w:val="ListParagraph"/>
        <w:numPr>
          <w:ilvl w:val="0"/>
          <w:numId w:val="47"/>
        </w:numPr>
      </w:pPr>
      <w:r>
        <w:t>For a</w:t>
      </w:r>
      <w:r w:rsidR="00A1613B">
        <w:t xml:space="preserve"> provider</w:t>
      </w:r>
      <w:r>
        <w:t xml:space="preserve"> that</w:t>
      </w:r>
      <w:r w:rsidR="00A1613B">
        <w:t xml:space="preserve"> </w:t>
      </w:r>
      <w:r w:rsidR="00A1613B" w:rsidRPr="00EC3947">
        <w:t>is</w:t>
      </w:r>
      <w:r w:rsidR="00964A48" w:rsidRPr="00EC3947">
        <w:t xml:space="preserve"> not</w:t>
      </w:r>
      <w:r w:rsidR="00964A48">
        <w:t xml:space="preserve"> identified as high risk</w:t>
      </w:r>
      <w:r w:rsidR="00414592">
        <w:t>,</w:t>
      </w:r>
      <w:r w:rsidR="00A1613B">
        <w:t xml:space="preserve"> </w:t>
      </w:r>
      <w:r w:rsidR="003F7E95">
        <w:t xml:space="preserve">an assessment will focus </w:t>
      </w:r>
      <w:r w:rsidR="002B0F4B">
        <w:t xml:space="preserve">on a subset of </w:t>
      </w:r>
      <w:r w:rsidR="00056366">
        <w:t>s</w:t>
      </w:r>
      <w:r w:rsidR="002B0F4B">
        <w:t>tandards and associated evidentiary requirements</w:t>
      </w:r>
      <w:r w:rsidR="00A1613B">
        <w:t xml:space="preserve"> considered applicable to each case</w:t>
      </w:r>
      <w:r w:rsidR="002B0F4B">
        <w:t xml:space="preserve">, </w:t>
      </w:r>
      <w:r>
        <w:t xml:space="preserve">and </w:t>
      </w:r>
      <w:r w:rsidR="002530DD">
        <w:t xml:space="preserve">will </w:t>
      </w:r>
      <w:r>
        <w:t>expand</w:t>
      </w:r>
      <w:r w:rsidR="00220B3B">
        <w:t xml:space="preserve"> this subset to cover areas of concern as appropriate</w:t>
      </w:r>
      <w:r w:rsidR="00A1613B">
        <w:t xml:space="preserve"> to each case</w:t>
      </w:r>
      <w:r>
        <w:t xml:space="preserve"> </w:t>
      </w:r>
      <w:proofErr w:type="gramStart"/>
      <w:r>
        <w:t>on the basis of</w:t>
      </w:r>
      <w:proofErr w:type="gramEnd"/>
      <w:r>
        <w:t xml:space="preserve"> available evidence</w:t>
      </w:r>
      <w:r w:rsidR="00220B3B">
        <w:t>.</w:t>
      </w:r>
    </w:p>
    <w:p w:rsidR="00EC3947" w:rsidRDefault="00EC3947" w:rsidP="00ED7EF6">
      <w:pPr>
        <w:pStyle w:val="ListParagraph"/>
        <w:numPr>
          <w:ilvl w:val="0"/>
          <w:numId w:val="47"/>
        </w:numPr>
      </w:pPr>
      <w:proofErr w:type="gramStart"/>
      <w:r>
        <w:t xml:space="preserve">Where a provider is identified as presenting a high risk to financial position, </w:t>
      </w:r>
      <w:r w:rsidR="00EE6A86" w:rsidRPr="0086288E">
        <w:t xml:space="preserve">in </w:t>
      </w:r>
      <w:r w:rsidR="00EE6A86">
        <w:t xml:space="preserve">registration- and accreditation-related </w:t>
      </w:r>
      <w:r w:rsidR="00EE6A86" w:rsidRPr="0086288E">
        <w:t xml:space="preserve">assessments </w:t>
      </w:r>
      <w:r w:rsidR="00EE6A86">
        <w:t xml:space="preserve">subsequent to </w:t>
      </w:r>
      <w:r w:rsidR="00EE6A86" w:rsidRPr="0086288E">
        <w:t xml:space="preserve">the </w:t>
      </w:r>
      <w:r w:rsidR="00EE6A86">
        <w:t xml:space="preserve">risk assessment, the </w:t>
      </w:r>
      <w:r w:rsidR="00255BAC">
        <w:t xml:space="preserve">starting point for the </w:t>
      </w:r>
      <w:r w:rsidR="00EE6A86">
        <w:t xml:space="preserve">scope of assessment will include all financial- and resourcing-related standards, any standards related to planning and mitigation in case a provider ceases to operate, and any other standards that may be identified as relevant to </w:t>
      </w:r>
      <w:r w:rsidR="00AB3BEB">
        <w:t>the particular case given the financial risks identified</w:t>
      </w:r>
      <w:r w:rsidR="00255BAC">
        <w:t xml:space="preserve">, with this scope potentially reduced </w:t>
      </w:r>
      <w:r w:rsidR="00455433">
        <w:t>as appropriate in the context of the particular assessment</w:t>
      </w:r>
      <w:r w:rsidR="00AB3BEB">
        <w:t>.</w:t>
      </w:r>
      <w:proofErr w:type="gramEnd"/>
    </w:p>
    <w:p w:rsidR="00A1613B" w:rsidRDefault="0086288E" w:rsidP="00ED7EF6">
      <w:pPr>
        <w:pStyle w:val="ListParagraph"/>
        <w:numPr>
          <w:ilvl w:val="0"/>
          <w:numId w:val="47"/>
        </w:numPr>
      </w:pPr>
      <w:proofErr w:type="gramStart"/>
      <w:r w:rsidRPr="0086288E">
        <w:t xml:space="preserve">Where a provider </w:t>
      </w:r>
      <w:r w:rsidRPr="00EC3947">
        <w:t>is</w:t>
      </w:r>
      <w:r w:rsidRPr="0086288E">
        <w:t xml:space="preserve"> identified as </w:t>
      </w:r>
      <w:r w:rsidR="00414592">
        <w:t>presenting a high risk to students</w:t>
      </w:r>
      <w:r w:rsidRPr="0086288E">
        <w:t xml:space="preserve">, in </w:t>
      </w:r>
      <w:r w:rsidR="00A1613B">
        <w:t xml:space="preserve">registration- and accreditation-related </w:t>
      </w:r>
      <w:r w:rsidRPr="0086288E">
        <w:t xml:space="preserve">assessments </w:t>
      </w:r>
      <w:r w:rsidR="00A1613B">
        <w:t xml:space="preserve">subsequent to </w:t>
      </w:r>
      <w:r w:rsidRPr="0086288E">
        <w:t xml:space="preserve">the </w:t>
      </w:r>
      <w:r w:rsidR="00A1613B">
        <w:t>risk assessment, the baseline scope and</w:t>
      </w:r>
      <w:r w:rsidRPr="0086288E">
        <w:t xml:space="preserve"> evidence assumption </w:t>
      </w:r>
      <w:r w:rsidR="0051738E">
        <w:t>will be</w:t>
      </w:r>
      <w:r>
        <w:t xml:space="preserve"> reversed </w:t>
      </w:r>
      <w:r w:rsidRPr="0086288E">
        <w:t xml:space="preserve">so that the </w:t>
      </w:r>
      <w:r w:rsidR="00A1613B">
        <w:t xml:space="preserve">starting point includes all </w:t>
      </w:r>
      <w:r w:rsidR="00414592">
        <w:t>standards</w:t>
      </w:r>
      <w:r w:rsidR="00734BAE">
        <w:t xml:space="preserve"> appropriate to the application type</w:t>
      </w:r>
      <w:r w:rsidR="00414592">
        <w:t xml:space="preserve">, with standards subsequently excluded where not relevant to the provider or case in question, or where </w:t>
      </w:r>
      <w:r w:rsidR="00766156">
        <w:t xml:space="preserve">an assessment </w:t>
      </w:r>
      <w:r w:rsidR="00414592">
        <w:t>has recently determined the provider’s compliance</w:t>
      </w:r>
      <w:r w:rsidR="00255BAC">
        <w:t xml:space="preserve">, or </w:t>
      </w:r>
      <w:r w:rsidR="00766156">
        <w:t xml:space="preserve">otherwise </w:t>
      </w:r>
      <w:r w:rsidR="00455433">
        <w:t>where appropriate in the context of the particular assessment</w:t>
      </w:r>
      <w:r w:rsidR="00414592">
        <w:t>.</w:t>
      </w:r>
      <w:proofErr w:type="gramEnd"/>
    </w:p>
    <w:p w:rsidR="004A4AE6" w:rsidRPr="004B1915" w:rsidRDefault="002C0B53" w:rsidP="00D81186">
      <w:pPr>
        <w:pStyle w:val="Heading2"/>
      </w:pPr>
      <w:r>
        <w:t>Contact</w:t>
      </w:r>
    </w:p>
    <w:p w:rsidR="004A4AE6" w:rsidRPr="006C328D" w:rsidRDefault="002C0B53" w:rsidP="007B01C8">
      <w:r>
        <w:t>Any enquiries</w:t>
      </w:r>
      <w:r w:rsidRPr="007F3F16">
        <w:t xml:space="preserve"> about TEQSA’s approach to </w:t>
      </w:r>
      <w:proofErr w:type="gramStart"/>
      <w:r>
        <w:t>high risk</w:t>
      </w:r>
      <w:proofErr w:type="gramEnd"/>
      <w:r>
        <w:t xml:space="preserve"> providers</w:t>
      </w:r>
      <w:r w:rsidRPr="007F3F16">
        <w:t xml:space="preserve"> can be </w:t>
      </w:r>
      <w:r>
        <w:t>directed to</w:t>
      </w:r>
      <w:r w:rsidR="004A4AE6" w:rsidRPr="004B1915">
        <w:t xml:space="preserve">: </w:t>
      </w:r>
      <w:hyperlink r:id="rId7" w:history="1">
        <w:r w:rsidR="004A4AE6" w:rsidRPr="004B1915">
          <w:rPr>
            <w:rStyle w:val="Hyperlink"/>
          </w:rPr>
          <w:t>enquiries@teqsa.gov.au</w:t>
        </w:r>
      </w:hyperlink>
    </w:p>
    <w:sectPr w:rsidR="004A4AE6" w:rsidRPr="006C328D" w:rsidSect="000C60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47" w:rsidRDefault="00E94E47" w:rsidP="006C328D">
      <w:pPr>
        <w:spacing w:before="0" w:after="0"/>
      </w:pPr>
      <w:r>
        <w:separator/>
      </w:r>
    </w:p>
  </w:endnote>
  <w:endnote w:type="continuationSeparator" w:id="0">
    <w:p w:rsidR="00E94E47" w:rsidRDefault="00E94E47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847E" w:themeColor="accent1"/>
        <w:sz w:val="20"/>
        <w:szCs w:val="20"/>
      </w:rPr>
      <w:id w:val="-385334316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265895531"/>
          <w:docPartObj>
            <w:docPartGallery w:val="Page Numbers (Top of Page)"/>
            <w:docPartUnique/>
          </w:docPartObj>
        </w:sdtPr>
        <w:sdtEndPr/>
        <w:sdtContent>
          <w:p w:rsidR="003160FA" w:rsidRPr="003160FA" w:rsidRDefault="003160FA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3160FA">
              <w:rPr>
                <w:color w:val="00847E" w:themeColor="accent1"/>
                <w:sz w:val="20"/>
                <w:szCs w:val="20"/>
              </w:rPr>
              <w:t xml:space="preserve">Page </w:t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9B4EAD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2</w:t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Pr="003160FA">
              <w:rPr>
                <w:color w:val="00847E" w:themeColor="accent1"/>
                <w:sz w:val="20"/>
                <w:szCs w:val="20"/>
              </w:rPr>
              <w:t xml:space="preserve"> of </w:t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9B4EAD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2</w:t>
            </w:r>
            <w:r w:rsidRPr="003160FA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  <w:p w:rsidR="003160FA" w:rsidRDefault="00316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847E" w:themeColor="accent1"/>
        <w:sz w:val="20"/>
        <w:szCs w:val="20"/>
      </w:rPr>
      <w:id w:val="1467631289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60CD" w:rsidRPr="000C60CD" w:rsidRDefault="000C60CD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0C60CD">
              <w:rPr>
                <w:color w:val="00847E" w:themeColor="accent1"/>
                <w:sz w:val="20"/>
                <w:szCs w:val="20"/>
              </w:rPr>
              <w:t xml:space="preserve">Page </w:t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9B4EAD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1</w:t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Pr="000C60CD">
              <w:rPr>
                <w:color w:val="00847E" w:themeColor="accent1"/>
                <w:sz w:val="20"/>
                <w:szCs w:val="20"/>
              </w:rPr>
              <w:t xml:space="preserve"> of </w:t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9B4EAD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2</w:t>
            </w:r>
            <w:r w:rsidRPr="000C60CD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  <w:p w:rsidR="000C60CD" w:rsidRDefault="000C6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47" w:rsidRDefault="00E94E47" w:rsidP="006C328D">
      <w:pPr>
        <w:spacing w:before="0" w:after="0"/>
      </w:pPr>
      <w:r>
        <w:separator/>
      </w:r>
    </w:p>
  </w:footnote>
  <w:footnote w:type="continuationSeparator" w:id="0">
    <w:p w:rsidR="00E94E47" w:rsidRDefault="00E94E47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E6" w:rsidRDefault="004A4AE6">
    <w:pPr>
      <w:pStyle w:val="Header"/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7B7A6EC7" wp14:editId="22F8BFE1">
          <wp:extent cx="3228975" cy="476067"/>
          <wp:effectExtent l="0" t="0" r="0" b="635"/>
          <wp:docPr id="1" name="Picture 1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BE5F0AE" wp14:editId="7F4F2A29">
          <wp:extent cx="1428750" cy="353174"/>
          <wp:effectExtent l="0" t="0" r="0" b="8890"/>
          <wp:docPr id="3" name="Picture 3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4AE6" w:rsidRDefault="004A4AE6">
    <w:pPr>
      <w:pStyle w:val="Header"/>
    </w:pPr>
  </w:p>
  <w:p w:rsidR="004A4AE6" w:rsidRDefault="004A4AE6">
    <w:pPr>
      <w:pStyle w:val="Header"/>
    </w:pPr>
  </w:p>
  <w:p w:rsidR="004A4AE6" w:rsidRDefault="004A4AE6">
    <w:pPr>
      <w:pStyle w:val="Header"/>
    </w:pPr>
  </w:p>
  <w:p w:rsidR="004A4AE6" w:rsidRDefault="004A4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pt" o:bullet="t">
        <v:imagedata r:id="rId1" o:title="Teal-Triangles"/>
      </v:shape>
    </w:pict>
  </w:numPicBullet>
  <w:numPicBullet w:numPicBulletId="1">
    <w:pict>
      <v:shape id="_x0000_i1027" type="#_x0000_t75" style="width:1in;height:36pt" o:bullet="t">
        <v:imagedata r:id="rId2" o:title="Pink-Triangles"/>
      </v:shape>
    </w:pict>
  </w:numPicBullet>
  <w:numPicBullet w:numPicBulletId="2">
    <w:pict>
      <v:shape id="_x0000_i1028" type="#_x0000_t75" style="width:1in;height:36pt" o:bullet="t">
        <v:imagedata r:id="rId3" o:title="Yellow-Triangles"/>
      </v:shape>
    </w:pict>
  </w:numPicBullet>
  <w:abstractNum w:abstractNumId="0" w15:restartNumberingAfterBreak="0">
    <w:nsid w:val="22CD5382"/>
    <w:multiLevelType w:val="hybridMultilevel"/>
    <w:tmpl w:val="E786A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D55"/>
    <w:multiLevelType w:val="hybridMultilevel"/>
    <w:tmpl w:val="D5CA4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7B891533"/>
    <w:multiLevelType w:val="hybridMultilevel"/>
    <w:tmpl w:val="D5CA4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5"/>
  </w:num>
  <w:num w:numId="5">
    <w:abstractNumId w:val="5"/>
  </w:num>
  <w:num w:numId="6">
    <w:abstractNumId w:val="5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3"/>
  </w:num>
  <w:num w:numId="20">
    <w:abstractNumId w:val="4"/>
  </w:num>
  <w:num w:numId="21">
    <w:abstractNumId w:val="8"/>
  </w:num>
  <w:num w:numId="22">
    <w:abstractNumId w:val="6"/>
  </w:num>
  <w:num w:numId="23">
    <w:abstractNumId w:val="13"/>
  </w:num>
  <w:num w:numId="24">
    <w:abstractNumId w:val="11"/>
  </w:num>
  <w:num w:numId="25">
    <w:abstractNumId w:val="11"/>
  </w:num>
  <w:num w:numId="26">
    <w:abstractNumId w:val="5"/>
  </w:num>
  <w:num w:numId="27">
    <w:abstractNumId w:val="5"/>
  </w:num>
  <w:num w:numId="28">
    <w:abstractNumId w:val="5"/>
  </w:num>
  <w:num w:numId="29">
    <w:abstractNumId w:val="10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7"/>
  </w:num>
  <w:num w:numId="38">
    <w:abstractNumId w:val="7"/>
  </w:num>
  <w:num w:numId="39">
    <w:abstractNumId w:val="7"/>
  </w:num>
  <w:num w:numId="40">
    <w:abstractNumId w:val="1"/>
  </w:num>
  <w:num w:numId="41">
    <w:abstractNumId w:val="3"/>
  </w:num>
  <w:num w:numId="42">
    <w:abstractNumId w:val="4"/>
  </w:num>
  <w:num w:numId="43">
    <w:abstractNumId w:val="8"/>
  </w:num>
  <w:num w:numId="44">
    <w:abstractNumId w:val="6"/>
  </w:num>
  <w:num w:numId="45">
    <w:abstractNumId w:val="12"/>
  </w:num>
  <w:num w:numId="46">
    <w:abstractNumId w:val="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D"/>
    <w:rsid w:val="00042404"/>
    <w:rsid w:val="00056366"/>
    <w:rsid w:val="00074A20"/>
    <w:rsid w:val="000A268E"/>
    <w:rsid w:val="000B77BB"/>
    <w:rsid w:val="000C60CD"/>
    <w:rsid w:val="000F476E"/>
    <w:rsid w:val="00183376"/>
    <w:rsid w:val="00183896"/>
    <w:rsid w:val="00184870"/>
    <w:rsid w:val="001A2A9A"/>
    <w:rsid w:val="001B4C72"/>
    <w:rsid w:val="001F39F5"/>
    <w:rsid w:val="00220B3B"/>
    <w:rsid w:val="00230B7C"/>
    <w:rsid w:val="002530DD"/>
    <w:rsid w:val="00255BAC"/>
    <w:rsid w:val="002568B8"/>
    <w:rsid w:val="002923DC"/>
    <w:rsid w:val="002B0F4B"/>
    <w:rsid w:val="002C0B53"/>
    <w:rsid w:val="00300A8D"/>
    <w:rsid w:val="003160FA"/>
    <w:rsid w:val="00326549"/>
    <w:rsid w:val="003541AD"/>
    <w:rsid w:val="003700A5"/>
    <w:rsid w:val="00377F78"/>
    <w:rsid w:val="003A02B3"/>
    <w:rsid w:val="003B0FAF"/>
    <w:rsid w:val="003F7E95"/>
    <w:rsid w:val="00405879"/>
    <w:rsid w:val="00410E62"/>
    <w:rsid w:val="00414592"/>
    <w:rsid w:val="00455433"/>
    <w:rsid w:val="004A4AE6"/>
    <w:rsid w:val="004A6924"/>
    <w:rsid w:val="0051738E"/>
    <w:rsid w:val="00521842"/>
    <w:rsid w:val="00526316"/>
    <w:rsid w:val="0055466D"/>
    <w:rsid w:val="005B458E"/>
    <w:rsid w:val="005D100E"/>
    <w:rsid w:val="00614CFB"/>
    <w:rsid w:val="006272B2"/>
    <w:rsid w:val="006679D0"/>
    <w:rsid w:val="006B17D9"/>
    <w:rsid w:val="006C328D"/>
    <w:rsid w:val="00720A25"/>
    <w:rsid w:val="00734BAE"/>
    <w:rsid w:val="00752E3D"/>
    <w:rsid w:val="00766156"/>
    <w:rsid w:val="007B01C8"/>
    <w:rsid w:val="007C7658"/>
    <w:rsid w:val="007E210D"/>
    <w:rsid w:val="00804FD2"/>
    <w:rsid w:val="008551A8"/>
    <w:rsid w:val="0086103C"/>
    <w:rsid w:val="0086288E"/>
    <w:rsid w:val="00892853"/>
    <w:rsid w:val="008A5E53"/>
    <w:rsid w:val="008D16D9"/>
    <w:rsid w:val="008D6E3C"/>
    <w:rsid w:val="0090141E"/>
    <w:rsid w:val="00911F6F"/>
    <w:rsid w:val="009316BC"/>
    <w:rsid w:val="009452C7"/>
    <w:rsid w:val="00964A48"/>
    <w:rsid w:val="009B4EAD"/>
    <w:rsid w:val="009B769E"/>
    <w:rsid w:val="009C7262"/>
    <w:rsid w:val="00A036F7"/>
    <w:rsid w:val="00A05383"/>
    <w:rsid w:val="00A1613B"/>
    <w:rsid w:val="00A40D84"/>
    <w:rsid w:val="00AB3BEB"/>
    <w:rsid w:val="00AE0326"/>
    <w:rsid w:val="00B17A58"/>
    <w:rsid w:val="00B73FF9"/>
    <w:rsid w:val="00BC4446"/>
    <w:rsid w:val="00C60D98"/>
    <w:rsid w:val="00CB4BE8"/>
    <w:rsid w:val="00D02252"/>
    <w:rsid w:val="00D0690E"/>
    <w:rsid w:val="00D81186"/>
    <w:rsid w:val="00E00BFE"/>
    <w:rsid w:val="00E27182"/>
    <w:rsid w:val="00E40C48"/>
    <w:rsid w:val="00E42BE8"/>
    <w:rsid w:val="00E94E47"/>
    <w:rsid w:val="00EA628E"/>
    <w:rsid w:val="00EC3947"/>
    <w:rsid w:val="00ED7EF6"/>
    <w:rsid w:val="00EE6A86"/>
    <w:rsid w:val="00EF1C26"/>
    <w:rsid w:val="00F559F1"/>
    <w:rsid w:val="00F80F97"/>
    <w:rsid w:val="00F81355"/>
    <w:rsid w:val="00F82DB0"/>
    <w:rsid w:val="00FB1461"/>
    <w:rsid w:val="00FC24D6"/>
    <w:rsid w:val="00FC68CB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5B458E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186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1186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81186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B458E"/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81186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4A4AE6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4AE6"/>
    <w:rPr>
      <w:rFonts w:ascii="Arial" w:hAnsi="Arial"/>
      <w:color w:val="auto"/>
    </w:rPr>
  </w:style>
  <w:style w:type="table" w:customStyle="1" w:styleId="TEQSAtables">
    <w:name w:val="TEQSA tables"/>
    <w:basedOn w:val="TableNormal"/>
    <w:uiPriority w:val="99"/>
    <w:rsid w:val="004A4AE6"/>
    <w:pPr>
      <w:spacing w:before="0" w:after="0"/>
      <w:jc w:val="center"/>
    </w:pPr>
    <w:rPr>
      <w:color w:val="auto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  <w:tcMar>
        <w:top w:w="57" w:type="dxa"/>
        <w:left w:w="142" w:type="dxa"/>
        <w:bottom w:w="57" w:type="dxa"/>
        <w:right w:w="142" w:type="dxa"/>
      </w:tcMar>
    </w:tcPr>
    <w:tblStylePr w:type="firstRow">
      <w:rPr>
        <w:rFonts w:ascii="Arial" w:hAnsi="Arial"/>
        <w:b/>
        <w:color w:val="E7E6E6" w:themeColor="background2"/>
        <w:sz w:val="2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000000" w:themeColor="text1"/>
          <w:tl2br w:val="nil"/>
          <w:tr2bl w:val="nil"/>
        </w:tcBorders>
        <w:shd w:val="clear" w:color="auto" w:fill="004855"/>
      </w:tcPr>
    </w:tblStylePr>
    <w:tblStylePr w:type="band2Horz">
      <w:tblPr/>
      <w:tcPr>
        <w:shd w:val="clear" w:color="auto" w:fill="FBE4D5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A4AE6"/>
    <w:rPr>
      <w:color w:val="00847E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551A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ies@teqs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TEQSA high risk provider policy</vt:lpstr>
    </vt:vector>
  </TitlesOfParts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TEQSA high risk provider policy</dc:title>
  <dc:creator/>
  <cp:lastModifiedBy/>
  <cp:revision>1</cp:revision>
  <dcterms:created xsi:type="dcterms:W3CDTF">2019-08-29T06:35:00Z</dcterms:created>
  <dcterms:modified xsi:type="dcterms:W3CDTF">2019-08-29T06:35:00Z</dcterms:modified>
</cp:coreProperties>
</file>