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44" w:rsidRDefault="00A64544" w:rsidP="00A64544">
      <w:pPr>
        <w:pStyle w:val="Title"/>
      </w:pPr>
      <w:r>
        <w:t>Summary Report of the Consultation Process</w:t>
      </w:r>
      <w:r w:rsidR="00FB23A9">
        <w:t xml:space="preserve"> –</w:t>
      </w:r>
      <w:r w:rsidR="00176F56">
        <w:t xml:space="preserve"> P</w:t>
      </w:r>
      <w:r w:rsidR="00FB23A9">
        <w:t>ublic reporting of TEQSA’s decisions</w:t>
      </w:r>
    </w:p>
    <w:p w:rsidR="00FB23A9" w:rsidRPr="00FB23A9" w:rsidRDefault="00FB23A9" w:rsidP="00FB23A9"/>
    <w:p w:rsidR="00AF0899" w:rsidRPr="008E6967" w:rsidRDefault="00FB23A9" w:rsidP="008E6967">
      <w:pPr>
        <w:pStyle w:val="Subtitle"/>
      </w:pPr>
      <w:r>
        <w:t>November</w:t>
      </w:r>
      <w:r w:rsidR="000E6484" w:rsidRPr="008E6967">
        <w:t xml:space="preserve"> 2017</w:t>
      </w:r>
    </w:p>
    <w:p w:rsidR="000E6484" w:rsidRPr="008E6967" w:rsidRDefault="000E6484" w:rsidP="008E6967"/>
    <w:p w:rsidR="000E6484" w:rsidRPr="008E6967" w:rsidRDefault="000E6484" w:rsidP="008E6967"/>
    <w:p w:rsidR="000E6484" w:rsidRPr="008E6967" w:rsidRDefault="000E6484" w:rsidP="008E6967"/>
    <w:p w:rsidR="000E6484" w:rsidRPr="008E6967" w:rsidRDefault="000E6484" w:rsidP="008E6967">
      <w:pPr>
        <w:sectPr w:rsidR="000E6484" w:rsidRPr="008E6967" w:rsidSect="000E6484">
          <w:headerReference w:type="first" r:id="rId12"/>
          <w:footerReference w:type="first" r:id="rId13"/>
          <w:pgSz w:w="11906" w:h="16838" w:code="9"/>
          <w:pgMar w:top="3402" w:right="1247" w:bottom="4536" w:left="2325" w:header="567" w:footer="567" w:gutter="0"/>
          <w:cols w:space="708"/>
          <w:titlePg/>
          <w:docGrid w:linePitch="360"/>
        </w:sectPr>
      </w:pPr>
    </w:p>
    <w:p w:rsidR="00AF0899" w:rsidRPr="008E6967" w:rsidRDefault="00AF0899" w:rsidP="008E6967">
      <w:pPr>
        <w:pStyle w:val="TOCHeading"/>
      </w:pPr>
      <w:r w:rsidRPr="008E6967">
        <w:lastRenderedPageBreak/>
        <w:t>Contents</w:t>
      </w:r>
    </w:p>
    <w:p w:rsidR="002A00D9" w:rsidRDefault="008E6967">
      <w:pPr>
        <w:pStyle w:val="TOC2"/>
        <w:rPr>
          <w:rFonts w:asciiTheme="minorHAnsi" w:eastAsiaTheme="minorEastAsia" w:hAnsiTheme="minorHAnsi"/>
          <w:b w:val="0"/>
          <w:noProof/>
          <w:color w:val="auto"/>
          <w:lang w:eastAsia="en-AU"/>
        </w:rPr>
      </w:pPr>
      <w:r>
        <w:rPr>
          <w:b w:val="0"/>
          <w:caps/>
          <w:color w:val="auto"/>
          <w:sz w:val="24"/>
        </w:rPr>
        <w:fldChar w:fldCharType="begin"/>
      </w:r>
      <w:r>
        <w:rPr>
          <w:b w:val="0"/>
          <w:caps/>
          <w:color w:val="auto"/>
          <w:sz w:val="24"/>
        </w:rPr>
        <w:instrText xml:space="preserve"> TOC \o "2-3" \h \z \t "Heading 1,1,Heading 1 Numbered,1" </w:instrText>
      </w:r>
      <w:r>
        <w:rPr>
          <w:b w:val="0"/>
          <w:caps/>
          <w:color w:val="auto"/>
          <w:sz w:val="24"/>
        </w:rPr>
        <w:fldChar w:fldCharType="separate"/>
      </w:r>
      <w:hyperlink w:anchor="_Toc498593306" w:history="1">
        <w:r w:rsidR="002A00D9" w:rsidRPr="00C26D96">
          <w:rPr>
            <w:rStyle w:val="Hyperlink"/>
            <w:noProof/>
          </w:rPr>
          <w:t>Background</w:t>
        </w:r>
        <w:r w:rsidR="002A00D9">
          <w:rPr>
            <w:noProof/>
            <w:webHidden/>
          </w:rPr>
          <w:tab/>
        </w:r>
        <w:r w:rsidR="002A00D9">
          <w:rPr>
            <w:noProof/>
            <w:webHidden/>
          </w:rPr>
          <w:fldChar w:fldCharType="begin"/>
        </w:r>
        <w:r w:rsidR="002A00D9">
          <w:rPr>
            <w:noProof/>
            <w:webHidden/>
          </w:rPr>
          <w:instrText xml:space="preserve"> PAGEREF _Toc498593306 \h </w:instrText>
        </w:r>
        <w:r w:rsidR="002A00D9">
          <w:rPr>
            <w:noProof/>
            <w:webHidden/>
          </w:rPr>
        </w:r>
        <w:r w:rsidR="002A00D9">
          <w:rPr>
            <w:noProof/>
            <w:webHidden/>
          </w:rPr>
          <w:fldChar w:fldCharType="separate"/>
        </w:r>
        <w:r w:rsidR="002A00D9">
          <w:rPr>
            <w:noProof/>
            <w:webHidden/>
          </w:rPr>
          <w:t>3</w:t>
        </w:r>
        <w:r w:rsidR="002A00D9">
          <w:rPr>
            <w:noProof/>
            <w:webHidden/>
          </w:rPr>
          <w:fldChar w:fldCharType="end"/>
        </w:r>
      </w:hyperlink>
    </w:p>
    <w:p w:rsidR="002A00D9" w:rsidRDefault="004E6E00">
      <w:pPr>
        <w:pStyle w:val="TOC2"/>
        <w:rPr>
          <w:rFonts w:asciiTheme="minorHAnsi" w:eastAsiaTheme="minorEastAsia" w:hAnsiTheme="minorHAnsi"/>
          <w:b w:val="0"/>
          <w:noProof/>
          <w:color w:val="auto"/>
          <w:lang w:eastAsia="en-AU"/>
        </w:rPr>
      </w:pPr>
      <w:hyperlink w:anchor="_Toc498593307" w:history="1">
        <w:r w:rsidR="002A00D9" w:rsidRPr="00C26D96">
          <w:rPr>
            <w:rStyle w:val="Hyperlink"/>
            <w:noProof/>
          </w:rPr>
          <w:t>Consultation</w:t>
        </w:r>
        <w:r w:rsidR="002A00D9">
          <w:rPr>
            <w:noProof/>
            <w:webHidden/>
          </w:rPr>
          <w:tab/>
        </w:r>
        <w:r w:rsidR="002A00D9">
          <w:rPr>
            <w:noProof/>
            <w:webHidden/>
          </w:rPr>
          <w:fldChar w:fldCharType="begin"/>
        </w:r>
        <w:r w:rsidR="002A00D9">
          <w:rPr>
            <w:noProof/>
            <w:webHidden/>
          </w:rPr>
          <w:instrText xml:space="preserve"> PAGEREF _Toc498593307 \h </w:instrText>
        </w:r>
        <w:r w:rsidR="002A00D9">
          <w:rPr>
            <w:noProof/>
            <w:webHidden/>
          </w:rPr>
        </w:r>
        <w:r w:rsidR="002A00D9">
          <w:rPr>
            <w:noProof/>
            <w:webHidden/>
          </w:rPr>
          <w:fldChar w:fldCharType="separate"/>
        </w:r>
        <w:r w:rsidR="002A00D9">
          <w:rPr>
            <w:noProof/>
            <w:webHidden/>
          </w:rPr>
          <w:t>3</w:t>
        </w:r>
        <w:r w:rsidR="002A00D9">
          <w:rPr>
            <w:noProof/>
            <w:webHidden/>
          </w:rPr>
          <w:fldChar w:fldCharType="end"/>
        </w:r>
      </w:hyperlink>
    </w:p>
    <w:p w:rsidR="002A00D9" w:rsidRDefault="004E6E00">
      <w:pPr>
        <w:pStyle w:val="TOC2"/>
        <w:rPr>
          <w:rFonts w:asciiTheme="minorHAnsi" w:eastAsiaTheme="minorEastAsia" w:hAnsiTheme="minorHAnsi"/>
          <w:b w:val="0"/>
          <w:noProof/>
          <w:color w:val="auto"/>
          <w:lang w:eastAsia="en-AU"/>
        </w:rPr>
      </w:pPr>
      <w:hyperlink w:anchor="_Toc498593308" w:history="1">
        <w:r w:rsidR="002A00D9" w:rsidRPr="00C26D96">
          <w:rPr>
            <w:rStyle w:val="Hyperlink"/>
            <w:noProof/>
          </w:rPr>
          <w:t>Consultation responses</w:t>
        </w:r>
        <w:r w:rsidR="002A00D9">
          <w:rPr>
            <w:noProof/>
            <w:webHidden/>
          </w:rPr>
          <w:tab/>
        </w:r>
        <w:r w:rsidR="002A00D9">
          <w:rPr>
            <w:noProof/>
            <w:webHidden/>
          </w:rPr>
          <w:fldChar w:fldCharType="begin"/>
        </w:r>
        <w:r w:rsidR="002A00D9">
          <w:rPr>
            <w:noProof/>
            <w:webHidden/>
          </w:rPr>
          <w:instrText xml:space="preserve"> PAGEREF _Toc498593308 \h </w:instrText>
        </w:r>
        <w:r w:rsidR="002A00D9">
          <w:rPr>
            <w:noProof/>
            <w:webHidden/>
          </w:rPr>
        </w:r>
        <w:r w:rsidR="002A00D9">
          <w:rPr>
            <w:noProof/>
            <w:webHidden/>
          </w:rPr>
          <w:fldChar w:fldCharType="separate"/>
        </w:r>
        <w:r w:rsidR="002A00D9">
          <w:rPr>
            <w:noProof/>
            <w:webHidden/>
          </w:rPr>
          <w:t>4</w:t>
        </w:r>
        <w:r w:rsidR="002A00D9">
          <w:rPr>
            <w:noProof/>
            <w:webHidden/>
          </w:rPr>
          <w:fldChar w:fldCharType="end"/>
        </w:r>
      </w:hyperlink>
    </w:p>
    <w:p w:rsidR="002A00D9" w:rsidRDefault="004E6E00">
      <w:pPr>
        <w:pStyle w:val="TOC2"/>
        <w:rPr>
          <w:rFonts w:asciiTheme="minorHAnsi" w:eastAsiaTheme="minorEastAsia" w:hAnsiTheme="minorHAnsi"/>
          <w:b w:val="0"/>
          <w:noProof/>
          <w:color w:val="auto"/>
          <w:lang w:eastAsia="en-AU"/>
        </w:rPr>
      </w:pPr>
      <w:hyperlink w:anchor="_Toc498593309" w:history="1">
        <w:r w:rsidR="002A00D9" w:rsidRPr="00C26D96">
          <w:rPr>
            <w:rStyle w:val="Hyperlink"/>
            <w:noProof/>
          </w:rPr>
          <w:t>TEQSA’s response</w:t>
        </w:r>
        <w:r w:rsidR="002A00D9">
          <w:rPr>
            <w:noProof/>
            <w:webHidden/>
          </w:rPr>
          <w:tab/>
        </w:r>
        <w:r w:rsidR="002A00D9">
          <w:rPr>
            <w:noProof/>
            <w:webHidden/>
          </w:rPr>
          <w:fldChar w:fldCharType="begin"/>
        </w:r>
        <w:r w:rsidR="002A00D9">
          <w:rPr>
            <w:noProof/>
            <w:webHidden/>
          </w:rPr>
          <w:instrText xml:space="preserve"> PAGEREF _Toc498593309 \h </w:instrText>
        </w:r>
        <w:r w:rsidR="002A00D9">
          <w:rPr>
            <w:noProof/>
            <w:webHidden/>
          </w:rPr>
        </w:r>
        <w:r w:rsidR="002A00D9">
          <w:rPr>
            <w:noProof/>
            <w:webHidden/>
          </w:rPr>
          <w:fldChar w:fldCharType="separate"/>
        </w:r>
        <w:r w:rsidR="002A00D9">
          <w:rPr>
            <w:noProof/>
            <w:webHidden/>
          </w:rPr>
          <w:t>4</w:t>
        </w:r>
        <w:r w:rsidR="002A00D9">
          <w:rPr>
            <w:noProof/>
            <w:webHidden/>
          </w:rPr>
          <w:fldChar w:fldCharType="end"/>
        </w:r>
      </w:hyperlink>
    </w:p>
    <w:p w:rsidR="002A00D9" w:rsidRDefault="004E6E00">
      <w:pPr>
        <w:pStyle w:val="TOC2"/>
        <w:rPr>
          <w:rFonts w:asciiTheme="minorHAnsi" w:eastAsiaTheme="minorEastAsia" w:hAnsiTheme="minorHAnsi"/>
          <w:b w:val="0"/>
          <w:noProof/>
          <w:color w:val="auto"/>
          <w:lang w:eastAsia="en-AU"/>
        </w:rPr>
      </w:pPr>
      <w:hyperlink w:anchor="_Toc498593310" w:history="1">
        <w:r w:rsidR="002A00D9" w:rsidRPr="00C26D96">
          <w:rPr>
            <w:rStyle w:val="Hyperlink"/>
            <w:noProof/>
          </w:rPr>
          <w:t>Next steps</w:t>
        </w:r>
        <w:r w:rsidR="002A00D9">
          <w:rPr>
            <w:noProof/>
            <w:webHidden/>
          </w:rPr>
          <w:tab/>
        </w:r>
        <w:r w:rsidR="002A00D9">
          <w:rPr>
            <w:noProof/>
            <w:webHidden/>
          </w:rPr>
          <w:fldChar w:fldCharType="begin"/>
        </w:r>
        <w:r w:rsidR="002A00D9">
          <w:rPr>
            <w:noProof/>
            <w:webHidden/>
          </w:rPr>
          <w:instrText xml:space="preserve"> PAGEREF _Toc498593310 \h </w:instrText>
        </w:r>
        <w:r w:rsidR="002A00D9">
          <w:rPr>
            <w:noProof/>
            <w:webHidden/>
          </w:rPr>
        </w:r>
        <w:r w:rsidR="002A00D9">
          <w:rPr>
            <w:noProof/>
            <w:webHidden/>
          </w:rPr>
          <w:fldChar w:fldCharType="separate"/>
        </w:r>
        <w:r w:rsidR="002A00D9">
          <w:rPr>
            <w:noProof/>
            <w:webHidden/>
          </w:rPr>
          <w:t>4</w:t>
        </w:r>
        <w:r w:rsidR="002A00D9">
          <w:rPr>
            <w:noProof/>
            <w:webHidden/>
          </w:rPr>
          <w:fldChar w:fldCharType="end"/>
        </w:r>
      </w:hyperlink>
    </w:p>
    <w:p w:rsidR="00AF0899" w:rsidRPr="008E6967" w:rsidRDefault="008E6967" w:rsidP="008E6967">
      <w:r>
        <w:rPr>
          <w:rFonts w:asciiTheme="majorHAnsi" w:hAnsiTheme="majorHAnsi"/>
          <w:b/>
          <w:caps/>
          <w:color w:val="auto"/>
          <w:sz w:val="24"/>
        </w:rPr>
        <w:fldChar w:fldCharType="end"/>
      </w:r>
    </w:p>
    <w:p w:rsidR="008539B0" w:rsidRDefault="008539B0">
      <w:r>
        <w:br w:type="page"/>
      </w:r>
    </w:p>
    <w:p w:rsidR="00AF0899" w:rsidRDefault="00DF13ED" w:rsidP="008539B0">
      <w:pPr>
        <w:pStyle w:val="Heading2"/>
      </w:pPr>
      <w:bookmarkStart w:id="0" w:name="_Toc498593306"/>
      <w:bookmarkStart w:id="1" w:name="_GoBack"/>
      <w:r>
        <w:lastRenderedPageBreak/>
        <w:t>Background</w:t>
      </w:r>
      <w:bookmarkEnd w:id="0"/>
    </w:p>
    <w:p w:rsidR="00DF13ED" w:rsidRDefault="00DF13ED" w:rsidP="00DF13ED">
      <w:pPr>
        <w:spacing w:after="240"/>
        <w:rPr>
          <w:lang w:eastAsia="en-AU"/>
        </w:rPr>
      </w:pPr>
      <w:r>
        <w:rPr>
          <w:lang w:eastAsia="en-AU"/>
        </w:rPr>
        <w:t xml:space="preserve">The Agency publishes information about most of its decisions under the </w:t>
      </w:r>
      <w:r w:rsidRPr="002D42A1">
        <w:rPr>
          <w:i/>
          <w:lang w:eastAsia="en-AU"/>
        </w:rPr>
        <w:t>Tertiary Education Quality and Standards Agency Act 2011</w:t>
      </w:r>
      <w:r>
        <w:rPr>
          <w:lang w:eastAsia="en-AU"/>
        </w:rPr>
        <w:t xml:space="preserve"> (TEQSA Act), consistent with the requirements of the Act and the terms of the National Register Guidelines. </w:t>
      </w:r>
    </w:p>
    <w:p w:rsidR="008539B0" w:rsidRDefault="00DF13ED" w:rsidP="00DF13ED">
      <w:r>
        <w:t xml:space="preserve">From February – November 2017 the agency consulted on changes to its policy on public reporting, including changes to the Register Guidelines. </w:t>
      </w:r>
    </w:p>
    <w:p w:rsidR="00DF13ED" w:rsidRDefault="00DF13ED" w:rsidP="00DF13ED">
      <w:pPr>
        <w:rPr>
          <w:rFonts w:cs="Arial"/>
        </w:rPr>
      </w:pPr>
      <w:r>
        <w:rPr>
          <w:rFonts w:cs="Arial"/>
        </w:rPr>
        <w:t>Key themes and responses from the consultation process have been summarised in this report.</w:t>
      </w:r>
    </w:p>
    <w:p w:rsidR="00DF13ED" w:rsidRDefault="00EF3F2B" w:rsidP="00EF3F2B">
      <w:pPr>
        <w:pStyle w:val="Heading2"/>
      </w:pPr>
      <w:bookmarkStart w:id="2" w:name="_Toc498593307"/>
      <w:r w:rsidRPr="00EF3F2B">
        <w:t>Consultation</w:t>
      </w:r>
      <w:bookmarkEnd w:id="2"/>
      <w:r w:rsidR="007E2611">
        <w:t xml:space="preserve"> process</w:t>
      </w:r>
    </w:p>
    <w:p w:rsidR="00EF3F2B" w:rsidRDefault="00EF3F2B" w:rsidP="00EF3F2B">
      <w:pPr>
        <w:rPr>
          <w:lang w:val="en-US"/>
        </w:rPr>
      </w:pPr>
      <w:r>
        <w:rPr>
          <w:rFonts w:cs="Arial"/>
          <w:color w:val="000000"/>
        </w:rPr>
        <w:t xml:space="preserve">In February 2017 </w:t>
      </w:r>
      <w:r>
        <w:rPr>
          <w:rFonts w:cs="Arial"/>
        </w:rPr>
        <w:t xml:space="preserve">TEQSA conducted a formal consultation process seeking sector views on changes to the way </w:t>
      </w:r>
      <w:r w:rsidR="004C2789">
        <w:rPr>
          <w:rFonts w:cs="Arial"/>
        </w:rPr>
        <w:t xml:space="preserve">the Agency </w:t>
      </w:r>
      <w:r>
        <w:rPr>
          <w:rFonts w:cs="Arial"/>
        </w:rPr>
        <w:t xml:space="preserve">publishes its regulatory decisions. </w:t>
      </w:r>
      <w:r>
        <w:rPr>
          <w:lang w:val="en-US"/>
        </w:rPr>
        <w:t>The paper posed five questions seeking feedback on TEQSA’s proposed approach.</w:t>
      </w:r>
    </w:p>
    <w:p w:rsidR="00476604" w:rsidRDefault="00476604" w:rsidP="00476604">
      <w:pPr>
        <w:pStyle w:val="BulletsL2"/>
        <w:numPr>
          <w:ilvl w:val="0"/>
          <w:numId w:val="46"/>
        </w:numPr>
      </w:pPr>
      <w:r>
        <w:rPr>
          <w:b/>
        </w:rPr>
        <w:t>Question 1</w:t>
      </w:r>
      <w:r>
        <w:t>: Do you agree with the proposed principles to guide TEQSA’s approach to publishing information about its decisions?</w:t>
      </w:r>
    </w:p>
    <w:p w:rsidR="00476604" w:rsidRDefault="00476604" w:rsidP="00476604">
      <w:pPr>
        <w:pStyle w:val="BulletsL2"/>
        <w:numPr>
          <w:ilvl w:val="0"/>
          <w:numId w:val="46"/>
        </w:numPr>
      </w:pPr>
      <w:r>
        <w:rPr>
          <w:b/>
        </w:rPr>
        <w:t>Question 2</w:t>
      </w:r>
      <w:r>
        <w:t>: Do you agree with the proposed approach to the timing of the publication of information about TEQSA’s decisions?</w:t>
      </w:r>
    </w:p>
    <w:p w:rsidR="00476604" w:rsidRDefault="00476604" w:rsidP="00476604">
      <w:pPr>
        <w:pStyle w:val="BulletsL2"/>
        <w:numPr>
          <w:ilvl w:val="0"/>
          <w:numId w:val="46"/>
        </w:numPr>
      </w:pPr>
      <w:r>
        <w:rPr>
          <w:b/>
        </w:rPr>
        <w:t>Question 3:</w:t>
      </w:r>
      <w:r>
        <w:t xml:space="preserve"> Do you agree with the proposal to publish information about the rejection of applications for initial registration and course accreditation?</w:t>
      </w:r>
    </w:p>
    <w:p w:rsidR="00476604" w:rsidRDefault="00476604" w:rsidP="00476604">
      <w:pPr>
        <w:pStyle w:val="BulletsL2"/>
        <w:numPr>
          <w:ilvl w:val="0"/>
          <w:numId w:val="46"/>
        </w:numPr>
      </w:pPr>
      <w:r>
        <w:rPr>
          <w:b/>
        </w:rPr>
        <w:t>Question 4:</w:t>
      </w:r>
      <w:r>
        <w:t xml:space="preserve"> </w:t>
      </w:r>
      <w:r w:rsidR="00176F56">
        <w:t>Do you agree with the proposed amendments to the National Register Guidelines?</w:t>
      </w:r>
    </w:p>
    <w:p w:rsidR="00476604" w:rsidRDefault="00476604" w:rsidP="00476604">
      <w:pPr>
        <w:pStyle w:val="BulletsL2"/>
        <w:numPr>
          <w:ilvl w:val="0"/>
          <w:numId w:val="46"/>
        </w:numPr>
      </w:pPr>
      <w:r>
        <w:rPr>
          <w:b/>
        </w:rPr>
        <w:t>Question 5:</w:t>
      </w:r>
      <w:r>
        <w:t xml:space="preserve"> </w:t>
      </w:r>
      <w:r w:rsidR="00176F56">
        <w:t>Do you agree with the proposal to publish news announcements and media releases about significant decisions by TEQSA?</w:t>
      </w:r>
    </w:p>
    <w:p w:rsidR="00476604" w:rsidRDefault="00476604" w:rsidP="00EF3F2B">
      <w:pPr>
        <w:rPr>
          <w:lang w:val="en-US"/>
        </w:rPr>
      </w:pPr>
    </w:p>
    <w:p w:rsidR="00176F56" w:rsidRDefault="00176F56" w:rsidP="00176F56">
      <w:pPr>
        <w:rPr>
          <w:rFonts w:cs="Arial"/>
          <w:color w:val="000000"/>
        </w:rPr>
      </w:pPr>
      <w:r>
        <w:rPr>
          <w:lang w:val="en-US"/>
        </w:rPr>
        <w:t>Information about the Consultation Paper was made available on the TEQSA website and sent to</w:t>
      </w:r>
      <w:r w:rsidR="00EF3F2B" w:rsidRPr="00EF3F2B">
        <w:rPr>
          <w:rFonts w:cs="Arial"/>
          <w:color w:val="000000"/>
        </w:rPr>
        <w:t xml:space="preserve"> the following</w:t>
      </w:r>
      <w:r w:rsidR="00EF3F2B">
        <w:rPr>
          <w:rFonts w:cs="Arial"/>
          <w:color w:val="000000"/>
        </w:rPr>
        <w:t xml:space="preserve"> peak bodies:</w:t>
      </w:r>
      <w:r w:rsidR="00EF3F2B" w:rsidRPr="00EF3F2B">
        <w:rPr>
          <w:rFonts w:cs="Arial"/>
          <w:color w:val="000000"/>
        </w:rPr>
        <w:t xml:space="preserve"> </w:t>
      </w:r>
    </w:p>
    <w:p w:rsidR="00EF3F2B" w:rsidRDefault="00EF3F2B" w:rsidP="00176F56">
      <w:pPr>
        <w:rPr>
          <w:rFonts w:cs="Arial"/>
          <w:color w:val="000000"/>
        </w:rPr>
      </w:pPr>
      <w:r w:rsidRPr="00EF3F2B">
        <w:rPr>
          <w:rFonts w:cs="Arial"/>
          <w:color w:val="000000"/>
        </w:rPr>
        <w:t xml:space="preserve">Australian Council for Private Education and Training, Council of Private Higher Education, Universities Australia, TAFE Directors Australia, International Education Association of Australia, English Australia, Regional Universities Network, Innovative Research Universities, Group of Eight, Australian Technology Network, Council for International Education, National Union of Students, Council of International Students Australia, Australian Medical Students' Association, NSW/Territories Committee of Chairs of Academic Boards and Senates on behalf of the Chairs of Academic Boards and Senates, Chairs of Academic Boards Forum and University Chancellors Council. </w:t>
      </w:r>
    </w:p>
    <w:p w:rsidR="007E2611" w:rsidRDefault="007E2611" w:rsidP="00176F56">
      <w:pPr>
        <w:rPr>
          <w:rFonts w:cs="Arial"/>
          <w:color w:val="000000"/>
        </w:rPr>
      </w:pPr>
    </w:p>
    <w:p w:rsidR="001F1B3F" w:rsidRDefault="001F1B3F" w:rsidP="00176F56">
      <w:pPr>
        <w:rPr>
          <w:rFonts w:cs="Arial"/>
          <w:color w:val="000000"/>
        </w:rPr>
      </w:pPr>
      <w:r w:rsidRPr="001F1B3F">
        <w:rPr>
          <w:rFonts w:cs="Arial"/>
          <w:color w:val="000000"/>
        </w:rPr>
        <w:t>On 2 November 2017</w:t>
      </w:r>
      <w:r w:rsidR="007E2611">
        <w:rPr>
          <w:rFonts w:cs="Arial"/>
          <w:color w:val="000000"/>
        </w:rPr>
        <w:t>,</w:t>
      </w:r>
      <w:r w:rsidRPr="001F1B3F">
        <w:rPr>
          <w:rFonts w:cs="Arial"/>
          <w:color w:val="000000"/>
        </w:rPr>
        <w:t xml:space="preserve"> </w:t>
      </w:r>
      <w:r w:rsidR="00A85534">
        <w:rPr>
          <w:rFonts w:cs="Arial"/>
          <w:color w:val="000000"/>
        </w:rPr>
        <w:t xml:space="preserve">following </w:t>
      </w:r>
      <w:r w:rsidR="007E2611">
        <w:rPr>
          <w:rFonts w:cs="Arial"/>
          <w:color w:val="000000"/>
        </w:rPr>
        <w:t>a further</w:t>
      </w:r>
      <w:r w:rsidR="00A85534">
        <w:rPr>
          <w:rFonts w:cs="Arial"/>
          <w:color w:val="000000"/>
        </w:rPr>
        <w:t xml:space="preserve"> targeted consultation </w:t>
      </w:r>
      <w:r w:rsidR="007E2611">
        <w:rPr>
          <w:rFonts w:cs="Arial"/>
          <w:color w:val="000000"/>
        </w:rPr>
        <w:t>with peak bodies</w:t>
      </w:r>
      <w:r w:rsidR="00A85534">
        <w:rPr>
          <w:rFonts w:cs="Arial"/>
          <w:color w:val="000000"/>
        </w:rPr>
        <w:t xml:space="preserve">, </w:t>
      </w:r>
      <w:r w:rsidRPr="001F1B3F">
        <w:rPr>
          <w:rFonts w:cs="Arial"/>
          <w:color w:val="000000"/>
        </w:rPr>
        <w:t>draft</w:t>
      </w:r>
      <w:r w:rsidR="007E2611">
        <w:rPr>
          <w:rFonts w:cs="Arial"/>
          <w:color w:val="000000"/>
        </w:rPr>
        <w:t>s</w:t>
      </w:r>
      <w:r w:rsidRPr="001F1B3F">
        <w:rPr>
          <w:rFonts w:cs="Arial"/>
          <w:color w:val="000000"/>
        </w:rPr>
        <w:t xml:space="preserve"> of the Register Guidelines 2017 and </w:t>
      </w:r>
      <w:r w:rsidR="007B7705" w:rsidRPr="007B7705">
        <w:rPr>
          <w:rFonts w:cs="Arial"/>
          <w:i/>
          <w:color w:val="000000"/>
        </w:rPr>
        <w:t>Policy of public r</w:t>
      </w:r>
      <w:r w:rsidRPr="007B7705">
        <w:rPr>
          <w:rFonts w:cs="Arial"/>
          <w:i/>
          <w:color w:val="000000"/>
        </w:rPr>
        <w:t xml:space="preserve">eporting </w:t>
      </w:r>
      <w:r w:rsidR="007B7705" w:rsidRPr="007B7705">
        <w:rPr>
          <w:rFonts w:cs="Arial"/>
          <w:i/>
          <w:color w:val="000000"/>
        </w:rPr>
        <w:t>of TEQSA’s decisions</w:t>
      </w:r>
      <w:r w:rsidR="007B7705">
        <w:rPr>
          <w:rFonts w:cs="Arial"/>
          <w:color w:val="000000"/>
        </w:rPr>
        <w:t xml:space="preserve"> </w:t>
      </w:r>
      <w:r w:rsidRPr="001F1B3F">
        <w:rPr>
          <w:rFonts w:cs="Arial"/>
          <w:color w:val="000000"/>
        </w:rPr>
        <w:t>w</w:t>
      </w:r>
      <w:r w:rsidR="007E2611">
        <w:rPr>
          <w:rFonts w:cs="Arial"/>
          <w:color w:val="000000"/>
        </w:rPr>
        <w:t>ere</w:t>
      </w:r>
      <w:r w:rsidRPr="001F1B3F">
        <w:rPr>
          <w:rFonts w:cs="Arial"/>
          <w:color w:val="000000"/>
        </w:rPr>
        <w:t xml:space="preserve"> sent to the following groups for comment: Australian Council for Private Education and Training, Council of Private Higher Education, Group of Eight, TAFE Directors Australia, Innovative Research Universities and Universities Australia.</w:t>
      </w:r>
    </w:p>
    <w:p w:rsidR="00B865D8" w:rsidRDefault="00B865D8" w:rsidP="00176F56">
      <w:pPr>
        <w:rPr>
          <w:rFonts w:cs="Arial"/>
          <w:color w:val="000000"/>
        </w:rPr>
      </w:pPr>
    </w:p>
    <w:p w:rsidR="00B865D8" w:rsidRDefault="001F1B3F" w:rsidP="001F1B3F">
      <w:pPr>
        <w:pStyle w:val="Heading2"/>
      </w:pPr>
      <w:bookmarkStart w:id="3" w:name="_Toc498593308"/>
      <w:r w:rsidRPr="001F1B3F">
        <w:lastRenderedPageBreak/>
        <w:t>Consultation responses</w:t>
      </w:r>
      <w:bookmarkEnd w:id="3"/>
      <w:r w:rsidRPr="001F1B3F">
        <w:t xml:space="preserve"> </w:t>
      </w:r>
    </w:p>
    <w:p w:rsidR="00B461B3" w:rsidRDefault="001A5A6F" w:rsidP="00B461B3">
      <w:pPr>
        <w:spacing w:before="0" w:after="0"/>
        <w:rPr>
          <w:rFonts w:eastAsia="SimSun"/>
          <w:lang w:eastAsia="en-AU"/>
        </w:rPr>
      </w:pPr>
      <w:r>
        <w:rPr>
          <w:lang w:eastAsia="en-AU"/>
        </w:rPr>
        <w:t>While s</w:t>
      </w:r>
      <w:r w:rsidR="00B461B3">
        <w:rPr>
          <w:lang w:eastAsia="en-AU"/>
        </w:rPr>
        <w:t xml:space="preserve">ome respondents were supportive of TEQSA’s </w:t>
      </w:r>
      <w:r w:rsidR="00B461B3">
        <w:rPr>
          <w:rFonts w:cstheme="minorHAnsi"/>
          <w:lang w:val="en-US"/>
        </w:rPr>
        <w:t>proposed changes to publishing its d</w:t>
      </w:r>
      <w:r>
        <w:rPr>
          <w:rFonts w:cstheme="minorHAnsi"/>
          <w:lang w:val="en-US"/>
        </w:rPr>
        <w:t>ecisions, m</w:t>
      </w:r>
      <w:r w:rsidR="00B461B3">
        <w:rPr>
          <w:rFonts w:cstheme="minorHAnsi"/>
          <w:lang w:val="en-US"/>
        </w:rPr>
        <w:t>any had concerns relating to the timing of publishing decisions</w:t>
      </w:r>
      <w:r w:rsidR="00360140">
        <w:rPr>
          <w:rFonts w:cstheme="minorHAnsi"/>
          <w:lang w:val="en-US"/>
        </w:rPr>
        <w:t xml:space="preserve"> in the initial responses received</w:t>
      </w:r>
      <w:r w:rsidR="00B461B3">
        <w:rPr>
          <w:rFonts w:cstheme="minorHAnsi"/>
          <w:lang w:val="en-US"/>
        </w:rPr>
        <w:t>.</w:t>
      </w:r>
    </w:p>
    <w:p w:rsidR="00B461B3" w:rsidRDefault="00B461B3" w:rsidP="00B461B3">
      <w:pPr>
        <w:spacing w:before="0" w:after="0"/>
        <w:rPr>
          <w:rFonts w:eastAsia="SimSun"/>
          <w:lang w:eastAsia="en-AU"/>
        </w:rPr>
      </w:pPr>
    </w:p>
    <w:p w:rsidR="00B461B3" w:rsidRDefault="00B461B3" w:rsidP="00B461B3">
      <w:pPr>
        <w:spacing w:before="0" w:after="0"/>
        <w:rPr>
          <w:rFonts w:eastAsia="SimSun"/>
          <w:lang w:eastAsia="en-AU"/>
        </w:rPr>
      </w:pPr>
      <w:r>
        <w:rPr>
          <w:rFonts w:eastAsia="SimSun"/>
          <w:lang w:eastAsia="en-AU"/>
        </w:rPr>
        <w:t>Some common areas of feedback provided by respondents included:</w:t>
      </w:r>
    </w:p>
    <w:p w:rsidR="001A5A6F" w:rsidRDefault="001D085C" w:rsidP="001D085C">
      <w:pPr>
        <w:pStyle w:val="ListParagraph"/>
        <w:numPr>
          <w:ilvl w:val="0"/>
          <w:numId w:val="47"/>
        </w:numPr>
        <w:spacing w:before="0" w:after="240"/>
        <w:ind w:left="714" w:hanging="357"/>
        <w:contextualSpacing w:val="0"/>
        <w:rPr>
          <w:rFonts w:eastAsia="SimSun"/>
          <w:lang w:eastAsia="en-AU"/>
        </w:rPr>
      </w:pPr>
      <w:r>
        <w:rPr>
          <w:rFonts w:eastAsia="SimSun"/>
          <w:lang w:eastAsia="en-AU"/>
        </w:rPr>
        <w:t>Concern that publishing decisions sooner would deny applicants procedural fairness.</w:t>
      </w:r>
    </w:p>
    <w:p w:rsidR="001D085C" w:rsidRDefault="001D085C" w:rsidP="001D085C">
      <w:pPr>
        <w:pStyle w:val="ListParagraph"/>
        <w:numPr>
          <w:ilvl w:val="0"/>
          <w:numId w:val="47"/>
        </w:numPr>
        <w:spacing w:before="0" w:after="240"/>
        <w:ind w:left="714" w:hanging="357"/>
        <w:contextualSpacing w:val="0"/>
        <w:rPr>
          <w:rFonts w:eastAsia="SimSun"/>
          <w:lang w:eastAsia="en-AU"/>
        </w:rPr>
      </w:pPr>
      <w:r>
        <w:rPr>
          <w:rFonts w:eastAsia="SimSun"/>
          <w:lang w:eastAsia="en-AU"/>
        </w:rPr>
        <w:t xml:space="preserve">Questions as to whether publishing decisions </w:t>
      </w:r>
      <w:r w:rsidR="007E2611">
        <w:rPr>
          <w:rFonts w:eastAsia="SimSun"/>
          <w:lang w:eastAsia="en-AU"/>
        </w:rPr>
        <w:t>in the manner contemplated by the proposals</w:t>
      </w:r>
      <w:r>
        <w:rPr>
          <w:rFonts w:eastAsia="SimSun"/>
          <w:lang w:eastAsia="en-AU"/>
        </w:rPr>
        <w:t xml:space="preserve"> </w:t>
      </w:r>
      <w:r w:rsidR="008F7812">
        <w:rPr>
          <w:rFonts w:eastAsia="SimSun"/>
          <w:lang w:eastAsia="en-AU"/>
        </w:rPr>
        <w:t xml:space="preserve">would meet </w:t>
      </w:r>
      <w:r>
        <w:rPr>
          <w:rFonts w:eastAsia="SimSun"/>
          <w:lang w:eastAsia="en-AU"/>
        </w:rPr>
        <w:t>the basic principles for regulation</w:t>
      </w:r>
      <w:r w:rsidR="008F7812">
        <w:rPr>
          <w:rFonts w:eastAsia="SimSun"/>
          <w:lang w:eastAsia="en-AU"/>
        </w:rPr>
        <w:t xml:space="preserve"> in the TEQSA Act</w:t>
      </w:r>
      <w:r>
        <w:rPr>
          <w:rFonts w:eastAsia="SimSun"/>
          <w:lang w:eastAsia="en-AU"/>
        </w:rPr>
        <w:t>.</w:t>
      </w:r>
    </w:p>
    <w:p w:rsidR="001D085C" w:rsidRDefault="001D085C" w:rsidP="001D085C">
      <w:pPr>
        <w:pStyle w:val="ListParagraph"/>
        <w:numPr>
          <w:ilvl w:val="0"/>
          <w:numId w:val="47"/>
        </w:numPr>
        <w:spacing w:before="0" w:after="240"/>
        <w:ind w:left="714" w:hanging="357"/>
        <w:rPr>
          <w:rFonts w:eastAsia="SimSun"/>
          <w:lang w:eastAsia="en-AU"/>
        </w:rPr>
      </w:pPr>
      <w:r>
        <w:rPr>
          <w:rFonts w:eastAsia="SimSun"/>
          <w:lang w:eastAsia="en-AU"/>
        </w:rPr>
        <w:t xml:space="preserve">Questions on what the Agency means when it plans to publish “significant decisions”. </w:t>
      </w:r>
    </w:p>
    <w:p w:rsidR="00360140" w:rsidRPr="00360140" w:rsidRDefault="00360140" w:rsidP="007E2611">
      <w:pPr>
        <w:pStyle w:val="Heading2"/>
        <w:spacing w:before="240"/>
      </w:pPr>
      <w:bookmarkStart w:id="4" w:name="_Toc498593309"/>
      <w:r w:rsidRPr="00360140">
        <w:t>TEQSA’s response</w:t>
      </w:r>
      <w:bookmarkEnd w:id="4"/>
      <w:r w:rsidRPr="00360140">
        <w:t xml:space="preserve"> </w:t>
      </w:r>
    </w:p>
    <w:p w:rsidR="00360140" w:rsidRDefault="007E2611" w:rsidP="00B461B3">
      <w:pPr>
        <w:spacing w:before="0" w:after="0"/>
        <w:rPr>
          <w:rFonts w:eastAsia="SimSun"/>
          <w:lang w:eastAsia="en-AU"/>
        </w:rPr>
      </w:pPr>
      <w:r>
        <w:rPr>
          <w:rFonts w:eastAsia="SimSun"/>
          <w:lang w:eastAsia="en-AU"/>
        </w:rPr>
        <w:t>As noted above, i</w:t>
      </w:r>
      <w:r w:rsidR="00360140">
        <w:rPr>
          <w:rFonts w:eastAsia="SimSun"/>
          <w:lang w:eastAsia="en-AU"/>
        </w:rPr>
        <w:t xml:space="preserve">n response to the concerns </w:t>
      </w:r>
      <w:r>
        <w:rPr>
          <w:rFonts w:eastAsia="SimSun"/>
          <w:lang w:eastAsia="en-AU"/>
        </w:rPr>
        <w:t>raised</w:t>
      </w:r>
      <w:r w:rsidR="00360140">
        <w:rPr>
          <w:rFonts w:eastAsia="SimSun"/>
          <w:lang w:eastAsia="en-AU"/>
        </w:rPr>
        <w:t xml:space="preserve"> in the initial consultation responses, the Agency conducted further targeted consultation to discuss the concerns with the relevant peak bodies. </w:t>
      </w:r>
    </w:p>
    <w:p w:rsidR="00360140" w:rsidRDefault="00360140" w:rsidP="00B461B3">
      <w:pPr>
        <w:spacing w:before="0" w:after="0"/>
        <w:rPr>
          <w:rFonts w:eastAsia="SimSun"/>
          <w:lang w:eastAsia="en-AU"/>
        </w:rPr>
      </w:pPr>
    </w:p>
    <w:p w:rsidR="00360140" w:rsidRDefault="00360140" w:rsidP="00407274">
      <w:pPr>
        <w:spacing w:before="0" w:after="240"/>
        <w:rPr>
          <w:rFonts w:eastAsia="SimSun"/>
          <w:lang w:eastAsia="en-AU"/>
        </w:rPr>
      </w:pPr>
      <w:r>
        <w:rPr>
          <w:rFonts w:eastAsia="SimSun"/>
          <w:lang w:eastAsia="en-AU"/>
        </w:rPr>
        <w:t xml:space="preserve">During the targeted consultation the Agency: </w:t>
      </w:r>
    </w:p>
    <w:p w:rsidR="00B461B3" w:rsidRDefault="00407274" w:rsidP="00407274">
      <w:pPr>
        <w:pStyle w:val="ListParagraph"/>
        <w:numPr>
          <w:ilvl w:val="0"/>
          <w:numId w:val="48"/>
        </w:numPr>
        <w:spacing w:before="0" w:after="240"/>
        <w:contextualSpacing w:val="0"/>
        <w:rPr>
          <w:rFonts w:eastAsia="SimSun"/>
          <w:lang w:eastAsia="en-AU"/>
        </w:rPr>
      </w:pPr>
      <w:proofErr w:type="gramStart"/>
      <w:r>
        <w:rPr>
          <w:rFonts w:eastAsia="SimSun"/>
          <w:lang w:eastAsia="en-AU"/>
        </w:rPr>
        <w:t>explained</w:t>
      </w:r>
      <w:proofErr w:type="gramEnd"/>
      <w:r>
        <w:rPr>
          <w:rFonts w:eastAsia="SimSun"/>
          <w:lang w:eastAsia="en-AU"/>
        </w:rPr>
        <w:t xml:space="preserve"> that</w:t>
      </w:r>
      <w:r w:rsidRPr="00360140">
        <w:rPr>
          <w:rFonts w:eastAsia="SimSun"/>
          <w:lang w:eastAsia="en-AU"/>
        </w:rPr>
        <w:t xml:space="preserve"> </w:t>
      </w:r>
      <w:r>
        <w:rPr>
          <w:rFonts w:eastAsia="SimSun"/>
          <w:lang w:eastAsia="en-AU"/>
        </w:rPr>
        <w:t>b</w:t>
      </w:r>
      <w:r w:rsidR="00360140" w:rsidRPr="00360140">
        <w:rPr>
          <w:rFonts w:eastAsia="SimSun"/>
          <w:lang w:eastAsia="en-AU"/>
        </w:rPr>
        <w:t>efore TEQSA makes a decision which would adversely affect an applicant, the Agency sends all the relevant facts and reasoning to the applicant for comment prior to a decision being made. Any response is then considered when making the decision. TEQSA already affords procedural fairness to an applicant before a decision has been made, well before the publication of the decision, and will continue to do so.</w:t>
      </w:r>
    </w:p>
    <w:p w:rsidR="00407274" w:rsidRDefault="00407274" w:rsidP="0081033F">
      <w:pPr>
        <w:pStyle w:val="ListParagraph"/>
        <w:numPr>
          <w:ilvl w:val="0"/>
          <w:numId w:val="48"/>
        </w:numPr>
        <w:spacing w:before="0" w:after="240"/>
        <w:contextualSpacing w:val="0"/>
        <w:rPr>
          <w:rFonts w:eastAsia="SimSun"/>
          <w:lang w:eastAsia="en-AU"/>
        </w:rPr>
      </w:pPr>
      <w:r>
        <w:rPr>
          <w:rFonts w:eastAsia="SimSun"/>
          <w:lang w:eastAsia="en-AU"/>
        </w:rPr>
        <w:t xml:space="preserve">Explained in detail </w:t>
      </w:r>
      <w:r w:rsidR="0081033F">
        <w:rPr>
          <w:rFonts w:eastAsia="SimSun"/>
          <w:lang w:eastAsia="en-AU"/>
        </w:rPr>
        <w:t xml:space="preserve">that the Agency </w:t>
      </w:r>
      <w:r w:rsidR="0081033F" w:rsidRPr="0081033F">
        <w:rPr>
          <w:rFonts w:eastAsia="SimSun"/>
          <w:lang w:eastAsia="en-AU"/>
        </w:rPr>
        <w:t xml:space="preserve">complies with </w:t>
      </w:r>
      <w:r w:rsidR="0081033F">
        <w:rPr>
          <w:rFonts w:eastAsia="SimSun"/>
          <w:lang w:eastAsia="en-AU"/>
        </w:rPr>
        <w:t xml:space="preserve">basic principles of regulation when making a decision and the act of publishing certain decisions earlier would not contradict the requirements in the basic principles. </w:t>
      </w:r>
    </w:p>
    <w:p w:rsidR="009E7DBF" w:rsidRDefault="007E2611" w:rsidP="009E7DBF">
      <w:pPr>
        <w:spacing w:after="240"/>
        <w:rPr>
          <w:szCs w:val="24"/>
        </w:rPr>
      </w:pPr>
      <w:r>
        <w:rPr>
          <w:rFonts w:eastAsia="SimSun"/>
          <w:lang w:eastAsia="en-AU"/>
        </w:rPr>
        <w:t>T</w:t>
      </w:r>
      <w:r w:rsidR="0081033F">
        <w:rPr>
          <w:rFonts w:eastAsia="SimSun"/>
          <w:lang w:eastAsia="en-AU"/>
        </w:rPr>
        <w:t xml:space="preserve">he Agency also </w:t>
      </w:r>
      <w:r>
        <w:rPr>
          <w:rFonts w:eastAsia="SimSun"/>
          <w:lang w:eastAsia="en-AU"/>
        </w:rPr>
        <w:t>adjusted its proposed amendments</w:t>
      </w:r>
      <w:r w:rsidR="0081033F">
        <w:rPr>
          <w:rFonts w:eastAsia="SimSun"/>
          <w:lang w:eastAsia="en-AU"/>
        </w:rPr>
        <w:t xml:space="preserve"> so that decisions would not be published </w:t>
      </w:r>
      <w:r w:rsidR="009E7DBF">
        <w:rPr>
          <w:rFonts w:cs="Arial"/>
          <w:lang w:eastAsia="en-AU"/>
        </w:rPr>
        <w:t xml:space="preserve">until </w:t>
      </w:r>
      <w:r w:rsidR="009E7DBF" w:rsidRPr="00A22E8C">
        <w:rPr>
          <w:szCs w:val="24"/>
        </w:rPr>
        <w:t xml:space="preserve">the end of the period within which an application may be made for the </w:t>
      </w:r>
      <w:r w:rsidR="009E7DBF" w:rsidRPr="003C66F0">
        <w:rPr>
          <w:szCs w:val="24"/>
        </w:rPr>
        <w:t>internal</w:t>
      </w:r>
      <w:r w:rsidR="009E7DBF" w:rsidRPr="00886F2C">
        <w:rPr>
          <w:szCs w:val="24"/>
        </w:rPr>
        <w:t xml:space="preserve"> review of the decision</w:t>
      </w:r>
      <w:r w:rsidR="009E7DBF">
        <w:rPr>
          <w:szCs w:val="24"/>
        </w:rPr>
        <w:t>,</w:t>
      </w:r>
      <w:r w:rsidR="009E7DBF" w:rsidRPr="00886F2C">
        <w:rPr>
          <w:szCs w:val="24"/>
        </w:rPr>
        <w:t xml:space="preserve"> or at the end of the </w:t>
      </w:r>
      <w:r w:rsidR="009E7DBF" w:rsidRPr="00FA3E10">
        <w:rPr>
          <w:szCs w:val="24"/>
        </w:rPr>
        <w:t>internal review process, whichever is the later</w:t>
      </w:r>
      <w:r w:rsidR="009E7DBF" w:rsidRPr="00974293">
        <w:rPr>
          <w:szCs w:val="24"/>
        </w:rPr>
        <w:t>.</w:t>
      </w:r>
    </w:p>
    <w:p w:rsidR="009E7DBF" w:rsidRDefault="009E7DBF" w:rsidP="009E7DBF">
      <w:pPr>
        <w:spacing w:after="240"/>
        <w:rPr>
          <w:szCs w:val="24"/>
        </w:rPr>
      </w:pPr>
      <w:r>
        <w:rPr>
          <w:szCs w:val="24"/>
        </w:rPr>
        <w:t xml:space="preserve">The Agency also elaborated on what it considers a ‘significant decision’ </w:t>
      </w:r>
      <w:r w:rsidR="001B42AB">
        <w:rPr>
          <w:szCs w:val="24"/>
        </w:rPr>
        <w:t xml:space="preserve">in the targeted consultation and in the </w:t>
      </w:r>
      <w:r w:rsidR="001B42AB" w:rsidRPr="001B42AB">
        <w:rPr>
          <w:i/>
          <w:szCs w:val="24"/>
        </w:rPr>
        <w:t>Policy on public reporting of TEQSA’s decisions</w:t>
      </w:r>
      <w:r w:rsidR="001B42AB">
        <w:rPr>
          <w:szCs w:val="24"/>
        </w:rPr>
        <w:t xml:space="preserve">. </w:t>
      </w:r>
    </w:p>
    <w:p w:rsidR="00D60118" w:rsidRPr="00D60118" w:rsidRDefault="00D60118" w:rsidP="007E2611">
      <w:pPr>
        <w:pStyle w:val="Heading2"/>
        <w:spacing w:before="240"/>
      </w:pPr>
      <w:bookmarkStart w:id="5" w:name="_Toc498593310"/>
      <w:r w:rsidRPr="00D60118">
        <w:t>Next steps</w:t>
      </w:r>
      <w:bookmarkEnd w:id="5"/>
      <w:r w:rsidRPr="00D60118">
        <w:t xml:space="preserve"> </w:t>
      </w:r>
    </w:p>
    <w:p w:rsidR="00D60118" w:rsidRDefault="00D60118" w:rsidP="007E2611">
      <w:pPr>
        <w:spacing w:before="0" w:after="0"/>
        <w:rPr>
          <w:lang w:eastAsia="en-AU"/>
        </w:rPr>
      </w:pPr>
      <w:r>
        <w:rPr>
          <w:lang w:eastAsia="en-AU"/>
        </w:rPr>
        <w:t>The Agency appreciates the time and effort of respondents as well as the constructive feedback provided throughout the process.</w:t>
      </w:r>
    </w:p>
    <w:p w:rsidR="00D60118" w:rsidRDefault="00D60118" w:rsidP="007E2611">
      <w:pPr>
        <w:spacing w:before="0" w:after="0"/>
        <w:rPr>
          <w:lang w:eastAsia="en-AU"/>
        </w:rPr>
      </w:pPr>
    </w:p>
    <w:p w:rsidR="00FE7EF8" w:rsidRDefault="00D60118" w:rsidP="007E2611">
      <w:pPr>
        <w:spacing w:before="0" w:after="0"/>
        <w:rPr>
          <w:i/>
          <w:szCs w:val="24"/>
        </w:rPr>
      </w:pPr>
      <w:r>
        <w:rPr>
          <w:lang w:eastAsia="en-AU"/>
        </w:rPr>
        <w:t xml:space="preserve">The Agency will finalise </w:t>
      </w:r>
      <w:r w:rsidR="004E37AE">
        <w:rPr>
          <w:lang w:eastAsia="en-AU"/>
        </w:rPr>
        <w:t xml:space="preserve">and register </w:t>
      </w:r>
      <w:r>
        <w:rPr>
          <w:lang w:eastAsia="en-AU"/>
        </w:rPr>
        <w:t xml:space="preserve">the National Register Guidelines 2017, and finalise the </w:t>
      </w:r>
      <w:r w:rsidRPr="001B42AB">
        <w:rPr>
          <w:i/>
          <w:szCs w:val="24"/>
        </w:rPr>
        <w:t>Policy on publi</w:t>
      </w:r>
      <w:r>
        <w:rPr>
          <w:i/>
          <w:szCs w:val="24"/>
        </w:rPr>
        <w:t xml:space="preserve">c reporting of TEQSA’s decisions. </w:t>
      </w:r>
    </w:p>
    <w:p w:rsidR="007E2611" w:rsidRDefault="007E2611" w:rsidP="007E2611">
      <w:pPr>
        <w:spacing w:before="0" w:after="0"/>
        <w:rPr>
          <w:lang w:eastAsia="en-AU"/>
        </w:rPr>
      </w:pPr>
    </w:p>
    <w:p w:rsidR="00D60118" w:rsidRPr="00D60118" w:rsidRDefault="00D60118" w:rsidP="007E2611">
      <w:pPr>
        <w:spacing w:before="0" w:after="0"/>
        <w:rPr>
          <w:lang w:eastAsia="en-AU"/>
        </w:rPr>
      </w:pPr>
      <w:r w:rsidRPr="007E2611">
        <w:rPr>
          <w:lang w:eastAsia="en-AU"/>
        </w:rPr>
        <w:t xml:space="preserve">The proposed changes to </w:t>
      </w:r>
      <w:r w:rsidR="00FE7EF8" w:rsidRPr="007E2611">
        <w:rPr>
          <w:lang w:eastAsia="en-AU"/>
        </w:rPr>
        <w:t xml:space="preserve">the Agency’s approach to publishing its decisions will take effect from January 2018. </w:t>
      </w:r>
    </w:p>
    <w:bookmarkEnd w:id="1"/>
    <w:p w:rsidR="00D60118" w:rsidRDefault="00D60118" w:rsidP="00D60118">
      <w:pPr>
        <w:rPr>
          <w:lang w:eastAsia="en-AU"/>
        </w:rPr>
      </w:pPr>
      <w:r>
        <w:rPr>
          <w:lang w:eastAsia="en-AU"/>
        </w:rPr>
        <w:lastRenderedPageBreak/>
        <w:t xml:space="preserve"> </w:t>
      </w:r>
    </w:p>
    <w:p w:rsidR="0081033F" w:rsidRPr="0081033F" w:rsidRDefault="0081033F" w:rsidP="0081033F">
      <w:pPr>
        <w:spacing w:before="0" w:after="240"/>
        <w:rPr>
          <w:rFonts w:eastAsia="SimSun"/>
          <w:lang w:eastAsia="en-AU"/>
        </w:rPr>
      </w:pPr>
    </w:p>
    <w:p w:rsidR="00360140" w:rsidRDefault="00360140" w:rsidP="00B461B3">
      <w:pPr>
        <w:spacing w:before="0" w:after="0"/>
        <w:rPr>
          <w:rFonts w:eastAsia="SimSun"/>
          <w:lang w:eastAsia="en-AU"/>
        </w:rPr>
      </w:pPr>
    </w:p>
    <w:p w:rsidR="001F1B3F" w:rsidRPr="001F1B3F" w:rsidRDefault="001F1B3F" w:rsidP="001F1B3F"/>
    <w:p w:rsidR="00EF3F2B" w:rsidRPr="00EF3F2B" w:rsidRDefault="00EF3F2B" w:rsidP="00EF3F2B">
      <w:pPr>
        <w:spacing w:before="40" w:after="40"/>
        <w:ind w:left="720"/>
        <w:rPr>
          <w:rFonts w:cs="Arial"/>
          <w:color w:val="000000"/>
        </w:rPr>
      </w:pPr>
    </w:p>
    <w:p w:rsidR="00EF3F2B" w:rsidRPr="00EF3F2B" w:rsidRDefault="00EF3F2B" w:rsidP="00EF3F2B">
      <w:r>
        <w:rPr>
          <w:rFonts w:cs="Arial"/>
          <w:color w:val="000000"/>
        </w:rPr>
        <w:t xml:space="preserve"> </w:t>
      </w:r>
    </w:p>
    <w:sectPr w:rsidR="00EF3F2B" w:rsidRPr="00EF3F2B" w:rsidSect="001F1B3F">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247" w:left="192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BF" w:rsidRDefault="009E7DBF" w:rsidP="008E21DE">
      <w:pPr>
        <w:spacing w:before="0" w:after="0"/>
      </w:pPr>
      <w:r>
        <w:separator/>
      </w:r>
    </w:p>
  </w:endnote>
  <w:endnote w:type="continuationSeparator" w:id="0">
    <w:p w:rsidR="009E7DBF" w:rsidRDefault="009E7DB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Default="009E7DBF">
    <w:pPr>
      <w:pStyle w:val="Footer"/>
    </w:pPr>
    <w:r>
      <w:rPr>
        <w:noProof/>
        <w:lang w:eastAsia="en-AU"/>
      </w:rPr>
      <w:drawing>
        <wp:anchor distT="0" distB="0" distL="114300" distR="114300" simplePos="0" relativeHeight="251667456" behindDoc="0" locked="1" layoutInCell="1" allowOverlap="1" wp14:anchorId="3C76ABC0" wp14:editId="2FA7BA52">
          <wp:simplePos x="0" y="0"/>
          <wp:positionH relativeFrom="page">
            <wp:align>right</wp:align>
          </wp:positionH>
          <wp:positionV relativeFrom="page">
            <wp:align>bottom</wp:align>
          </wp:positionV>
          <wp:extent cx="2507760" cy="11113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
                    <a:extLst>
                      <a:ext uri="{28A0092B-C50C-407E-A947-70E740481C1C}">
                        <a14:useLocalDpi xmlns:a14="http://schemas.microsoft.com/office/drawing/2010/main" val="0"/>
                      </a:ext>
                    </a:extLst>
                  </a:blip>
                  <a:srcRect l="1" r="-39508" b="-136574"/>
                  <a:stretch/>
                </pic:blipFill>
                <pic:spPr bwMode="auto">
                  <a:xfrm>
                    <a:off x="0" y="0"/>
                    <a:ext cx="2507760" cy="111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Default="009E7DBF">
    <w:pPr>
      <w:pStyle w:val="Footer"/>
    </w:pPr>
    <w:r w:rsidRPr="000E6484">
      <w:rPr>
        <w:noProof/>
        <w:lang w:eastAsia="en-AU"/>
      </w:rPr>
      <mc:AlternateContent>
        <mc:Choice Requires="wps">
          <w:drawing>
            <wp:anchor distT="0" distB="0" distL="114300" distR="114300" simplePos="0" relativeHeight="251670528" behindDoc="0" locked="1" layoutInCell="1" allowOverlap="1" wp14:anchorId="50C3B37F" wp14:editId="7EC9FBDB">
              <wp:simplePos x="0" y="0"/>
              <wp:positionH relativeFrom="page">
                <wp:align>left</wp:align>
              </wp:positionH>
              <wp:positionV relativeFrom="page">
                <wp:align>bottom</wp:align>
              </wp:positionV>
              <wp:extent cx="1919160" cy="466920"/>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rsidR="009E7DBF" w:rsidRDefault="009E7DBF" w:rsidP="000E6484">
                          <w:pPr>
                            <w:pStyle w:val="Footer"/>
                          </w:pPr>
                          <w:r>
                            <w:fldChar w:fldCharType="begin"/>
                          </w:r>
                          <w:r>
                            <w:instrText xml:space="preserve"> PAGE   \* MERGEFORMAT </w:instrText>
                          </w:r>
                          <w:r>
                            <w:fldChar w:fldCharType="separate"/>
                          </w:r>
                          <w:r w:rsidR="004E6E00">
                            <w:rPr>
                              <w:noProof/>
                            </w:rPr>
                            <w:t>4</w:t>
                          </w:r>
                          <w:r>
                            <w:rPr>
                              <w:noProof/>
                            </w:rPr>
                            <w:fldChar w:fldCharType="end"/>
                          </w:r>
                        </w:p>
                      </w:txbxContent>
                    </wps:txbx>
                    <wps:bodyPr rot="0" spcFirstLastPara="0" vertOverflow="overflow" horzOverflow="overflow" vert="horz" wrap="square" lIns="79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0;width:151.1pt;height:36.75pt;z-index:2516705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" filled="f" stroked="f" strokeweight=".5pt">
              <v:textbox inset="22mm,0,0,0">
                <w:txbxContent>
                  <w:p w:rsidR="009E7DBF" w:rsidRDefault="009E7DBF" w:rsidP="000E6484">
                    <w:pPr>
                      <w:pStyle w:val="Footer"/>
                    </w:pPr>
                    <w:r>
                      <w:fldChar w:fldCharType="begin"/>
                    </w:r>
                    <w:r>
                      <w:instrText xml:space="preserve"> PAGE   \* MERGEFORMAT </w:instrText>
                    </w:r>
                    <w:r>
                      <w:fldChar w:fldCharType="separate"/>
                    </w:r>
                    <w:r w:rsidR="004E6E00">
                      <w:rPr>
                        <w:noProof/>
                      </w:rPr>
                      <w:t>4</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Pr="000E6484" w:rsidRDefault="009E7DBF" w:rsidP="00080615">
    <w:pPr>
      <w:pStyle w:val="Footer"/>
    </w:pPr>
    <w:r w:rsidRPr="000E6484">
      <w:rPr>
        <w:noProof/>
        <w:lang w:eastAsia="en-AU"/>
      </w:rPr>
      <mc:AlternateContent>
        <mc:Choice Requires="wps">
          <w:drawing>
            <wp:anchor distT="0" distB="0" distL="114300" distR="114300" simplePos="0" relativeHeight="251664384" behindDoc="0" locked="1" layoutInCell="1" allowOverlap="1" wp14:anchorId="25CFEFE7" wp14:editId="3533479C">
              <wp:simplePos x="0" y="0"/>
              <wp:positionH relativeFrom="page">
                <wp:align>right</wp:align>
              </wp:positionH>
              <wp:positionV relativeFrom="page">
                <wp:align>bottom</wp:align>
              </wp:positionV>
              <wp:extent cx="1919160" cy="46692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rsidR="009E7DBF" w:rsidRDefault="009E7DBF" w:rsidP="008E21DE">
                          <w:pPr>
                            <w:pStyle w:val="Footer"/>
                            <w:jc w:val="right"/>
                          </w:pPr>
                          <w:r>
                            <w:fldChar w:fldCharType="begin"/>
                          </w:r>
                          <w:r>
                            <w:instrText xml:space="preserve"> PAGE   \* MERGEFORMAT </w:instrText>
                          </w:r>
                          <w:r>
                            <w:fldChar w:fldCharType="separate"/>
                          </w:r>
                          <w:r w:rsidR="004E6E00">
                            <w:rPr>
                              <w:noProof/>
                            </w:rPr>
                            <w:t>5</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9pt;margin-top:0;width:151.1pt;height:3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" filled="f" stroked="f" strokeweight=".5pt">
              <v:textbox inset="0,0,22mm,0">
                <w:txbxContent>
                  <w:p w:rsidR="009E7DBF" w:rsidRDefault="009E7DBF" w:rsidP="008E21DE">
                    <w:pPr>
                      <w:pStyle w:val="Footer"/>
                      <w:jc w:val="right"/>
                    </w:pPr>
                    <w:r>
                      <w:fldChar w:fldCharType="begin"/>
                    </w:r>
                    <w:r>
                      <w:instrText xml:space="preserve"> PAGE   \* MERGEFORMAT </w:instrText>
                    </w:r>
                    <w:r>
                      <w:fldChar w:fldCharType="separate"/>
                    </w:r>
                    <w:r w:rsidR="004E6E00">
                      <w:rPr>
                        <w:noProof/>
                      </w:rPr>
                      <w:t>5</w:t>
                    </w:r>
                    <w:r>
                      <w:rPr>
                        <w:noProof/>
                      </w:rPr>
                      <w:fldChar w:fldCharType="end"/>
                    </w:r>
                  </w:p>
                </w:txbxContent>
              </v:textbox>
              <w10:wrap anchorx="page" anchory="page"/>
              <w10:anchorlock/>
            </v:shape>
          </w:pict>
        </mc:Fallback>
      </mc:AlternateContent>
    </w:r>
    <w:r w:rsidR="004E6E00">
      <w:fldChar w:fldCharType="begin"/>
    </w:r>
    <w:r w:rsidR="004E6E00">
      <w:instrText xml:space="preserve"> STYLEREF  Title  \* MERGEFORMAT </w:instrText>
    </w:r>
    <w:r w:rsidR="004E6E00">
      <w:fldChar w:fldCharType="separate"/>
    </w:r>
    <w:r w:rsidR="004E6E00" w:rsidRPr="004E6E00">
      <w:rPr>
        <w:bCs/>
        <w:noProof/>
        <w:lang w:val="en-US"/>
      </w:rPr>
      <w:t>Summary</w:t>
    </w:r>
    <w:r w:rsidR="004E6E00">
      <w:rPr>
        <w:noProof/>
      </w:rPr>
      <w:t xml:space="preserve"> Report of the Consultation Process – Public reporting of TEQSA’s decisions</w:t>
    </w:r>
    <w:r w:rsidR="004E6E00">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Pr="00080615" w:rsidRDefault="009E7DBF" w:rsidP="00080615">
    <w:pPr>
      <w:pStyle w:val="Footer"/>
    </w:pPr>
    <w:r w:rsidRPr="00080615">
      <w:rPr>
        <w:noProof/>
        <w:lang w:eastAsia="en-AU"/>
      </w:rPr>
      <mc:AlternateContent>
        <mc:Choice Requires="wps">
          <w:drawing>
            <wp:anchor distT="0" distB="0" distL="114300" distR="114300" simplePos="0" relativeHeight="251662336" behindDoc="0" locked="1" layoutInCell="1" allowOverlap="1" wp14:anchorId="0B4F0B95" wp14:editId="727C19C9">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rsidR="009E7DBF" w:rsidRDefault="009E7DBF"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78pt;margin-top:794pt;width:117.35pt;height:4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" filled="f" stroked="f" strokeweight=".5pt">
              <v:textbox inset="0,0,20mm,0">
                <w:txbxContent>
                  <w:p w:rsidR="009E7DBF" w:rsidRDefault="009E7DBF"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v:textbox>
              <w10:wrap anchorx="page" anchory="page"/>
              <w10:anchorlock/>
            </v:shape>
          </w:pict>
        </mc:Fallback>
      </mc:AlternateContent>
    </w:r>
    <w:r w:rsidR="004E6E00">
      <w:fldChar w:fldCharType="begin"/>
    </w:r>
    <w:r w:rsidR="004E6E00">
      <w:instrText xml:space="preserve"> STYLEREF  Title  \* MERGEFORMAT </w:instrText>
    </w:r>
    <w:r w:rsidR="004E6E00">
      <w:fldChar w:fldCharType="separate"/>
    </w:r>
    <w:r w:rsidRPr="000E6484">
      <w:rPr>
        <w:b/>
        <w:bCs/>
        <w:noProof/>
        <w:lang w:val="en-US"/>
      </w:rPr>
      <w:t>Title</w:t>
    </w:r>
    <w:r>
      <w:rPr>
        <w:noProof/>
      </w:rPr>
      <w:t xml:space="preserve"> of document over two or three lines</w:t>
    </w:r>
    <w:r w:rsidR="004E6E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BF" w:rsidRDefault="009E7DBF" w:rsidP="008E21DE">
      <w:pPr>
        <w:spacing w:before="0" w:after="0"/>
      </w:pPr>
      <w:r>
        <w:separator/>
      </w:r>
    </w:p>
  </w:footnote>
  <w:footnote w:type="continuationSeparator" w:id="0">
    <w:p w:rsidR="009E7DBF" w:rsidRDefault="009E7DBF" w:rsidP="008E21D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Default="009E7DBF">
    <w:pPr>
      <w:pStyle w:val="Header"/>
    </w:pPr>
    <w:r>
      <w:rPr>
        <w:noProof/>
        <w:lang w:eastAsia="en-AU"/>
      </w:rPr>
      <w:drawing>
        <wp:anchor distT="0" distB="0" distL="114300" distR="114300" simplePos="0" relativeHeight="251668480" behindDoc="0" locked="1" layoutInCell="1" allowOverlap="1" wp14:anchorId="287E9FE7" wp14:editId="1CC92CD3">
          <wp:simplePos x="0" y="0"/>
          <wp:positionH relativeFrom="page">
            <wp:align>left</wp:align>
          </wp:positionH>
          <wp:positionV relativeFrom="page">
            <wp:align>top</wp:align>
          </wp:positionV>
          <wp:extent cx="4175640" cy="1257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1">
                    <a:extLst>
                      <a:ext uri="{28A0092B-C50C-407E-A947-70E740481C1C}">
                        <a14:useLocalDpi xmlns:a14="http://schemas.microsoft.com/office/drawing/2010/main" val="0"/>
                      </a:ext>
                    </a:extLst>
                  </a:blip>
                  <a:srcRect l="-20969" t="-135554" b="-1"/>
                  <a:stretch/>
                </pic:blipFill>
                <pic:spPr bwMode="auto">
                  <a:xfrm>
                    <a:off x="0" y="0"/>
                    <a:ext cx="4175640" cy="125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6432" behindDoc="1" locked="1" layoutInCell="1" allowOverlap="1" wp14:anchorId="6CC94E33" wp14:editId="01C9F989">
              <wp:simplePos x="0" y="0"/>
              <wp:positionH relativeFrom="page">
                <wp:align>right</wp:align>
              </wp:positionH>
              <wp:positionV relativeFrom="page">
                <wp:align>bottom</wp:align>
              </wp:positionV>
              <wp:extent cx="7308720" cy="7296840"/>
              <wp:effectExtent l="0" t="0" r="6985" b="0"/>
              <wp:wrapNone/>
              <wp:docPr id="8" name="Group 8"/>
              <wp:cNvGraphicFramePr/>
              <a:graphic xmlns:a="http://schemas.openxmlformats.org/drawingml/2006/main">
                <a:graphicData uri="http://schemas.microsoft.com/office/word/2010/wordprocessingGroup">
                  <wpg:wgp>
                    <wpg:cNvGrpSpPr/>
                    <wpg:grpSpPr>
                      <a:xfrm>
                        <a:off x="0" y="0"/>
                        <a:ext cx="7308720" cy="7296840"/>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group w14:anchorId="076B2D77" id="Group 8" o:spid="_x0000_s1026" style="position:absolute;margin-left:524.3pt;margin-top:0;width:575.5pt;height:574.55pt;z-index:-251650048;mso-position-horizontal:right;mso-position-horizontal-relative:page;mso-position-vertical:bottom;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" fillcolor="#d9f0f1 [1304]" stroked="f" strokeweight="1pt"/>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Default="009E7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Pr="000E6484" w:rsidRDefault="009E7DBF" w:rsidP="000E64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BF" w:rsidRPr="00080615" w:rsidRDefault="009E7DBF" w:rsidP="00080615">
    <w:pPr>
      <w:pStyle w:val="Header"/>
    </w:pPr>
    <w:r w:rsidRPr="00080615">
      <w:t>Client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nsid w:val="FFFFFF1D"/>
    <w:multiLevelType w:val="multilevel"/>
    <w:tmpl w:val="9326A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76E9E"/>
    <w:multiLevelType w:val="multilevel"/>
    <w:tmpl w:val="CC9AB0EE"/>
    <w:numStyleLink w:val="AppendixNumbers"/>
  </w:abstractNum>
  <w:abstractNum w:abstractNumId="2">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847E"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9">
    <w:nsid w:val="21EE63B2"/>
    <w:multiLevelType w:val="hybridMultilevel"/>
    <w:tmpl w:val="C4C8A382"/>
    <w:lvl w:ilvl="0" w:tplc="0C090001">
      <w:start w:val="1"/>
      <w:numFmt w:val="bullet"/>
      <w:lvlText w:val=""/>
      <w:lvlJc w:val="left"/>
      <w:pPr>
        <w:ind w:left="720" w:hanging="360"/>
      </w:pPr>
      <w:rPr>
        <w:rFonts w:ascii="Symbol" w:hAnsi="Symbol"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A632A9"/>
    <w:multiLevelType w:val="multilevel"/>
    <w:tmpl w:val="CC9AB0EE"/>
    <w:numStyleLink w:val="AppendixNumbers"/>
  </w:abstractNum>
  <w:abstractNum w:abstractNumId="13">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1761EE"/>
    <w:multiLevelType w:val="multilevel"/>
    <w:tmpl w:val="131EEC6C"/>
    <w:numStyleLink w:val="TableNumbers"/>
  </w:abstractNum>
  <w:abstractNum w:abstractNumId="15">
    <w:nsid w:val="335A332E"/>
    <w:multiLevelType w:val="multilevel"/>
    <w:tmpl w:val="EDDCBB3C"/>
    <w:numStyleLink w:val="DefaultBullets"/>
  </w:abstractNum>
  <w:abstractNum w:abstractNumId="16">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nsid w:val="49587F78"/>
    <w:multiLevelType w:val="multilevel"/>
    <w:tmpl w:val="07629034"/>
    <w:numStyleLink w:val="KCBullets"/>
  </w:abstractNum>
  <w:abstractNum w:abstractNumId="19">
    <w:nsid w:val="50517343"/>
    <w:multiLevelType w:val="multilevel"/>
    <w:tmpl w:val="131EEC6C"/>
    <w:numStyleLink w:val="TableNumbers"/>
  </w:abstractNum>
  <w:abstractNum w:abstractNumId="20">
    <w:nsid w:val="50E12008"/>
    <w:multiLevelType w:val="multilevel"/>
    <w:tmpl w:val="07629034"/>
    <w:numStyleLink w:val="KCBullets"/>
  </w:abstractNum>
  <w:abstractNum w:abstractNumId="21">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563048B"/>
    <w:multiLevelType w:val="multilevel"/>
    <w:tmpl w:val="B29223F6"/>
    <w:numStyleLink w:val="FigureNumbers"/>
  </w:abstractNum>
  <w:abstractNum w:abstractNumId="23">
    <w:nsid w:val="5613633B"/>
    <w:multiLevelType w:val="multilevel"/>
    <w:tmpl w:val="B29223F6"/>
    <w:numStyleLink w:val="FigureNumbers"/>
  </w:abstractNum>
  <w:abstractNum w:abstractNumId="24">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8615703"/>
    <w:multiLevelType w:val="multilevel"/>
    <w:tmpl w:val="803CF862"/>
    <w:numStyleLink w:val="List1Numbered"/>
  </w:abstractNum>
  <w:abstractNum w:abstractNumId="26">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F51665"/>
    <w:multiLevelType w:val="multilevel"/>
    <w:tmpl w:val="BA4CA9E6"/>
    <w:numStyleLink w:val="NumberedHeadings"/>
  </w:abstractNum>
  <w:abstractNum w:abstractNumId="28">
    <w:nsid w:val="5C283B55"/>
    <w:multiLevelType w:val="multilevel"/>
    <w:tmpl w:val="B29223F6"/>
    <w:numStyleLink w:val="FigureNumbers"/>
  </w:abstractNum>
  <w:abstractNum w:abstractNumId="29">
    <w:nsid w:val="5F10316D"/>
    <w:multiLevelType w:val="hybridMultilevel"/>
    <w:tmpl w:val="F03CBA60"/>
    <w:lvl w:ilvl="0" w:tplc="0C090001">
      <w:start w:val="1"/>
      <w:numFmt w:val="bullet"/>
      <w:lvlText w:val=""/>
      <w:lvlJc w:val="left"/>
      <w:pPr>
        <w:ind w:left="720" w:hanging="360"/>
      </w:pPr>
      <w:rPr>
        <w:rFonts w:ascii="Symbol" w:hAnsi="Symbol" w:hint="default"/>
        <w:color w:val="00A6AA"/>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397869"/>
    <w:multiLevelType w:val="multilevel"/>
    <w:tmpl w:val="BA4CA9E6"/>
    <w:numStyleLink w:val="NumberedHeadings"/>
  </w:abstractNum>
  <w:abstractNum w:abstractNumId="31">
    <w:nsid w:val="6D4F423B"/>
    <w:multiLevelType w:val="multilevel"/>
    <w:tmpl w:val="EDDCBB3C"/>
    <w:numStyleLink w:val="DefaultBullets"/>
  </w:abstractNum>
  <w:abstractNum w:abstractNumId="32">
    <w:nsid w:val="73606F8C"/>
    <w:multiLevelType w:val="hybridMultilevel"/>
    <w:tmpl w:val="E7FAFB50"/>
    <w:lvl w:ilvl="0" w:tplc="0C090001">
      <w:start w:val="1"/>
      <w:numFmt w:val="bullet"/>
      <w:lvlText w:val=""/>
      <w:lvlJc w:val="left"/>
      <w:pPr>
        <w:ind w:left="720" w:hanging="360"/>
      </w:pPr>
      <w:rPr>
        <w:rFonts w:ascii="Symbol" w:hAnsi="Symbol" w:hint="default"/>
        <w:color w:val="00A6AA"/>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8A4D83"/>
    <w:multiLevelType w:val="multilevel"/>
    <w:tmpl w:val="EDDCBB3C"/>
    <w:styleLink w:val="DefaultBullets"/>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nsid w:val="790B67C4"/>
    <w:multiLevelType w:val="multilevel"/>
    <w:tmpl w:val="FE688822"/>
    <w:numStyleLink w:val="BoxedBullets"/>
  </w:abstractNum>
  <w:abstractNum w:abstractNumId="35">
    <w:nsid w:val="7EE44065"/>
    <w:multiLevelType w:val="multilevel"/>
    <w:tmpl w:val="CC9AB0EE"/>
    <w:numStyleLink w:val="AppendixNumbers"/>
  </w:abstractNum>
  <w:num w:numId="1">
    <w:abstractNumId w:val="4"/>
  </w:num>
  <w:num w:numId="2">
    <w:abstractNumId w:val="35"/>
  </w:num>
  <w:num w:numId="3">
    <w:abstractNumId w:val="21"/>
  </w:num>
  <w:num w:numId="4">
    <w:abstractNumId w:val="34"/>
  </w:num>
  <w:num w:numId="5">
    <w:abstractNumId w:val="34"/>
  </w:num>
  <w:num w:numId="6">
    <w:abstractNumId w:val="17"/>
  </w:num>
  <w:num w:numId="7">
    <w:abstractNumId w:val="20"/>
  </w:num>
  <w:num w:numId="8">
    <w:abstractNumId w:val="20"/>
  </w:num>
  <w:num w:numId="9">
    <w:abstractNumId w:val="20"/>
  </w:num>
  <w:num w:numId="10">
    <w:abstractNumId w:val="6"/>
  </w:num>
  <w:num w:numId="11">
    <w:abstractNumId w:val="22"/>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5"/>
  </w:num>
  <w:num w:numId="20">
    <w:abstractNumId w:val="25"/>
  </w:num>
  <w:num w:numId="21">
    <w:abstractNumId w:val="25"/>
  </w:num>
  <w:num w:numId="22">
    <w:abstractNumId w:val="25"/>
  </w:num>
  <w:num w:numId="23">
    <w:abstractNumId w:val="24"/>
  </w:num>
  <w:num w:numId="24">
    <w:abstractNumId w:val="13"/>
  </w:num>
  <w:num w:numId="25">
    <w:abstractNumId w:val="7"/>
  </w:num>
  <w:num w:numId="26">
    <w:abstractNumId w:val="19"/>
  </w:num>
  <w:num w:numId="27">
    <w:abstractNumId w:val="1"/>
  </w:num>
  <w:num w:numId="28">
    <w:abstractNumId w:val="33"/>
  </w:num>
  <w:num w:numId="29">
    <w:abstractNumId w:val="3"/>
  </w:num>
  <w:num w:numId="30">
    <w:abstractNumId w:val="2"/>
  </w:num>
  <w:num w:numId="31">
    <w:abstractNumId w:val="1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12"/>
  </w:num>
  <w:num w:numId="36">
    <w:abstractNumId w:val="18"/>
  </w:num>
  <w:num w:numId="37">
    <w:abstractNumId w:val="15"/>
  </w:num>
  <w:num w:numId="38">
    <w:abstractNumId w:val="11"/>
  </w:num>
  <w:num w:numId="39">
    <w:abstractNumId w:val="26"/>
  </w:num>
  <w:num w:numId="40">
    <w:abstractNumId w:val="16"/>
  </w:num>
  <w:num w:numId="41">
    <w:abstractNumId w:val="23"/>
  </w:num>
  <w:num w:numId="42">
    <w:abstractNumId w:val="28"/>
  </w:num>
  <w:num w:numId="43">
    <w:abstractNumId w:val="14"/>
  </w:num>
  <w:num w:numId="44">
    <w:abstractNumId w:val="0"/>
  </w:num>
  <w:num w:numId="45">
    <w:abstractNumId w:val="8"/>
  </w:num>
  <w:num w:numId="46">
    <w:abstractNumId w:val="9"/>
  </w:num>
  <w:num w:numId="47">
    <w:abstractNumId w:val="3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5C"/>
    <w:rsid w:val="00080615"/>
    <w:rsid w:val="000E6484"/>
    <w:rsid w:val="00176F56"/>
    <w:rsid w:val="001A5A6F"/>
    <w:rsid w:val="001B42AB"/>
    <w:rsid w:val="001D085C"/>
    <w:rsid w:val="001F1B3F"/>
    <w:rsid w:val="00254FC8"/>
    <w:rsid w:val="002804D3"/>
    <w:rsid w:val="002A00D9"/>
    <w:rsid w:val="003413A8"/>
    <w:rsid w:val="00360140"/>
    <w:rsid w:val="003917CF"/>
    <w:rsid w:val="003A03F9"/>
    <w:rsid w:val="00400926"/>
    <w:rsid w:val="00407274"/>
    <w:rsid w:val="004154E2"/>
    <w:rsid w:val="00441CE3"/>
    <w:rsid w:val="00460E76"/>
    <w:rsid w:val="00476604"/>
    <w:rsid w:val="004C2789"/>
    <w:rsid w:val="004E37AE"/>
    <w:rsid w:val="004E6E00"/>
    <w:rsid w:val="00507FB1"/>
    <w:rsid w:val="00534D53"/>
    <w:rsid w:val="005F1857"/>
    <w:rsid w:val="007B7705"/>
    <w:rsid w:val="007E2611"/>
    <w:rsid w:val="0081033F"/>
    <w:rsid w:val="008539B0"/>
    <w:rsid w:val="00880543"/>
    <w:rsid w:val="008E21DE"/>
    <w:rsid w:val="008E6967"/>
    <w:rsid w:val="008F7812"/>
    <w:rsid w:val="0096035C"/>
    <w:rsid w:val="009A57B3"/>
    <w:rsid w:val="009E7DBF"/>
    <w:rsid w:val="00A07E4A"/>
    <w:rsid w:val="00A64544"/>
    <w:rsid w:val="00A85534"/>
    <w:rsid w:val="00AB12D5"/>
    <w:rsid w:val="00AF0899"/>
    <w:rsid w:val="00B461B3"/>
    <w:rsid w:val="00B603C0"/>
    <w:rsid w:val="00B865D8"/>
    <w:rsid w:val="00C0421C"/>
    <w:rsid w:val="00C90CF3"/>
    <w:rsid w:val="00D60118"/>
    <w:rsid w:val="00DF13ED"/>
    <w:rsid w:val="00DF74BA"/>
    <w:rsid w:val="00E27B6E"/>
    <w:rsid w:val="00EF3F2B"/>
    <w:rsid w:val="00F9318C"/>
    <w:rsid w:val="00FB23A9"/>
    <w:rsid w:val="00FE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10"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507FB1"/>
    <w:pPr>
      <w:numPr>
        <w:numId w:val="37"/>
      </w:numPr>
    </w:pPr>
  </w:style>
  <w:style w:type="paragraph" w:customStyle="1" w:styleId="Bullet2">
    <w:name w:val="Bullet 2"/>
    <w:basedOn w:val="Normal"/>
    <w:uiPriority w:val="2"/>
    <w:qFormat/>
    <w:rsid w:val="00507FB1"/>
    <w:pPr>
      <w:numPr>
        <w:ilvl w:val="1"/>
        <w:numId w:val="37"/>
      </w:numPr>
    </w:pPr>
  </w:style>
  <w:style w:type="paragraph" w:customStyle="1" w:styleId="Bullet3">
    <w:name w:val="Bullet 3"/>
    <w:basedOn w:val="Normal"/>
    <w:uiPriority w:val="2"/>
    <w:qFormat/>
    <w:rsid w:val="00507FB1"/>
    <w:pPr>
      <w:numPr>
        <w:ilvl w:val="2"/>
        <w:numId w:val="37"/>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
    <w:name w:val="Grid Table 5 Dark Accent 1"/>
    <w:basedOn w:val="TableNormal"/>
    <w:uiPriority w:val="50"/>
    <w:rsid w:val="00AF089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08" w:type="dxa"/>
        <w:bottom w:w="57" w:type="dxa"/>
        <w:right w:w="108"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10"/>
      </w:numPr>
    </w:pPr>
  </w:style>
  <w:style w:type="paragraph" w:customStyle="1" w:styleId="FigureTitle">
    <w:name w:val="Figure Title"/>
    <w:basedOn w:val="Normal"/>
    <w:uiPriority w:val="12"/>
    <w:qFormat/>
    <w:rsid w:val="008E6967"/>
    <w:pPr>
      <w:keepNext/>
      <w:numPr>
        <w:numId w:val="42"/>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12"/>
      </w:numPr>
      <w:ind w:left="0" w:firstLine="0"/>
    </w:pPr>
  </w:style>
  <w:style w:type="paragraph" w:customStyle="1" w:styleId="Heading2Numbered">
    <w:name w:val="Heading 2 Numbered"/>
    <w:basedOn w:val="Heading2"/>
    <w:uiPriority w:val="10"/>
    <w:qFormat/>
    <w:rsid w:val="00400926"/>
    <w:pPr>
      <w:numPr>
        <w:ilvl w:val="1"/>
        <w:numId w:val="12"/>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12"/>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12"/>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12"/>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12"/>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12"/>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23"/>
      </w:numPr>
    </w:pPr>
  </w:style>
  <w:style w:type="paragraph" w:customStyle="1" w:styleId="PullOut-Teal">
    <w:name w:val="Pull Out - Teal"/>
    <w:basedOn w:val="Normal"/>
    <w:uiPriority w:val="22"/>
    <w:qFormat/>
    <w:rsid w:val="00400926"/>
    <w:pPr>
      <w:numPr>
        <w:numId w:val="38"/>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39"/>
    <w:rsid w:val="00AF089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43"/>
      </w:numPr>
    </w:pPr>
  </w:style>
  <w:style w:type="paragraph" w:styleId="Title">
    <w:name w:val="Title"/>
    <w:basedOn w:val="Normal"/>
    <w:next w:val="Normal"/>
    <w:link w:val="TitleChar"/>
    <w:uiPriority w:val="10"/>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10"/>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28"/>
      </w:numPr>
    </w:pPr>
  </w:style>
  <w:style w:type="paragraph" w:customStyle="1" w:styleId="PullOut-Pink">
    <w:name w:val="Pull Out - Pink"/>
    <w:basedOn w:val="PullOut-Teal"/>
    <w:uiPriority w:val="22"/>
    <w:qFormat/>
    <w:rsid w:val="00400926"/>
    <w:pPr>
      <w:numPr>
        <w:numId w:val="39"/>
      </w:numPr>
      <w:ind w:left="1247" w:hanging="1247"/>
    </w:pPr>
  </w:style>
  <w:style w:type="paragraph" w:customStyle="1" w:styleId="PullOut-Yellow">
    <w:name w:val="Pull Out - Yellow"/>
    <w:basedOn w:val="PullOut-Teal"/>
    <w:qFormat/>
    <w:rsid w:val="00400926"/>
    <w:pPr>
      <w:numPr>
        <w:numId w:val="40"/>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character" w:customStyle="1" w:styleId="BulletsL2Char">
    <w:name w:val="Bullets L2 Char"/>
    <w:basedOn w:val="DefaultParagraphFont"/>
    <w:link w:val="BulletsL2"/>
    <w:locked/>
    <w:rsid w:val="00476604"/>
    <w:rPr>
      <w:rFonts w:ascii="Arial" w:hAnsi="Arial" w:cs="Arial"/>
      <w:lang w:val="en-US"/>
    </w:rPr>
  </w:style>
  <w:style w:type="paragraph" w:customStyle="1" w:styleId="BulletsL2">
    <w:name w:val="Bullets L2"/>
    <w:basedOn w:val="Normal"/>
    <w:link w:val="BulletsL2Char"/>
    <w:qFormat/>
    <w:rsid w:val="00476604"/>
    <w:pPr>
      <w:numPr>
        <w:numId w:val="45"/>
      </w:numPr>
      <w:spacing w:before="40" w:line="280" w:lineRule="exact"/>
      <w:ind w:left="709"/>
    </w:pPr>
    <w:rPr>
      <w:rFonts w:ascii="Arial" w:hAnsi="Arial" w:cs="Arial"/>
      <w:lang w:val="en-US"/>
    </w:rPr>
  </w:style>
  <w:style w:type="character" w:styleId="CommentReference">
    <w:name w:val="annotation reference"/>
    <w:basedOn w:val="DefaultParagraphFont"/>
    <w:uiPriority w:val="99"/>
    <w:semiHidden/>
    <w:unhideWhenUsed/>
    <w:rsid w:val="00A85534"/>
    <w:rPr>
      <w:sz w:val="16"/>
      <w:szCs w:val="16"/>
    </w:rPr>
  </w:style>
  <w:style w:type="paragraph" w:styleId="CommentText">
    <w:name w:val="annotation text"/>
    <w:basedOn w:val="Normal"/>
    <w:link w:val="CommentTextChar"/>
    <w:uiPriority w:val="99"/>
    <w:semiHidden/>
    <w:unhideWhenUsed/>
    <w:rsid w:val="00A85534"/>
    <w:rPr>
      <w:sz w:val="20"/>
      <w:szCs w:val="20"/>
    </w:rPr>
  </w:style>
  <w:style w:type="character" w:customStyle="1" w:styleId="CommentTextChar">
    <w:name w:val="Comment Text Char"/>
    <w:basedOn w:val="DefaultParagraphFont"/>
    <w:link w:val="CommentText"/>
    <w:uiPriority w:val="99"/>
    <w:semiHidden/>
    <w:rsid w:val="00A85534"/>
    <w:rPr>
      <w:sz w:val="20"/>
      <w:szCs w:val="20"/>
    </w:rPr>
  </w:style>
  <w:style w:type="paragraph" w:styleId="CommentSubject">
    <w:name w:val="annotation subject"/>
    <w:basedOn w:val="CommentText"/>
    <w:next w:val="CommentText"/>
    <w:link w:val="CommentSubjectChar"/>
    <w:uiPriority w:val="99"/>
    <w:semiHidden/>
    <w:unhideWhenUsed/>
    <w:rsid w:val="00A85534"/>
    <w:rPr>
      <w:b/>
      <w:bCs/>
    </w:rPr>
  </w:style>
  <w:style w:type="character" w:customStyle="1" w:styleId="CommentSubjectChar">
    <w:name w:val="Comment Subject Char"/>
    <w:basedOn w:val="CommentTextChar"/>
    <w:link w:val="CommentSubject"/>
    <w:uiPriority w:val="99"/>
    <w:semiHidden/>
    <w:rsid w:val="00A85534"/>
    <w:rPr>
      <w:b/>
      <w:bCs/>
      <w:sz w:val="20"/>
      <w:szCs w:val="20"/>
    </w:rPr>
  </w:style>
  <w:style w:type="paragraph" w:styleId="ListParagraph">
    <w:name w:val="List Paragraph"/>
    <w:basedOn w:val="Normal"/>
    <w:uiPriority w:val="34"/>
    <w:qFormat/>
    <w:rsid w:val="001D0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10"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507FB1"/>
    <w:pPr>
      <w:numPr>
        <w:numId w:val="37"/>
      </w:numPr>
    </w:pPr>
  </w:style>
  <w:style w:type="paragraph" w:customStyle="1" w:styleId="Bullet2">
    <w:name w:val="Bullet 2"/>
    <w:basedOn w:val="Normal"/>
    <w:uiPriority w:val="2"/>
    <w:qFormat/>
    <w:rsid w:val="00507FB1"/>
    <w:pPr>
      <w:numPr>
        <w:ilvl w:val="1"/>
        <w:numId w:val="37"/>
      </w:numPr>
    </w:pPr>
  </w:style>
  <w:style w:type="paragraph" w:customStyle="1" w:styleId="Bullet3">
    <w:name w:val="Bullet 3"/>
    <w:basedOn w:val="Normal"/>
    <w:uiPriority w:val="2"/>
    <w:qFormat/>
    <w:rsid w:val="00507FB1"/>
    <w:pPr>
      <w:numPr>
        <w:ilvl w:val="2"/>
        <w:numId w:val="37"/>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
    <w:name w:val="Grid Table 5 Dark Accent 1"/>
    <w:basedOn w:val="TableNormal"/>
    <w:uiPriority w:val="50"/>
    <w:rsid w:val="00AF089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08" w:type="dxa"/>
        <w:bottom w:w="57" w:type="dxa"/>
        <w:right w:w="108"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10"/>
      </w:numPr>
    </w:pPr>
  </w:style>
  <w:style w:type="paragraph" w:customStyle="1" w:styleId="FigureTitle">
    <w:name w:val="Figure Title"/>
    <w:basedOn w:val="Normal"/>
    <w:uiPriority w:val="12"/>
    <w:qFormat/>
    <w:rsid w:val="008E6967"/>
    <w:pPr>
      <w:keepNext/>
      <w:numPr>
        <w:numId w:val="42"/>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12"/>
      </w:numPr>
      <w:ind w:left="0" w:firstLine="0"/>
    </w:pPr>
  </w:style>
  <w:style w:type="paragraph" w:customStyle="1" w:styleId="Heading2Numbered">
    <w:name w:val="Heading 2 Numbered"/>
    <w:basedOn w:val="Heading2"/>
    <w:uiPriority w:val="10"/>
    <w:qFormat/>
    <w:rsid w:val="00400926"/>
    <w:pPr>
      <w:numPr>
        <w:ilvl w:val="1"/>
        <w:numId w:val="12"/>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12"/>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12"/>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12"/>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12"/>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12"/>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23"/>
      </w:numPr>
    </w:pPr>
  </w:style>
  <w:style w:type="paragraph" w:customStyle="1" w:styleId="PullOut-Teal">
    <w:name w:val="Pull Out - Teal"/>
    <w:basedOn w:val="Normal"/>
    <w:uiPriority w:val="22"/>
    <w:qFormat/>
    <w:rsid w:val="00400926"/>
    <w:pPr>
      <w:numPr>
        <w:numId w:val="38"/>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39"/>
    <w:rsid w:val="00AF089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43"/>
      </w:numPr>
    </w:pPr>
  </w:style>
  <w:style w:type="paragraph" w:styleId="Title">
    <w:name w:val="Title"/>
    <w:basedOn w:val="Normal"/>
    <w:next w:val="Normal"/>
    <w:link w:val="TitleChar"/>
    <w:uiPriority w:val="10"/>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10"/>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28"/>
      </w:numPr>
    </w:pPr>
  </w:style>
  <w:style w:type="paragraph" w:customStyle="1" w:styleId="PullOut-Pink">
    <w:name w:val="Pull Out - Pink"/>
    <w:basedOn w:val="PullOut-Teal"/>
    <w:uiPriority w:val="22"/>
    <w:qFormat/>
    <w:rsid w:val="00400926"/>
    <w:pPr>
      <w:numPr>
        <w:numId w:val="39"/>
      </w:numPr>
      <w:ind w:left="1247" w:hanging="1247"/>
    </w:pPr>
  </w:style>
  <w:style w:type="paragraph" w:customStyle="1" w:styleId="PullOut-Yellow">
    <w:name w:val="Pull Out - Yellow"/>
    <w:basedOn w:val="PullOut-Teal"/>
    <w:qFormat/>
    <w:rsid w:val="00400926"/>
    <w:pPr>
      <w:numPr>
        <w:numId w:val="40"/>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character" w:customStyle="1" w:styleId="BulletsL2Char">
    <w:name w:val="Bullets L2 Char"/>
    <w:basedOn w:val="DefaultParagraphFont"/>
    <w:link w:val="BulletsL2"/>
    <w:locked/>
    <w:rsid w:val="00476604"/>
    <w:rPr>
      <w:rFonts w:ascii="Arial" w:hAnsi="Arial" w:cs="Arial"/>
      <w:lang w:val="en-US"/>
    </w:rPr>
  </w:style>
  <w:style w:type="paragraph" w:customStyle="1" w:styleId="BulletsL2">
    <w:name w:val="Bullets L2"/>
    <w:basedOn w:val="Normal"/>
    <w:link w:val="BulletsL2Char"/>
    <w:qFormat/>
    <w:rsid w:val="00476604"/>
    <w:pPr>
      <w:numPr>
        <w:numId w:val="45"/>
      </w:numPr>
      <w:spacing w:before="40" w:line="280" w:lineRule="exact"/>
      <w:ind w:left="709"/>
    </w:pPr>
    <w:rPr>
      <w:rFonts w:ascii="Arial" w:hAnsi="Arial" w:cs="Arial"/>
      <w:lang w:val="en-US"/>
    </w:rPr>
  </w:style>
  <w:style w:type="character" w:styleId="CommentReference">
    <w:name w:val="annotation reference"/>
    <w:basedOn w:val="DefaultParagraphFont"/>
    <w:uiPriority w:val="99"/>
    <w:semiHidden/>
    <w:unhideWhenUsed/>
    <w:rsid w:val="00A85534"/>
    <w:rPr>
      <w:sz w:val="16"/>
      <w:szCs w:val="16"/>
    </w:rPr>
  </w:style>
  <w:style w:type="paragraph" w:styleId="CommentText">
    <w:name w:val="annotation text"/>
    <w:basedOn w:val="Normal"/>
    <w:link w:val="CommentTextChar"/>
    <w:uiPriority w:val="99"/>
    <w:semiHidden/>
    <w:unhideWhenUsed/>
    <w:rsid w:val="00A85534"/>
    <w:rPr>
      <w:sz w:val="20"/>
      <w:szCs w:val="20"/>
    </w:rPr>
  </w:style>
  <w:style w:type="character" w:customStyle="1" w:styleId="CommentTextChar">
    <w:name w:val="Comment Text Char"/>
    <w:basedOn w:val="DefaultParagraphFont"/>
    <w:link w:val="CommentText"/>
    <w:uiPriority w:val="99"/>
    <w:semiHidden/>
    <w:rsid w:val="00A85534"/>
    <w:rPr>
      <w:sz w:val="20"/>
      <w:szCs w:val="20"/>
    </w:rPr>
  </w:style>
  <w:style w:type="paragraph" w:styleId="CommentSubject">
    <w:name w:val="annotation subject"/>
    <w:basedOn w:val="CommentText"/>
    <w:next w:val="CommentText"/>
    <w:link w:val="CommentSubjectChar"/>
    <w:uiPriority w:val="99"/>
    <w:semiHidden/>
    <w:unhideWhenUsed/>
    <w:rsid w:val="00A85534"/>
    <w:rPr>
      <w:b/>
      <w:bCs/>
    </w:rPr>
  </w:style>
  <w:style w:type="character" w:customStyle="1" w:styleId="CommentSubjectChar">
    <w:name w:val="Comment Subject Char"/>
    <w:basedOn w:val="CommentTextChar"/>
    <w:link w:val="CommentSubject"/>
    <w:uiPriority w:val="99"/>
    <w:semiHidden/>
    <w:rsid w:val="00A85534"/>
    <w:rPr>
      <w:b/>
      <w:bCs/>
      <w:sz w:val="20"/>
      <w:szCs w:val="20"/>
    </w:rPr>
  </w:style>
  <w:style w:type="paragraph" w:styleId="ListParagraph">
    <w:name w:val="List Paragraph"/>
    <w:basedOn w:val="Normal"/>
    <w:uiPriority w:val="34"/>
    <w:qFormat/>
    <w:rsid w:val="001D0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6115">
      <w:bodyDiv w:val="1"/>
      <w:marLeft w:val="0"/>
      <w:marRight w:val="0"/>
      <w:marTop w:val="0"/>
      <w:marBottom w:val="0"/>
      <w:divBdr>
        <w:top w:val="none" w:sz="0" w:space="0" w:color="auto"/>
        <w:left w:val="none" w:sz="0" w:space="0" w:color="auto"/>
        <w:bottom w:val="none" w:sz="0" w:space="0" w:color="auto"/>
        <w:right w:val="none" w:sz="0" w:space="0" w:color="auto"/>
      </w:divBdr>
    </w:div>
    <w:div w:id="399056833">
      <w:bodyDiv w:val="1"/>
      <w:marLeft w:val="0"/>
      <w:marRight w:val="0"/>
      <w:marTop w:val="0"/>
      <w:marBottom w:val="0"/>
      <w:divBdr>
        <w:top w:val="none" w:sz="0" w:space="0" w:color="auto"/>
        <w:left w:val="none" w:sz="0" w:space="0" w:color="auto"/>
        <w:bottom w:val="none" w:sz="0" w:space="0" w:color="auto"/>
        <w:right w:val="none" w:sz="0" w:space="0" w:color="auto"/>
      </w:divBdr>
    </w:div>
    <w:div w:id="700981731">
      <w:bodyDiv w:val="1"/>
      <w:marLeft w:val="0"/>
      <w:marRight w:val="0"/>
      <w:marTop w:val="0"/>
      <w:marBottom w:val="0"/>
      <w:divBdr>
        <w:top w:val="none" w:sz="0" w:space="0" w:color="auto"/>
        <w:left w:val="none" w:sz="0" w:space="0" w:color="auto"/>
        <w:bottom w:val="none" w:sz="0" w:space="0" w:color="auto"/>
        <w:right w:val="none" w:sz="0" w:space="0" w:color="auto"/>
      </w:divBdr>
    </w:div>
    <w:div w:id="1218780636">
      <w:bodyDiv w:val="1"/>
      <w:marLeft w:val="0"/>
      <w:marRight w:val="0"/>
      <w:marTop w:val="0"/>
      <w:marBottom w:val="0"/>
      <w:divBdr>
        <w:top w:val="none" w:sz="0" w:space="0" w:color="auto"/>
        <w:left w:val="none" w:sz="0" w:space="0" w:color="auto"/>
        <w:bottom w:val="none" w:sz="0" w:space="0" w:color="auto"/>
        <w:right w:val="none" w:sz="0" w:space="0" w:color="auto"/>
      </w:divBdr>
    </w:div>
    <w:div w:id="1474906436">
      <w:bodyDiv w:val="1"/>
      <w:marLeft w:val="0"/>
      <w:marRight w:val="0"/>
      <w:marTop w:val="0"/>
      <w:marBottom w:val="0"/>
      <w:divBdr>
        <w:top w:val="none" w:sz="0" w:space="0" w:color="auto"/>
        <w:left w:val="none" w:sz="0" w:space="0" w:color="auto"/>
        <w:bottom w:val="none" w:sz="0" w:space="0" w:color="auto"/>
        <w:right w:val="none" w:sz="0" w:space="0" w:color="auto"/>
      </w:divBdr>
    </w:div>
    <w:div w:id="1779791894">
      <w:bodyDiv w:val="1"/>
      <w:marLeft w:val="0"/>
      <w:marRight w:val="0"/>
      <w:marTop w:val="0"/>
      <w:marBottom w:val="0"/>
      <w:divBdr>
        <w:top w:val="none" w:sz="0" w:space="0" w:color="auto"/>
        <w:left w:val="none" w:sz="0" w:space="0" w:color="auto"/>
        <w:bottom w:val="none" w:sz="0" w:space="0" w:color="auto"/>
        <w:right w:val="none" w:sz="0" w:space="0" w:color="auto"/>
      </w:divBdr>
    </w:div>
    <w:div w:id="20132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9665-42C1-46F9-9567-DE77E788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3.xml><?xml version="1.0" encoding="utf-8"?>
<ds:datastoreItem xmlns:ds="http://schemas.openxmlformats.org/officeDocument/2006/customXml" ds:itemID="{37A4F7F5-F729-406E-94C0-BA3232646C9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c7dac4e8-3feb-44f4-96ca-b86e7c14d0f6"/>
    <ds:schemaRef ds:uri="http://www.w3.org/XML/1998/namespace"/>
  </ds:schemaRefs>
</ds:datastoreItem>
</file>

<file path=customXml/itemProps4.xml><?xml version="1.0" encoding="utf-8"?>
<ds:datastoreItem xmlns:ds="http://schemas.openxmlformats.org/officeDocument/2006/customXml" ds:itemID="{7A45C7B2-C439-454B-B18D-6A669C0A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1</TotalTime>
  <Pages>5</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Report Template</vt:lpstr>
    </vt:vector>
  </TitlesOfParts>
  <Company>Tertiary Education Quality and Standards Agency</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Ben Fulford</dc:creator>
  <cp:lastModifiedBy>May, Raphael</cp:lastModifiedBy>
  <cp:revision>2</cp:revision>
  <dcterms:created xsi:type="dcterms:W3CDTF">2017-12-11T04:32:00Z</dcterms:created>
  <dcterms:modified xsi:type="dcterms:W3CDTF">2017-12-11T04:32:00Z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