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BA" w:rsidRDefault="008064BA" w:rsidP="00424852">
      <w:pPr>
        <w:pStyle w:val="Heading1"/>
        <w:spacing w:before="240" w:after="120"/>
        <w:rPr>
          <w:lang w:val="en-US"/>
        </w:rPr>
      </w:pPr>
      <w:bookmarkStart w:id="0" w:name="_GoBack"/>
      <w:r>
        <w:rPr>
          <w:noProof/>
          <w:lang w:eastAsia="en-AU"/>
        </w:rPr>
        <w:t>Student Expert Advisory Group Terms of Reference</w:t>
      </w:r>
    </w:p>
    <w:bookmarkEnd w:id="0"/>
    <w:p w:rsidR="008064BA" w:rsidRDefault="008064BA" w:rsidP="008064BA">
      <w:pPr>
        <w:spacing w:after="0"/>
        <w:rPr>
          <w:rFonts w:ascii="Georgia" w:eastAsiaTheme="majorEastAsia" w:hAnsi="Georgia" w:cstheme="majorBidi"/>
          <w:b/>
          <w:bCs/>
          <w:noProof/>
          <w:sz w:val="44"/>
          <w:szCs w:val="28"/>
          <w:lang w:eastAsia="en-AU"/>
        </w:rPr>
      </w:pPr>
      <w:r w:rsidRPr="00917AD0">
        <w:rPr>
          <w:rFonts w:eastAsia="Arial" w:cs="Arial"/>
        </w:rPr>
        <w:t xml:space="preserve">This document </w:t>
      </w:r>
      <w:r>
        <w:rPr>
          <w:rFonts w:eastAsia="Arial" w:cs="Arial"/>
        </w:rPr>
        <w:t>contains the terms of reference for the Tertiary Education Quality and Standards Agency’s (TEQSA’s) Student Expert Advisory Group.</w:t>
      </w:r>
    </w:p>
    <w:p w:rsidR="008064BA" w:rsidRDefault="008064BA" w:rsidP="008064BA">
      <w:pPr>
        <w:pStyle w:val="Heading2"/>
        <w:numPr>
          <w:ilvl w:val="0"/>
          <w:numId w:val="46"/>
        </w:numPr>
        <w:spacing w:before="240" w:after="80" w:line="360" w:lineRule="exact"/>
        <w:rPr>
          <w:noProof/>
          <w:lang w:eastAsia="en-AU"/>
        </w:rPr>
      </w:pPr>
      <w:r>
        <w:rPr>
          <w:noProof/>
          <w:lang w:eastAsia="en-AU"/>
        </w:rPr>
        <w:t>Composition</w:t>
      </w:r>
    </w:p>
    <w:p w:rsidR="008064BA" w:rsidRDefault="008064BA" w:rsidP="008064BA">
      <w:pPr>
        <w:rPr>
          <w:lang w:eastAsia="en-AU"/>
        </w:rPr>
      </w:pPr>
      <w:r>
        <w:rPr>
          <w:lang w:eastAsia="en-AU"/>
        </w:rPr>
        <w:t>The Student Expert Advisory Group consists of:</w:t>
      </w:r>
    </w:p>
    <w:p w:rsidR="008064BA" w:rsidRDefault="008064BA" w:rsidP="008064BA">
      <w:pPr>
        <w:pStyle w:val="ListParagraph"/>
        <w:numPr>
          <w:ilvl w:val="0"/>
          <w:numId w:val="47"/>
        </w:numPr>
        <w:rPr>
          <w:lang w:eastAsia="en-AU"/>
        </w:rPr>
      </w:pPr>
      <w:r>
        <w:rPr>
          <w:lang w:eastAsia="en-AU"/>
        </w:rPr>
        <w:t>a Chair (TEQSA Chief Executive Officer)</w:t>
      </w:r>
    </w:p>
    <w:p w:rsidR="008064BA" w:rsidRDefault="008064BA" w:rsidP="008064BA">
      <w:pPr>
        <w:pStyle w:val="ListParagraph"/>
        <w:numPr>
          <w:ilvl w:val="0"/>
          <w:numId w:val="47"/>
        </w:numPr>
        <w:rPr>
          <w:lang w:eastAsia="en-AU"/>
        </w:rPr>
      </w:pPr>
      <w:r>
        <w:rPr>
          <w:lang w:eastAsia="en-AU"/>
        </w:rPr>
        <w:t>members, with representatives from:</w:t>
      </w:r>
    </w:p>
    <w:p w:rsidR="00DC5CE7" w:rsidRDefault="00DC5CE7" w:rsidP="00DC5CE7">
      <w:pPr>
        <w:pStyle w:val="ListParagraph"/>
        <w:numPr>
          <w:ilvl w:val="1"/>
          <w:numId w:val="47"/>
        </w:numPr>
        <w:spacing w:before="0" w:after="0" w:line="240" w:lineRule="auto"/>
        <w:rPr>
          <w:rFonts w:cs="Arial"/>
        </w:rPr>
      </w:pPr>
      <w:r w:rsidRPr="00921EC5">
        <w:rPr>
          <w:rFonts w:cs="Arial"/>
        </w:rPr>
        <w:t>A</w:t>
      </w:r>
      <w:r>
        <w:rPr>
          <w:rFonts w:cs="Arial"/>
        </w:rPr>
        <w:t xml:space="preserve">ustralian </w:t>
      </w:r>
      <w:r w:rsidRPr="00921EC5">
        <w:rPr>
          <w:rFonts w:cs="Arial"/>
        </w:rPr>
        <w:t>C</w:t>
      </w:r>
      <w:r>
        <w:rPr>
          <w:rFonts w:cs="Arial"/>
        </w:rPr>
        <w:t xml:space="preserve">ouncil of </w:t>
      </w:r>
      <w:r w:rsidRPr="00921EC5">
        <w:rPr>
          <w:rFonts w:cs="Arial"/>
        </w:rPr>
        <w:t>P</w:t>
      </w:r>
      <w:r>
        <w:rPr>
          <w:rFonts w:cs="Arial"/>
        </w:rPr>
        <w:t xml:space="preserve">rivate </w:t>
      </w:r>
      <w:r w:rsidRPr="00921EC5">
        <w:rPr>
          <w:rFonts w:cs="Arial"/>
        </w:rPr>
        <w:t>E</w:t>
      </w:r>
      <w:r>
        <w:rPr>
          <w:rFonts w:cs="Arial"/>
        </w:rPr>
        <w:t xml:space="preserve">ducation and </w:t>
      </w:r>
      <w:r w:rsidRPr="00921EC5">
        <w:rPr>
          <w:rFonts w:cs="Arial"/>
        </w:rPr>
        <w:t>T</w:t>
      </w:r>
      <w:r>
        <w:rPr>
          <w:rFonts w:cs="Arial"/>
        </w:rPr>
        <w:t>raining (ACPET) student representative</w:t>
      </w:r>
    </w:p>
    <w:p w:rsidR="00DC5CE7" w:rsidRDefault="00DC5CE7" w:rsidP="00DC5CE7">
      <w:pPr>
        <w:pStyle w:val="ListParagraph"/>
        <w:numPr>
          <w:ilvl w:val="1"/>
          <w:numId w:val="47"/>
        </w:numPr>
        <w:spacing w:before="0" w:after="0" w:line="240" w:lineRule="auto"/>
        <w:rPr>
          <w:rFonts w:cs="Arial"/>
        </w:rPr>
      </w:pPr>
      <w:r>
        <w:rPr>
          <w:rFonts w:cs="Arial"/>
        </w:rPr>
        <w:t>Australian Queer Students’ Network (AQSN)</w:t>
      </w:r>
    </w:p>
    <w:p w:rsidR="00DC5CE7" w:rsidRDefault="00DC5CE7" w:rsidP="00DC5CE7">
      <w:pPr>
        <w:pStyle w:val="ListParagraph"/>
        <w:numPr>
          <w:ilvl w:val="1"/>
          <w:numId w:val="47"/>
        </w:numPr>
        <w:spacing w:before="0" w:after="0" w:line="240" w:lineRule="auto"/>
        <w:rPr>
          <w:rFonts w:cs="Arial"/>
        </w:rPr>
      </w:pPr>
      <w:r>
        <w:rPr>
          <w:rFonts w:cs="Arial"/>
        </w:rPr>
        <w:t xml:space="preserve">Council of Australian Postgraduate Associations (CAPA) </w:t>
      </w:r>
    </w:p>
    <w:p w:rsidR="00DC5CE7" w:rsidRDefault="00DC5CE7" w:rsidP="00DC5CE7">
      <w:pPr>
        <w:pStyle w:val="ListParagraph"/>
        <w:numPr>
          <w:ilvl w:val="1"/>
          <w:numId w:val="47"/>
        </w:numPr>
        <w:spacing w:before="0" w:after="0" w:line="240" w:lineRule="auto"/>
        <w:rPr>
          <w:rFonts w:cs="Arial"/>
        </w:rPr>
      </w:pPr>
      <w:r>
        <w:rPr>
          <w:rFonts w:cs="Arial"/>
        </w:rPr>
        <w:t xml:space="preserve">Council of International Students (CISA) </w:t>
      </w:r>
    </w:p>
    <w:p w:rsidR="00DC5CE7" w:rsidRPr="00921EC5" w:rsidRDefault="00DC5CE7" w:rsidP="00DC5CE7">
      <w:pPr>
        <w:pStyle w:val="ListParagraph"/>
        <w:numPr>
          <w:ilvl w:val="1"/>
          <w:numId w:val="47"/>
        </w:numPr>
        <w:spacing w:before="0" w:after="0" w:line="240" w:lineRule="auto"/>
        <w:rPr>
          <w:rFonts w:cs="Arial"/>
        </w:rPr>
      </w:pPr>
      <w:r>
        <w:rPr>
          <w:rFonts w:cs="Arial"/>
        </w:rPr>
        <w:t xml:space="preserve">Council of Private Higher Education (COPHE) student representative </w:t>
      </w:r>
    </w:p>
    <w:p w:rsidR="008064BA" w:rsidRDefault="008064BA" w:rsidP="008064BA">
      <w:pPr>
        <w:pStyle w:val="ListParagraph"/>
        <w:numPr>
          <w:ilvl w:val="1"/>
          <w:numId w:val="47"/>
        </w:numPr>
        <w:spacing w:before="0" w:after="0" w:line="240" w:lineRule="auto"/>
        <w:rPr>
          <w:rFonts w:cs="Arial"/>
        </w:rPr>
      </w:pPr>
      <w:r w:rsidRPr="006015E7">
        <w:rPr>
          <w:color w:val="222222"/>
        </w:rPr>
        <w:t>National</w:t>
      </w:r>
      <w:r>
        <w:rPr>
          <w:rStyle w:val="speakername"/>
          <w:rFonts w:cs="Arial"/>
          <w:color w:val="000000"/>
          <w:sz w:val="18"/>
          <w:szCs w:val="18"/>
        </w:rPr>
        <w:t xml:space="preserve"> </w:t>
      </w:r>
      <w:r w:rsidRPr="006015E7">
        <w:rPr>
          <w:color w:val="222222"/>
        </w:rPr>
        <w:t>Aboriginal and Torres Strait Islander Postgraduate Association</w:t>
      </w:r>
      <w:r>
        <w:rPr>
          <w:color w:val="222222"/>
        </w:rPr>
        <w:t xml:space="preserve"> (</w:t>
      </w:r>
      <w:r w:rsidRPr="006015E7">
        <w:rPr>
          <w:rFonts w:cs="Arial"/>
          <w:color w:val="222222"/>
        </w:rPr>
        <w:t>NATSI</w:t>
      </w:r>
      <w:r>
        <w:rPr>
          <w:rFonts w:cs="Arial"/>
          <w:color w:val="222222"/>
        </w:rPr>
        <w:t>P</w:t>
      </w:r>
      <w:r w:rsidRPr="006015E7">
        <w:rPr>
          <w:rFonts w:cs="Arial"/>
          <w:color w:val="222222"/>
        </w:rPr>
        <w:t>A</w:t>
      </w:r>
      <w:r>
        <w:rPr>
          <w:rFonts w:cs="Arial"/>
          <w:color w:val="222222"/>
        </w:rPr>
        <w:t>)</w:t>
      </w:r>
      <w:r w:rsidR="00D51469">
        <w:t xml:space="preserve"> </w:t>
      </w:r>
      <w:r w:rsidDel="00717338">
        <w:rPr>
          <w:rFonts w:cs="Arial"/>
        </w:rPr>
        <w:t xml:space="preserve"> </w:t>
      </w:r>
    </w:p>
    <w:p w:rsidR="00DC5CE7" w:rsidRDefault="00DC5CE7" w:rsidP="00DC5CE7">
      <w:pPr>
        <w:pStyle w:val="ListParagraph"/>
        <w:numPr>
          <w:ilvl w:val="1"/>
          <w:numId w:val="47"/>
        </w:numPr>
        <w:spacing w:before="0" w:after="0" w:line="240" w:lineRule="auto"/>
        <w:rPr>
          <w:rFonts w:cs="Arial"/>
        </w:rPr>
      </w:pPr>
      <w:r>
        <w:rPr>
          <w:rFonts w:cs="Arial"/>
        </w:rPr>
        <w:t xml:space="preserve">National Union of Students (NUS) </w:t>
      </w:r>
    </w:p>
    <w:p w:rsidR="00DC5CE7" w:rsidRPr="00DC5CE7" w:rsidRDefault="00DC5CE7" w:rsidP="00DC5CE7">
      <w:pPr>
        <w:pStyle w:val="ListParagraph"/>
        <w:numPr>
          <w:ilvl w:val="1"/>
          <w:numId w:val="47"/>
        </w:numPr>
        <w:rPr>
          <w:lang w:eastAsia="en-AU"/>
        </w:rPr>
      </w:pPr>
      <w:r>
        <w:rPr>
          <w:lang w:eastAsia="en-AU"/>
        </w:rPr>
        <w:t xml:space="preserve">TAFE Directors Australia (TDA) student representative </w:t>
      </w:r>
    </w:p>
    <w:p w:rsidR="00780035" w:rsidRPr="00921EC5" w:rsidRDefault="00780035" w:rsidP="008064BA">
      <w:pPr>
        <w:pStyle w:val="ListParagraph"/>
        <w:numPr>
          <w:ilvl w:val="1"/>
          <w:numId w:val="47"/>
        </w:numPr>
        <w:spacing w:before="0" w:after="0" w:line="240" w:lineRule="auto"/>
        <w:rPr>
          <w:rFonts w:cs="Arial"/>
        </w:rPr>
      </w:pPr>
      <w:r>
        <w:rPr>
          <w:color w:val="222222"/>
        </w:rPr>
        <w:t>Union of Aboriginal and Torres Strait Islander Students (UATSIS)</w:t>
      </w:r>
    </w:p>
    <w:p w:rsidR="008064BA" w:rsidRDefault="008064BA" w:rsidP="00DC5CE7">
      <w:pPr>
        <w:pStyle w:val="ListParagraph"/>
        <w:ind w:left="1440"/>
        <w:rPr>
          <w:lang w:eastAsia="en-AU"/>
        </w:rPr>
      </w:pPr>
    </w:p>
    <w:p w:rsidR="008064BA" w:rsidRDefault="008064BA" w:rsidP="008064BA">
      <w:pPr>
        <w:pStyle w:val="ListParagraph"/>
        <w:numPr>
          <w:ilvl w:val="0"/>
          <w:numId w:val="47"/>
        </w:numPr>
        <w:rPr>
          <w:lang w:eastAsia="en-AU"/>
        </w:rPr>
      </w:pPr>
      <w:r>
        <w:rPr>
          <w:lang w:eastAsia="en-AU"/>
        </w:rPr>
        <w:t>Observers:</w:t>
      </w:r>
    </w:p>
    <w:p w:rsidR="008064BA" w:rsidRDefault="008064BA" w:rsidP="008064BA">
      <w:pPr>
        <w:pStyle w:val="ListParagraph"/>
        <w:numPr>
          <w:ilvl w:val="1"/>
          <w:numId w:val="47"/>
        </w:numPr>
        <w:rPr>
          <w:lang w:eastAsia="en-AU"/>
        </w:rPr>
      </w:pPr>
      <w:r>
        <w:rPr>
          <w:lang w:eastAsia="en-AU"/>
        </w:rPr>
        <w:t>Professor Nick Saunders, Chief Commissioner</w:t>
      </w:r>
    </w:p>
    <w:p w:rsidR="008064BA" w:rsidRDefault="008064BA" w:rsidP="008064BA">
      <w:pPr>
        <w:pStyle w:val="ListParagraph"/>
        <w:numPr>
          <w:ilvl w:val="1"/>
          <w:numId w:val="47"/>
        </w:numPr>
        <w:rPr>
          <w:lang w:eastAsia="en-AU"/>
        </w:rPr>
      </w:pPr>
      <w:r>
        <w:rPr>
          <w:lang w:eastAsia="en-AU"/>
        </w:rPr>
        <w:t>Emeritus Professor Cliff Walsh, Commissioner</w:t>
      </w:r>
    </w:p>
    <w:p w:rsidR="008064BA" w:rsidRDefault="008064BA" w:rsidP="008064BA">
      <w:pPr>
        <w:pStyle w:val="ListParagraph"/>
        <w:numPr>
          <w:ilvl w:val="1"/>
          <w:numId w:val="47"/>
        </w:numPr>
        <w:rPr>
          <w:lang w:eastAsia="en-AU"/>
        </w:rPr>
      </w:pPr>
      <w:r>
        <w:rPr>
          <w:lang w:eastAsia="en-AU"/>
        </w:rPr>
        <w:t>Dr Lin Martin, Commissioner</w:t>
      </w:r>
    </w:p>
    <w:p w:rsidR="008064BA" w:rsidRDefault="008064BA" w:rsidP="008064BA">
      <w:pPr>
        <w:pStyle w:val="ListParagraph"/>
        <w:ind w:left="1440"/>
        <w:rPr>
          <w:lang w:eastAsia="en-AU"/>
        </w:rPr>
      </w:pPr>
    </w:p>
    <w:p w:rsidR="008064BA" w:rsidRDefault="008064BA" w:rsidP="008064BA">
      <w:pPr>
        <w:pStyle w:val="Heading2"/>
        <w:numPr>
          <w:ilvl w:val="0"/>
          <w:numId w:val="46"/>
        </w:numPr>
        <w:spacing w:before="240" w:after="80" w:line="360" w:lineRule="exact"/>
        <w:rPr>
          <w:noProof/>
          <w:lang w:eastAsia="en-AU"/>
        </w:rPr>
      </w:pPr>
      <w:r>
        <w:rPr>
          <w:noProof/>
          <w:lang w:eastAsia="en-AU"/>
        </w:rPr>
        <w:t>Functions</w:t>
      </w:r>
    </w:p>
    <w:p w:rsidR="008064BA" w:rsidRDefault="008064BA" w:rsidP="008064BA">
      <w:pPr>
        <w:rPr>
          <w:lang w:eastAsia="en-AU"/>
        </w:rPr>
      </w:pPr>
      <w:r>
        <w:rPr>
          <w:lang w:eastAsia="en-AU"/>
        </w:rPr>
        <w:t>The function of the Student Expert Advisory Group is to provide advice to the Commission on the approaches and strategies relating to the re</w:t>
      </w:r>
      <w:r w:rsidR="00D51469">
        <w:rPr>
          <w:lang w:eastAsia="en-AU"/>
        </w:rPr>
        <w:t xml:space="preserve">gulation and quality assurance </w:t>
      </w:r>
      <w:r>
        <w:rPr>
          <w:lang w:eastAsia="en-AU"/>
        </w:rPr>
        <w:t>of higher education providers, with particular reference to the engagement of students.</w:t>
      </w:r>
    </w:p>
    <w:p w:rsidR="008064BA" w:rsidRDefault="008064BA" w:rsidP="008064BA">
      <w:pPr>
        <w:rPr>
          <w:lang w:eastAsia="en-AU"/>
        </w:rPr>
      </w:pPr>
      <w:r>
        <w:rPr>
          <w:lang w:eastAsia="en-AU"/>
        </w:rPr>
        <w:t>In particular, the Student Expert Advisory Group is invited to:</w:t>
      </w:r>
    </w:p>
    <w:p w:rsidR="008064BA" w:rsidRDefault="008064BA" w:rsidP="008064BA">
      <w:r>
        <w:rPr>
          <w:lang w:eastAsia="en-AU"/>
        </w:rPr>
        <w:t>General:</w:t>
      </w:r>
    </w:p>
    <w:p w:rsidR="008064BA" w:rsidRDefault="008064BA" w:rsidP="008064BA">
      <w:pPr>
        <w:pStyle w:val="21"/>
        <w:numPr>
          <w:ilvl w:val="0"/>
          <w:numId w:val="48"/>
        </w:numPr>
        <w:tabs>
          <w:tab w:val="clear" w:pos="851"/>
        </w:tabs>
        <w:rPr>
          <w:rFonts w:cs="Arial"/>
          <w:lang w:eastAsia="en-US"/>
        </w:rPr>
      </w:pPr>
      <w:r>
        <w:rPr>
          <w:rFonts w:cs="Arial"/>
          <w:lang w:eastAsia="en-US"/>
        </w:rPr>
        <w:t>Advise the TEQSA Commission on matters regarding student engagement and the quality of Australian higher education.</w:t>
      </w:r>
    </w:p>
    <w:p w:rsidR="008064BA" w:rsidRDefault="008064BA" w:rsidP="008064BA">
      <w:pPr>
        <w:pStyle w:val="21"/>
        <w:numPr>
          <w:ilvl w:val="0"/>
          <w:numId w:val="48"/>
        </w:numPr>
        <w:tabs>
          <w:tab w:val="clear" w:pos="851"/>
        </w:tabs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>Be a source of expert advice for the Commission on all matters relating to student engagement.</w:t>
      </w:r>
    </w:p>
    <w:p w:rsidR="00424852" w:rsidRDefault="008064BA" w:rsidP="00424852">
      <w:pPr>
        <w:pStyle w:val="21"/>
        <w:numPr>
          <w:ilvl w:val="0"/>
          <w:numId w:val="48"/>
        </w:numPr>
        <w:tabs>
          <w:tab w:val="clear" w:pos="851"/>
        </w:tabs>
        <w:spacing w:after="16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Provide input into the development of approaches to engage </w:t>
      </w:r>
      <w:r w:rsidRPr="00F33BB1">
        <w:rPr>
          <w:rFonts w:cs="Arial"/>
          <w:lang w:eastAsia="en-US"/>
        </w:rPr>
        <w:t xml:space="preserve">providers </w:t>
      </w:r>
      <w:r>
        <w:rPr>
          <w:rFonts w:cs="Arial"/>
          <w:lang w:eastAsia="en-US"/>
        </w:rPr>
        <w:t>around issues regarding student engagement in quality assurance.</w:t>
      </w:r>
    </w:p>
    <w:p w:rsidR="00382059" w:rsidRPr="00424852" w:rsidRDefault="002B52DD" w:rsidP="00424852">
      <w:pPr>
        <w:pStyle w:val="21"/>
        <w:numPr>
          <w:ilvl w:val="0"/>
          <w:numId w:val="48"/>
        </w:numPr>
        <w:tabs>
          <w:tab w:val="clear" w:pos="851"/>
        </w:tabs>
        <w:spacing w:after="160"/>
        <w:rPr>
          <w:rFonts w:cs="Arial"/>
          <w:lang w:eastAsia="en-US"/>
        </w:rPr>
      </w:pPr>
      <w:r w:rsidRPr="00424852">
        <w:rPr>
          <w:rFonts w:cs="Arial"/>
          <w:lang w:eastAsia="en-US"/>
        </w:rPr>
        <w:t>Discuss matters relating to thematic reviews undertaken by TEQSA and other issues impacting students in the higher education sector.</w:t>
      </w:r>
    </w:p>
    <w:p w:rsidR="008064BA" w:rsidRDefault="008064BA" w:rsidP="008064BA">
      <w:pPr>
        <w:pStyle w:val="21"/>
        <w:numPr>
          <w:ilvl w:val="0"/>
          <w:numId w:val="0"/>
        </w:numPr>
        <w:tabs>
          <w:tab w:val="clear" w:pos="851"/>
        </w:tabs>
        <w:rPr>
          <w:rFonts w:cs="Arial"/>
          <w:lang w:eastAsia="en-US"/>
        </w:rPr>
      </w:pPr>
      <w:r>
        <w:rPr>
          <w:rFonts w:cs="Arial"/>
          <w:lang w:eastAsia="en-US"/>
        </w:rPr>
        <w:t>Specific:</w:t>
      </w:r>
    </w:p>
    <w:p w:rsidR="008064BA" w:rsidRDefault="008064BA" w:rsidP="008064BA">
      <w:pPr>
        <w:pStyle w:val="21"/>
        <w:numPr>
          <w:ilvl w:val="0"/>
          <w:numId w:val="0"/>
        </w:numPr>
        <w:tabs>
          <w:tab w:val="clear" w:pos="851"/>
        </w:tabs>
        <w:ind w:left="993"/>
        <w:rPr>
          <w:rFonts w:cs="Arial"/>
          <w:lang w:eastAsia="en-US"/>
        </w:rPr>
      </w:pPr>
    </w:p>
    <w:p w:rsidR="008064BA" w:rsidRPr="002F722C" w:rsidRDefault="008064BA" w:rsidP="008064BA">
      <w:pPr>
        <w:pStyle w:val="21"/>
        <w:numPr>
          <w:ilvl w:val="0"/>
          <w:numId w:val="48"/>
        </w:numPr>
        <w:tabs>
          <w:tab w:val="clear" w:pos="851"/>
        </w:tabs>
        <w:rPr>
          <w:rFonts w:cs="Arial"/>
          <w:lang w:eastAsia="en-US"/>
        </w:rPr>
      </w:pPr>
      <w:r>
        <w:rPr>
          <w:rFonts w:cs="Arial"/>
          <w:lang w:eastAsia="en-US"/>
        </w:rPr>
        <w:t xml:space="preserve">Provide input into the regulation of providers under the </w:t>
      </w:r>
      <w:r w:rsidRPr="00610F56">
        <w:rPr>
          <w:i/>
          <w:lang w:val="en-GB"/>
        </w:rPr>
        <w:t>Higher Education Standards Framework (Threshold Standards</w:t>
      </w:r>
      <w:r>
        <w:rPr>
          <w:i/>
          <w:lang w:val="en-GB"/>
        </w:rPr>
        <w:t>)</w:t>
      </w:r>
      <w:r w:rsidRPr="00610F56">
        <w:rPr>
          <w:i/>
          <w:lang w:val="en-GB"/>
        </w:rPr>
        <w:t xml:space="preserve"> 2015</w:t>
      </w:r>
      <w:r>
        <w:rPr>
          <w:lang w:val="en-GB"/>
        </w:rPr>
        <w:t>, and the development of processes for the future engagement of students.</w:t>
      </w:r>
    </w:p>
    <w:p w:rsidR="008064BA" w:rsidRPr="00F33BB1" w:rsidRDefault="008064BA" w:rsidP="008064BA">
      <w:pPr>
        <w:pStyle w:val="21"/>
        <w:numPr>
          <w:ilvl w:val="0"/>
          <w:numId w:val="48"/>
        </w:numPr>
        <w:tabs>
          <w:tab w:val="clear" w:pos="851"/>
        </w:tabs>
        <w:rPr>
          <w:rFonts w:cs="Arial"/>
          <w:lang w:eastAsia="en-US"/>
        </w:rPr>
      </w:pPr>
      <w:r>
        <w:rPr>
          <w:lang w:val="en-GB"/>
        </w:rPr>
        <w:t>Advise the Commission on future sector activities to promote the awareness of student engagement in higher education.</w:t>
      </w:r>
    </w:p>
    <w:p w:rsidR="008064BA" w:rsidRPr="001F60CD" w:rsidRDefault="008064BA" w:rsidP="008064BA">
      <w:pPr>
        <w:pStyle w:val="21"/>
        <w:numPr>
          <w:ilvl w:val="0"/>
          <w:numId w:val="0"/>
        </w:numPr>
        <w:tabs>
          <w:tab w:val="clear" w:pos="851"/>
        </w:tabs>
        <w:ind w:left="360" w:hanging="360"/>
        <w:rPr>
          <w:rFonts w:cs="Arial"/>
          <w:lang w:eastAsia="en-US"/>
        </w:rPr>
      </w:pPr>
    </w:p>
    <w:p w:rsidR="008064BA" w:rsidRDefault="008064BA" w:rsidP="008064BA">
      <w:pPr>
        <w:rPr>
          <w:lang w:eastAsia="en-AU"/>
        </w:rPr>
      </w:pPr>
      <w:r>
        <w:rPr>
          <w:lang w:eastAsia="en-AU"/>
        </w:rPr>
        <w:t>The Student Expert Advisory Group members may consult interested parties when performing their functions, as required.</w:t>
      </w:r>
    </w:p>
    <w:p w:rsidR="008064BA" w:rsidRDefault="008064BA" w:rsidP="008064BA">
      <w:pPr>
        <w:pStyle w:val="Heading2"/>
        <w:numPr>
          <w:ilvl w:val="0"/>
          <w:numId w:val="46"/>
        </w:numPr>
        <w:spacing w:before="240" w:after="80" w:line="360" w:lineRule="exact"/>
        <w:rPr>
          <w:noProof/>
          <w:lang w:eastAsia="en-AU"/>
        </w:rPr>
      </w:pPr>
      <w:r>
        <w:rPr>
          <w:noProof/>
          <w:lang w:eastAsia="en-AU"/>
        </w:rPr>
        <w:t xml:space="preserve">Term </w:t>
      </w:r>
      <w:r w:rsidR="00424852">
        <w:rPr>
          <w:noProof/>
          <w:lang w:eastAsia="en-AU"/>
        </w:rPr>
        <w:t>of appointment</w:t>
      </w:r>
    </w:p>
    <w:p w:rsidR="008064BA" w:rsidRDefault="008064BA" w:rsidP="008064BA">
      <w:pPr>
        <w:rPr>
          <w:lang w:eastAsia="en-AU"/>
        </w:rPr>
      </w:pPr>
      <w:r>
        <w:rPr>
          <w:lang w:eastAsia="en-AU"/>
        </w:rPr>
        <w:t xml:space="preserve">The Student Expert Advisory Group </w:t>
      </w:r>
      <w:r w:rsidR="002B52DD">
        <w:rPr>
          <w:lang w:eastAsia="en-AU"/>
        </w:rPr>
        <w:t>was</w:t>
      </w:r>
      <w:r>
        <w:rPr>
          <w:lang w:eastAsia="en-AU"/>
        </w:rPr>
        <w:t xml:space="preserve"> established in December 2017, and membership will be refreshed on an annual basis</w:t>
      </w:r>
      <w:r w:rsidR="002B52DD">
        <w:rPr>
          <w:lang w:eastAsia="en-AU"/>
        </w:rPr>
        <w:t>. Noting the election cycles differ for the various student bodies involved, both the incoming and outgoing representative will be invited to partici</w:t>
      </w:r>
      <w:r w:rsidR="00424852">
        <w:rPr>
          <w:lang w:eastAsia="en-AU"/>
        </w:rPr>
        <w:t>pate in the transition period.</w:t>
      </w:r>
      <w:r>
        <w:rPr>
          <w:lang w:eastAsia="en-AU"/>
        </w:rPr>
        <w:t xml:space="preserve"> </w:t>
      </w:r>
    </w:p>
    <w:p w:rsidR="008064BA" w:rsidRDefault="008064BA" w:rsidP="008064BA">
      <w:pPr>
        <w:pStyle w:val="Heading2"/>
        <w:numPr>
          <w:ilvl w:val="0"/>
          <w:numId w:val="46"/>
        </w:numPr>
        <w:spacing w:before="240" w:after="80" w:line="360" w:lineRule="exact"/>
        <w:rPr>
          <w:noProof/>
          <w:lang w:eastAsia="en-AU"/>
        </w:rPr>
      </w:pPr>
      <w:r>
        <w:rPr>
          <w:noProof/>
          <w:lang w:eastAsia="en-AU"/>
        </w:rPr>
        <w:t>Student Expert Advisory Group meetings</w:t>
      </w:r>
    </w:p>
    <w:p w:rsidR="008064BA" w:rsidRDefault="002B52DD" w:rsidP="008064BA">
      <w:pPr>
        <w:rPr>
          <w:lang w:eastAsia="en-AU"/>
        </w:rPr>
      </w:pPr>
      <w:r>
        <w:rPr>
          <w:lang w:eastAsia="en-AU"/>
        </w:rPr>
        <w:t xml:space="preserve">The </w:t>
      </w:r>
      <w:r w:rsidR="008064BA">
        <w:rPr>
          <w:lang w:eastAsia="en-AU"/>
        </w:rPr>
        <w:t>Student Expert Advisory Group</w:t>
      </w:r>
      <w:r>
        <w:rPr>
          <w:lang w:eastAsia="en-AU"/>
        </w:rPr>
        <w:t xml:space="preserve"> will meet at least three times per year. This may be face-to-face or via teleconference. I</w:t>
      </w:r>
      <w:r w:rsidR="008064BA">
        <w:rPr>
          <w:lang w:eastAsia="en-AU"/>
        </w:rPr>
        <w:t>t is expected that there will be minimal out-of-session communications.</w:t>
      </w:r>
    </w:p>
    <w:p w:rsidR="008064BA" w:rsidRDefault="008064BA" w:rsidP="008064BA">
      <w:pPr>
        <w:rPr>
          <w:lang w:eastAsia="en-AU"/>
        </w:rPr>
      </w:pPr>
      <w:r>
        <w:rPr>
          <w:lang w:eastAsia="en-AU"/>
        </w:rPr>
        <w:t>The meetings are to be convened by the Chair, and may be attended by TEQSA staff.</w:t>
      </w:r>
    </w:p>
    <w:p w:rsidR="008064BA" w:rsidRPr="00031AEB" w:rsidRDefault="008064BA" w:rsidP="008064BA">
      <w:pPr>
        <w:rPr>
          <w:lang w:eastAsia="en-AU"/>
        </w:rPr>
      </w:pPr>
      <w:r>
        <w:rPr>
          <w:lang w:eastAsia="en-AU"/>
        </w:rPr>
        <w:t>TEQSA will provide the secretariat services to support this group.</w:t>
      </w:r>
    </w:p>
    <w:p w:rsidR="008064BA" w:rsidRDefault="008064BA" w:rsidP="008064BA">
      <w:pPr>
        <w:pStyle w:val="Heading2"/>
        <w:numPr>
          <w:ilvl w:val="0"/>
          <w:numId w:val="46"/>
        </w:numPr>
        <w:spacing w:before="240" w:after="80" w:line="360" w:lineRule="exact"/>
        <w:rPr>
          <w:noProof/>
          <w:lang w:eastAsia="en-AU"/>
        </w:rPr>
      </w:pPr>
      <w:r>
        <w:rPr>
          <w:noProof/>
          <w:lang w:eastAsia="en-AU"/>
        </w:rPr>
        <w:t>Remuneration and allowances</w:t>
      </w:r>
    </w:p>
    <w:p w:rsidR="008064BA" w:rsidRDefault="008064BA" w:rsidP="008064BA">
      <w:r>
        <w:rPr>
          <w:lang w:eastAsia="en-AU"/>
        </w:rPr>
        <w:t>Membership is on a voluntary basis.</w:t>
      </w:r>
      <w:r w:rsidR="00F65FAE">
        <w:rPr>
          <w:lang w:eastAsia="en-AU"/>
        </w:rPr>
        <w:t xml:space="preserve"> Members will be registered as TEQSA External Experts and remunerated accordingly.</w:t>
      </w:r>
      <w:r>
        <w:rPr>
          <w:lang w:eastAsia="en-AU"/>
        </w:rPr>
        <w:t xml:space="preserve"> TEQSA will provide interstate airfares and other support as agreed to</w:t>
      </w:r>
      <w:r w:rsidR="00424852">
        <w:rPr>
          <w:lang w:eastAsia="en-AU"/>
        </w:rPr>
        <w:t xml:space="preserve"> allow members to</w:t>
      </w:r>
      <w:r>
        <w:rPr>
          <w:lang w:eastAsia="en-AU"/>
        </w:rPr>
        <w:t xml:space="preserve"> attend</w:t>
      </w:r>
      <w:r w:rsidR="00F65FAE">
        <w:rPr>
          <w:lang w:eastAsia="en-AU"/>
        </w:rPr>
        <w:t xml:space="preserve"> face-to-face </w:t>
      </w:r>
      <w:r>
        <w:rPr>
          <w:lang w:eastAsia="en-AU"/>
        </w:rPr>
        <w:t xml:space="preserve">meetings. </w:t>
      </w:r>
    </w:p>
    <w:p w:rsidR="006C328D" w:rsidRPr="006C328D" w:rsidRDefault="006C328D" w:rsidP="008064BA">
      <w:pPr>
        <w:pStyle w:val="Heading2"/>
      </w:pPr>
    </w:p>
    <w:sectPr w:rsidR="006C328D" w:rsidRPr="006C328D" w:rsidSect="00FF254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35" w:rsidRDefault="00780035" w:rsidP="006C328D">
      <w:pPr>
        <w:spacing w:before="0" w:after="0"/>
      </w:pPr>
      <w:r>
        <w:separator/>
      </w:r>
    </w:p>
    <w:p w:rsidR="00C31CB8" w:rsidRDefault="00C31CB8"/>
  </w:endnote>
  <w:endnote w:type="continuationSeparator" w:id="0">
    <w:p w:rsidR="00780035" w:rsidRDefault="00780035" w:rsidP="006C328D">
      <w:pPr>
        <w:spacing w:before="0" w:after="0"/>
      </w:pPr>
      <w:r>
        <w:continuationSeparator/>
      </w:r>
    </w:p>
    <w:p w:rsidR="00C31CB8" w:rsidRDefault="00C3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35" w:rsidRDefault="00780035">
    <w:pPr>
      <w:pStyle w:val="Footer"/>
    </w:pPr>
  </w:p>
  <w:p w:rsidR="00C31CB8" w:rsidRDefault="00C31CB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847E" w:themeColor="accent1"/>
        <w:sz w:val="20"/>
        <w:szCs w:val="20"/>
      </w:rPr>
      <w:id w:val="-1988930592"/>
      <w:docPartObj>
        <w:docPartGallery w:val="Page Numbers (Bottom of Page)"/>
        <w:docPartUnique/>
      </w:docPartObj>
    </w:sdtPr>
    <w:sdtEndPr/>
    <w:sdtContent>
      <w:sdt>
        <w:sdtPr>
          <w:rPr>
            <w:color w:val="00847E" w:themeColor="accent1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0035" w:rsidRPr="00FF2540" w:rsidRDefault="00780035">
            <w:pPr>
              <w:pStyle w:val="Footer"/>
              <w:jc w:val="right"/>
              <w:rPr>
                <w:color w:val="00847E" w:themeColor="accent1"/>
                <w:sz w:val="20"/>
                <w:szCs w:val="20"/>
              </w:rPr>
            </w:pPr>
            <w:r w:rsidRPr="00FF2540">
              <w:rPr>
                <w:color w:val="00847E" w:themeColor="accent1"/>
                <w:sz w:val="20"/>
                <w:szCs w:val="20"/>
              </w:rPr>
              <w:t xml:space="preserve">Page 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PAGE </w:instrTex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951F2A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1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  <w:r w:rsidRPr="00FF2540">
              <w:rPr>
                <w:color w:val="00847E" w:themeColor="accent1"/>
                <w:sz w:val="20"/>
                <w:szCs w:val="20"/>
              </w:rPr>
              <w:t xml:space="preserve"> of 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NUMPAGES  </w:instrTex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951F2A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2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</w:p>
        </w:sdtContent>
      </w:sdt>
    </w:sdtContent>
  </w:sdt>
  <w:p w:rsidR="00780035" w:rsidRDefault="00780035">
    <w:pPr>
      <w:pStyle w:val="Footer"/>
    </w:pPr>
  </w:p>
  <w:p w:rsidR="00C31CB8" w:rsidRDefault="00C31CB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35" w:rsidRDefault="00780035" w:rsidP="006C328D">
      <w:pPr>
        <w:spacing w:before="0" w:after="0"/>
      </w:pPr>
      <w:r>
        <w:separator/>
      </w:r>
    </w:p>
    <w:p w:rsidR="00C31CB8" w:rsidRDefault="00C31CB8"/>
  </w:footnote>
  <w:footnote w:type="continuationSeparator" w:id="0">
    <w:p w:rsidR="00780035" w:rsidRDefault="00780035" w:rsidP="006C328D">
      <w:pPr>
        <w:spacing w:before="0" w:after="0"/>
      </w:pPr>
      <w:r>
        <w:continuationSeparator/>
      </w:r>
    </w:p>
    <w:p w:rsidR="00C31CB8" w:rsidRDefault="00C31C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35" w:rsidRDefault="00780035">
    <w:pPr>
      <w:pStyle w:val="Header"/>
    </w:pPr>
  </w:p>
  <w:p w:rsidR="00C31CB8" w:rsidRDefault="00C31CB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35" w:rsidRDefault="00780035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63A6431C" wp14:editId="7C69675A">
          <wp:extent cx="3228975" cy="476067"/>
          <wp:effectExtent l="0" t="0" r="0" b="635"/>
          <wp:docPr id="7" name="Picture 7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 w:rsidR="00382059" w:rsidRPr="009C2183"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541E653F" wp14:editId="2D1EFCB4">
          <wp:extent cx="1393190" cy="773994"/>
          <wp:effectExtent l="0" t="0" r="0" b="7620"/>
          <wp:docPr id="1" name="Picture 1" descr="I:\Engagement Group\Events &amp; Marketing\2017 TEQSA Conference\Student Program\TEQSA FOR STUDENTS logos\student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:\Engagement Group\Events &amp; Marketing\2017 TEQSA Conference\Student Program\TEQSA FOR STUDENTS logos\students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19" cy="77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1CB8" w:rsidRDefault="00C31CB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in;height:36pt" o:bullet="t">
        <v:imagedata r:id="rId1" o:title="Teal-Triangles"/>
      </v:shape>
    </w:pict>
  </w:numPicBullet>
  <w:numPicBullet w:numPicBulletId="1">
    <w:pict>
      <v:shape id="_x0000_i1102" type="#_x0000_t75" style="width:1in;height:36pt" o:bullet="t">
        <v:imagedata r:id="rId2" o:title="Pink-Triangles"/>
      </v:shape>
    </w:pict>
  </w:numPicBullet>
  <w:numPicBullet w:numPicBulletId="2">
    <w:pict>
      <v:shape id="_x0000_i1103" type="#_x0000_t75" style="width:1in;height:36pt" o:bullet="t">
        <v:imagedata r:id="rId3" o:title="Yellow-Triangles"/>
      </v:shape>
    </w:pict>
  </w:numPicBullet>
  <w:abstractNum w:abstractNumId="0" w15:restartNumberingAfterBreak="0">
    <w:nsid w:val="029C4C08"/>
    <w:multiLevelType w:val="hybridMultilevel"/>
    <w:tmpl w:val="B0B824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359020A7"/>
    <w:multiLevelType w:val="hybridMultilevel"/>
    <w:tmpl w:val="1E609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0F72C44"/>
    <w:multiLevelType w:val="hybridMultilevel"/>
    <w:tmpl w:val="D4623C44"/>
    <w:lvl w:ilvl="0" w:tplc="0C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 w15:restartNumberingAfterBreak="0">
    <w:nsid w:val="73FA1766"/>
    <w:multiLevelType w:val="hybridMultilevel"/>
    <w:tmpl w:val="D37E19F2"/>
    <w:lvl w:ilvl="0" w:tplc="833C2DB4">
      <w:start w:val="1"/>
      <w:numFmt w:val="decimal"/>
      <w:pStyle w:val="21"/>
      <w:lvlText w:val="2.%1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3"/>
  </w:num>
  <w:num w:numId="4">
    <w:abstractNumId w:val="4"/>
  </w:num>
  <w:num w:numId="5">
    <w:abstractNumId w:val="4"/>
  </w:num>
  <w:num w:numId="6">
    <w:abstractNumId w:val="4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2"/>
  </w:num>
  <w:num w:numId="20">
    <w:abstractNumId w:val="3"/>
  </w:num>
  <w:num w:numId="21">
    <w:abstractNumId w:val="8"/>
  </w:num>
  <w:num w:numId="22">
    <w:abstractNumId w:val="6"/>
  </w:num>
  <w:num w:numId="23">
    <w:abstractNumId w:val="14"/>
  </w:num>
  <w:num w:numId="24">
    <w:abstractNumId w:val="13"/>
  </w:num>
  <w:num w:numId="25">
    <w:abstractNumId w:val="13"/>
  </w:num>
  <w:num w:numId="26">
    <w:abstractNumId w:val="4"/>
  </w:num>
  <w:num w:numId="27">
    <w:abstractNumId w:val="4"/>
  </w:num>
  <w:num w:numId="28">
    <w:abstractNumId w:val="4"/>
  </w:num>
  <w:num w:numId="29">
    <w:abstractNumId w:val="10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7"/>
  </w:num>
  <w:num w:numId="38">
    <w:abstractNumId w:val="7"/>
  </w:num>
  <w:num w:numId="39">
    <w:abstractNumId w:val="7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6"/>
  </w:num>
  <w:num w:numId="45">
    <w:abstractNumId w:val="12"/>
  </w:num>
  <w:num w:numId="46">
    <w:abstractNumId w:val="0"/>
  </w:num>
  <w:num w:numId="47">
    <w:abstractNumId w:val="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8D"/>
    <w:rsid w:val="001A261C"/>
    <w:rsid w:val="001C558D"/>
    <w:rsid w:val="001F39F5"/>
    <w:rsid w:val="002B52DD"/>
    <w:rsid w:val="00382059"/>
    <w:rsid w:val="00395B0B"/>
    <w:rsid w:val="00424852"/>
    <w:rsid w:val="00552B8B"/>
    <w:rsid w:val="005B458E"/>
    <w:rsid w:val="006C328D"/>
    <w:rsid w:val="00780035"/>
    <w:rsid w:val="007B01C8"/>
    <w:rsid w:val="007F78F7"/>
    <w:rsid w:val="008064BA"/>
    <w:rsid w:val="008D1A14"/>
    <w:rsid w:val="00951F2A"/>
    <w:rsid w:val="009B769E"/>
    <w:rsid w:val="009F7204"/>
    <w:rsid w:val="00C31CB8"/>
    <w:rsid w:val="00D51469"/>
    <w:rsid w:val="00DC5CE7"/>
    <w:rsid w:val="00F65FA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955EA"/>
  <w15:docId w15:val="{09137829-EC04-49E4-87E4-97F836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5B458E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847E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23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5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5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28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28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28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29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3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B458E"/>
    <w:rPr>
      <w:rFonts w:asciiTheme="majorHAnsi" w:eastAsiaTheme="majorEastAsia" w:hAnsiTheme="majorHAnsi" w:cstheme="majorBidi"/>
      <w:b/>
      <w:color w:val="00847E" w:themeColor="accent1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36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3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3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3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36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36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39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39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39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40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41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42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43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44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styleId="ListParagraph">
    <w:name w:val="List Paragraph"/>
    <w:aliases w:val="Recommendation,L"/>
    <w:basedOn w:val="Normal"/>
    <w:link w:val="ListParagraphChar"/>
    <w:uiPriority w:val="34"/>
    <w:qFormat/>
    <w:rsid w:val="008064BA"/>
    <w:pPr>
      <w:spacing w:before="40" w:after="160" w:line="280" w:lineRule="exact"/>
      <w:ind w:left="720"/>
      <w:contextualSpacing/>
    </w:pPr>
    <w:rPr>
      <w:rFonts w:ascii="Arial" w:hAnsi="Arial"/>
      <w:color w:val="auto"/>
    </w:rPr>
  </w:style>
  <w:style w:type="character" w:customStyle="1" w:styleId="ListParagraphChar">
    <w:name w:val="List Paragraph Char"/>
    <w:aliases w:val="Recommendation Char,L Char"/>
    <w:basedOn w:val="DefaultParagraphFont"/>
    <w:link w:val="ListParagraph"/>
    <w:uiPriority w:val="34"/>
    <w:rsid w:val="008064BA"/>
    <w:rPr>
      <w:rFonts w:ascii="Arial" w:hAnsi="Arial"/>
      <w:color w:val="auto"/>
    </w:rPr>
  </w:style>
  <w:style w:type="paragraph" w:customStyle="1" w:styleId="21">
    <w:name w:val="2.1"/>
    <w:basedOn w:val="Normal"/>
    <w:qFormat/>
    <w:rsid w:val="008064BA"/>
    <w:pPr>
      <w:numPr>
        <w:numId w:val="45"/>
      </w:numPr>
      <w:tabs>
        <w:tab w:val="left" w:pos="851"/>
      </w:tabs>
      <w:spacing w:before="0" w:after="0"/>
    </w:pPr>
    <w:rPr>
      <w:rFonts w:ascii="Arial" w:eastAsia="Times New Roman" w:hAnsi="Arial" w:cs="Times New Roman"/>
      <w:color w:val="auto"/>
      <w:lang w:eastAsia="en-AU"/>
    </w:rPr>
  </w:style>
  <w:style w:type="character" w:customStyle="1" w:styleId="speakername">
    <w:name w:val="speaker_name"/>
    <w:basedOn w:val="DefaultParagraphFont"/>
    <w:rsid w:val="0080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ac4e8-3feb-44f4-96ca-b86e7c14d0f6">
      <Value>45</Value>
    </TaxCatchAll>
    <DocumentOwner xmlns="c7dac4e8-3feb-44f4-96ca-b86e7c14d0f6">
      <UserInfo>
        <DisplayName>Treloar, Karen</DisplayName>
        <AccountId>397</AccountId>
        <AccountType/>
      </UserInfo>
    </DocumentOwner>
    <DatePublished xmlns="c7dac4e8-3feb-44f4-96ca-b86e7c14d0f6">2017-08-06T14:00:00+00:00</DatePublished>
    <FormOrTemplate xmlns="c7dac4e8-3feb-44f4-96ca-b86e7c14d0f6">Template</FormOrTemplate>
    <e6aacab2b3734039bc8633068afcfbf5 xmlns="c7dac4e8-3feb-44f4-96ca-b86e7c14d0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Comms and International</TermName>
          <TermId xmlns="http://schemas.microsoft.com/office/infopath/2007/PartnerControls">f1db5572-7306-443e-a442-d56c9f2c52d1</TermId>
        </TermInfo>
      </Terms>
    </e6aacab2b3734039bc8633068afcfbf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" ma:contentTypeID="0x0101008B12DBA0513E054CBBB1E0A6BA75A4240300D297527A5029E444B0C317D38D273153" ma:contentTypeVersion="4" ma:contentTypeDescription="" ma:contentTypeScope="" ma:versionID="2e25f12e526be21e8e57d9281c7f5faa">
  <xsd:schema xmlns:xsd="http://www.w3.org/2001/XMLSchema" xmlns:xs="http://www.w3.org/2001/XMLSchema" xmlns:p="http://schemas.microsoft.com/office/2006/metadata/properties" xmlns:ns2="c7dac4e8-3feb-44f4-96ca-b86e7c14d0f6" targetNamespace="http://schemas.microsoft.com/office/2006/metadata/properties" ma:root="true" ma:fieldsID="73f842c38cd15afe6ce6e7cf45703cde" ns2:_="">
    <xsd:import namespace="c7dac4e8-3feb-44f4-96ca-b86e7c14d0f6"/>
    <xsd:element name="properties">
      <xsd:complexType>
        <xsd:sequence>
          <xsd:element name="documentManagement">
            <xsd:complexType>
              <xsd:all>
                <xsd:element ref="ns2:e6aacab2b3734039bc8633068afcfbf5" minOccurs="0"/>
                <xsd:element ref="ns2:TaxCatchAll" minOccurs="0"/>
                <xsd:element ref="ns2:TaxCatchAllLabel" minOccurs="0"/>
                <xsd:element ref="ns2:DocumentOwner"/>
                <xsd:element ref="ns2:DatePublished"/>
                <xsd:element ref="ns2:FormOrTempl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c4e8-3feb-44f4-96ca-b86e7c14d0f6" elementFormDefault="qualified">
    <xsd:import namespace="http://schemas.microsoft.com/office/2006/documentManagement/types"/>
    <xsd:import namespace="http://schemas.microsoft.com/office/infopath/2007/PartnerControls"/>
    <xsd:element name="e6aacab2b3734039bc8633068afcfbf5" ma:index="8" nillable="true" ma:taxonomy="true" ma:internalName="e6aacab2b3734039bc8633068afcfbf5" ma:taxonomyFieldName="Team" ma:displayName="Team" ma:default="" ma:fieldId="{e6aacab2-b373-4039-bc86-33068afcfbf5}" ma:taxonomyMulti="true" ma:sspId="be8905b2-f52b-44de-a206-1b32cf4e62f6" ma:termSetId="106e9e8c-657b-438c-9955-5d7da1bc38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f939d1-56bc-40c0-957d-36b9f39c0f6e}" ma:internalName="TaxCatchAll" ma:showField="CatchAllData" ma:web="c7dac4e8-3feb-44f4-96ca-b86e7c1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f939d1-56bc-40c0-957d-36b9f39c0f6e}" ma:internalName="TaxCatchAllLabel" ma:readOnly="true" ma:showField="CatchAllDataLabel" ma:web="c7dac4e8-3feb-44f4-96ca-b86e7c1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Owner" ma:index="12" ma:displayName="Document Owner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Published" ma:index="13" ma:displayName="Date Published" ma:default="[today]" ma:format="DateOnly" ma:internalName="DatePublished" ma:readOnly="false">
      <xsd:simpleType>
        <xsd:restriction base="dms:DateTime"/>
      </xsd:simpleType>
    </xsd:element>
    <xsd:element name="FormOrTemplate" ma:index="14" ma:displayName="Form/Template" ma:format="Dropdown" ma:internalName="FormOrTemplate" ma:readOnly="false">
      <xsd:simpleType>
        <xsd:restriction base="dms:Choice">
          <xsd:enumeration value="Form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1C12-8773-409A-B29D-4FC4E6BF5F01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7dac4e8-3feb-44f4-96ca-b86e7c14d0f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E73932-8B59-49A4-AA6D-1679CC7BA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c4e8-3feb-44f4-96ca-b86e7c14d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DED1F-9EC9-4C2D-98CE-E3E2C2D8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Company>Tertiary Education Quality and Standards Agency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creator>May, Raphael</dc:creator>
  <cp:lastModifiedBy>May, Raphael</cp:lastModifiedBy>
  <cp:revision>3</cp:revision>
  <cp:lastPrinted>2018-07-19T03:36:00Z</cp:lastPrinted>
  <dcterms:created xsi:type="dcterms:W3CDTF">2018-07-19T03:35:00Z</dcterms:created>
  <dcterms:modified xsi:type="dcterms:W3CDTF">2018-07-19T03:36:00Z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0x0101008B12DBA0513E054CBBB1E0A6BA75A4240300D297527A5029E444B0C317D38D273153</vt:lpwstr>
  </property>
  <property fmtid="{D5CDD505-2E9C-101B-9397-08002B2CF9AE}" pid="3" name="Team">
    <vt:lpwstr>45;#Comms and International|f1db5572-7306-443e-a442-d56c9f2c52d1</vt:lpwstr>
  </property>
</Properties>
</file>