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02A8D" w14:textId="77777777" w:rsidR="00C3243E" w:rsidRPr="00C3243E" w:rsidRDefault="00C3243E" w:rsidP="00872F3C">
      <w:pPr>
        <w:pStyle w:val="Heading1"/>
        <w:spacing w:line="276" w:lineRule="auto"/>
      </w:pPr>
      <w:bookmarkStart w:id="0" w:name="_GoBack"/>
      <w:bookmarkEnd w:id="0"/>
      <w:r w:rsidRPr="00C3243E">
        <w:t>Risk Ratings: Examples of Relevant Context and Provider Controls that TEQSA Considers</w:t>
      </w:r>
    </w:p>
    <w:p w14:paraId="1D9D4BAD" w14:textId="77777777" w:rsidR="00C3243E" w:rsidRDefault="00C3243E" w:rsidP="00872F3C">
      <w:pPr>
        <w:pStyle w:val="Heading2"/>
        <w:spacing w:line="276" w:lineRule="auto"/>
      </w:pPr>
      <w:r>
        <w:t>Purpose and Background</w:t>
      </w:r>
    </w:p>
    <w:p w14:paraId="366CE744" w14:textId="77777777" w:rsidR="00C3243E" w:rsidRDefault="00C3243E" w:rsidP="00872F3C">
      <w:pPr>
        <w:spacing w:line="276" w:lineRule="auto"/>
      </w:pPr>
      <w:r>
        <w:t xml:space="preserve">TEQSA’s Risk Assessment Framework (RAF) at </w:t>
      </w:r>
      <w:hyperlink r:id="rId10" w:history="1">
        <w:r w:rsidRPr="00553A08">
          <w:rPr>
            <w:rStyle w:val="Hyperlink"/>
          </w:rPr>
          <w:t>http://teqsa.gov.au/regulatory-approach/riskassessment-framework</w:t>
        </w:r>
      </w:hyperlink>
      <w:r>
        <w:t xml:space="preserve"> outlines TEQSA’s approach for undertaking risk assessments of higher education providers, including the set of risk indicators used. Risk ratings for indicators are derived by TEQSA giving consideration to risk thresholds and the specific circumstances of providers. This includes contextual information about the provider and information on the provider’s own risk controls, where known to TEQSA. If TEQSA identifies potential risks, the provider is invited to discuss the risks and offer any further evidence that may impact the risk assessment.</w:t>
      </w:r>
    </w:p>
    <w:p w14:paraId="0AF0F71F" w14:textId="77777777" w:rsidR="00C3243E" w:rsidRDefault="00C3243E" w:rsidP="00872F3C">
      <w:pPr>
        <w:spacing w:line="276" w:lineRule="auto"/>
      </w:pPr>
      <w:r>
        <w:t>This document provides examples of context and provider controls that may be taken into account by TEQSA in rating a risk indicator, to assist providers in participating in TEQSA’s risk assessment process.</w:t>
      </w:r>
    </w:p>
    <w:p w14:paraId="59450473" w14:textId="77777777" w:rsidR="00C3243E" w:rsidRDefault="00C3243E" w:rsidP="00872F3C">
      <w:pPr>
        <w:pStyle w:val="Heading2"/>
        <w:spacing w:line="276" w:lineRule="auto"/>
      </w:pPr>
      <w:r>
        <w:t>Examples of Relevant Evidence and Context</w:t>
      </w:r>
    </w:p>
    <w:p w14:paraId="47C8A5B7" w14:textId="77777777" w:rsidR="00C3243E" w:rsidRDefault="00C3243E" w:rsidP="00872F3C">
      <w:pPr>
        <w:spacing w:line="276" w:lineRule="auto"/>
      </w:pPr>
      <w:r>
        <w:t>In considering the examples below, please note the following:</w:t>
      </w:r>
    </w:p>
    <w:p w14:paraId="778A3392" w14:textId="77777777" w:rsidR="00C3243E" w:rsidRDefault="00C3243E" w:rsidP="00872F3C">
      <w:pPr>
        <w:pStyle w:val="ListParagraph"/>
        <w:numPr>
          <w:ilvl w:val="0"/>
          <w:numId w:val="18"/>
        </w:numPr>
        <w:spacing w:line="276" w:lineRule="auto"/>
      </w:pPr>
      <w:r>
        <w:t>These examples are not exhaustive, restrictive or directive.</w:t>
      </w:r>
    </w:p>
    <w:p w14:paraId="0BE95CEE" w14:textId="77777777" w:rsidR="00C3243E" w:rsidRDefault="00C3243E" w:rsidP="00872F3C">
      <w:pPr>
        <w:pStyle w:val="ListParagraph"/>
        <w:numPr>
          <w:ilvl w:val="0"/>
          <w:numId w:val="18"/>
        </w:numPr>
        <w:spacing w:line="276" w:lineRule="auto"/>
      </w:pPr>
      <w:r>
        <w:t>Evidence that demonstrates the effectiveness of strategies/risk controls (e.g. a report from the provider’s own systematic and timely review process with data showing positive results), carries more weight than a general, narrative description.</w:t>
      </w:r>
    </w:p>
    <w:p w14:paraId="129ED7BA" w14:textId="77777777" w:rsidR="00C3243E" w:rsidRDefault="00C3243E" w:rsidP="00872F3C">
      <w:pPr>
        <w:pStyle w:val="ListParagraph"/>
        <w:numPr>
          <w:ilvl w:val="0"/>
          <w:numId w:val="18"/>
        </w:numPr>
        <w:spacing w:line="276" w:lineRule="auto"/>
      </w:pPr>
      <w:r>
        <w:t>Different levels of evidence may be required to change a risk rating, depending on the significance of the issue and context of the provider (i.e. in some cases a combination of factors may support an adjustment to a risk rating).</w:t>
      </w:r>
    </w:p>
    <w:p w14:paraId="72C6B610" w14:textId="77777777" w:rsidR="00C3243E" w:rsidRDefault="00C3243E" w:rsidP="00872F3C">
      <w:pPr>
        <w:pStyle w:val="ListParagraph"/>
        <w:numPr>
          <w:ilvl w:val="0"/>
          <w:numId w:val="18"/>
        </w:numPr>
        <w:spacing w:line="276" w:lineRule="auto"/>
      </w:pPr>
      <w:r>
        <w:t>These examples focus on information that may lead to a positive change in rating. There may be times when TEQSA upgrades a risk flag (i.e. higher risk rating) based on broader information.</w:t>
      </w:r>
    </w:p>
    <w:p w14:paraId="4C436631" w14:textId="77777777" w:rsidR="006C328D" w:rsidRDefault="00C3243E" w:rsidP="00872F3C">
      <w:pPr>
        <w:pStyle w:val="ListParagraph"/>
        <w:numPr>
          <w:ilvl w:val="0"/>
          <w:numId w:val="18"/>
        </w:numPr>
        <w:spacing w:line="276" w:lineRule="auto"/>
      </w:pPr>
      <w:r>
        <w:t>TEQSA takes into account a provider’s regulatory history as part of the risk assessment process. This would include any findings from recent regulatory processes about the provider’s own risk management capability.</w:t>
      </w:r>
    </w:p>
    <w:p w14:paraId="0AC2391B" w14:textId="77777777" w:rsidR="00645954" w:rsidRDefault="00645954" w:rsidP="00872F3C">
      <w:pPr>
        <w:spacing w:line="276" w:lineRule="auto"/>
        <w:rPr>
          <w:b/>
        </w:rPr>
        <w:sectPr w:rsidR="00645954" w:rsidSect="00FF2540">
          <w:headerReference w:type="default" r:id="rId11"/>
          <w:footerReference w:type="default" r:id="rId12"/>
          <w:pgSz w:w="11906" w:h="16838"/>
          <w:pgMar w:top="1440" w:right="1440" w:bottom="1440" w:left="1440" w:header="567" w:footer="567" w:gutter="0"/>
          <w:cols w:space="708"/>
          <w:docGrid w:linePitch="360"/>
        </w:sectPr>
      </w:pPr>
    </w:p>
    <w:tbl>
      <w:tblPr>
        <w:tblStyle w:val="TableGrid"/>
        <w:tblW w:w="14425" w:type="dxa"/>
        <w:tblLook w:val="04A0" w:firstRow="1" w:lastRow="0" w:firstColumn="1" w:lastColumn="0" w:noHBand="0" w:noVBand="1"/>
      </w:tblPr>
      <w:tblGrid>
        <w:gridCol w:w="4621"/>
        <w:gridCol w:w="9804"/>
      </w:tblGrid>
      <w:tr w:rsidR="00C3243E" w14:paraId="5F8FA8DE" w14:textId="77777777" w:rsidTr="00872F3C">
        <w:trPr>
          <w:tblHeader/>
        </w:trPr>
        <w:tc>
          <w:tcPr>
            <w:tcW w:w="4621" w:type="dxa"/>
          </w:tcPr>
          <w:p w14:paraId="50B452AC" w14:textId="57D468B8" w:rsidR="00C3243E" w:rsidRPr="0054337F" w:rsidRDefault="00C3243E" w:rsidP="00872F3C">
            <w:pPr>
              <w:spacing w:line="276" w:lineRule="auto"/>
              <w:rPr>
                <w:b/>
              </w:rPr>
            </w:pPr>
            <w:r w:rsidRPr="0054337F">
              <w:rPr>
                <w:b/>
              </w:rPr>
              <w:lastRenderedPageBreak/>
              <w:t>Risk Indicator</w:t>
            </w:r>
          </w:p>
        </w:tc>
        <w:tc>
          <w:tcPr>
            <w:tcW w:w="9804" w:type="dxa"/>
          </w:tcPr>
          <w:p w14:paraId="30D46767" w14:textId="77777777" w:rsidR="00C3243E" w:rsidRPr="0054337F" w:rsidRDefault="00C3243E" w:rsidP="00872F3C">
            <w:pPr>
              <w:spacing w:line="276" w:lineRule="auto"/>
              <w:rPr>
                <w:b/>
              </w:rPr>
            </w:pPr>
            <w:r w:rsidRPr="0054337F">
              <w:rPr>
                <w:b/>
              </w:rPr>
              <w:t>Examples of relevant information that may lead to adjustments to risk ratings</w:t>
            </w:r>
          </w:p>
        </w:tc>
      </w:tr>
      <w:tr w:rsidR="00C3243E" w14:paraId="022520A5" w14:textId="77777777" w:rsidTr="00872F3C">
        <w:tc>
          <w:tcPr>
            <w:tcW w:w="4621" w:type="dxa"/>
          </w:tcPr>
          <w:p w14:paraId="254E2D4F" w14:textId="4A8F248E" w:rsidR="00C3243E" w:rsidRDefault="00C3243E" w:rsidP="00872F3C">
            <w:pPr>
              <w:pStyle w:val="ListParagraph"/>
              <w:numPr>
                <w:ilvl w:val="0"/>
                <w:numId w:val="35"/>
              </w:numPr>
              <w:spacing w:line="276" w:lineRule="auto"/>
            </w:pPr>
            <w:r>
              <w:t>Student load</w:t>
            </w:r>
          </w:p>
        </w:tc>
        <w:tc>
          <w:tcPr>
            <w:tcW w:w="9804" w:type="dxa"/>
          </w:tcPr>
          <w:p w14:paraId="432CEF50" w14:textId="77777777" w:rsidR="009F4DE2" w:rsidRDefault="009F4DE2" w:rsidP="00872F3C">
            <w:pPr>
              <w:pStyle w:val="ListParagraph"/>
              <w:numPr>
                <w:ilvl w:val="0"/>
                <w:numId w:val="23"/>
              </w:numPr>
              <w:spacing w:line="276" w:lineRule="auto"/>
            </w:pPr>
            <w:r w:rsidRPr="00C3243E">
              <w:t xml:space="preserve">A strategic plan and/or business plan demonstrating that the growth has been appropriately planned for, with actions such as: </w:t>
            </w:r>
          </w:p>
          <w:p w14:paraId="2DE5B212" w14:textId="77777777" w:rsidR="009F4DE2" w:rsidRDefault="009F4DE2" w:rsidP="00872F3C">
            <w:pPr>
              <w:pStyle w:val="ListParagraph"/>
              <w:numPr>
                <w:ilvl w:val="1"/>
                <w:numId w:val="23"/>
              </w:numPr>
              <w:spacing w:line="276" w:lineRule="auto"/>
            </w:pPr>
            <w:r w:rsidRPr="00C3243E">
              <w:t>new campus or premises developed/acquire</w:t>
            </w:r>
            <w:r>
              <w:t>d to accommodate student growth</w:t>
            </w:r>
          </w:p>
          <w:p w14:paraId="5FED267E" w14:textId="77777777" w:rsidR="009F4DE2" w:rsidRDefault="009F4DE2" w:rsidP="00872F3C">
            <w:pPr>
              <w:pStyle w:val="ListParagraph"/>
              <w:numPr>
                <w:ilvl w:val="1"/>
                <w:numId w:val="23"/>
              </w:numPr>
              <w:spacing w:line="276" w:lineRule="auto"/>
            </w:pPr>
            <w:r>
              <w:t>c</w:t>
            </w:r>
            <w:r w:rsidRPr="00C3243E">
              <w:t>apital investmen</w:t>
            </w:r>
            <w:r>
              <w:t>t to cope with the student load</w:t>
            </w:r>
          </w:p>
          <w:p w14:paraId="27EA9454" w14:textId="77777777" w:rsidR="009F4DE2" w:rsidRDefault="009F4DE2" w:rsidP="00872F3C">
            <w:pPr>
              <w:pStyle w:val="ListParagraph"/>
              <w:numPr>
                <w:ilvl w:val="1"/>
                <w:numId w:val="23"/>
              </w:numPr>
              <w:spacing w:line="276" w:lineRule="auto"/>
            </w:pPr>
            <w:r w:rsidRPr="00C3243E">
              <w:t>recruitment that supports maintenance of</w:t>
            </w:r>
            <w:r>
              <w:t xml:space="preserve"> academic staff levels</w:t>
            </w:r>
          </w:p>
          <w:p w14:paraId="6D492B36" w14:textId="4D4CE4ED" w:rsidR="009F4DE2" w:rsidRDefault="009F4DE2" w:rsidP="00872F3C">
            <w:pPr>
              <w:pStyle w:val="ListParagraph"/>
              <w:numPr>
                <w:ilvl w:val="1"/>
                <w:numId w:val="23"/>
              </w:numPr>
              <w:spacing w:line="276" w:lineRule="auto"/>
            </w:pPr>
            <w:r w:rsidRPr="00C3243E">
              <w:t xml:space="preserve">evaluation that student experience </w:t>
            </w:r>
            <w:r>
              <w:t>has not been adversely affected</w:t>
            </w:r>
            <w:r w:rsidR="00D1217C">
              <w:t>.</w:t>
            </w:r>
          </w:p>
          <w:p w14:paraId="2B0BA883" w14:textId="19F74007" w:rsidR="009F4DE2" w:rsidRDefault="009F4DE2" w:rsidP="00872F3C">
            <w:pPr>
              <w:pStyle w:val="ListParagraph"/>
              <w:numPr>
                <w:ilvl w:val="0"/>
                <w:numId w:val="23"/>
              </w:numPr>
              <w:spacing w:line="276" w:lineRule="auto"/>
            </w:pPr>
            <w:r w:rsidRPr="00C3243E">
              <w:t>Written agreement with strategic partners describing the provision of facilities and equipment and servi</w:t>
            </w:r>
            <w:r>
              <w:t>ces to support the student load</w:t>
            </w:r>
            <w:r w:rsidR="00D1217C">
              <w:t>.</w:t>
            </w:r>
          </w:p>
          <w:p w14:paraId="794C60A9" w14:textId="3D5FFD8C" w:rsidR="00C3243E" w:rsidRDefault="009F4DE2" w:rsidP="00872F3C">
            <w:pPr>
              <w:pStyle w:val="ListParagraph"/>
              <w:numPr>
                <w:ilvl w:val="0"/>
                <w:numId w:val="23"/>
              </w:numPr>
              <w:spacing w:line="276" w:lineRule="auto"/>
            </w:pPr>
            <w:r w:rsidRPr="00C3243E">
              <w:t>Historical data which shows that the fluctuation is temporary or the provider has coped with that level of student load previously</w:t>
            </w:r>
            <w:r w:rsidR="00D1217C">
              <w:t>.</w:t>
            </w:r>
          </w:p>
        </w:tc>
      </w:tr>
      <w:tr w:rsidR="00C3243E" w14:paraId="2ABE601F" w14:textId="77777777" w:rsidTr="00872F3C">
        <w:tc>
          <w:tcPr>
            <w:tcW w:w="4621" w:type="dxa"/>
          </w:tcPr>
          <w:p w14:paraId="5551A17E" w14:textId="6F3F0BBD" w:rsidR="00C3243E" w:rsidRDefault="00645954" w:rsidP="00872F3C">
            <w:pPr>
              <w:pStyle w:val="ListParagraph"/>
              <w:spacing w:line="276" w:lineRule="auto"/>
              <w:ind w:left="360"/>
              <w:jc w:val="both"/>
            </w:pPr>
            <w:r>
              <w:t xml:space="preserve">2. </w:t>
            </w:r>
            <w:r w:rsidR="00C3243E">
              <w:t>Attrition rate</w:t>
            </w:r>
          </w:p>
        </w:tc>
        <w:tc>
          <w:tcPr>
            <w:tcW w:w="9804" w:type="dxa"/>
          </w:tcPr>
          <w:p w14:paraId="37AD2F52" w14:textId="77777777" w:rsidR="0054337F" w:rsidRDefault="0054337F" w:rsidP="00872F3C">
            <w:pPr>
              <w:pStyle w:val="ListParagraph"/>
              <w:numPr>
                <w:ilvl w:val="0"/>
                <w:numId w:val="28"/>
              </w:numPr>
              <w:spacing w:line="276" w:lineRule="auto"/>
            </w:pPr>
            <w:r w:rsidRPr="0054337F">
              <w:t>Data provided showing improving attrition rate a</w:t>
            </w:r>
            <w:r>
              <w:t>s a result of measures such as:</w:t>
            </w:r>
          </w:p>
          <w:p w14:paraId="09FD40BF" w14:textId="77777777" w:rsidR="0054337F" w:rsidRDefault="0054337F" w:rsidP="00872F3C">
            <w:pPr>
              <w:pStyle w:val="ListParagraph"/>
              <w:numPr>
                <w:ilvl w:val="1"/>
                <w:numId w:val="28"/>
              </w:numPr>
              <w:spacing w:line="276" w:lineRule="auto"/>
            </w:pPr>
            <w:r w:rsidRPr="0054337F">
              <w:t>identification and tracking of students at risk with suppo</w:t>
            </w:r>
            <w:r>
              <w:t>rt strategies/projects in place</w:t>
            </w:r>
          </w:p>
          <w:p w14:paraId="53A99EB3" w14:textId="5C59CD01" w:rsidR="0054337F" w:rsidRDefault="0054337F" w:rsidP="00872F3C">
            <w:pPr>
              <w:pStyle w:val="ListParagraph"/>
              <w:numPr>
                <w:ilvl w:val="1"/>
                <w:numId w:val="28"/>
              </w:numPr>
              <w:spacing w:line="276" w:lineRule="auto"/>
            </w:pPr>
            <w:r w:rsidRPr="0054337F">
              <w:t>analysis of student perfo</w:t>
            </w:r>
            <w:r>
              <w:t>rmance in relation to admission</w:t>
            </w:r>
            <w:r w:rsidR="00D1217C">
              <w:t>.</w:t>
            </w:r>
          </w:p>
          <w:p w14:paraId="2D3A2586" w14:textId="7C1A929A" w:rsidR="00C3243E" w:rsidRPr="0054337F" w:rsidRDefault="0054337F" w:rsidP="00872F3C">
            <w:pPr>
              <w:pStyle w:val="ListParagraph"/>
              <w:numPr>
                <w:ilvl w:val="0"/>
                <w:numId w:val="28"/>
              </w:numPr>
              <w:spacing w:line="276" w:lineRule="auto"/>
            </w:pPr>
            <w:r w:rsidRPr="0054337F">
              <w:t>Evidence on reasons for attrition leading to adjusted attrition rate (e.g. data demonstrating significant proportion of students moving from a regional provider to another institution)</w:t>
            </w:r>
            <w:r w:rsidR="00D1217C">
              <w:t>.</w:t>
            </w:r>
          </w:p>
        </w:tc>
      </w:tr>
      <w:tr w:rsidR="00C3243E" w14:paraId="32582676" w14:textId="77777777" w:rsidTr="00872F3C">
        <w:tc>
          <w:tcPr>
            <w:tcW w:w="4621" w:type="dxa"/>
          </w:tcPr>
          <w:p w14:paraId="647A41F4" w14:textId="423C00AF" w:rsidR="00C3243E" w:rsidRDefault="00C3243E" w:rsidP="00872F3C">
            <w:pPr>
              <w:pStyle w:val="ListParagraph"/>
              <w:numPr>
                <w:ilvl w:val="0"/>
                <w:numId w:val="34"/>
              </w:numPr>
              <w:spacing w:line="276" w:lineRule="auto"/>
            </w:pPr>
            <w:r>
              <w:t>Progress rate and Completion</w:t>
            </w:r>
            <w:r w:rsidR="0002323C">
              <w:t>s</w:t>
            </w:r>
          </w:p>
        </w:tc>
        <w:tc>
          <w:tcPr>
            <w:tcW w:w="9804" w:type="dxa"/>
          </w:tcPr>
          <w:p w14:paraId="41410C6D" w14:textId="77777777" w:rsidR="0054337F" w:rsidRDefault="0054337F" w:rsidP="00872F3C">
            <w:pPr>
              <w:pStyle w:val="ListParagraph"/>
              <w:numPr>
                <w:ilvl w:val="0"/>
                <w:numId w:val="29"/>
              </w:numPr>
              <w:spacing w:line="276" w:lineRule="auto"/>
            </w:pPr>
            <w:r w:rsidRPr="0054337F">
              <w:t>Data provided showing improving progress rate (and completions) a</w:t>
            </w:r>
            <w:r>
              <w:t>s a result of measures such as:</w:t>
            </w:r>
          </w:p>
          <w:p w14:paraId="778682D1" w14:textId="77777777" w:rsidR="0054337F" w:rsidRDefault="0054337F" w:rsidP="00872F3C">
            <w:pPr>
              <w:pStyle w:val="ListParagraph"/>
              <w:numPr>
                <w:ilvl w:val="1"/>
                <w:numId w:val="29"/>
              </w:numPr>
              <w:spacing w:line="276" w:lineRule="auto"/>
            </w:pPr>
            <w:r w:rsidRPr="0054337F">
              <w:t>Identification and tracking of students at risk with suppo</w:t>
            </w:r>
            <w:r>
              <w:t>rt strategies/projects in place</w:t>
            </w:r>
          </w:p>
          <w:p w14:paraId="7E55883A" w14:textId="0CDB1F50" w:rsidR="00C3243E" w:rsidRPr="0054337F" w:rsidRDefault="0054337F" w:rsidP="00872F3C">
            <w:pPr>
              <w:pStyle w:val="ListParagraph"/>
              <w:numPr>
                <w:ilvl w:val="1"/>
                <w:numId w:val="29"/>
              </w:numPr>
              <w:spacing w:line="276" w:lineRule="auto"/>
            </w:pPr>
            <w:r w:rsidRPr="0054337F">
              <w:t>analysis of student performance in relation to admission</w:t>
            </w:r>
            <w:r w:rsidR="00D1217C">
              <w:t>.</w:t>
            </w:r>
          </w:p>
        </w:tc>
      </w:tr>
      <w:tr w:rsidR="00C3243E" w14:paraId="6FE0A856" w14:textId="77777777" w:rsidTr="00872F3C">
        <w:tc>
          <w:tcPr>
            <w:tcW w:w="4621" w:type="dxa"/>
          </w:tcPr>
          <w:p w14:paraId="7AC84D69" w14:textId="28CCDE1C" w:rsidR="00C3243E" w:rsidRDefault="00D05615" w:rsidP="00872F3C">
            <w:pPr>
              <w:pStyle w:val="ListParagraph"/>
              <w:numPr>
                <w:ilvl w:val="0"/>
                <w:numId w:val="34"/>
              </w:numPr>
              <w:spacing w:line="276" w:lineRule="auto"/>
            </w:pPr>
            <w:r>
              <w:t xml:space="preserve">Graduate </w:t>
            </w:r>
            <w:r w:rsidR="00C3243E">
              <w:t>satisfaction</w:t>
            </w:r>
          </w:p>
        </w:tc>
        <w:tc>
          <w:tcPr>
            <w:tcW w:w="9804" w:type="dxa"/>
          </w:tcPr>
          <w:p w14:paraId="714EBF76" w14:textId="77777777" w:rsidR="0054337F" w:rsidRDefault="0054337F" w:rsidP="00872F3C">
            <w:pPr>
              <w:pStyle w:val="ListParagraph"/>
              <w:numPr>
                <w:ilvl w:val="0"/>
                <w:numId w:val="29"/>
              </w:numPr>
              <w:spacing w:line="276" w:lineRule="auto"/>
            </w:pPr>
            <w:r w:rsidRPr="0054337F">
              <w:t>Data provided showing improving student satisfaction as a</w:t>
            </w:r>
            <w:r>
              <w:t xml:space="preserve"> </w:t>
            </w:r>
            <w:r w:rsidRPr="0054337F">
              <w:t>result of measures such as:</w:t>
            </w:r>
          </w:p>
          <w:p w14:paraId="7513F7B1" w14:textId="77777777" w:rsidR="0054337F" w:rsidRDefault="0054337F" w:rsidP="00872F3C">
            <w:pPr>
              <w:pStyle w:val="ListParagraph"/>
              <w:numPr>
                <w:ilvl w:val="1"/>
                <w:numId w:val="29"/>
              </w:numPr>
              <w:spacing w:line="276" w:lineRule="auto"/>
            </w:pPr>
            <w:r>
              <w:t>A</w:t>
            </w:r>
            <w:r w:rsidRPr="0054337F">
              <w:t xml:space="preserve">nalysis of teacher performance </w:t>
            </w:r>
          </w:p>
          <w:p w14:paraId="1A123BD0" w14:textId="77777777" w:rsidR="0054337F" w:rsidRDefault="0054337F" w:rsidP="00872F3C">
            <w:pPr>
              <w:pStyle w:val="ListParagraph"/>
              <w:numPr>
                <w:ilvl w:val="1"/>
                <w:numId w:val="29"/>
              </w:numPr>
              <w:spacing w:line="276" w:lineRule="auto"/>
            </w:pPr>
            <w:r w:rsidRPr="0054337F">
              <w:t>Review of course content and delivery model from provider</w:t>
            </w:r>
          </w:p>
          <w:p w14:paraId="488D4D70" w14:textId="227705B9" w:rsidR="00C3243E" w:rsidRDefault="0054337F" w:rsidP="00872F3C">
            <w:pPr>
              <w:pStyle w:val="ListParagraph"/>
              <w:numPr>
                <w:ilvl w:val="1"/>
                <w:numId w:val="29"/>
              </w:numPr>
              <w:spacing w:line="276" w:lineRule="auto"/>
            </w:pPr>
            <w:r w:rsidRPr="0054337F">
              <w:t>Analysis of achievement of learning outcomes from</w:t>
            </w:r>
            <w:r>
              <w:t xml:space="preserve"> </w:t>
            </w:r>
            <w:r w:rsidRPr="0054337F">
              <w:t>provider</w:t>
            </w:r>
            <w:r w:rsidR="00D1217C">
              <w:t>.</w:t>
            </w:r>
          </w:p>
        </w:tc>
      </w:tr>
      <w:tr w:rsidR="00C3243E" w14:paraId="25BA5D3D" w14:textId="77777777" w:rsidTr="00872F3C">
        <w:tc>
          <w:tcPr>
            <w:tcW w:w="4621" w:type="dxa"/>
          </w:tcPr>
          <w:p w14:paraId="18A6E59A" w14:textId="6256D3CE" w:rsidR="00D05615" w:rsidRDefault="00C3243E" w:rsidP="00872F3C">
            <w:pPr>
              <w:pStyle w:val="ListParagraph"/>
              <w:numPr>
                <w:ilvl w:val="0"/>
                <w:numId w:val="34"/>
              </w:numPr>
              <w:spacing w:line="276" w:lineRule="auto"/>
            </w:pPr>
            <w:r>
              <w:t xml:space="preserve">Graduate </w:t>
            </w:r>
            <w:r w:rsidR="00D05615">
              <w:t>destination</w:t>
            </w:r>
            <w:r w:rsidR="0002323C">
              <w:t>s</w:t>
            </w:r>
          </w:p>
          <w:p w14:paraId="0B50CA6D" w14:textId="77777777" w:rsidR="00C3243E" w:rsidRPr="00D05615" w:rsidRDefault="00C3243E" w:rsidP="00872F3C">
            <w:pPr>
              <w:jc w:val="center"/>
            </w:pPr>
          </w:p>
        </w:tc>
        <w:tc>
          <w:tcPr>
            <w:tcW w:w="9804" w:type="dxa"/>
          </w:tcPr>
          <w:p w14:paraId="55C3103F" w14:textId="77777777" w:rsidR="0054337F" w:rsidRDefault="0054337F" w:rsidP="00872F3C">
            <w:pPr>
              <w:pStyle w:val="ListParagraph"/>
              <w:numPr>
                <w:ilvl w:val="0"/>
                <w:numId w:val="29"/>
              </w:numPr>
              <w:spacing w:line="276" w:lineRule="auto"/>
            </w:pPr>
            <w:r w:rsidRPr="0054337F">
              <w:t>Data provided showing improving graduate destination result as</w:t>
            </w:r>
            <w:r>
              <w:t xml:space="preserve"> a result of measures such as:</w:t>
            </w:r>
          </w:p>
          <w:p w14:paraId="37532FC8" w14:textId="77777777" w:rsidR="0054337F" w:rsidRDefault="0054337F" w:rsidP="00872F3C">
            <w:pPr>
              <w:pStyle w:val="ListParagraph"/>
              <w:numPr>
                <w:ilvl w:val="1"/>
                <w:numId w:val="29"/>
              </w:numPr>
              <w:spacing w:line="276" w:lineRule="auto"/>
            </w:pPr>
            <w:r w:rsidRPr="0054337F">
              <w:t>Analysis of market positioning of the i</w:t>
            </w:r>
            <w:r>
              <w:t>nstitution/course from provider</w:t>
            </w:r>
          </w:p>
          <w:p w14:paraId="0D5CDEE8" w14:textId="254F4E3A" w:rsidR="0054337F" w:rsidRDefault="0054337F" w:rsidP="00872F3C">
            <w:pPr>
              <w:pStyle w:val="ListParagraph"/>
              <w:numPr>
                <w:ilvl w:val="1"/>
                <w:numId w:val="29"/>
              </w:numPr>
              <w:spacing w:line="276" w:lineRule="auto"/>
            </w:pPr>
            <w:r w:rsidRPr="0054337F">
              <w:t xml:space="preserve">Analysis of achievement of </w:t>
            </w:r>
            <w:r w:rsidR="00D1217C">
              <w:t>learning outcomes from provider.</w:t>
            </w:r>
          </w:p>
          <w:p w14:paraId="3EE01631" w14:textId="6E78CA21" w:rsidR="0054337F" w:rsidRDefault="0054337F" w:rsidP="00872F3C">
            <w:pPr>
              <w:pStyle w:val="ListParagraph"/>
              <w:numPr>
                <w:ilvl w:val="0"/>
                <w:numId w:val="29"/>
              </w:numPr>
              <w:spacing w:line="276" w:lineRule="auto"/>
            </w:pPr>
            <w:r w:rsidRPr="0054337F">
              <w:t xml:space="preserve">Significant and unexpected decline of job market or analysis of specific local market or </w:t>
            </w:r>
            <w:r>
              <w:t>discipline conditions</w:t>
            </w:r>
            <w:r w:rsidR="00D1217C">
              <w:t>.</w:t>
            </w:r>
          </w:p>
          <w:p w14:paraId="35C01A36" w14:textId="2AEF43A2" w:rsidR="00C3243E" w:rsidRPr="0054337F" w:rsidRDefault="0054337F" w:rsidP="00872F3C">
            <w:pPr>
              <w:pStyle w:val="ListParagraph"/>
              <w:numPr>
                <w:ilvl w:val="0"/>
                <w:numId w:val="29"/>
              </w:numPr>
              <w:spacing w:line="276" w:lineRule="auto"/>
            </w:pPr>
            <w:r w:rsidRPr="0054337F">
              <w:lastRenderedPageBreak/>
              <w:t>Evidence that the provider has committed additional career support resources against a plan to assist graduates to transition to employment</w:t>
            </w:r>
            <w:r w:rsidR="00D1217C">
              <w:t>.</w:t>
            </w:r>
          </w:p>
        </w:tc>
      </w:tr>
      <w:tr w:rsidR="00C3243E" w14:paraId="7BB5CC95" w14:textId="77777777" w:rsidTr="00872F3C">
        <w:tc>
          <w:tcPr>
            <w:tcW w:w="4621" w:type="dxa"/>
          </w:tcPr>
          <w:p w14:paraId="7997BBE8" w14:textId="77777777" w:rsidR="00C3243E" w:rsidRDefault="00C3243E" w:rsidP="00872F3C">
            <w:pPr>
              <w:pStyle w:val="ListParagraph"/>
              <w:numPr>
                <w:ilvl w:val="0"/>
                <w:numId w:val="34"/>
              </w:numPr>
              <w:spacing w:line="276" w:lineRule="auto"/>
            </w:pPr>
            <w:r>
              <w:lastRenderedPageBreak/>
              <w:t>Senior academic leaders</w:t>
            </w:r>
          </w:p>
        </w:tc>
        <w:tc>
          <w:tcPr>
            <w:tcW w:w="9804" w:type="dxa"/>
          </w:tcPr>
          <w:p w14:paraId="4D10AFD0" w14:textId="68E516D7" w:rsidR="0054337F" w:rsidRDefault="0054337F" w:rsidP="00872F3C">
            <w:pPr>
              <w:pStyle w:val="ListParagraph"/>
              <w:numPr>
                <w:ilvl w:val="0"/>
                <w:numId w:val="30"/>
              </w:numPr>
              <w:spacing w:line="276" w:lineRule="auto"/>
            </w:pPr>
            <w:r w:rsidRPr="0054337F">
              <w:t>Single or highly specialised field of education with qualified core staff providing academic lead</w:t>
            </w:r>
            <w:r>
              <w:t>ership as demonstrated through:</w:t>
            </w:r>
          </w:p>
          <w:p w14:paraId="14359435" w14:textId="77777777" w:rsidR="0054337F" w:rsidRDefault="0054337F" w:rsidP="00872F3C">
            <w:pPr>
              <w:pStyle w:val="ListParagraph"/>
              <w:numPr>
                <w:ilvl w:val="1"/>
                <w:numId w:val="30"/>
              </w:numPr>
              <w:spacing w:line="276" w:lineRule="auto"/>
            </w:pPr>
            <w:r>
              <w:t>Academic standing</w:t>
            </w:r>
          </w:p>
          <w:p w14:paraId="66838054" w14:textId="77777777" w:rsidR="0054337F" w:rsidRDefault="0054337F" w:rsidP="00872F3C">
            <w:pPr>
              <w:pStyle w:val="ListParagraph"/>
              <w:numPr>
                <w:ilvl w:val="2"/>
                <w:numId w:val="30"/>
              </w:numPr>
              <w:spacing w:line="276" w:lineRule="auto"/>
            </w:pPr>
            <w:r w:rsidRPr="0054337F">
              <w:t>Active in the relevant academic communities (e.g. research, consultancy or adv</w:t>
            </w:r>
            <w:r>
              <w:t>isor of contemporary issues)</w:t>
            </w:r>
          </w:p>
          <w:p w14:paraId="5DDF16DE" w14:textId="38026A34" w:rsidR="00FE4D04" w:rsidRDefault="00FE4D04" w:rsidP="00872F3C">
            <w:pPr>
              <w:pStyle w:val="ListParagraph"/>
              <w:numPr>
                <w:ilvl w:val="2"/>
                <w:numId w:val="30"/>
              </w:numPr>
              <w:spacing w:line="276" w:lineRule="auto"/>
            </w:pPr>
            <w:r>
              <w:t>Peer/professional recognition</w:t>
            </w:r>
            <w:r w:rsidR="00D1217C">
              <w:t>.</w:t>
            </w:r>
          </w:p>
          <w:p w14:paraId="527D2242" w14:textId="77777777" w:rsidR="00FE4D04" w:rsidRDefault="0054337F" w:rsidP="00872F3C">
            <w:pPr>
              <w:pStyle w:val="ListParagraph"/>
              <w:numPr>
                <w:ilvl w:val="1"/>
                <w:numId w:val="30"/>
              </w:numPr>
              <w:spacing w:line="276" w:lineRule="auto"/>
            </w:pPr>
            <w:r w:rsidRPr="0054337F">
              <w:t>Course</w:t>
            </w:r>
            <w:r w:rsidR="00FE4D04">
              <w:t xml:space="preserve"> management responsibilities</w:t>
            </w:r>
          </w:p>
          <w:p w14:paraId="25980F20" w14:textId="77777777" w:rsidR="00FE4D04" w:rsidRDefault="0054337F" w:rsidP="00872F3C">
            <w:pPr>
              <w:pStyle w:val="ListParagraph"/>
              <w:numPr>
                <w:ilvl w:val="2"/>
                <w:numId w:val="30"/>
              </w:numPr>
              <w:spacing w:line="276" w:lineRule="auto"/>
            </w:pPr>
            <w:r w:rsidRPr="0054337F">
              <w:t>Staff supervision (academic and non-acad</w:t>
            </w:r>
            <w:r w:rsidR="00FE4D04">
              <w:t>emic)</w:t>
            </w:r>
          </w:p>
          <w:p w14:paraId="55890D99" w14:textId="77777777" w:rsidR="0054337F" w:rsidRDefault="0054337F" w:rsidP="00872F3C">
            <w:pPr>
              <w:pStyle w:val="ListParagraph"/>
              <w:numPr>
                <w:ilvl w:val="2"/>
                <w:numId w:val="30"/>
              </w:numPr>
              <w:spacing w:line="276" w:lineRule="auto"/>
            </w:pPr>
            <w:r>
              <w:t>Course budgeting</w:t>
            </w:r>
          </w:p>
          <w:p w14:paraId="05DB91A9" w14:textId="77777777" w:rsidR="00FE4D04" w:rsidRDefault="00FE4D04" w:rsidP="00872F3C">
            <w:pPr>
              <w:pStyle w:val="ListParagraph"/>
              <w:numPr>
                <w:ilvl w:val="2"/>
                <w:numId w:val="30"/>
              </w:numPr>
              <w:spacing w:line="276" w:lineRule="auto"/>
            </w:pPr>
            <w:r>
              <w:t>Purchasing</w:t>
            </w:r>
          </w:p>
          <w:p w14:paraId="536FA329" w14:textId="77777777" w:rsidR="00FE4D04" w:rsidRDefault="0054337F" w:rsidP="00872F3C">
            <w:pPr>
              <w:pStyle w:val="ListParagraph"/>
              <w:numPr>
                <w:ilvl w:val="2"/>
                <w:numId w:val="30"/>
              </w:numPr>
              <w:spacing w:line="276" w:lineRule="auto"/>
            </w:pPr>
            <w:r w:rsidRPr="0054337F">
              <w:t>Re</w:t>
            </w:r>
            <w:r w:rsidR="00FE4D04">
              <w:t>porting to boards/committees</w:t>
            </w:r>
          </w:p>
          <w:p w14:paraId="7CD34085" w14:textId="4FB12A40" w:rsidR="00FE4D04" w:rsidRDefault="0054337F" w:rsidP="00872F3C">
            <w:pPr>
              <w:pStyle w:val="ListParagraph"/>
              <w:numPr>
                <w:ilvl w:val="2"/>
                <w:numId w:val="30"/>
              </w:numPr>
              <w:spacing w:line="276" w:lineRule="auto"/>
            </w:pPr>
            <w:r w:rsidRPr="0054337F">
              <w:t>Oversight of stakeholder consultat</w:t>
            </w:r>
            <w:r w:rsidR="00FE4D04">
              <w:t>ions (e.g. students, employers)</w:t>
            </w:r>
            <w:r w:rsidR="00D1217C">
              <w:t>.</w:t>
            </w:r>
          </w:p>
          <w:p w14:paraId="4F5F2C58" w14:textId="77777777" w:rsidR="00FE4D04" w:rsidRDefault="0054337F" w:rsidP="00872F3C">
            <w:pPr>
              <w:pStyle w:val="ListParagraph"/>
              <w:numPr>
                <w:ilvl w:val="1"/>
                <w:numId w:val="30"/>
              </w:numPr>
              <w:spacing w:line="276" w:lineRule="auto"/>
            </w:pPr>
            <w:r w:rsidRPr="0054337F">
              <w:t xml:space="preserve">Course </w:t>
            </w:r>
            <w:r w:rsidR="00FE4D04">
              <w:t>development responsibilities</w:t>
            </w:r>
          </w:p>
          <w:p w14:paraId="113519E4" w14:textId="77777777" w:rsidR="00FE4D04" w:rsidRDefault="00FE4D04" w:rsidP="00872F3C">
            <w:pPr>
              <w:pStyle w:val="ListParagraph"/>
              <w:numPr>
                <w:ilvl w:val="2"/>
                <w:numId w:val="30"/>
              </w:numPr>
              <w:spacing w:line="276" w:lineRule="auto"/>
            </w:pPr>
            <w:r>
              <w:t>Prepare course proposal</w:t>
            </w:r>
          </w:p>
          <w:p w14:paraId="3D2F0536" w14:textId="77777777" w:rsidR="00FE4D04" w:rsidRDefault="00FE4D04" w:rsidP="00872F3C">
            <w:pPr>
              <w:pStyle w:val="ListParagraph"/>
              <w:numPr>
                <w:ilvl w:val="2"/>
                <w:numId w:val="30"/>
              </w:numPr>
              <w:spacing w:line="276" w:lineRule="auto"/>
            </w:pPr>
            <w:r>
              <w:t xml:space="preserve">Approve course documents </w:t>
            </w:r>
          </w:p>
          <w:p w14:paraId="221CAD40" w14:textId="77777777" w:rsidR="00645954" w:rsidRDefault="00FE4D04" w:rsidP="00872F3C">
            <w:pPr>
              <w:pStyle w:val="ListParagraph"/>
              <w:numPr>
                <w:ilvl w:val="2"/>
                <w:numId w:val="30"/>
              </w:numPr>
              <w:spacing w:line="276" w:lineRule="auto"/>
            </w:pPr>
            <w:r>
              <w:t>Review course performance</w:t>
            </w:r>
          </w:p>
          <w:p w14:paraId="19D57BF6" w14:textId="23283D12" w:rsidR="00645954" w:rsidRDefault="00645954" w:rsidP="00872F3C">
            <w:pPr>
              <w:pStyle w:val="ListParagraph"/>
              <w:numPr>
                <w:ilvl w:val="0"/>
                <w:numId w:val="30"/>
              </w:numPr>
              <w:spacing w:line="276" w:lineRule="auto"/>
            </w:pPr>
            <w:r>
              <w:t>Evidence of key roles and responsibilities undertaken by senior academic leaders in curriculum and assessment, pedagogy, staff management, professional development, research, and/or scholarship.</w:t>
            </w:r>
          </w:p>
          <w:p w14:paraId="0A4106FD" w14:textId="7CF6758E" w:rsidR="00C3243E" w:rsidRPr="0054337F" w:rsidRDefault="0054337F" w:rsidP="00872F3C">
            <w:pPr>
              <w:pStyle w:val="ListParagraph"/>
              <w:numPr>
                <w:ilvl w:val="0"/>
                <w:numId w:val="30"/>
              </w:numPr>
              <w:spacing w:line="276" w:lineRule="auto"/>
            </w:pPr>
            <w:r w:rsidRPr="0054337F">
              <w:t>Academic appointment structures that are not reflective of pay scales (e.g. a not-for-profit institution with a flat pay structure), with supporting evidence of staff in academic leadership roles in line with the above examples</w:t>
            </w:r>
            <w:r w:rsidR="00D1217C">
              <w:t>.</w:t>
            </w:r>
          </w:p>
        </w:tc>
      </w:tr>
      <w:tr w:rsidR="00C3243E" w14:paraId="43034F85" w14:textId="77777777" w:rsidTr="00872F3C">
        <w:tc>
          <w:tcPr>
            <w:tcW w:w="4621" w:type="dxa"/>
          </w:tcPr>
          <w:p w14:paraId="08766492" w14:textId="3550D5C0" w:rsidR="00C3243E" w:rsidRDefault="00C3243E" w:rsidP="00872F3C">
            <w:pPr>
              <w:pStyle w:val="ListParagraph"/>
              <w:numPr>
                <w:ilvl w:val="0"/>
                <w:numId w:val="34"/>
              </w:numPr>
              <w:spacing w:line="276" w:lineRule="auto"/>
            </w:pPr>
            <w:r>
              <w:t>Student</w:t>
            </w:r>
            <w:r w:rsidR="00645954">
              <w:t>-</w:t>
            </w:r>
            <w:r>
              <w:t>to</w:t>
            </w:r>
            <w:r w:rsidR="00645954">
              <w:t>-</w:t>
            </w:r>
            <w:r>
              <w:t>staff ratio</w:t>
            </w:r>
          </w:p>
        </w:tc>
        <w:tc>
          <w:tcPr>
            <w:tcW w:w="9804" w:type="dxa"/>
          </w:tcPr>
          <w:p w14:paraId="723BD344" w14:textId="1608CEC9" w:rsidR="0077497A" w:rsidRDefault="0077497A" w:rsidP="00872F3C">
            <w:pPr>
              <w:pStyle w:val="ListParagraph"/>
              <w:numPr>
                <w:ilvl w:val="0"/>
                <w:numId w:val="31"/>
              </w:numPr>
              <w:spacing w:line="276" w:lineRule="auto"/>
            </w:pPr>
            <w:r w:rsidRPr="0077497A">
              <w:t>Delivery models that have different staffing requirements (evidence of efficacy required, including strong student outcomes)</w:t>
            </w:r>
            <w:r w:rsidR="00D1217C">
              <w:t>.</w:t>
            </w:r>
            <w:r w:rsidRPr="0077497A">
              <w:t xml:space="preserve"> </w:t>
            </w:r>
          </w:p>
          <w:p w14:paraId="0747BD5E" w14:textId="6AF1B4C8" w:rsidR="0077497A" w:rsidRPr="0077497A" w:rsidRDefault="0077497A" w:rsidP="00872F3C">
            <w:pPr>
              <w:pStyle w:val="ListParagraph"/>
              <w:numPr>
                <w:ilvl w:val="0"/>
                <w:numId w:val="31"/>
              </w:numPr>
              <w:spacing w:line="276" w:lineRule="auto"/>
            </w:pPr>
            <w:r w:rsidRPr="0077497A">
              <w:t>Consortium models with teaching staff provided by related entities or third-parties (formal agreement required)</w:t>
            </w:r>
            <w:r w:rsidR="00D1217C">
              <w:t>.</w:t>
            </w:r>
          </w:p>
          <w:p w14:paraId="40FCF301" w14:textId="55B14C99" w:rsidR="0077497A" w:rsidRPr="0077497A" w:rsidRDefault="0077497A" w:rsidP="00872F3C">
            <w:pPr>
              <w:pStyle w:val="ListParagraph"/>
              <w:numPr>
                <w:ilvl w:val="0"/>
                <w:numId w:val="31"/>
              </w:numPr>
              <w:spacing w:line="276" w:lineRule="auto"/>
            </w:pPr>
            <w:r w:rsidRPr="0077497A">
              <w:t>A significant portion of offshore delivery (offshore staffing information required)</w:t>
            </w:r>
            <w:r w:rsidR="00D1217C">
              <w:t>.</w:t>
            </w:r>
          </w:p>
        </w:tc>
      </w:tr>
      <w:tr w:rsidR="00C3243E" w14:paraId="42D1061F" w14:textId="77777777" w:rsidTr="00872F3C">
        <w:tc>
          <w:tcPr>
            <w:tcW w:w="4621" w:type="dxa"/>
          </w:tcPr>
          <w:p w14:paraId="710E7934" w14:textId="77777777" w:rsidR="00C3243E" w:rsidRDefault="00C3243E" w:rsidP="00872F3C">
            <w:pPr>
              <w:pStyle w:val="ListParagraph"/>
              <w:numPr>
                <w:ilvl w:val="0"/>
                <w:numId w:val="34"/>
              </w:numPr>
              <w:spacing w:line="276" w:lineRule="auto"/>
            </w:pPr>
            <w:r>
              <w:t>Academic staff on casual contracts</w:t>
            </w:r>
          </w:p>
        </w:tc>
        <w:tc>
          <w:tcPr>
            <w:tcW w:w="9804" w:type="dxa"/>
          </w:tcPr>
          <w:p w14:paraId="7B1144E2" w14:textId="0DD471D0" w:rsidR="0077497A" w:rsidRDefault="0077497A" w:rsidP="00872F3C">
            <w:pPr>
              <w:pStyle w:val="ListParagraph"/>
              <w:numPr>
                <w:ilvl w:val="0"/>
                <w:numId w:val="32"/>
              </w:numPr>
              <w:spacing w:line="276" w:lineRule="auto"/>
            </w:pPr>
            <w:r w:rsidRPr="0077497A">
              <w:t>Policies of equivalency for development and evidence of integratio</w:t>
            </w:r>
            <w:r>
              <w:t>n of casual and permanent staff</w:t>
            </w:r>
            <w:r w:rsidR="00D1217C">
              <w:t>.</w:t>
            </w:r>
          </w:p>
          <w:p w14:paraId="12B68E37" w14:textId="2A1EDF14" w:rsidR="0077497A" w:rsidRDefault="0077497A" w:rsidP="00872F3C">
            <w:pPr>
              <w:pStyle w:val="ListParagraph"/>
              <w:numPr>
                <w:ilvl w:val="0"/>
                <w:numId w:val="32"/>
              </w:numPr>
              <w:spacing w:line="276" w:lineRule="auto"/>
            </w:pPr>
            <w:r w:rsidRPr="0077497A">
              <w:t>Evidence of funding of professional develo</w:t>
            </w:r>
            <w:r>
              <w:t>pment for casual academic staff</w:t>
            </w:r>
            <w:r w:rsidR="00D1217C">
              <w:t>.</w:t>
            </w:r>
          </w:p>
          <w:p w14:paraId="45D89220" w14:textId="7D60C3AD" w:rsidR="0077497A" w:rsidRDefault="0077497A" w:rsidP="00872F3C">
            <w:pPr>
              <w:pStyle w:val="ListParagraph"/>
              <w:numPr>
                <w:ilvl w:val="0"/>
                <w:numId w:val="32"/>
              </w:numPr>
              <w:spacing w:line="276" w:lineRule="auto"/>
            </w:pPr>
            <w:r w:rsidRPr="0077497A">
              <w:t>Statements/policies of casual staff duti</w:t>
            </w:r>
            <w:r>
              <w:t>es limited to supporting roles</w:t>
            </w:r>
            <w:r w:rsidR="00D1217C">
              <w:t>.</w:t>
            </w:r>
          </w:p>
          <w:p w14:paraId="534CC291" w14:textId="043FB3A5" w:rsidR="00C3243E" w:rsidRDefault="0077497A" w:rsidP="00872F3C">
            <w:pPr>
              <w:pStyle w:val="ListParagraph"/>
              <w:numPr>
                <w:ilvl w:val="0"/>
                <w:numId w:val="32"/>
              </w:numPr>
              <w:spacing w:line="276" w:lineRule="auto"/>
            </w:pPr>
            <w:r w:rsidRPr="0077497A">
              <w:t>Evidence regarding how industry experts are used</w:t>
            </w:r>
            <w:r w:rsidR="00D1217C">
              <w:t>.</w:t>
            </w:r>
          </w:p>
        </w:tc>
      </w:tr>
      <w:tr w:rsidR="00C3243E" w14:paraId="2D028D78" w14:textId="77777777" w:rsidTr="00872F3C">
        <w:tc>
          <w:tcPr>
            <w:tcW w:w="4621" w:type="dxa"/>
          </w:tcPr>
          <w:p w14:paraId="67E4BE1B" w14:textId="206ABD2E" w:rsidR="00C3243E" w:rsidRDefault="00C3243E" w:rsidP="00872F3C">
            <w:pPr>
              <w:pStyle w:val="ListParagraph"/>
              <w:numPr>
                <w:ilvl w:val="0"/>
                <w:numId w:val="34"/>
              </w:numPr>
              <w:spacing w:line="276" w:lineRule="auto"/>
            </w:pPr>
            <w:r>
              <w:t>Financial viability</w:t>
            </w:r>
          </w:p>
        </w:tc>
        <w:tc>
          <w:tcPr>
            <w:tcW w:w="9804" w:type="dxa"/>
          </w:tcPr>
          <w:p w14:paraId="4D5E12C2" w14:textId="28F6CB58" w:rsidR="00C3243E" w:rsidRPr="0077497A" w:rsidRDefault="0077497A" w:rsidP="00872F3C">
            <w:pPr>
              <w:pStyle w:val="ListParagraph"/>
              <w:numPr>
                <w:ilvl w:val="0"/>
                <w:numId w:val="33"/>
              </w:numPr>
              <w:spacing w:line="276" w:lineRule="auto"/>
            </w:pPr>
            <w:r w:rsidRPr="0077497A">
              <w:t>Changed financial circumstances supported by independently verified information such as Audited financial statements or Bank statements.</w:t>
            </w:r>
          </w:p>
        </w:tc>
      </w:tr>
      <w:tr w:rsidR="00C3243E" w14:paraId="6F88A1D6" w14:textId="77777777" w:rsidTr="00872F3C">
        <w:tc>
          <w:tcPr>
            <w:tcW w:w="4621" w:type="dxa"/>
          </w:tcPr>
          <w:p w14:paraId="55FA0B23" w14:textId="77777777" w:rsidR="00C3243E" w:rsidRDefault="00C3243E" w:rsidP="00872F3C">
            <w:pPr>
              <w:pStyle w:val="ListParagraph"/>
              <w:numPr>
                <w:ilvl w:val="0"/>
                <w:numId w:val="34"/>
              </w:numPr>
              <w:spacing w:line="276" w:lineRule="auto"/>
            </w:pPr>
            <w:r>
              <w:t>Financial sustainability</w:t>
            </w:r>
          </w:p>
        </w:tc>
        <w:tc>
          <w:tcPr>
            <w:tcW w:w="9804" w:type="dxa"/>
          </w:tcPr>
          <w:p w14:paraId="5A65FEC7" w14:textId="1ADB74B8" w:rsidR="0077497A" w:rsidRDefault="0077497A" w:rsidP="00872F3C">
            <w:pPr>
              <w:pStyle w:val="ListParagraph"/>
              <w:numPr>
                <w:ilvl w:val="0"/>
                <w:numId w:val="33"/>
              </w:numPr>
              <w:spacing w:line="276" w:lineRule="auto"/>
            </w:pPr>
            <w:r w:rsidRPr="0077497A">
              <w:t>Student projections supported by historical numb</w:t>
            </w:r>
            <w:r>
              <w:t>ers showing an improving trend</w:t>
            </w:r>
            <w:r w:rsidR="00D1217C">
              <w:t>.</w:t>
            </w:r>
          </w:p>
          <w:p w14:paraId="59815286" w14:textId="70197E06" w:rsidR="0077497A" w:rsidRDefault="0077497A" w:rsidP="00872F3C">
            <w:pPr>
              <w:pStyle w:val="ListParagraph"/>
              <w:numPr>
                <w:ilvl w:val="0"/>
                <w:numId w:val="33"/>
              </w:numPr>
              <w:spacing w:line="276" w:lineRule="auto"/>
            </w:pPr>
            <w:r w:rsidRPr="0077497A">
              <w:t>Financial projections supported by robus</w:t>
            </w:r>
            <w:r>
              <w:t>t analysis and key assumptions</w:t>
            </w:r>
            <w:r w:rsidR="00D1217C">
              <w:t>.</w:t>
            </w:r>
          </w:p>
          <w:p w14:paraId="5FAA3635" w14:textId="1D049B73" w:rsidR="0077497A" w:rsidRDefault="0077497A" w:rsidP="00872F3C">
            <w:pPr>
              <w:pStyle w:val="ListParagraph"/>
              <w:numPr>
                <w:ilvl w:val="0"/>
                <w:numId w:val="33"/>
              </w:numPr>
              <w:spacing w:line="276" w:lineRule="auto"/>
            </w:pPr>
            <w:r w:rsidRPr="0077497A">
              <w:t>For providers with an economic dependence or in receipt of financial support from a related party, evidence of the instrument confirming the nature and extent of the commitment such as a Deed of guarantee or similar unde</w:t>
            </w:r>
            <w:r>
              <w:t>rtaking from the related party</w:t>
            </w:r>
            <w:r w:rsidR="00D1217C">
              <w:t>.</w:t>
            </w:r>
          </w:p>
          <w:p w14:paraId="748A0FAF" w14:textId="54CC5A93" w:rsidR="00C3243E" w:rsidRDefault="0077497A" w:rsidP="00872F3C">
            <w:pPr>
              <w:pStyle w:val="ListParagraph"/>
              <w:numPr>
                <w:ilvl w:val="0"/>
                <w:numId w:val="33"/>
              </w:numPr>
              <w:spacing w:line="276" w:lineRule="auto"/>
            </w:pPr>
            <w:r w:rsidRPr="0077497A">
              <w:t>Written copies of capital injection commitments</w:t>
            </w:r>
            <w:r w:rsidR="00D1217C">
              <w:t>.</w:t>
            </w:r>
          </w:p>
        </w:tc>
      </w:tr>
    </w:tbl>
    <w:p w14:paraId="67B572EB" w14:textId="14134E59" w:rsidR="00C3243E" w:rsidRPr="00C3243E" w:rsidRDefault="00C3243E" w:rsidP="00872F3C">
      <w:pPr>
        <w:spacing w:line="276" w:lineRule="auto"/>
      </w:pPr>
    </w:p>
    <w:sectPr w:rsidR="00C3243E" w:rsidRPr="00C3243E" w:rsidSect="00872F3C">
      <w:pgSz w:w="16838" w:h="11906" w:orient="landscape"/>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21B8F" w14:textId="77777777" w:rsidR="0054337F" w:rsidRDefault="0054337F" w:rsidP="006C328D">
      <w:pPr>
        <w:spacing w:before="0" w:after="0"/>
      </w:pPr>
      <w:r>
        <w:separator/>
      </w:r>
    </w:p>
  </w:endnote>
  <w:endnote w:type="continuationSeparator" w:id="0">
    <w:p w14:paraId="4CAC87F4" w14:textId="77777777" w:rsidR="0054337F" w:rsidRDefault="0054337F"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14:paraId="5F53DEFB" w14:textId="16EB78CA" w:rsidR="0054337F" w:rsidRPr="00FF2540" w:rsidRDefault="0054337F">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D85F4B">
              <w:rPr>
                <w:b/>
                <w:bCs/>
                <w:noProof/>
                <w:color w:val="00847E" w:themeColor="accent1"/>
                <w:sz w:val="20"/>
                <w:szCs w:val="20"/>
              </w:rPr>
              <w:t>2</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D85F4B">
              <w:rPr>
                <w:b/>
                <w:bCs/>
                <w:noProof/>
                <w:color w:val="00847E" w:themeColor="accent1"/>
                <w:sz w:val="20"/>
                <w:szCs w:val="20"/>
              </w:rPr>
              <w:t>4</w:t>
            </w:r>
            <w:r w:rsidRPr="00FF2540">
              <w:rPr>
                <w:b/>
                <w:bCs/>
                <w:color w:val="00847E" w:themeColor="accent1"/>
                <w:sz w:val="20"/>
                <w:szCs w:val="20"/>
              </w:rPr>
              <w:fldChar w:fldCharType="end"/>
            </w:r>
          </w:p>
        </w:sdtContent>
      </w:sdt>
    </w:sdtContent>
  </w:sdt>
  <w:p w14:paraId="2F9E3EF7" w14:textId="77777777" w:rsidR="0054337F" w:rsidRDefault="005433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69C08" w14:textId="77777777" w:rsidR="0054337F" w:rsidRDefault="0054337F" w:rsidP="006C328D">
      <w:pPr>
        <w:spacing w:before="0" w:after="0"/>
      </w:pPr>
      <w:r>
        <w:separator/>
      </w:r>
    </w:p>
  </w:footnote>
  <w:footnote w:type="continuationSeparator" w:id="0">
    <w:p w14:paraId="7AA55461" w14:textId="77777777" w:rsidR="0054337F" w:rsidRDefault="0054337F"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CAB93" w14:textId="77777777" w:rsidR="0054337F" w:rsidRPr="006C328D" w:rsidRDefault="0054337F"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54EC6892" wp14:editId="0C7484C1">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6D15A02D" wp14:editId="71AEC3CC">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220381E"/>
    <w:multiLevelType w:val="hybridMultilevel"/>
    <w:tmpl w:val="BBEC03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C7EC1"/>
    <w:multiLevelType w:val="hybridMultilevel"/>
    <w:tmpl w:val="F138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D6725"/>
    <w:multiLevelType w:val="hybridMultilevel"/>
    <w:tmpl w:val="9316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32096"/>
    <w:multiLevelType w:val="multilevel"/>
    <w:tmpl w:val="671E5F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upp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5A2E56"/>
    <w:multiLevelType w:val="hybridMultilevel"/>
    <w:tmpl w:val="3A9CDA22"/>
    <w:lvl w:ilvl="0" w:tplc="F50EB21A">
      <w:start w:val="1"/>
      <w:numFmt w:val="bullet"/>
      <w:pStyle w:val="BulletsL2"/>
      <w:lvlText w:val="4"/>
      <w:lvlJc w:val="left"/>
      <w:pPr>
        <w:ind w:left="1146" w:hanging="360"/>
      </w:pPr>
      <w:rPr>
        <w:rFonts w:ascii="Webdings" w:hAnsi="Webdings" w:hint="default"/>
        <w:color w:val="00A6A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41531C"/>
    <w:multiLevelType w:val="multilevel"/>
    <w:tmpl w:val="671E5F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upp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3F090D"/>
    <w:multiLevelType w:val="multilevel"/>
    <w:tmpl w:val="671E5F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upp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A745545"/>
    <w:multiLevelType w:val="hybridMultilevel"/>
    <w:tmpl w:val="E06647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D44371"/>
    <w:multiLevelType w:val="hybridMultilevel"/>
    <w:tmpl w:val="1C484D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4C54C6"/>
    <w:multiLevelType w:val="hybridMultilevel"/>
    <w:tmpl w:val="FC9A6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4310175"/>
    <w:multiLevelType w:val="hybridMultilevel"/>
    <w:tmpl w:val="94F03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A6DEC"/>
    <w:multiLevelType w:val="multilevel"/>
    <w:tmpl w:val="671E5F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upperRoman"/>
      <w:lvlText w:val="%3"/>
      <w:lvlJc w:val="left"/>
      <w:pPr>
        <w:ind w:left="1800" w:hanging="360"/>
      </w:pPr>
      <w:rPr>
        <w:rFont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40E96D3F"/>
    <w:multiLevelType w:val="hybridMultilevel"/>
    <w:tmpl w:val="9E26B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FE77C2"/>
    <w:multiLevelType w:val="hybridMultilevel"/>
    <w:tmpl w:val="5A96C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442C7B"/>
    <w:multiLevelType w:val="hybridMultilevel"/>
    <w:tmpl w:val="2A882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FD1B3F"/>
    <w:multiLevelType w:val="hybridMultilevel"/>
    <w:tmpl w:val="CBA615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046304"/>
    <w:multiLevelType w:val="hybridMultilevel"/>
    <w:tmpl w:val="DC74D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924215"/>
    <w:multiLevelType w:val="hybridMultilevel"/>
    <w:tmpl w:val="C4B4BD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4066A5"/>
    <w:multiLevelType w:val="hybridMultilevel"/>
    <w:tmpl w:val="208273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6360DC"/>
    <w:multiLevelType w:val="hybridMultilevel"/>
    <w:tmpl w:val="F8B8313C"/>
    <w:lvl w:ilvl="0" w:tplc="26DE6BAA">
      <w:start w:val="1"/>
      <w:numFmt w:val="bullet"/>
      <w:lvlText w:val=""/>
      <w:lvlJc w:val="left"/>
      <w:pPr>
        <w:ind w:left="720" w:hanging="360"/>
      </w:pPr>
      <w:rPr>
        <w:rFonts w:ascii="Symbol" w:hAnsi="Symbol" w:hint="default"/>
        <w:color w:val="00847E"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791D9C"/>
    <w:multiLevelType w:val="hybridMultilevel"/>
    <w:tmpl w:val="A20A0B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B35D92"/>
    <w:multiLevelType w:val="hybridMultilevel"/>
    <w:tmpl w:val="1682C28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3" w15:restartNumberingAfterBreak="0">
    <w:nsid w:val="7E392B94"/>
    <w:multiLevelType w:val="hybridMultilevel"/>
    <w:tmpl w:val="D8A84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32"/>
  </w:num>
  <w:num w:numId="3">
    <w:abstractNumId w:val="14"/>
  </w:num>
  <w:num w:numId="4">
    <w:abstractNumId w:val="26"/>
  </w:num>
  <w:num w:numId="5">
    <w:abstractNumId w:val="25"/>
  </w:num>
  <w:num w:numId="6">
    <w:abstractNumId w:val="22"/>
  </w:num>
  <w:num w:numId="7">
    <w:abstractNumId w:val="7"/>
  </w:num>
  <w:num w:numId="8">
    <w:abstractNumId w:val="11"/>
  </w:num>
  <w:num w:numId="9">
    <w:abstractNumId w:val="12"/>
  </w:num>
  <w:num w:numId="10">
    <w:abstractNumId w:val="23"/>
  </w:num>
  <w:num w:numId="11">
    <w:abstractNumId w:val="16"/>
  </w:num>
  <w:num w:numId="12">
    <w:abstractNumId w:val="5"/>
  </w:num>
  <w:num w:numId="13">
    <w:abstractNumId w:val="4"/>
  </w:num>
  <w:num w:numId="14">
    <w:abstractNumId w:val="29"/>
  </w:num>
  <w:num w:numId="15">
    <w:abstractNumId w:val="1"/>
  </w:num>
  <w:num w:numId="16">
    <w:abstractNumId w:val="15"/>
  </w:num>
  <w:num w:numId="17">
    <w:abstractNumId w:val="24"/>
  </w:num>
  <w:num w:numId="18">
    <w:abstractNumId w:val="2"/>
  </w:num>
  <w:num w:numId="19">
    <w:abstractNumId w:val="10"/>
  </w:num>
  <w:num w:numId="20">
    <w:abstractNumId w:val="27"/>
  </w:num>
  <w:num w:numId="21">
    <w:abstractNumId w:val="20"/>
  </w:num>
  <w:num w:numId="22">
    <w:abstractNumId w:val="21"/>
  </w:num>
  <w:num w:numId="23">
    <w:abstractNumId w:val="18"/>
  </w:num>
  <w:num w:numId="24">
    <w:abstractNumId w:val="19"/>
  </w:num>
  <w:num w:numId="25">
    <w:abstractNumId w:val="28"/>
  </w:num>
  <w:num w:numId="26">
    <w:abstractNumId w:val="33"/>
  </w:num>
  <w:num w:numId="27">
    <w:abstractNumId w:val="13"/>
  </w:num>
  <w:num w:numId="28">
    <w:abstractNumId w:val="9"/>
  </w:num>
  <w:num w:numId="29">
    <w:abstractNumId w:val="0"/>
  </w:num>
  <w:num w:numId="30">
    <w:abstractNumId w:val="17"/>
  </w:num>
  <w:num w:numId="31">
    <w:abstractNumId w:val="8"/>
  </w:num>
  <w:num w:numId="32">
    <w:abstractNumId w:val="6"/>
  </w:num>
  <w:num w:numId="33">
    <w:abstractNumId w:val="3"/>
  </w:num>
  <w:num w:numId="34">
    <w:abstractNumId w:val="31"/>
  </w:num>
  <w:num w:numId="35">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2323C"/>
    <w:rsid w:val="00120642"/>
    <w:rsid w:val="001F39F5"/>
    <w:rsid w:val="00313034"/>
    <w:rsid w:val="00360D73"/>
    <w:rsid w:val="004C3EFE"/>
    <w:rsid w:val="0054337F"/>
    <w:rsid w:val="005B458E"/>
    <w:rsid w:val="00645954"/>
    <w:rsid w:val="00671267"/>
    <w:rsid w:val="006C328D"/>
    <w:rsid w:val="007110E9"/>
    <w:rsid w:val="0077497A"/>
    <w:rsid w:val="007B01C8"/>
    <w:rsid w:val="007F78F7"/>
    <w:rsid w:val="008420D8"/>
    <w:rsid w:val="00856C87"/>
    <w:rsid w:val="00872F3C"/>
    <w:rsid w:val="008C13C8"/>
    <w:rsid w:val="009B769E"/>
    <w:rsid w:val="009D2F00"/>
    <w:rsid w:val="009F4DE2"/>
    <w:rsid w:val="009F6A15"/>
    <w:rsid w:val="00A27913"/>
    <w:rsid w:val="00AA3B91"/>
    <w:rsid w:val="00AD7785"/>
    <w:rsid w:val="00C3243E"/>
    <w:rsid w:val="00D05615"/>
    <w:rsid w:val="00D1217C"/>
    <w:rsid w:val="00D205D5"/>
    <w:rsid w:val="00D85F4B"/>
    <w:rsid w:val="00DC2FE8"/>
    <w:rsid w:val="00E55D82"/>
    <w:rsid w:val="00E67A23"/>
    <w:rsid w:val="00F270D9"/>
    <w:rsid w:val="00FE4D04"/>
    <w:rsid w:val="00FF254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76776E"/>
  <w15:docId w15:val="{8D7C647A-A551-41F1-843A-4B8213BF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NormalWeb">
    <w:name w:val="Normal (Web)"/>
    <w:basedOn w:val="Normal"/>
    <w:uiPriority w:val="99"/>
    <w:semiHidden/>
    <w:unhideWhenUsed/>
    <w:rsid w:val="00D205D5"/>
    <w:pPr>
      <w:spacing w:before="100" w:beforeAutospacing="1" w:after="100" w:afterAutospacing="1"/>
    </w:pPr>
    <w:rPr>
      <w:rFonts w:ascii="Times" w:hAnsi="Times" w:cs="Times New Roman"/>
      <w:color w:val="auto"/>
      <w:sz w:val="20"/>
      <w:szCs w:val="20"/>
    </w:rPr>
  </w:style>
  <w:style w:type="paragraph" w:styleId="ListParagraph">
    <w:name w:val="List Paragraph"/>
    <w:basedOn w:val="Normal"/>
    <w:link w:val="ListParagraphChar"/>
    <w:uiPriority w:val="34"/>
    <w:qFormat/>
    <w:rsid w:val="00D205D5"/>
    <w:pPr>
      <w:ind w:left="720"/>
      <w:contextualSpacing/>
    </w:pPr>
  </w:style>
  <w:style w:type="character" w:styleId="Hyperlink">
    <w:name w:val="Hyperlink"/>
    <w:basedOn w:val="DefaultParagraphFont"/>
    <w:uiPriority w:val="99"/>
    <w:unhideWhenUsed/>
    <w:rsid w:val="00D205D5"/>
    <w:rPr>
      <w:color w:val="00847E" w:themeColor="hyperlink"/>
      <w:u w:val="single"/>
    </w:rPr>
  </w:style>
  <w:style w:type="paragraph" w:customStyle="1" w:styleId="NameDate">
    <w:name w:val="Name &amp; Date"/>
    <w:basedOn w:val="Normal"/>
    <w:link w:val="NameDateChar"/>
    <w:qFormat/>
    <w:rsid w:val="007110E9"/>
    <w:pPr>
      <w:spacing w:before="40" w:after="160" w:line="276" w:lineRule="auto"/>
    </w:pPr>
    <w:rPr>
      <w:rFonts w:ascii="Arial" w:hAnsi="Arial"/>
      <w:b/>
      <w:color w:val="0A1B1C" w:themeColor="accent5" w:themeShade="1A"/>
      <w:sz w:val="32"/>
    </w:rPr>
  </w:style>
  <w:style w:type="character" w:customStyle="1" w:styleId="NameDateChar">
    <w:name w:val="Name &amp; Date Char"/>
    <w:basedOn w:val="DefaultParagraphFont"/>
    <w:link w:val="NameDate"/>
    <w:rsid w:val="007110E9"/>
    <w:rPr>
      <w:rFonts w:ascii="Arial" w:hAnsi="Arial"/>
      <w:b/>
      <w:color w:val="0A1B1C" w:themeColor="accent5" w:themeShade="1A"/>
      <w:sz w:val="32"/>
    </w:rPr>
  </w:style>
  <w:style w:type="paragraph" w:customStyle="1" w:styleId="BulletsL1">
    <w:name w:val="Bullets L1"/>
    <w:basedOn w:val="ListParagraph"/>
    <w:link w:val="BulletsL1Char"/>
    <w:qFormat/>
    <w:rsid w:val="007110E9"/>
    <w:pPr>
      <w:numPr>
        <w:numId w:val="12"/>
      </w:numPr>
      <w:spacing w:before="40" w:line="280" w:lineRule="exact"/>
      <w:ind w:left="426" w:hanging="426"/>
      <w:contextualSpacing w:val="0"/>
    </w:pPr>
    <w:rPr>
      <w:rFonts w:ascii="Arial" w:hAnsi="Arial"/>
      <w:color w:val="auto"/>
      <w:lang w:val="en-US"/>
    </w:rPr>
  </w:style>
  <w:style w:type="character" w:customStyle="1" w:styleId="BulletsL1Char">
    <w:name w:val="Bullets L1 Char"/>
    <w:basedOn w:val="DefaultParagraphFont"/>
    <w:link w:val="BulletsL1"/>
    <w:rsid w:val="007110E9"/>
    <w:rPr>
      <w:rFonts w:ascii="Arial" w:hAnsi="Arial"/>
      <w:color w:val="auto"/>
      <w:lang w:val="en-US"/>
    </w:rPr>
  </w:style>
  <w:style w:type="character" w:styleId="FollowedHyperlink">
    <w:name w:val="FollowedHyperlink"/>
    <w:basedOn w:val="DefaultParagraphFont"/>
    <w:uiPriority w:val="99"/>
    <w:semiHidden/>
    <w:unhideWhenUsed/>
    <w:rsid w:val="00856C87"/>
    <w:rPr>
      <w:color w:val="00847E" w:themeColor="followedHyperlink"/>
      <w:u w:val="single"/>
    </w:rPr>
  </w:style>
  <w:style w:type="paragraph" w:customStyle="1" w:styleId="BulletsL2">
    <w:name w:val="Bullets L2"/>
    <w:basedOn w:val="BulletsL1"/>
    <w:link w:val="BulletsL2Char"/>
    <w:qFormat/>
    <w:rsid w:val="00DC2FE8"/>
    <w:pPr>
      <w:numPr>
        <w:numId w:val="13"/>
      </w:numPr>
      <w:ind w:left="709"/>
    </w:pPr>
  </w:style>
  <w:style w:type="character" w:customStyle="1" w:styleId="ListParagraphChar">
    <w:name w:val="List Paragraph Char"/>
    <w:basedOn w:val="DefaultParagraphFont"/>
    <w:link w:val="ListParagraph"/>
    <w:uiPriority w:val="34"/>
    <w:rsid w:val="00DC2FE8"/>
  </w:style>
  <w:style w:type="character" w:customStyle="1" w:styleId="BulletsL2Char">
    <w:name w:val="Bullets L2 Char"/>
    <w:basedOn w:val="BulletsL1Char"/>
    <w:link w:val="BulletsL2"/>
    <w:rsid w:val="00DC2FE8"/>
    <w:rPr>
      <w:rFonts w:ascii="Arial" w:hAnsi="Arial"/>
      <w:color w:val="auto"/>
      <w:lang w:val="en-US"/>
    </w:rPr>
  </w:style>
  <w:style w:type="table" w:styleId="TableGrid">
    <w:name w:val="Table Grid"/>
    <w:basedOn w:val="TableNormal"/>
    <w:uiPriority w:val="59"/>
    <w:rsid w:val="008420D8"/>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0714">
      <w:bodyDiv w:val="1"/>
      <w:marLeft w:val="0"/>
      <w:marRight w:val="0"/>
      <w:marTop w:val="0"/>
      <w:marBottom w:val="0"/>
      <w:divBdr>
        <w:top w:val="none" w:sz="0" w:space="0" w:color="auto"/>
        <w:left w:val="none" w:sz="0" w:space="0" w:color="auto"/>
        <w:bottom w:val="none" w:sz="0" w:space="0" w:color="auto"/>
        <w:right w:val="none" w:sz="0" w:space="0" w:color="auto"/>
      </w:divBdr>
    </w:div>
    <w:div w:id="35129632">
      <w:bodyDiv w:val="1"/>
      <w:marLeft w:val="0"/>
      <w:marRight w:val="0"/>
      <w:marTop w:val="0"/>
      <w:marBottom w:val="0"/>
      <w:divBdr>
        <w:top w:val="none" w:sz="0" w:space="0" w:color="auto"/>
        <w:left w:val="none" w:sz="0" w:space="0" w:color="auto"/>
        <w:bottom w:val="none" w:sz="0" w:space="0" w:color="auto"/>
        <w:right w:val="none" w:sz="0" w:space="0" w:color="auto"/>
      </w:divBdr>
    </w:div>
    <w:div w:id="117839594">
      <w:bodyDiv w:val="1"/>
      <w:marLeft w:val="0"/>
      <w:marRight w:val="0"/>
      <w:marTop w:val="0"/>
      <w:marBottom w:val="0"/>
      <w:divBdr>
        <w:top w:val="none" w:sz="0" w:space="0" w:color="auto"/>
        <w:left w:val="none" w:sz="0" w:space="0" w:color="auto"/>
        <w:bottom w:val="none" w:sz="0" w:space="0" w:color="auto"/>
        <w:right w:val="none" w:sz="0" w:space="0" w:color="auto"/>
      </w:divBdr>
    </w:div>
    <w:div w:id="219249735">
      <w:bodyDiv w:val="1"/>
      <w:marLeft w:val="0"/>
      <w:marRight w:val="0"/>
      <w:marTop w:val="0"/>
      <w:marBottom w:val="0"/>
      <w:divBdr>
        <w:top w:val="none" w:sz="0" w:space="0" w:color="auto"/>
        <w:left w:val="none" w:sz="0" w:space="0" w:color="auto"/>
        <w:bottom w:val="none" w:sz="0" w:space="0" w:color="auto"/>
        <w:right w:val="none" w:sz="0" w:space="0" w:color="auto"/>
      </w:divBdr>
      <w:divsChild>
        <w:div w:id="726759076">
          <w:marLeft w:val="0"/>
          <w:marRight w:val="0"/>
          <w:marTop w:val="0"/>
          <w:marBottom w:val="0"/>
          <w:divBdr>
            <w:top w:val="none" w:sz="0" w:space="0" w:color="auto"/>
            <w:left w:val="none" w:sz="0" w:space="0" w:color="auto"/>
            <w:bottom w:val="none" w:sz="0" w:space="0" w:color="auto"/>
            <w:right w:val="none" w:sz="0" w:space="0" w:color="auto"/>
          </w:divBdr>
          <w:divsChild>
            <w:div w:id="197619844">
              <w:marLeft w:val="0"/>
              <w:marRight w:val="0"/>
              <w:marTop w:val="0"/>
              <w:marBottom w:val="0"/>
              <w:divBdr>
                <w:top w:val="none" w:sz="0" w:space="0" w:color="auto"/>
                <w:left w:val="none" w:sz="0" w:space="0" w:color="auto"/>
                <w:bottom w:val="none" w:sz="0" w:space="0" w:color="auto"/>
                <w:right w:val="none" w:sz="0" w:space="0" w:color="auto"/>
              </w:divBdr>
              <w:divsChild>
                <w:div w:id="8238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4444">
      <w:bodyDiv w:val="1"/>
      <w:marLeft w:val="0"/>
      <w:marRight w:val="0"/>
      <w:marTop w:val="0"/>
      <w:marBottom w:val="0"/>
      <w:divBdr>
        <w:top w:val="none" w:sz="0" w:space="0" w:color="auto"/>
        <w:left w:val="none" w:sz="0" w:space="0" w:color="auto"/>
        <w:bottom w:val="none" w:sz="0" w:space="0" w:color="auto"/>
        <w:right w:val="none" w:sz="0" w:space="0" w:color="auto"/>
      </w:divBdr>
    </w:div>
    <w:div w:id="324749367">
      <w:bodyDiv w:val="1"/>
      <w:marLeft w:val="0"/>
      <w:marRight w:val="0"/>
      <w:marTop w:val="0"/>
      <w:marBottom w:val="0"/>
      <w:divBdr>
        <w:top w:val="none" w:sz="0" w:space="0" w:color="auto"/>
        <w:left w:val="none" w:sz="0" w:space="0" w:color="auto"/>
        <w:bottom w:val="none" w:sz="0" w:space="0" w:color="auto"/>
        <w:right w:val="none" w:sz="0" w:space="0" w:color="auto"/>
      </w:divBdr>
    </w:div>
    <w:div w:id="325088247">
      <w:bodyDiv w:val="1"/>
      <w:marLeft w:val="0"/>
      <w:marRight w:val="0"/>
      <w:marTop w:val="0"/>
      <w:marBottom w:val="0"/>
      <w:divBdr>
        <w:top w:val="none" w:sz="0" w:space="0" w:color="auto"/>
        <w:left w:val="none" w:sz="0" w:space="0" w:color="auto"/>
        <w:bottom w:val="none" w:sz="0" w:space="0" w:color="auto"/>
        <w:right w:val="none" w:sz="0" w:space="0" w:color="auto"/>
      </w:divBdr>
    </w:div>
    <w:div w:id="37323302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722291009">
      <w:bodyDiv w:val="1"/>
      <w:marLeft w:val="0"/>
      <w:marRight w:val="0"/>
      <w:marTop w:val="0"/>
      <w:marBottom w:val="0"/>
      <w:divBdr>
        <w:top w:val="none" w:sz="0" w:space="0" w:color="auto"/>
        <w:left w:val="none" w:sz="0" w:space="0" w:color="auto"/>
        <w:bottom w:val="none" w:sz="0" w:space="0" w:color="auto"/>
        <w:right w:val="none" w:sz="0" w:space="0" w:color="auto"/>
      </w:divBdr>
    </w:div>
    <w:div w:id="853304654">
      <w:bodyDiv w:val="1"/>
      <w:marLeft w:val="0"/>
      <w:marRight w:val="0"/>
      <w:marTop w:val="0"/>
      <w:marBottom w:val="0"/>
      <w:divBdr>
        <w:top w:val="none" w:sz="0" w:space="0" w:color="auto"/>
        <w:left w:val="none" w:sz="0" w:space="0" w:color="auto"/>
        <w:bottom w:val="none" w:sz="0" w:space="0" w:color="auto"/>
        <w:right w:val="none" w:sz="0" w:space="0" w:color="auto"/>
      </w:divBdr>
    </w:div>
    <w:div w:id="966394775">
      <w:bodyDiv w:val="1"/>
      <w:marLeft w:val="0"/>
      <w:marRight w:val="0"/>
      <w:marTop w:val="0"/>
      <w:marBottom w:val="0"/>
      <w:divBdr>
        <w:top w:val="none" w:sz="0" w:space="0" w:color="auto"/>
        <w:left w:val="none" w:sz="0" w:space="0" w:color="auto"/>
        <w:bottom w:val="none" w:sz="0" w:space="0" w:color="auto"/>
        <w:right w:val="none" w:sz="0" w:space="0" w:color="auto"/>
      </w:divBdr>
      <w:divsChild>
        <w:div w:id="617031851">
          <w:marLeft w:val="0"/>
          <w:marRight w:val="0"/>
          <w:marTop w:val="0"/>
          <w:marBottom w:val="0"/>
          <w:divBdr>
            <w:top w:val="none" w:sz="0" w:space="0" w:color="auto"/>
            <w:left w:val="none" w:sz="0" w:space="0" w:color="auto"/>
            <w:bottom w:val="none" w:sz="0" w:space="0" w:color="auto"/>
            <w:right w:val="none" w:sz="0" w:space="0" w:color="auto"/>
          </w:divBdr>
          <w:divsChild>
            <w:div w:id="75128686">
              <w:marLeft w:val="0"/>
              <w:marRight w:val="0"/>
              <w:marTop w:val="0"/>
              <w:marBottom w:val="0"/>
              <w:divBdr>
                <w:top w:val="none" w:sz="0" w:space="0" w:color="auto"/>
                <w:left w:val="none" w:sz="0" w:space="0" w:color="auto"/>
                <w:bottom w:val="none" w:sz="0" w:space="0" w:color="auto"/>
                <w:right w:val="none" w:sz="0" w:space="0" w:color="auto"/>
              </w:divBdr>
              <w:divsChild>
                <w:div w:id="5313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59285">
      <w:bodyDiv w:val="1"/>
      <w:marLeft w:val="0"/>
      <w:marRight w:val="0"/>
      <w:marTop w:val="0"/>
      <w:marBottom w:val="0"/>
      <w:divBdr>
        <w:top w:val="none" w:sz="0" w:space="0" w:color="auto"/>
        <w:left w:val="none" w:sz="0" w:space="0" w:color="auto"/>
        <w:bottom w:val="none" w:sz="0" w:space="0" w:color="auto"/>
        <w:right w:val="none" w:sz="0" w:space="0" w:color="auto"/>
      </w:divBdr>
    </w:div>
    <w:div w:id="1072700023">
      <w:bodyDiv w:val="1"/>
      <w:marLeft w:val="0"/>
      <w:marRight w:val="0"/>
      <w:marTop w:val="0"/>
      <w:marBottom w:val="0"/>
      <w:divBdr>
        <w:top w:val="none" w:sz="0" w:space="0" w:color="auto"/>
        <w:left w:val="none" w:sz="0" w:space="0" w:color="auto"/>
        <w:bottom w:val="none" w:sz="0" w:space="0" w:color="auto"/>
        <w:right w:val="none" w:sz="0" w:space="0" w:color="auto"/>
      </w:divBdr>
    </w:div>
    <w:div w:id="1218978186">
      <w:bodyDiv w:val="1"/>
      <w:marLeft w:val="0"/>
      <w:marRight w:val="0"/>
      <w:marTop w:val="0"/>
      <w:marBottom w:val="0"/>
      <w:divBdr>
        <w:top w:val="none" w:sz="0" w:space="0" w:color="auto"/>
        <w:left w:val="none" w:sz="0" w:space="0" w:color="auto"/>
        <w:bottom w:val="none" w:sz="0" w:space="0" w:color="auto"/>
        <w:right w:val="none" w:sz="0" w:space="0" w:color="auto"/>
      </w:divBdr>
      <w:divsChild>
        <w:div w:id="1400207170">
          <w:marLeft w:val="0"/>
          <w:marRight w:val="0"/>
          <w:marTop w:val="0"/>
          <w:marBottom w:val="0"/>
          <w:divBdr>
            <w:top w:val="none" w:sz="0" w:space="0" w:color="auto"/>
            <w:left w:val="none" w:sz="0" w:space="0" w:color="auto"/>
            <w:bottom w:val="none" w:sz="0" w:space="0" w:color="auto"/>
            <w:right w:val="none" w:sz="0" w:space="0" w:color="auto"/>
          </w:divBdr>
          <w:divsChild>
            <w:div w:id="835073420">
              <w:marLeft w:val="0"/>
              <w:marRight w:val="0"/>
              <w:marTop w:val="0"/>
              <w:marBottom w:val="0"/>
              <w:divBdr>
                <w:top w:val="none" w:sz="0" w:space="0" w:color="auto"/>
                <w:left w:val="none" w:sz="0" w:space="0" w:color="auto"/>
                <w:bottom w:val="none" w:sz="0" w:space="0" w:color="auto"/>
                <w:right w:val="none" w:sz="0" w:space="0" w:color="auto"/>
              </w:divBdr>
              <w:divsChild>
                <w:div w:id="6055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14014">
      <w:bodyDiv w:val="1"/>
      <w:marLeft w:val="0"/>
      <w:marRight w:val="0"/>
      <w:marTop w:val="0"/>
      <w:marBottom w:val="0"/>
      <w:divBdr>
        <w:top w:val="none" w:sz="0" w:space="0" w:color="auto"/>
        <w:left w:val="none" w:sz="0" w:space="0" w:color="auto"/>
        <w:bottom w:val="none" w:sz="0" w:space="0" w:color="auto"/>
        <w:right w:val="none" w:sz="0" w:space="0" w:color="auto"/>
      </w:divBdr>
      <w:divsChild>
        <w:div w:id="858349543">
          <w:marLeft w:val="0"/>
          <w:marRight w:val="0"/>
          <w:marTop w:val="0"/>
          <w:marBottom w:val="0"/>
          <w:divBdr>
            <w:top w:val="none" w:sz="0" w:space="0" w:color="auto"/>
            <w:left w:val="none" w:sz="0" w:space="0" w:color="auto"/>
            <w:bottom w:val="none" w:sz="0" w:space="0" w:color="auto"/>
            <w:right w:val="none" w:sz="0" w:space="0" w:color="auto"/>
          </w:divBdr>
          <w:divsChild>
            <w:div w:id="979726625">
              <w:marLeft w:val="0"/>
              <w:marRight w:val="0"/>
              <w:marTop w:val="0"/>
              <w:marBottom w:val="0"/>
              <w:divBdr>
                <w:top w:val="none" w:sz="0" w:space="0" w:color="auto"/>
                <w:left w:val="none" w:sz="0" w:space="0" w:color="auto"/>
                <w:bottom w:val="none" w:sz="0" w:space="0" w:color="auto"/>
                <w:right w:val="none" w:sz="0" w:space="0" w:color="auto"/>
              </w:divBdr>
              <w:divsChild>
                <w:div w:id="16680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3035">
      <w:bodyDiv w:val="1"/>
      <w:marLeft w:val="0"/>
      <w:marRight w:val="0"/>
      <w:marTop w:val="0"/>
      <w:marBottom w:val="0"/>
      <w:divBdr>
        <w:top w:val="none" w:sz="0" w:space="0" w:color="auto"/>
        <w:left w:val="none" w:sz="0" w:space="0" w:color="auto"/>
        <w:bottom w:val="none" w:sz="0" w:space="0" w:color="auto"/>
        <w:right w:val="none" w:sz="0" w:space="0" w:color="auto"/>
      </w:divBdr>
    </w:div>
    <w:div w:id="1676959236">
      <w:bodyDiv w:val="1"/>
      <w:marLeft w:val="0"/>
      <w:marRight w:val="0"/>
      <w:marTop w:val="0"/>
      <w:marBottom w:val="0"/>
      <w:divBdr>
        <w:top w:val="none" w:sz="0" w:space="0" w:color="auto"/>
        <w:left w:val="none" w:sz="0" w:space="0" w:color="auto"/>
        <w:bottom w:val="none" w:sz="0" w:space="0" w:color="auto"/>
        <w:right w:val="none" w:sz="0" w:space="0" w:color="auto"/>
      </w:divBdr>
    </w:div>
    <w:div w:id="1683580729">
      <w:bodyDiv w:val="1"/>
      <w:marLeft w:val="0"/>
      <w:marRight w:val="0"/>
      <w:marTop w:val="0"/>
      <w:marBottom w:val="0"/>
      <w:divBdr>
        <w:top w:val="none" w:sz="0" w:space="0" w:color="auto"/>
        <w:left w:val="none" w:sz="0" w:space="0" w:color="auto"/>
        <w:bottom w:val="none" w:sz="0" w:space="0" w:color="auto"/>
        <w:right w:val="none" w:sz="0" w:space="0" w:color="auto"/>
      </w:divBdr>
    </w:div>
    <w:div w:id="1705473892">
      <w:bodyDiv w:val="1"/>
      <w:marLeft w:val="0"/>
      <w:marRight w:val="0"/>
      <w:marTop w:val="0"/>
      <w:marBottom w:val="0"/>
      <w:divBdr>
        <w:top w:val="none" w:sz="0" w:space="0" w:color="auto"/>
        <w:left w:val="none" w:sz="0" w:space="0" w:color="auto"/>
        <w:bottom w:val="none" w:sz="0" w:space="0" w:color="auto"/>
        <w:right w:val="none" w:sz="0" w:space="0" w:color="auto"/>
      </w:divBdr>
      <w:divsChild>
        <w:div w:id="1419062054">
          <w:marLeft w:val="0"/>
          <w:marRight w:val="0"/>
          <w:marTop w:val="0"/>
          <w:marBottom w:val="0"/>
          <w:divBdr>
            <w:top w:val="none" w:sz="0" w:space="0" w:color="auto"/>
            <w:left w:val="none" w:sz="0" w:space="0" w:color="auto"/>
            <w:bottom w:val="none" w:sz="0" w:space="0" w:color="auto"/>
            <w:right w:val="none" w:sz="0" w:space="0" w:color="auto"/>
          </w:divBdr>
          <w:divsChild>
            <w:div w:id="1926452666">
              <w:marLeft w:val="0"/>
              <w:marRight w:val="0"/>
              <w:marTop w:val="0"/>
              <w:marBottom w:val="0"/>
              <w:divBdr>
                <w:top w:val="none" w:sz="0" w:space="0" w:color="auto"/>
                <w:left w:val="none" w:sz="0" w:space="0" w:color="auto"/>
                <w:bottom w:val="none" w:sz="0" w:space="0" w:color="auto"/>
                <w:right w:val="none" w:sz="0" w:space="0" w:color="auto"/>
              </w:divBdr>
              <w:divsChild>
                <w:div w:id="41656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79337">
      <w:bodyDiv w:val="1"/>
      <w:marLeft w:val="0"/>
      <w:marRight w:val="0"/>
      <w:marTop w:val="0"/>
      <w:marBottom w:val="0"/>
      <w:divBdr>
        <w:top w:val="none" w:sz="0" w:space="0" w:color="auto"/>
        <w:left w:val="none" w:sz="0" w:space="0" w:color="auto"/>
        <w:bottom w:val="none" w:sz="0" w:space="0" w:color="auto"/>
        <w:right w:val="none" w:sz="0" w:space="0" w:color="auto"/>
      </w:divBdr>
      <w:divsChild>
        <w:div w:id="1317225716">
          <w:marLeft w:val="0"/>
          <w:marRight w:val="0"/>
          <w:marTop w:val="0"/>
          <w:marBottom w:val="0"/>
          <w:divBdr>
            <w:top w:val="none" w:sz="0" w:space="0" w:color="auto"/>
            <w:left w:val="none" w:sz="0" w:space="0" w:color="auto"/>
            <w:bottom w:val="none" w:sz="0" w:space="0" w:color="auto"/>
            <w:right w:val="none" w:sz="0" w:space="0" w:color="auto"/>
          </w:divBdr>
          <w:divsChild>
            <w:div w:id="1278365623">
              <w:marLeft w:val="0"/>
              <w:marRight w:val="0"/>
              <w:marTop w:val="0"/>
              <w:marBottom w:val="0"/>
              <w:divBdr>
                <w:top w:val="none" w:sz="0" w:space="0" w:color="auto"/>
                <w:left w:val="none" w:sz="0" w:space="0" w:color="auto"/>
                <w:bottom w:val="none" w:sz="0" w:space="0" w:color="auto"/>
                <w:right w:val="none" w:sz="0" w:space="0" w:color="auto"/>
              </w:divBdr>
              <w:divsChild>
                <w:div w:id="6998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5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teqsa.gov.au/regulatory-approach/riskassess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c7dac4e8-3feb-44f4-96ca-b86e7c14d0f6"/>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Memo Template</vt:lpstr>
    </vt:vector>
  </TitlesOfParts>
  <Company>Tertiary Education Quality and Standards Agency</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creator>May, Raphael</dc:creator>
  <cp:lastModifiedBy>Hewitt-McManus, Tom</cp:lastModifiedBy>
  <cp:revision>2</cp:revision>
  <cp:lastPrinted>2017-10-11T04:22:00Z</cp:lastPrinted>
  <dcterms:created xsi:type="dcterms:W3CDTF">2019-03-08T01:19:00Z</dcterms:created>
  <dcterms:modified xsi:type="dcterms:W3CDTF">2019-03-08T01:19:00Z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