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9D" w:rsidRDefault="001E079D" w:rsidP="001E079D">
      <w:pPr>
        <w:pStyle w:val="Heading1"/>
        <w:rPr>
          <w:color w:val="00A398"/>
        </w:rPr>
      </w:pPr>
      <w:r w:rsidRPr="001E079D">
        <w:rPr>
          <w:color w:val="00A398"/>
        </w:rPr>
        <w:t>Prospective higher education providers update</w:t>
      </w:r>
    </w:p>
    <w:p w:rsidR="001E079D" w:rsidRPr="001E079D" w:rsidRDefault="001E079D" w:rsidP="001E079D">
      <w:pPr>
        <w:rPr>
          <w:rStyle w:val="SubtleEmphasis"/>
        </w:rPr>
      </w:pPr>
      <w:r w:rsidRPr="001E079D">
        <w:rPr>
          <w:rStyle w:val="SubtleEmphasis"/>
        </w:rPr>
        <w:t xml:space="preserve">For </w:t>
      </w:r>
      <w:r w:rsidR="00567572">
        <w:rPr>
          <w:rStyle w:val="SubtleEmphasis"/>
        </w:rPr>
        <w:t>October – December 2016</w:t>
      </w:r>
      <w:r>
        <w:rPr>
          <w:rStyle w:val="SubtleEmphasis"/>
        </w:rPr>
        <w:t xml:space="preserve"> (Ma</w:t>
      </w:r>
      <w:r w:rsidR="00567572">
        <w:rPr>
          <w:rStyle w:val="SubtleEmphasis"/>
        </w:rPr>
        <w:t>rch</w:t>
      </w:r>
      <w:r>
        <w:rPr>
          <w:rStyle w:val="SubtleEmphasis"/>
        </w:rPr>
        <w:t xml:space="preserve"> 2017)</w:t>
      </w:r>
    </w:p>
    <w:p w:rsidR="00567572" w:rsidRPr="00CC5ABA" w:rsidRDefault="00567572" w:rsidP="00567572">
      <w:pPr>
        <w:pStyle w:val="Heading2"/>
        <w:numPr>
          <w:ilvl w:val="0"/>
          <w:numId w:val="13"/>
        </w:numPr>
        <w:spacing w:before="240" w:after="80" w:line="480" w:lineRule="exact"/>
        <w:ind w:left="425" w:hanging="425"/>
      </w:pPr>
      <w:r w:rsidRPr="00CC5ABA">
        <w:t>Overview</w:t>
      </w:r>
    </w:p>
    <w:p w:rsidR="00567572" w:rsidRDefault="00567572" w:rsidP="00567572">
      <w:pPr>
        <w:spacing w:before="160"/>
        <w:rPr>
          <w:lang w:eastAsia="en-AU"/>
        </w:rPr>
      </w:pPr>
      <w:r>
        <w:rPr>
          <w:lang w:eastAsia="en-AU"/>
        </w:rPr>
        <w:t xml:space="preserve">Since the inception of TEQSA in January 2012, </w:t>
      </w:r>
      <w:r w:rsidRPr="006B6F60">
        <w:rPr>
          <w:b/>
          <w:lang w:eastAsia="en-AU"/>
        </w:rPr>
        <w:t>122</w:t>
      </w:r>
      <w:r>
        <w:rPr>
          <w:lang w:eastAsia="en-AU"/>
        </w:rPr>
        <w:t xml:space="preserve"> organisations have submitted or indicated their intention to submit applications for initial registration to TEQSA. </w:t>
      </w:r>
    </w:p>
    <w:p w:rsidR="00567572" w:rsidRDefault="00567572" w:rsidP="00567572">
      <w:pPr>
        <w:spacing w:before="160"/>
        <w:rPr>
          <w:lang w:eastAsia="en-AU"/>
        </w:rPr>
      </w:pPr>
      <w:r>
        <w:rPr>
          <w:lang w:eastAsia="en-AU"/>
        </w:rPr>
        <w:t xml:space="preserve">Applicants for registration as higher education providers are subject to a two-stage process: preliminary assessment and, if the requirements of section 19 of the </w:t>
      </w:r>
      <w:r w:rsidRPr="008B27A6">
        <w:rPr>
          <w:i/>
          <w:lang w:eastAsia="en-AU"/>
        </w:rPr>
        <w:t xml:space="preserve">Tertiary Education Quality and Standards Agency Act 2011 </w:t>
      </w:r>
      <w:r>
        <w:rPr>
          <w:lang w:eastAsia="en-AU"/>
        </w:rPr>
        <w:t>have been met, substantive assessment. Registration applications must include applications for accreditation of one or more course(s) of study, and are therefore assessed against the full Higher Education Standards Framework (Threshold Standards), as opposed to the reduced requirements for renewal of registration applications under TEQSA’s Core+ model of assessment.</w:t>
      </w:r>
    </w:p>
    <w:p w:rsidR="00567572" w:rsidRDefault="00567572" w:rsidP="00567572">
      <w:pPr>
        <w:spacing w:before="160"/>
        <w:rPr>
          <w:lang w:eastAsia="en-AU"/>
        </w:rPr>
      </w:pPr>
    </w:p>
    <w:p w:rsidR="00567572" w:rsidRDefault="00567572" w:rsidP="00567572">
      <w:pPr>
        <w:pStyle w:val="Heading2"/>
        <w:numPr>
          <w:ilvl w:val="0"/>
          <w:numId w:val="13"/>
        </w:numPr>
        <w:spacing w:before="240" w:after="80" w:line="480" w:lineRule="exact"/>
        <w:ind w:left="425" w:hanging="425"/>
      </w:pPr>
      <w:r w:rsidRPr="000E3A6A">
        <w:t>Prospective higher education providers</w:t>
      </w:r>
    </w:p>
    <w:p w:rsidR="00567572" w:rsidRPr="0060436A" w:rsidRDefault="00567572" w:rsidP="00567572">
      <w:pPr>
        <w:spacing w:before="160"/>
        <w:rPr>
          <w:lang w:eastAsia="en-AU"/>
        </w:rPr>
      </w:pPr>
      <w:r w:rsidRPr="0060436A">
        <w:rPr>
          <w:lang w:eastAsia="en-AU"/>
        </w:rPr>
        <w:t>This report, drawn from data captured on 31 December 2016, provides summary statistics of the status o</w:t>
      </w:r>
      <w:r>
        <w:rPr>
          <w:lang w:eastAsia="en-AU"/>
        </w:rPr>
        <w:t>f applications and prospective Higher Education P</w:t>
      </w:r>
      <w:r w:rsidRPr="0060436A">
        <w:rPr>
          <w:lang w:eastAsia="en-AU"/>
        </w:rPr>
        <w:t>roviders (HEPs), organised by:</w:t>
      </w:r>
    </w:p>
    <w:p w:rsidR="00567572" w:rsidRPr="0060436A" w:rsidRDefault="00567572" w:rsidP="0070529F">
      <w:pPr>
        <w:numPr>
          <w:ilvl w:val="0"/>
          <w:numId w:val="20"/>
        </w:numPr>
        <w:spacing w:before="40" w:line="280" w:lineRule="exact"/>
        <w:rPr>
          <w:lang w:val="en-US" w:eastAsia="en-AU"/>
        </w:rPr>
      </w:pPr>
      <w:r w:rsidRPr="0060436A">
        <w:rPr>
          <w:i/>
          <w:lang w:val="en-US" w:eastAsia="en-AU"/>
        </w:rPr>
        <w:t>pre-submission applicants</w:t>
      </w:r>
      <w:r w:rsidRPr="0060436A">
        <w:rPr>
          <w:lang w:val="en-US" w:eastAsia="en-AU"/>
        </w:rPr>
        <w:t xml:space="preserve"> </w:t>
      </w:r>
      <w:r>
        <w:rPr>
          <w:lang w:val="en-US" w:eastAsia="en-AU"/>
        </w:rPr>
        <w:t xml:space="preserve">(pre-sub) </w:t>
      </w:r>
      <w:r w:rsidRPr="008B27A6">
        <w:rPr>
          <w:lang w:val="en-US" w:eastAsia="en-AU"/>
        </w:rPr>
        <w:t xml:space="preserve">– </w:t>
      </w:r>
      <w:r w:rsidRPr="0060436A">
        <w:rPr>
          <w:lang w:val="en-US" w:eastAsia="en-AU"/>
        </w:rPr>
        <w:t xml:space="preserve">those who have indicated an intention to submit an application for registration but are yet to do so; and </w:t>
      </w:r>
    </w:p>
    <w:p w:rsidR="00567572" w:rsidRPr="0060436A" w:rsidRDefault="00567572" w:rsidP="0070529F">
      <w:pPr>
        <w:numPr>
          <w:ilvl w:val="0"/>
          <w:numId w:val="20"/>
        </w:numPr>
        <w:spacing w:before="40" w:line="280" w:lineRule="exact"/>
        <w:rPr>
          <w:lang w:val="en-US" w:eastAsia="en-AU"/>
        </w:rPr>
      </w:pPr>
      <w:proofErr w:type="gramStart"/>
      <w:r w:rsidRPr="0060436A">
        <w:rPr>
          <w:i/>
          <w:lang w:val="en-US" w:eastAsia="en-AU"/>
        </w:rPr>
        <w:t>post-submission</w:t>
      </w:r>
      <w:proofErr w:type="gramEnd"/>
      <w:r w:rsidRPr="0060436A">
        <w:rPr>
          <w:i/>
          <w:lang w:val="en-US" w:eastAsia="en-AU"/>
        </w:rPr>
        <w:t xml:space="preserve"> applicants</w:t>
      </w:r>
      <w:r w:rsidRPr="0060436A">
        <w:rPr>
          <w:lang w:val="en-US" w:eastAsia="en-AU"/>
        </w:rPr>
        <w:t xml:space="preserve"> </w:t>
      </w:r>
      <w:r>
        <w:rPr>
          <w:lang w:val="en-US" w:eastAsia="en-AU"/>
        </w:rPr>
        <w:t xml:space="preserve">(post-sub) </w:t>
      </w:r>
      <w:r w:rsidRPr="008B27A6">
        <w:rPr>
          <w:lang w:val="en-US" w:eastAsia="en-AU"/>
        </w:rPr>
        <w:t>–</w:t>
      </w:r>
      <w:r w:rsidRPr="0060436A">
        <w:rPr>
          <w:lang w:val="en-US" w:eastAsia="en-AU"/>
        </w:rPr>
        <w:t xml:space="preserve"> those who have submitted registration applications, the assessment of which has not yet been </w:t>
      </w:r>
      <w:proofErr w:type="spellStart"/>
      <w:r w:rsidRPr="0060436A">
        <w:rPr>
          <w:lang w:val="en-US" w:eastAsia="en-AU"/>
        </w:rPr>
        <w:t>finalised</w:t>
      </w:r>
      <w:proofErr w:type="spellEnd"/>
      <w:r w:rsidRPr="0060436A">
        <w:rPr>
          <w:lang w:val="en-US" w:eastAsia="en-AU"/>
        </w:rPr>
        <w:t>.</w:t>
      </w:r>
    </w:p>
    <w:p w:rsidR="00567572" w:rsidRDefault="00567572" w:rsidP="00567572">
      <w:pPr>
        <w:spacing w:before="160"/>
        <w:rPr>
          <w:lang w:eastAsia="en-AU"/>
        </w:rPr>
      </w:pPr>
      <w:r w:rsidRPr="0063647F">
        <w:rPr>
          <w:lang w:eastAsia="en-AU"/>
        </w:rPr>
        <w:t xml:space="preserve">It is </w:t>
      </w:r>
      <w:r>
        <w:rPr>
          <w:lang w:eastAsia="en-AU"/>
        </w:rPr>
        <w:t>intended that this report be published quarterly.</w:t>
      </w:r>
    </w:p>
    <w:p w:rsidR="00567572" w:rsidRDefault="00567572" w:rsidP="00567572">
      <w:pPr>
        <w:spacing w:before="160"/>
        <w:rPr>
          <w:lang w:eastAsia="en-AU"/>
        </w:rPr>
      </w:pPr>
      <w:r w:rsidRPr="009F4B88">
        <w:rPr>
          <w:lang w:eastAsia="en-AU"/>
        </w:rPr>
        <w:t>Note: withdrawals of applications can occur at any stage of the assessment process.</w:t>
      </w:r>
    </w:p>
    <w:p w:rsidR="00567572" w:rsidRDefault="00567572" w:rsidP="00567572">
      <w:pPr>
        <w:spacing w:before="160"/>
        <w:rPr>
          <w:lang w:eastAsia="en-AU"/>
        </w:rPr>
      </w:pPr>
    </w:p>
    <w:p w:rsidR="00567572" w:rsidRDefault="00567572" w:rsidP="00567572">
      <w:pPr>
        <w:pStyle w:val="Heading2"/>
        <w:numPr>
          <w:ilvl w:val="0"/>
          <w:numId w:val="13"/>
        </w:numPr>
        <w:spacing w:before="240" w:after="80" w:line="480" w:lineRule="exact"/>
        <w:ind w:left="425" w:hanging="425"/>
      </w:pPr>
      <w:r w:rsidRPr="000E3A6A">
        <w:t>Statistics of note</w:t>
      </w:r>
    </w:p>
    <w:p w:rsidR="00567572" w:rsidRPr="00EE0382" w:rsidRDefault="00567572" w:rsidP="0070529F">
      <w:pPr>
        <w:numPr>
          <w:ilvl w:val="0"/>
          <w:numId w:val="21"/>
        </w:numPr>
        <w:spacing w:before="40" w:after="240" w:line="280" w:lineRule="exact"/>
        <w:rPr>
          <w:lang w:val="en-US" w:eastAsia="en-AU"/>
        </w:rPr>
      </w:pPr>
      <w:r w:rsidRPr="00EE0382">
        <w:rPr>
          <w:lang w:val="en-US" w:eastAsia="en-AU"/>
        </w:rPr>
        <w:t xml:space="preserve">As of 31 December 2016 there were </w:t>
      </w:r>
      <w:r w:rsidRPr="00EE0382">
        <w:rPr>
          <w:b/>
          <w:lang w:val="en-US" w:eastAsia="en-AU"/>
        </w:rPr>
        <w:t>86 prospective providers</w:t>
      </w:r>
      <w:r w:rsidRPr="00EE0382">
        <w:rPr>
          <w:lang w:val="en-US" w:eastAsia="en-AU"/>
        </w:rPr>
        <w:t xml:space="preserve"> to the higher education (HE) sector which currently consists of </w:t>
      </w:r>
      <w:r w:rsidRPr="00EE0382">
        <w:rPr>
          <w:b/>
          <w:lang w:val="en-US" w:eastAsia="en-AU"/>
        </w:rPr>
        <w:t>168 registered providers</w:t>
      </w:r>
      <w:r w:rsidRPr="00EE0382">
        <w:rPr>
          <w:lang w:val="en-US" w:eastAsia="en-AU"/>
        </w:rPr>
        <w:t>.</w:t>
      </w:r>
    </w:p>
    <w:p w:rsidR="00567572" w:rsidRPr="00EE0382" w:rsidRDefault="00567572" w:rsidP="0070529F">
      <w:pPr>
        <w:numPr>
          <w:ilvl w:val="0"/>
          <w:numId w:val="21"/>
        </w:numPr>
        <w:spacing w:before="40" w:after="240" w:line="280" w:lineRule="exact"/>
        <w:rPr>
          <w:lang w:val="en-US" w:eastAsia="en-AU"/>
        </w:rPr>
      </w:pPr>
      <w:r w:rsidRPr="00EE0382">
        <w:rPr>
          <w:lang w:val="en-US" w:eastAsia="en-AU"/>
        </w:rPr>
        <w:t xml:space="preserve">Of the 86 prospective providers, </w:t>
      </w:r>
      <w:r w:rsidRPr="00EE0382">
        <w:rPr>
          <w:b/>
          <w:lang w:val="en-US" w:eastAsia="en-AU"/>
        </w:rPr>
        <w:t xml:space="preserve">50 are registered training </w:t>
      </w:r>
      <w:proofErr w:type="spellStart"/>
      <w:r w:rsidRPr="00EE0382">
        <w:rPr>
          <w:b/>
          <w:lang w:val="en-US" w:eastAsia="en-AU"/>
        </w:rPr>
        <w:t>organisations</w:t>
      </w:r>
      <w:proofErr w:type="spellEnd"/>
      <w:r w:rsidRPr="00EE0382">
        <w:rPr>
          <w:b/>
          <w:lang w:val="en-US" w:eastAsia="en-AU"/>
        </w:rPr>
        <w:t xml:space="preserve"> (RTO)</w:t>
      </w:r>
      <w:r w:rsidRPr="00EE0382">
        <w:rPr>
          <w:lang w:val="en-US" w:eastAsia="en-AU"/>
        </w:rPr>
        <w:t>.</w:t>
      </w:r>
    </w:p>
    <w:p w:rsidR="00567572" w:rsidRDefault="00567572" w:rsidP="0070529F">
      <w:pPr>
        <w:numPr>
          <w:ilvl w:val="0"/>
          <w:numId w:val="21"/>
        </w:numPr>
        <w:spacing w:before="40" w:after="240" w:line="280" w:lineRule="exact"/>
        <w:rPr>
          <w:lang w:val="en-US" w:eastAsia="en-AU"/>
        </w:rPr>
      </w:pPr>
      <w:r w:rsidRPr="00EE0382">
        <w:rPr>
          <w:lang w:val="en-US" w:eastAsia="en-AU"/>
        </w:rPr>
        <w:t xml:space="preserve">During Q2 2016/2017, </w:t>
      </w:r>
      <w:r w:rsidRPr="00EE0382">
        <w:rPr>
          <w:b/>
          <w:lang w:val="en-US" w:eastAsia="en-AU"/>
        </w:rPr>
        <w:t xml:space="preserve">10 new </w:t>
      </w:r>
      <w:proofErr w:type="spellStart"/>
      <w:r w:rsidRPr="00EE0382">
        <w:rPr>
          <w:b/>
          <w:lang w:val="en-US" w:eastAsia="en-AU"/>
        </w:rPr>
        <w:t>organisations</w:t>
      </w:r>
      <w:proofErr w:type="spellEnd"/>
      <w:r w:rsidRPr="00EE0382">
        <w:rPr>
          <w:b/>
          <w:lang w:val="en-US" w:eastAsia="en-AU"/>
        </w:rPr>
        <w:t xml:space="preserve"> applied</w:t>
      </w:r>
      <w:r w:rsidRPr="00EE0382">
        <w:rPr>
          <w:lang w:val="en-US" w:eastAsia="en-AU"/>
        </w:rPr>
        <w:t xml:space="preserve">, or advised of their intention to apply, to enter the HE sector. Of these 10 </w:t>
      </w:r>
      <w:proofErr w:type="spellStart"/>
      <w:r w:rsidRPr="00EE0382">
        <w:rPr>
          <w:lang w:val="en-US" w:eastAsia="en-AU"/>
        </w:rPr>
        <w:t>organisations</w:t>
      </w:r>
      <w:proofErr w:type="spellEnd"/>
      <w:r w:rsidRPr="00EE0382">
        <w:rPr>
          <w:lang w:val="en-US" w:eastAsia="en-AU"/>
        </w:rPr>
        <w:t xml:space="preserve">, </w:t>
      </w:r>
      <w:r w:rsidRPr="00EE0382">
        <w:rPr>
          <w:b/>
          <w:lang w:val="en-US" w:eastAsia="en-AU"/>
        </w:rPr>
        <w:t>80% identified as an RTO – an increase from 30% in Q1 2016/2017</w:t>
      </w:r>
      <w:r w:rsidRPr="00EE0382">
        <w:rPr>
          <w:lang w:val="en-US" w:eastAsia="en-AU"/>
        </w:rPr>
        <w:t>.</w:t>
      </w:r>
    </w:p>
    <w:p w:rsidR="00567572" w:rsidRDefault="00567572" w:rsidP="0070529F">
      <w:pPr>
        <w:numPr>
          <w:ilvl w:val="0"/>
          <w:numId w:val="21"/>
        </w:numPr>
        <w:spacing w:before="40" w:after="240" w:line="280" w:lineRule="exact"/>
        <w:rPr>
          <w:lang w:eastAsia="en-AU"/>
        </w:rPr>
      </w:pPr>
      <w:r w:rsidRPr="00AF26DB">
        <w:rPr>
          <w:lang w:val="en-US" w:eastAsia="en-AU"/>
        </w:rPr>
        <w:lastRenderedPageBreak/>
        <w:t xml:space="preserve">The number of applications under assessment grew from </w:t>
      </w:r>
      <w:r w:rsidRPr="00AF26DB">
        <w:rPr>
          <w:b/>
          <w:lang w:val="en-US" w:eastAsia="en-AU"/>
        </w:rPr>
        <w:t>24 in Q1 2016/2017</w:t>
      </w:r>
      <w:r w:rsidRPr="00AF26DB">
        <w:rPr>
          <w:lang w:val="en-US" w:eastAsia="en-AU"/>
        </w:rPr>
        <w:t xml:space="preserve"> to </w:t>
      </w:r>
      <w:r w:rsidRPr="00AF26DB">
        <w:rPr>
          <w:b/>
          <w:lang w:val="en-US" w:eastAsia="en-AU"/>
        </w:rPr>
        <w:t>35 in Q2 2016/2017, an increase of 45%</w:t>
      </w:r>
      <w:r w:rsidRPr="00AF26DB">
        <w:rPr>
          <w:lang w:val="en-US" w:eastAsia="en-AU"/>
        </w:rPr>
        <w:t>.</w:t>
      </w:r>
    </w:p>
    <w:p w:rsidR="00567572" w:rsidRDefault="00567572" w:rsidP="00567572">
      <w:pPr>
        <w:pStyle w:val="Heading2"/>
        <w:numPr>
          <w:ilvl w:val="0"/>
          <w:numId w:val="13"/>
        </w:numPr>
        <w:spacing w:before="240" w:after="80" w:line="480" w:lineRule="exact"/>
        <w:ind w:left="425" w:hanging="425"/>
      </w:pPr>
      <w:r>
        <w:t>Quarter overview</w:t>
      </w:r>
    </w:p>
    <w:p w:rsidR="00567572" w:rsidRDefault="00567572" w:rsidP="00567572">
      <w:pPr>
        <w:rPr>
          <w:lang w:val="en-US"/>
        </w:rPr>
      </w:pPr>
      <w:r>
        <w:rPr>
          <w:lang w:val="en-US"/>
        </w:rPr>
        <w:t>The following statistics in the ‘Quarter overview’ represent the</w:t>
      </w:r>
      <w:r w:rsidRPr="006B6F60">
        <w:rPr>
          <w:lang w:val="en-US"/>
        </w:rPr>
        <w:t xml:space="preserve"> numbers of providers in each status/</w:t>
      </w:r>
      <w:r>
        <w:rPr>
          <w:lang w:val="en-US"/>
        </w:rPr>
        <w:t xml:space="preserve">decision </w:t>
      </w:r>
      <w:r w:rsidRPr="006B6F60">
        <w:rPr>
          <w:lang w:val="en-US"/>
        </w:rPr>
        <w:t xml:space="preserve">category </w:t>
      </w:r>
      <w:r w:rsidRPr="006B6F60">
        <w:rPr>
          <w:i/>
          <w:lang w:val="en-US"/>
        </w:rPr>
        <w:t>during</w:t>
      </w:r>
      <w:r w:rsidRPr="006B6F60">
        <w:rPr>
          <w:lang w:val="en-US"/>
        </w:rPr>
        <w:t xml:space="preserve"> the relevant quarter</w:t>
      </w:r>
      <w:r>
        <w:rPr>
          <w:lang w:val="en-US"/>
        </w:rPr>
        <w:t xml:space="preserve">. </w:t>
      </w:r>
      <w:r w:rsidRPr="009F7D01">
        <w:rPr>
          <w:b/>
          <w:lang w:val="en-US"/>
        </w:rPr>
        <w:t>Note</w:t>
      </w:r>
      <w:r>
        <w:rPr>
          <w:lang w:val="en-US"/>
        </w:rPr>
        <w:t>: these figures</w:t>
      </w:r>
      <w:r w:rsidRPr="006B6F60">
        <w:rPr>
          <w:lang w:val="en-US"/>
        </w:rPr>
        <w:t xml:space="preserve"> </w:t>
      </w:r>
      <w:r w:rsidRPr="008B27A6">
        <w:rPr>
          <w:lang w:val="en-US"/>
        </w:rPr>
        <w:t>are</w:t>
      </w:r>
      <w:r w:rsidRPr="00ED1760">
        <w:rPr>
          <w:b/>
          <w:i/>
          <w:lang w:val="en-US"/>
        </w:rPr>
        <w:t xml:space="preserve"> not</w:t>
      </w:r>
      <w:r>
        <w:rPr>
          <w:lang w:val="en-US"/>
        </w:rPr>
        <w:t xml:space="preserve"> </w:t>
      </w:r>
      <w:r w:rsidRPr="008B27A6">
        <w:rPr>
          <w:b/>
          <w:i/>
          <w:lang w:val="en-US"/>
        </w:rPr>
        <w:t>cumulative</w:t>
      </w:r>
      <w:r>
        <w:rPr>
          <w:lang w:val="en-US"/>
        </w:rPr>
        <w:t xml:space="preserve"> (e.g. </w:t>
      </w:r>
      <w:r w:rsidRPr="009F7D01">
        <w:rPr>
          <w:i/>
          <w:lang w:val="en-US"/>
        </w:rPr>
        <w:t>From</w:t>
      </w:r>
      <w:r>
        <w:rPr>
          <w:lang w:val="en-US"/>
        </w:rPr>
        <w:t xml:space="preserve"> 3 October – 31 December 2016 (Q2) 10 new providers were recorded with TEQSA).</w:t>
      </w:r>
    </w:p>
    <w:p w:rsidR="00567572" w:rsidRDefault="00567572" w:rsidP="00567572">
      <w:pPr>
        <w:rPr>
          <w:lang w:val="en-US"/>
        </w:rPr>
      </w:pPr>
    </w:p>
    <w:tbl>
      <w:tblPr>
        <w:tblStyle w:val="TableGrid"/>
        <w:tblW w:w="9606" w:type="dxa"/>
        <w:tblBorders>
          <w:insideH w:val="none" w:sz="0" w:space="0" w:color="auto"/>
          <w:insideV w:val="none" w:sz="0" w:space="0" w:color="auto"/>
        </w:tblBorders>
        <w:tblLook w:val="04A0" w:firstRow="1" w:lastRow="0" w:firstColumn="1" w:lastColumn="0" w:noHBand="0" w:noVBand="1"/>
      </w:tblPr>
      <w:tblGrid>
        <w:gridCol w:w="5812"/>
        <w:gridCol w:w="1897"/>
        <w:gridCol w:w="1897"/>
      </w:tblGrid>
      <w:tr w:rsidR="00567572" w:rsidTr="00AF26DB">
        <w:trPr>
          <w:trHeight w:val="567"/>
          <w:tblHeader/>
        </w:trPr>
        <w:tc>
          <w:tcPr>
            <w:tcW w:w="5812" w:type="dxa"/>
            <w:tcBorders>
              <w:bottom w:val="nil"/>
            </w:tcBorders>
            <w:shd w:val="clear" w:color="auto" w:fill="000000" w:themeFill="text1"/>
          </w:tcPr>
          <w:p w:rsidR="00567572" w:rsidRPr="005A7DEE" w:rsidRDefault="00567572" w:rsidP="008E1FB1">
            <w:pPr>
              <w:pStyle w:val="TableHeadings"/>
              <w:spacing w:before="120" w:after="120"/>
              <w:jc w:val="left"/>
              <w:rPr>
                <w:b w:val="0"/>
                <w:sz w:val="21"/>
                <w:szCs w:val="21"/>
              </w:rPr>
            </w:pPr>
            <w:r w:rsidRPr="005A7DEE">
              <w:rPr>
                <w:sz w:val="21"/>
                <w:szCs w:val="21"/>
              </w:rPr>
              <w:t>Provider status/decision</w:t>
            </w:r>
          </w:p>
        </w:tc>
        <w:tc>
          <w:tcPr>
            <w:tcW w:w="1897" w:type="dxa"/>
            <w:tcBorders>
              <w:bottom w:val="nil"/>
            </w:tcBorders>
            <w:shd w:val="clear" w:color="auto" w:fill="000000" w:themeFill="text1"/>
          </w:tcPr>
          <w:p w:rsidR="00567572" w:rsidRPr="005A7DEE" w:rsidRDefault="00567572" w:rsidP="008E1FB1">
            <w:pPr>
              <w:pStyle w:val="TableHeadings"/>
              <w:spacing w:before="120" w:after="120"/>
              <w:rPr>
                <w:b w:val="0"/>
                <w:sz w:val="21"/>
                <w:szCs w:val="21"/>
              </w:rPr>
            </w:pPr>
            <w:r w:rsidRPr="005A7DEE">
              <w:rPr>
                <w:sz w:val="21"/>
                <w:szCs w:val="21"/>
              </w:rPr>
              <w:t>Q1 2016</w:t>
            </w:r>
          </w:p>
        </w:tc>
        <w:tc>
          <w:tcPr>
            <w:tcW w:w="1897" w:type="dxa"/>
            <w:tcBorders>
              <w:bottom w:val="nil"/>
            </w:tcBorders>
            <w:shd w:val="clear" w:color="auto" w:fill="000000" w:themeFill="text1"/>
          </w:tcPr>
          <w:p w:rsidR="00567572" w:rsidRPr="005A7DEE" w:rsidRDefault="00567572" w:rsidP="008E1FB1">
            <w:pPr>
              <w:pStyle w:val="TableHeadings"/>
              <w:spacing w:before="120" w:after="120"/>
              <w:rPr>
                <w:b w:val="0"/>
                <w:sz w:val="21"/>
                <w:szCs w:val="21"/>
              </w:rPr>
            </w:pPr>
            <w:r w:rsidRPr="005A7DEE">
              <w:rPr>
                <w:sz w:val="21"/>
                <w:szCs w:val="21"/>
              </w:rPr>
              <w:t>Q2 2016</w:t>
            </w:r>
          </w:p>
        </w:tc>
      </w:tr>
      <w:tr w:rsidR="00567572" w:rsidTr="00DE6790">
        <w:trPr>
          <w:trHeight w:val="567"/>
        </w:trPr>
        <w:tc>
          <w:tcPr>
            <w:tcW w:w="5812" w:type="dxa"/>
            <w:tcBorders>
              <w:top w:val="nil"/>
              <w:bottom w:val="nil"/>
            </w:tcBorders>
            <w:shd w:val="clear" w:color="auto" w:fill="E5F6F6"/>
            <w:vAlign w:val="center"/>
          </w:tcPr>
          <w:p w:rsidR="00567572" w:rsidRPr="009E6743" w:rsidRDefault="00567572" w:rsidP="0070529F">
            <w:pPr>
              <w:pStyle w:val="BulletsL2"/>
              <w:numPr>
                <w:ilvl w:val="0"/>
                <w:numId w:val="22"/>
              </w:numPr>
            </w:pPr>
            <w:r w:rsidRPr="009E6743">
              <w:t>Decisions to register new providers</w:t>
            </w:r>
          </w:p>
        </w:tc>
        <w:tc>
          <w:tcPr>
            <w:tcW w:w="1897" w:type="dxa"/>
            <w:tcBorders>
              <w:top w:val="nil"/>
              <w:bottom w:val="nil"/>
            </w:tcBorders>
            <w:shd w:val="clear" w:color="auto" w:fill="E5F6F6"/>
            <w:vAlign w:val="center"/>
          </w:tcPr>
          <w:p w:rsidR="00567572" w:rsidRDefault="00567572" w:rsidP="008E1FB1">
            <w:pPr>
              <w:spacing w:before="80" w:after="80" w:line="240" w:lineRule="exact"/>
              <w:jc w:val="center"/>
              <w:rPr>
                <w:highlight w:val="yellow"/>
              </w:rPr>
            </w:pPr>
            <w:r>
              <w:t>1</w:t>
            </w:r>
          </w:p>
        </w:tc>
        <w:tc>
          <w:tcPr>
            <w:tcW w:w="1897" w:type="dxa"/>
            <w:tcBorders>
              <w:top w:val="nil"/>
              <w:bottom w:val="nil"/>
            </w:tcBorders>
            <w:shd w:val="clear" w:color="auto" w:fill="E5F6F6"/>
            <w:vAlign w:val="center"/>
          </w:tcPr>
          <w:p w:rsidR="00567572" w:rsidRDefault="00567572" w:rsidP="008E1FB1">
            <w:pPr>
              <w:spacing w:before="80" w:after="80" w:line="240" w:lineRule="exact"/>
              <w:jc w:val="center"/>
            </w:pPr>
            <w:r>
              <w:t>2</w:t>
            </w:r>
          </w:p>
        </w:tc>
      </w:tr>
      <w:tr w:rsidR="00567572" w:rsidTr="00DE6790">
        <w:trPr>
          <w:trHeight w:val="567"/>
        </w:trPr>
        <w:tc>
          <w:tcPr>
            <w:tcW w:w="5812" w:type="dxa"/>
            <w:tcBorders>
              <w:top w:val="nil"/>
              <w:bottom w:val="nil"/>
            </w:tcBorders>
            <w:vAlign w:val="center"/>
          </w:tcPr>
          <w:p w:rsidR="00567572" w:rsidRPr="009E6743" w:rsidRDefault="00567572" w:rsidP="0070529F">
            <w:pPr>
              <w:pStyle w:val="BulletsL2"/>
              <w:numPr>
                <w:ilvl w:val="0"/>
                <w:numId w:val="22"/>
              </w:numPr>
            </w:pPr>
            <w:r w:rsidRPr="009E6743">
              <w:t>Applicant withdrew registration</w:t>
            </w:r>
          </w:p>
        </w:tc>
        <w:tc>
          <w:tcPr>
            <w:tcW w:w="1897" w:type="dxa"/>
            <w:tcBorders>
              <w:top w:val="nil"/>
              <w:bottom w:val="nil"/>
            </w:tcBorders>
            <w:vAlign w:val="center"/>
          </w:tcPr>
          <w:p w:rsidR="00567572" w:rsidRDefault="00567572" w:rsidP="008E1FB1">
            <w:pPr>
              <w:spacing w:before="80" w:after="80" w:line="240" w:lineRule="exact"/>
              <w:jc w:val="center"/>
            </w:pPr>
            <w:r>
              <w:t>1</w:t>
            </w:r>
          </w:p>
        </w:tc>
        <w:tc>
          <w:tcPr>
            <w:tcW w:w="1897" w:type="dxa"/>
            <w:tcBorders>
              <w:top w:val="nil"/>
              <w:bottom w:val="nil"/>
            </w:tcBorders>
            <w:vAlign w:val="center"/>
          </w:tcPr>
          <w:p w:rsidR="00567572" w:rsidRDefault="00567572" w:rsidP="008E1FB1">
            <w:pPr>
              <w:spacing w:before="80" w:after="80" w:line="240" w:lineRule="exact"/>
              <w:jc w:val="center"/>
            </w:pPr>
            <w:r>
              <w:t>1</w:t>
            </w:r>
          </w:p>
        </w:tc>
      </w:tr>
      <w:tr w:rsidR="00567572" w:rsidTr="00DE6790">
        <w:trPr>
          <w:trHeight w:val="567"/>
        </w:trPr>
        <w:tc>
          <w:tcPr>
            <w:tcW w:w="5812" w:type="dxa"/>
            <w:tcBorders>
              <w:top w:val="nil"/>
              <w:bottom w:val="nil"/>
            </w:tcBorders>
            <w:shd w:val="clear" w:color="auto" w:fill="E5F6F6"/>
            <w:vAlign w:val="center"/>
          </w:tcPr>
          <w:p w:rsidR="00567572" w:rsidRPr="009E6743" w:rsidRDefault="00567572" w:rsidP="0070529F">
            <w:pPr>
              <w:pStyle w:val="BulletsL2"/>
              <w:numPr>
                <w:ilvl w:val="0"/>
                <w:numId w:val="22"/>
              </w:numPr>
            </w:pPr>
            <w:r w:rsidRPr="009E6743">
              <w:t>New prospective providers (total)</w:t>
            </w:r>
          </w:p>
        </w:tc>
        <w:tc>
          <w:tcPr>
            <w:tcW w:w="1897" w:type="dxa"/>
            <w:tcBorders>
              <w:top w:val="nil"/>
              <w:bottom w:val="nil"/>
            </w:tcBorders>
            <w:shd w:val="clear" w:color="auto" w:fill="E5F6F6"/>
            <w:vAlign w:val="center"/>
          </w:tcPr>
          <w:p w:rsidR="00567572" w:rsidRDefault="00567572" w:rsidP="008E1FB1">
            <w:pPr>
              <w:spacing w:before="80" w:after="80" w:line="240" w:lineRule="exact"/>
              <w:jc w:val="center"/>
              <w:rPr>
                <w:highlight w:val="yellow"/>
              </w:rPr>
            </w:pPr>
            <w:r>
              <w:t>10</w:t>
            </w:r>
          </w:p>
        </w:tc>
        <w:tc>
          <w:tcPr>
            <w:tcW w:w="1897" w:type="dxa"/>
            <w:tcBorders>
              <w:top w:val="nil"/>
              <w:bottom w:val="nil"/>
            </w:tcBorders>
            <w:shd w:val="clear" w:color="auto" w:fill="E5F6F6"/>
            <w:vAlign w:val="center"/>
          </w:tcPr>
          <w:p w:rsidR="00567572" w:rsidRDefault="00567572" w:rsidP="008E1FB1">
            <w:pPr>
              <w:spacing w:before="80" w:after="80" w:line="240" w:lineRule="exact"/>
              <w:jc w:val="center"/>
            </w:pPr>
            <w:r>
              <w:t>10</w:t>
            </w:r>
          </w:p>
        </w:tc>
      </w:tr>
      <w:tr w:rsidR="00567572" w:rsidTr="00DE6790">
        <w:trPr>
          <w:trHeight w:val="567"/>
        </w:trPr>
        <w:tc>
          <w:tcPr>
            <w:tcW w:w="5812" w:type="dxa"/>
            <w:tcBorders>
              <w:top w:val="nil"/>
              <w:bottom w:val="nil"/>
            </w:tcBorders>
            <w:vAlign w:val="center"/>
          </w:tcPr>
          <w:p w:rsidR="00567572" w:rsidRPr="009E6743" w:rsidRDefault="00567572" w:rsidP="0070529F">
            <w:pPr>
              <w:pStyle w:val="BulletsL2"/>
              <w:numPr>
                <w:ilvl w:val="0"/>
                <w:numId w:val="22"/>
              </w:numPr>
            </w:pPr>
            <w:r w:rsidRPr="009E6743">
              <w:t>New prospective providers (RTO)</w:t>
            </w:r>
          </w:p>
        </w:tc>
        <w:tc>
          <w:tcPr>
            <w:tcW w:w="1897" w:type="dxa"/>
            <w:tcBorders>
              <w:top w:val="nil"/>
              <w:bottom w:val="nil"/>
            </w:tcBorders>
            <w:vAlign w:val="center"/>
          </w:tcPr>
          <w:p w:rsidR="00567572" w:rsidRDefault="00567572" w:rsidP="008E1FB1">
            <w:pPr>
              <w:spacing w:before="80" w:after="80" w:line="240" w:lineRule="exact"/>
              <w:jc w:val="center"/>
            </w:pPr>
            <w:r>
              <w:t>3</w:t>
            </w:r>
          </w:p>
        </w:tc>
        <w:tc>
          <w:tcPr>
            <w:tcW w:w="1897" w:type="dxa"/>
            <w:tcBorders>
              <w:top w:val="nil"/>
              <w:bottom w:val="nil"/>
            </w:tcBorders>
            <w:vAlign w:val="center"/>
          </w:tcPr>
          <w:p w:rsidR="00567572" w:rsidRDefault="00567572" w:rsidP="008E1FB1">
            <w:pPr>
              <w:spacing w:before="80" w:after="80" w:line="240" w:lineRule="exact"/>
              <w:jc w:val="center"/>
            </w:pPr>
            <w:r>
              <w:t>8</w:t>
            </w:r>
          </w:p>
        </w:tc>
      </w:tr>
      <w:tr w:rsidR="00567572" w:rsidTr="00DE6790">
        <w:trPr>
          <w:trHeight w:val="567"/>
        </w:trPr>
        <w:tc>
          <w:tcPr>
            <w:tcW w:w="5812" w:type="dxa"/>
            <w:tcBorders>
              <w:top w:val="nil"/>
              <w:bottom w:val="single" w:sz="4" w:space="0" w:color="auto"/>
            </w:tcBorders>
            <w:shd w:val="clear" w:color="auto" w:fill="E5F6F6"/>
            <w:vAlign w:val="center"/>
          </w:tcPr>
          <w:p w:rsidR="00567572" w:rsidRPr="009E6743" w:rsidRDefault="00567572" w:rsidP="0070529F">
            <w:pPr>
              <w:pStyle w:val="BulletsL2"/>
              <w:numPr>
                <w:ilvl w:val="0"/>
                <w:numId w:val="22"/>
              </w:numPr>
            </w:pPr>
            <w:r w:rsidRPr="009E6743">
              <w:t>Prospective HEPS now under assessment</w:t>
            </w:r>
          </w:p>
        </w:tc>
        <w:tc>
          <w:tcPr>
            <w:tcW w:w="1897" w:type="dxa"/>
            <w:tcBorders>
              <w:top w:val="nil"/>
              <w:bottom w:val="single" w:sz="4" w:space="0" w:color="auto"/>
            </w:tcBorders>
            <w:shd w:val="clear" w:color="auto" w:fill="E5F6F6"/>
            <w:vAlign w:val="center"/>
          </w:tcPr>
          <w:p w:rsidR="00567572" w:rsidRDefault="00567572" w:rsidP="008E1FB1">
            <w:pPr>
              <w:spacing w:before="80" w:after="80" w:line="240" w:lineRule="exact"/>
              <w:jc w:val="center"/>
            </w:pPr>
            <w:r>
              <w:t>8</w:t>
            </w:r>
          </w:p>
        </w:tc>
        <w:tc>
          <w:tcPr>
            <w:tcW w:w="1897" w:type="dxa"/>
            <w:tcBorders>
              <w:top w:val="nil"/>
              <w:bottom w:val="single" w:sz="4" w:space="0" w:color="auto"/>
            </w:tcBorders>
            <w:shd w:val="clear" w:color="auto" w:fill="E5F6F6"/>
            <w:vAlign w:val="center"/>
          </w:tcPr>
          <w:p w:rsidR="00567572" w:rsidRDefault="00567572" w:rsidP="008E1FB1">
            <w:pPr>
              <w:spacing w:before="80" w:after="80" w:line="240" w:lineRule="exact"/>
              <w:jc w:val="center"/>
            </w:pPr>
            <w:r>
              <w:t>14</w:t>
            </w:r>
          </w:p>
        </w:tc>
      </w:tr>
    </w:tbl>
    <w:p w:rsidR="00567572" w:rsidRPr="00907F5D" w:rsidRDefault="00567572" w:rsidP="00567572">
      <w:pPr>
        <w:rPr>
          <w:sz w:val="16"/>
          <w:szCs w:val="16"/>
        </w:rPr>
      </w:pPr>
    </w:p>
    <w:p w:rsidR="00567572" w:rsidRDefault="00567572" w:rsidP="00567572">
      <w:pPr>
        <w:pStyle w:val="Heading2"/>
        <w:numPr>
          <w:ilvl w:val="0"/>
          <w:numId w:val="13"/>
        </w:numPr>
        <w:spacing w:before="240" w:after="80" w:line="480" w:lineRule="exact"/>
        <w:ind w:left="425" w:hanging="425"/>
      </w:pPr>
      <w:r>
        <w:t>Prospective provider breakdown</w:t>
      </w:r>
    </w:p>
    <w:p w:rsidR="00567572" w:rsidRDefault="00567572" w:rsidP="00567572">
      <w:pPr>
        <w:rPr>
          <w:lang w:val="en-US"/>
        </w:rPr>
      </w:pPr>
      <w:r>
        <w:rPr>
          <w:lang w:val="en-US"/>
        </w:rPr>
        <w:t>The following s</w:t>
      </w:r>
      <w:r w:rsidRPr="006B6F60">
        <w:rPr>
          <w:lang w:val="en-US"/>
        </w:rPr>
        <w:t>tati</w:t>
      </w:r>
      <w:r>
        <w:rPr>
          <w:lang w:val="en-US"/>
        </w:rPr>
        <w:t>sti</w:t>
      </w:r>
      <w:r w:rsidRPr="006B6F60">
        <w:rPr>
          <w:lang w:val="en-US"/>
        </w:rPr>
        <w:t xml:space="preserve">cs in the </w:t>
      </w:r>
      <w:r>
        <w:rPr>
          <w:lang w:val="en-US"/>
        </w:rPr>
        <w:t>‘Prospective provider breakdown’</w:t>
      </w:r>
      <w:r w:rsidRPr="006B6F60">
        <w:rPr>
          <w:lang w:val="en-US"/>
        </w:rPr>
        <w:t xml:space="preserve"> </w:t>
      </w:r>
      <w:r>
        <w:rPr>
          <w:lang w:val="en-US"/>
        </w:rPr>
        <w:t>represent the</w:t>
      </w:r>
      <w:r w:rsidRPr="006B6F60">
        <w:rPr>
          <w:lang w:val="en-US"/>
        </w:rPr>
        <w:t xml:space="preserve"> number of providers in each status</w:t>
      </w:r>
      <w:r>
        <w:rPr>
          <w:lang w:val="en-US"/>
        </w:rPr>
        <w:t>/</w:t>
      </w:r>
      <w:r w:rsidRPr="006B6F60">
        <w:rPr>
          <w:lang w:val="en-US"/>
        </w:rPr>
        <w:t xml:space="preserve">category </w:t>
      </w:r>
      <w:r w:rsidRPr="00BB1CFC">
        <w:rPr>
          <w:i/>
          <w:lang w:val="en-US"/>
        </w:rPr>
        <w:t>as at</w:t>
      </w:r>
      <w:r w:rsidRPr="006B6F60">
        <w:rPr>
          <w:lang w:val="en-US"/>
        </w:rPr>
        <w:t xml:space="preserve"> the relevant quarter </w:t>
      </w:r>
      <w:r>
        <w:rPr>
          <w:lang w:val="en-US"/>
        </w:rPr>
        <w:t xml:space="preserve">end date. </w:t>
      </w:r>
      <w:r w:rsidRPr="008D67F2">
        <w:rPr>
          <w:b/>
          <w:lang w:val="en-US"/>
        </w:rPr>
        <w:t>Note</w:t>
      </w:r>
      <w:r>
        <w:rPr>
          <w:lang w:val="en-US"/>
        </w:rPr>
        <w:t>: these figures</w:t>
      </w:r>
      <w:r w:rsidRPr="006B6F60">
        <w:rPr>
          <w:lang w:val="en-US"/>
        </w:rPr>
        <w:t xml:space="preserve"> </w:t>
      </w:r>
      <w:r w:rsidRPr="0037091D">
        <w:rPr>
          <w:b/>
          <w:i/>
          <w:lang w:val="en-US"/>
        </w:rPr>
        <w:t>are</w:t>
      </w:r>
      <w:r w:rsidRPr="0070529F">
        <w:rPr>
          <w:lang w:val="en-US"/>
        </w:rPr>
        <w:t xml:space="preserve"> </w:t>
      </w:r>
      <w:r w:rsidRPr="008B27A6">
        <w:rPr>
          <w:b/>
          <w:i/>
          <w:lang w:val="en-US"/>
        </w:rPr>
        <w:t>cumulative</w:t>
      </w:r>
      <w:r>
        <w:rPr>
          <w:lang w:val="en-US"/>
        </w:rPr>
        <w:t xml:space="preserve"> (e.g. </w:t>
      </w:r>
      <w:r>
        <w:rPr>
          <w:i/>
          <w:lang w:val="en-US"/>
        </w:rPr>
        <w:t>a</w:t>
      </w:r>
      <w:r w:rsidRPr="009275AE">
        <w:rPr>
          <w:i/>
          <w:lang w:val="en-US"/>
        </w:rPr>
        <w:t>s at</w:t>
      </w:r>
      <w:r>
        <w:rPr>
          <w:lang w:val="en-US"/>
        </w:rPr>
        <w:t xml:space="preserve"> 31 December 2016 (end Q2) a </w:t>
      </w:r>
      <w:r w:rsidRPr="009F7D01">
        <w:rPr>
          <w:i/>
          <w:lang w:val="en-US"/>
        </w:rPr>
        <w:t>total</w:t>
      </w:r>
      <w:r>
        <w:rPr>
          <w:lang w:val="en-US"/>
        </w:rPr>
        <w:t xml:space="preserve"> of 51 prospective providers were recorded at pre-submission stage with TEQSA).</w:t>
      </w:r>
    </w:p>
    <w:p w:rsidR="00567572" w:rsidRDefault="00567572" w:rsidP="00567572">
      <w:pPr>
        <w:rPr>
          <w:lang w:val="en-US"/>
        </w:rPr>
      </w:pPr>
      <w:r>
        <w:rPr>
          <w:lang w:val="en-US"/>
        </w:rPr>
        <w:t xml:space="preserve">Overall they provide an indication of some of the characteristics of entities that are intending to apply or have applied to TEQSA to be registered as HEPs in the 2016/2017 financial year thus far. </w:t>
      </w:r>
    </w:p>
    <w:p w:rsidR="00567572" w:rsidRDefault="00567572" w:rsidP="00567572">
      <w:pPr>
        <w:pStyle w:val="Heading3"/>
        <w:numPr>
          <w:ilvl w:val="1"/>
          <w:numId w:val="13"/>
        </w:numPr>
        <w:spacing w:before="360" w:after="80" w:line="280" w:lineRule="exact"/>
        <w:ind w:left="567" w:hanging="567"/>
        <w:rPr>
          <w:lang w:val="en-US"/>
        </w:rPr>
      </w:pPr>
      <w:r>
        <w:rPr>
          <w:lang w:val="en-US"/>
        </w:rPr>
        <w:t>Prospective providers assessment status</w:t>
      </w:r>
    </w:p>
    <w:p w:rsidR="00AF26DB" w:rsidRDefault="00567572" w:rsidP="00567572">
      <w:pPr>
        <w:pStyle w:val="BulletsL2"/>
        <w:numPr>
          <w:ilvl w:val="0"/>
          <w:numId w:val="0"/>
        </w:numPr>
        <w:rPr>
          <w:lang w:eastAsia="en-AU"/>
        </w:rPr>
      </w:pPr>
      <w:r>
        <w:rPr>
          <w:lang w:eastAsia="en-AU"/>
        </w:rPr>
        <w:t>The following table represents the number of prospective providers that have indicated an intention to submit an application for registration but are yet to do so (pre-sub</w:t>
      </w:r>
      <w:r w:rsidRPr="005A1963">
        <w:rPr>
          <w:i/>
          <w:lang w:eastAsia="en-AU"/>
        </w:rPr>
        <w:t>mission</w:t>
      </w:r>
      <w:r>
        <w:rPr>
          <w:lang w:eastAsia="en-AU"/>
        </w:rPr>
        <w:t>), as well as those providers that have submitted an application for registration (post-sub</w:t>
      </w:r>
      <w:r w:rsidRPr="005A1963">
        <w:rPr>
          <w:i/>
          <w:lang w:eastAsia="en-AU"/>
        </w:rPr>
        <w:t>mission</w:t>
      </w:r>
      <w:r>
        <w:rPr>
          <w:lang w:eastAsia="en-AU"/>
        </w:rPr>
        <w:t>). The table includes a breakdown of the current stage their application is at within TEQSA’s assessment process.</w:t>
      </w:r>
    </w:p>
    <w:p w:rsidR="00AF26DB" w:rsidRDefault="00AF26DB" w:rsidP="00AF26DB">
      <w:pPr>
        <w:rPr>
          <w:rFonts w:ascii="Arial" w:hAnsi="Arial"/>
          <w:color w:val="auto"/>
          <w:lang w:val="en-US" w:eastAsia="en-AU"/>
        </w:rPr>
      </w:pPr>
      <w:r>
        <w:rPr>
          <w:lang w:eastAsia="en-AU"/>
        </w:rPr>
        <w:br w:type="page"/>
      </w:r>
    </w:p>
    <w:p w:rsidR="00567572" w:rsidRDefault="00567572" w:rsidP="00567572">
      <w:pPr>
        <w:pStyle w:val="BulletsL2"/>
        <w:numPr>
          <w:ilvl w:val="0"/>
          <w:numId w:val="0"/>
        </w:numPr>
        <w:rPr>
          <w:lang w:eastAsia="en-AU"/>
        </w:rPr>
      </w:pPr>
    </w:p>
    <w:p w:rsidR="00567572" w:rsidRDefault="00567572" w:rsidP="00567572">
      <w:pPr>
        <w:pStyle w:val="BulletsL2"/>
        <w:numPr>
          <w:ilvl w:val="0"/>
          <w:numId w:val="0"/>
        </w:numPr>
        <w:rPr>
          <w:lang w:eastAsia="en-AU"/>
        </w:rPr>
      </w:pPr>
    </w:p>
    <w:tbl>
      <w:tblPr>
        <w:tblStyle w:val="TEQSAtables"/>
        <w:tblW w:w="9356" w:type="dxa"/>
        <w:tblInd w:w="284" w:type="dxa"/>
        <w:tblLook w:val="04A0" w:firstRow="1" w:lastRow="0" w:firstColumn="1" w:lastColumn="0" w:noHBand="0" w:noVBand="1"/>
      </w:tblPr>
      <w:tblGrid>
        <w:gridCol w:w="3344"/>
        <w:gridCol w:w="625"/>
        <w:gridCol w:w="897"/>
        <w:gridCol w:w="898"/>
        <w:gridCol w:w="898"/>
        <w:gridCol w:w="898"/>
        <w:gridCol w:w="898"/>
        <w:gridCol w:w="898"/>
      </w:tblGrid>
      <w:tr w:rsidR="00567572" w:rsidRPr="007374AF" w:rsidTr="005B6050">
        <w:trPr>
          <w:cnfStyle w:val="100000000000" w:firstRow="1" w:lastRow="0" w:firstColumn="0" w:lastColumn="0" w:oddVBand="0" w:evenVBand="0" w:oddHBand="0" w:evenHBand="0" w:firstRowFirstColumn="0" w:firstRowLastColumn="0" w:lastRowFirstColumn="0" w:lastRowLastColumn="0"/>
          <w:trHeight w:val="502"/>
          <w:tblHeader/>
        </w:trPr>
        <w:tc>
          <w:tcPr>
            <w:tcW w:w="3344" w:type="dxa"/>
            <w:tcBorders>
              <w:top w:val="single" w:sz="4" w:space="0" w:color="004855"/>
              <w:left w:val="single" w:sz="4" w:space="0" w:color="004855"/>
              <w:right w:val="single" w:sz="4" w:space="0" w:color="004855"/>
            </w:tcBorders>
            <w:vAlign w:val="center"/>
          </w:tcPr>
          <w:p w:rsidR="00567572" w:rsidRPr="00E82CD9" w:rsidRDefault="00567572" w:rsidP="008E1FB1">
            <w:pPr>
              <w:pStyle w:val="TableHeadings"/>
              <w:spacing w:before="120" w:after="120"/>
              <w:jc w:val="left"/>
              <w:rPr>
                <w:b/>
              </w:rPr>
            </w:pPr>
            <w:r w:rsidRPr="00E82CD9">
              <w:rPr>
                <w:b/>
              </w:rPr>
              <w:t>All Prospective Providers</w:t>
            </w:r>
          </w:p>
        </w:tc>
        <w:tc>
          <w:tcPr>
            <w:tcW w:w="625" w:type="dxa"/>
            <w:tcBorders>
              <w:top w:val="single" w:sz="4" w:space="0" w:color="004855"/>
              <w:left w:val="single" w:sz="4" w:space="0" w:color="004855"/>
              <w:right w:val="single" w:sz="4" w:space="0" w:color="004855"/>
            </w:tcBorders>
          </w:tcPr>
          <w:p w:rsidR="00567572" w:rsidRPr="00836EA0" w:rsidRDefault="00567572" w:rsidP="008E1FB1">
            <w:pPr>
              <w:pStyle w:val="TableHeadings"/>
              <w:spacing w:before="120" w:after="120"/>
              <w:rPr>
                <w:b/>
              </w:rPr>
            </w:pPr>
          </w:p>
        </w:tc>
        <w:tc>
          <w:tcPr>
            <w:tcW w:w="2693" w:type="dxa"/>
            <w:gridSpan w:val="3"/>
            <w:tcBorders>
              <w:top w:val="single" w:sz="4" w:space="0" w:color="004855"/>
              <w:left w:val="single" w:sz="4" w:space="0" w:color="004855"/>
              <w:right w:val="single" w:sz="4" w:space="0" w:color="004855"/>
            </w:tcBorders>
            <w:vAlign w:val="center"/>
          </w:tcPr>
          <w:p w:rsidR="00567572" w:rsidRDefault="00567572" w:rsidP="008E1FB1">
            <w:pPr>
              <w:pStyle w:val="TableHeadings"/>
              <w:spacing w:before="120" w:after="120"/>
              <w:rPr>
                <w:b/>
              </w:rPr>
            </w:pPr>
            <w:r>
              <w:rPr>
                <w:b/>
              </w:rPr>
              <w:t>Q1 2016</w:t>
            </w:r>
          </w:p>
        </w:tc>
        <w:tc>
          <w:tcPr>
            <w:tcW w:w="2694" w:type="dxa"/>
            <w:gridSpan w:val="3"/>
            <w:tcBorders>
              <w:top w:val="single" w:sz="4" w:space="0" w:color="004855"/>
              <w:left w:val="single" w:sz="4" w:space="0" w:color="004855"/>
              <w:right w:val="single" w:sz="4" w:space="0" w:color="004855"/>
            </w:tcBorders>
            <w:vAlign w:val="center"/>
          </w:tcPr>
          <w:p w:rsidR="00567572" w:rsidRDefault="00567572" w:rsidP="008E1FB1">
            <w:pPr>
              <w:pStyle w:val="TableHeadings"/>
              <w:spacing w:before="120" w:after="120"/>
              <w:rPr>
                <w:b/>
              </w:rPr>
            </w:pPr>
            <w:r>
              <w:rPr>
                <w:b/>
              </w:rPr>
              <w:t>Q2</w:t>
            </w:r>
            <w:r w:rsidRPr="006C3C6F">
              <w:rPr>
                <w:b/>
              </w:rPr>
              <w:t xml:space="preserve"> 2016</w:t>
            </w:r>
          </w:p>
        </w:tc>
      </w:tr>
      <w:tr w:rsidR="00567572" w:rsidRPr="007374AF" w:rsidTr="00AF26DB">
        <w:trPr>
          <w:trHeight w:val="1029"/>
        </w:trPr>
        <w:tc>
          <w:tcPr>
            <w:tcW w:w="3969" w:type="dxa"/>
            <w:gridSpan w:val="2"/>
            <w:tcBorders>
              <w:top w:val="single" w:sz="4" w:space="0" w:color="000000" w:themeColor="text1"/>
              <w:left w:val="single" w:sz="4" w:space="0" w:color="000000" w:themeColor="text1"/>
              <w:bottom w:val="nil"/>
              <w:right w:val="nil"/>
            </w:tcBorders>
            <w:shd w:val="clear" w:color="auto" w:fill="003B45" w:themeFill="accent2"/>
            <w:vAlign w:val="center"/>
          </w:tcPr>
          <w:p w:rsidR="00567572" w:rsidRPr="00836EA0" w:rsidRDefault="00567572" w:rsidP="008E1FB1">
            <w:pPr>
              <w:pStyle w:val="TableHeadings"/>
              <w:spacing w:before="120" w:after="120"/>
              <w:jc w:val="left"/>
              <w:rPr>
                <w:b w:val="0"/>
              </w:rPr>
            </w:pPr>
            <w:r w:rsidRPr="00836EA0">
              <w:t xml:space="preserve">Status </w:t>
            </w:r>
          </w:p>
        </w:tc>
        <w:tc>
          <w:tcPr>
            <w:tcW w:w="897" w:type="dxa"/>
            <w:tcBorders>
              <w:top w:val="single" w:sz="4" w:space="0" w:color="000000" w:themeColor="text1"/>
              <w:left w:val="nil"/>
              <w:bottom w:val="nil"/>
              <w:right w:val="nil"/>
            </w:tcBorders>
            <w:shd w:val="clear" w:color="auto" w:fill="003B45" w:themeFill="accent2"/>
            <w:vAlign w:val="center"/>
            <w:hideMark/>
          </w:tcPr>
          <w:p w:rsidR="00567572" w:rsidRPr="00836EA0" w:rsidRDefault="00567572" w:rsidP="008E1FB1">
            <w:pPr>
              <w:pStyle w:val="TableHeadings"/>
              <w:spacing w:before="120" w:after="120"/>
              <w:rPr>
                <w:b w:val="0"/>
              </w:rPr>
            </w:pPr>
            <w:r>
              <w:rPr>
                <w:b w:val="0"/>
              </w:rPr>
              <w:t>Pre-sub</w:t>
            </w:r>
          </w:p>
        </w:tc>
        <w:tc>
          <w:tcPr>
            <w:tcW w:w="898" w:type="dxa"/>
            <w:tcBorders>
              <w:top w:val="single" w:sz="4" w:space="0" w:color="000000" w:themeColor="text1"/>
              <w:left w:val="nil"/>
              <w:bottom w:val="nil"/>
              <w:right w:val="nil"/>
            </w:tcBorders>
            <w:shd w:val="clear" w:color="auto" w:fill="003B45" w:themeFill="accent2"/>
            <w:vAlign w:val="center"/>
          </w:tcPr>
          <w:p w:rsidR="00567572" w:rsidRPr="00FF0D9D" w:rsidRDefault="00567572" w:rsidP="008E1FB1">
            <w:pPr>
              <w:pStyle w:val="TableHeadings"/>
              <w:spacing w:before="120" w:after="120"/>
              <w:rPr>
                <w:b w:val="0"/>
              </w:rPr>
            </w:pPr>
            <w:r>
              <w:rPr>
                <w:b w:val="0"/>
              </w:rPr>
              <w:t>Post-sub</w:t>
            </w:r>
          </w:p>
        </w:tc>
        <w:tc>
          <w:tcPr>
            <w:tcW w:w="898" w:type="dxa"/>
            <w:tcBorders>
              <w:top w:val="single" w:sz="4" w:space="0" w:color="000000" w:themeColor="text1"/>
              <w:left w:val="nil"/>
              <w:bottom w:val="nil"/>
              <w:right w:val="nil"/>
            </w:tcBorders>
            <w:shd w:val="clear" w:color="auto" w:fill="003B45" w:themeFill="accent2"/>
            <w:vAlign w:val="center"/>
          </w:tcPr>
          <w:p w:rsidR="00567572" w:rsidRPr="00FF0D9D" w:rsidRDefault="00567572" w:rsidP="008E1FB1">
            <w:pPr>
              <w:pStyle w:val="TableHeadings"/>
              <w:spacing w:before="120" w:after="120"/>
              <w:rPr>
                <w:b w:val="0"/>
              </w:rPr>
            </w:pPr>
            <w:r>
              <w:rPr>
                <w:b w:val="0"/>
              </w:rPr>
              <w:t>Total</w:t>
            </w:r>
          </w:p>
        </w:tc>
        <w:tc>
          <w:tcPr>
            <w:tcW w:w="898" w:type="dxa"/>
            <w:tcBorders>
              <w:top w:val="single" w:sz="4" w:space="0" w:color="000000" w:themeColor="text1"/>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Pre-sub</w:t>
            </w:r>
          </w:p>
        </w:tc>
        <w:tc>
          <w:tcPr>
            <w:tcW w:w="898" w:type="dxa"/>
            <w:tcBorders>
              <w:top w:val="single" w:sz="4" w:space="0" w:color="000000" w:themeColor="text1"/>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Post-sub</w:t>
            </w:r>
          </w:p>
        </w:tc>
        <w:tc>
          <w:tcPr>
            <w:tcW w:w="898" w:type="dxa"/>
            <w:tcBorders>
              <w:top w:val="single" w:sz="4" w:space="0" w:color="000000" w:themeColor="text1"/>
              <w:left w:val="nil"/>
              <w:bottom w:val="nil"/>
              <w:right w:val="single" w:sz="4" w:space="0" w:color="000000" w:themeColor="text1"/>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Total</w:t>
            </w:r>
          </w:p>
        </w:tc>
      </w:tr>
      <w:tr w:rsidR="00DE6790"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tcPr>
          <w:p w:rsidR="00567572" w:rsidRPr="00EA7B12" w:rsidRDefault="00567572" w:rsidP="008E1FB1">
            <w:pPr>
              <w:spacing w:before="80" w:after="80" w:line="240" w:lineRule="exact"/>
              <w:jc w:val="left"/>
            </w:pPr>
            <w:r>
              <w:t>Under preliminary assessment</w:t>
            </w:r>
          </w:p>
        </w:tc>
        <w:tc>
          <w:tcPr>
            <w:tcW w:w="897" w:type="dxa"/>
            <w:tcBorders>
              <w:top w:val="nil"/>
              <w:left w:val="nil"/>
              <w:bottom w:val="nil"/>
              <w:right w:val="nil"/>
            </w:tcBorders>
            <w:shd w:val="clear" w:color="auto" w:fill="E5F6F6"/>
            <w:vAlign w:val="center"/>
          </w:tcPr>
          <w:p w:rsidR="00567572" w:rsidRPr="00EA7B12" w:rsidRDefault="00567572" w:rsidP="008E1FB1">
            <w:pPr>
              <w:spacing w:before="80" w:after="80" w:line="240" w:lineRule="exact"/>
              <w:rPr>
                <w:highlight w:val="yellow"/>
              </w:rPr>
            </w:pP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3</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11</w:t>
            </w:r>
          </w:p>
        </w:tc>
        <w:tc>
          <w:tcPr>
            <w:tcW w:w="898" w:type="dxa"/>
            <w:tcBorders>
              <w:top w:val="nil"/>
              <w:left w:val="nil"/>
              <w:bottom w:val="nil"/>
              <w:right w:val="single" w:sz="4" w:space="0" w:color="000000" w:themeColor="text1"/>
            </w:tcBorders>
            <w:shd w:val="clear" w:color="auto" w:fill="E5F6F6"/>
          </w:tcPr>
          <w:p w:rsidR="00567572" w:rsidRDefault="00567572" w:rsidP="008E1FB1">
            <w:pPr>
              <w:spacing w:before="80" w:after="80" w:line="240" w:lineRule="exact"/>
            </w:pPr>
          </w:p>
        </w:tc>
      </w:tr>
      <w:tr w:rsidR="00567572" w:rsidRPr="00EA7B12" w:rsidTr="00DE6790">
        <w:tc>
          <w:tcPr>
            <w:tcW w:w="3969" w:type="dxa"/>
            <w:gridSpan w:val="2"/>
            <w:tcBorders>
              <w:top w:val="nil"/>
              <w:left w:val="single" w:sz="4" w:space="0" w:color="000000" w:themeColor="text1"/>
              <w:bottom w:val="nil"/>
              <w:right w:val="nil"/>
            </w:tcBorders>
            <w:vAlign w:val="center"/>
          </w:tcPr>
          <w:p w:rsidR="00567572" w:rsidRPr="00EA7B12" w:rsidRDefault="00567572" w:rsidP="008E1FB1">
            <w:pPr>
              <w:spacing w:before="80" w:after="80" w:line="240" w:lineRule="exact"/>
              <w:jc w:val="left"/>
            </w:pPr>
            <w:r>
              <w:t>Awaiting substantive assessment</w:t>
            </w:r>
          </w:p>
        </w:tc>
        <w:tc>
          <w:tcPr>
            <w:tcW w:w="897" w:type="dxa"/>
            <w:tcBorders>
              <w:top w:val="nil"/>
              <w:left w:val="nil"/>
              <w:bottom w:val="nil"/>
              <w:right w:val="nil"/>
            </w:tcBorders>
            <w:vAlign w:val="center"/>
          </w:tcPr>
          <w:p w:rsidR="00567572" w:rsidRDefault="00567572" w:rsidP="008E1FB1">
            <w:pPr>
              <w:spacing w:before="80" w:after="80" w:line="240" w:lineRule="exact"/>
            </w:pPr>
          </w:p>
        </w:tc>
        <w:tc>
          <w:tcPr>
            <w:tcW w:w="898" w:type="dxa"/>
            <w:tcBorders>
              <w:top w:val="nil"/>
              <w:left w:val="nil"/>
              <w:bottom w:val="nil"/>
              <w:right w:val="nil"/>
            </w:tcBorders>
          </w:tcPr>
          <w:p w:rsidR="00567572" w:rsidRDefault="00567572" w:rsidP="008E1FB1">
            <w:pPr>
              <w:spacing w:before="80" w:after="80" w:line="240" w:lineRule="exact"/>
            </w:pPr>
            <w:r>
              <w:t>2</w:t>
            </w:r>
          </w:p>
        </w:tc>
        <w:tc>
          <w:tcPr>
            <w:tcW w:w="898" w:type="dxa"/>
            <w:tcBorders>
              <w:top w:val="nil"/>
              <w:left w:val="nil"/>
              <w:bottom w:val="nil"/>
              <w:right w:val="nil"/>
            </w:tcBorders>
          </w:tcPr>
          <w:p w:rsidR="00567572" w:rsidRDefault="00567572" w:rsidP="008E1FB1">
            <w:pPr>
              <w:spacing w:before="80" w:after="80" w:line="240" w:lineRule="exact"/>
            </w:pPr>
          </w:p>
        </w:tc>
        <w:tc>
          <w:tcPr>
            <w:tcW w:w="898" w:type="dxa"/>
            <w:tcBorders>
              <w:top w:val="nil"/>
              <w:left w:val="nil"/>
              <w:bottom w:val="nil"/>
              <w:right w:val="nil"/>
            </w:tcBorders>
          </w:tcPr>
          <w:p w:rsidR="00567572" w:rsidRDefault="00567572" w:rsidP="008E1FB1">
            <w:pPr>
              <w:spacing w:before="80" w:after="80" w:line="240" w:lineRule="exact"/>
            </w:pPr>
          </w:p>
        </w:tc>
        <w:tc>
          <w:tcPr>
            <w:tcW w:w="898" w:type="dxa"/>
            <w:tcBorders>
              <w:top w:val="nil"/>
              <w:left w:val="nil"/>
              <w:bottom w:val="nil"/>
              <w:right w:val="nil"/>
            </w:tcBorders>
          </w:tcPr>
          <w:p w:rsidR="00567572" w:rsidRDefault="00567572" w:rsidP="008E1FB1">
            <w:pPr>
              <w:spacing w:before="80" w:after="80" w:line="240" w:lineRule="exact"/>
            </w:pPr>
            <w:r>
              <w:t>4</w:t>
            </w:r>
          </w:p>
        </w:tc>
        <w:tc>
          <w:tcPr>
            <w:tcW w:w="898" w:type="dxa"/>
            <w:tcBorders>
              <w:top w:val="nil"/>
              <w:left w:val="nil"/>
              <w:bottom w:val="nil"/>
              <w:right w:val="single" w:sz="4" w:space="0" w:color="000000" w:themeColor="text1"/>
            </w:tcBorders>
          </w:tcPr>
          <w:p w:rsidR="00567572" w:rsidRDefault="00567572" w:rsidP="008E1FB1">
            <w:pPr>
              <w:spacing w:before="80" w:after="80" w:line="240" w:lineRule="exact"/>
            </w:pPr>
          </w:p>
        </w:tc>
      </w:tr>
      <w:tr w:rsidR="00DE6790" w:rsidRPr="00EA7B12" w:rsidTr="00AF26DB">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vAlign w:val="center"/>
          </w:tcPr>
          <w:p w:rsidR="00567572" w:rsidRPr="00EA7B12" w:rsidRDefault="00567572" w:rsidP="008E1FB1">
            <w:pPr>
              <w:spacing w:before="80" w:after="80" w:line="240" w:lineRule="exact"/>
              <w:jc w:val="left"/>
            </w:pPr>
            <w:r>
              <w:t>Under substantive assessment</w:t>
            </w:r>
          </w:p>
        </w:tc>
        <w:tc>
          <w:tcPr>
            <w:tcW w:w="897" w:type="dxa"/>
            <w:tcBorders>
              <w:top w:val="nil"/>
              <w:left w:val="nil"/>
              <w:bottom w:val="nil"/>
              <w:right w:val="nil"/>
            </w:tcBorders>
            <w:shd w:val="clear" w:color="auto" w:fill="E5F6F6"/>
            <w:vAlign w:val="center"/>
          </w:tcPr>
          <w:p w:rsidR="00567572" w:rsidRDefault="00567572" w:rsidP="008E1FB1">
            <w:pPr>
              <w:spacing w:before="80" w:after="80" w:line="240" w:lineRule="exact"/>
            </w:pP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19</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20</w:t>
            </w:r>
          </w:p>
        </w:tc>
        <w:tc>
          <w:tcPr>
            <w:tcW w:w="898" w:type="dxa"/>
            <w:tcBorders>
              <w:top w:val="nil"/>
              <w:left w:val="nil"/>
              <w:bottom w:val="nil"/>
              <w:right w:val="single" w:sz="4" w:space="0" w:color="000000" w:themeColor="text1"/>
            </w:tcBorders>
            <w:shd w:val="clear" w:color="auto" w:fill="E5F6F6"/>
          </w:tcPr>
          <w:p w:rsidR="00567572" w:rsidRDefault="00567572" w:rsidP="008E1FB1">
            <w:pPr>
              <w:spacing w:before="80" w:after="80" w:line="240" w:lineRule="exact"/>
            </w:pPr>
          </w:p>
        </w:tc>
      </w:tr>
      <w:tr w:rsidR="00AF26DB" w:rsidRPr="00EA7B12" w:rsidTr="00AF26DB">
        <w:tc>
          <w:tcPr>
            <w:tcW w:w="3969" w:type="dxa"/>
            <w:gridSpan w:val="2"/>
            <w:tcBorders>
              <w:top w:val="nil"/>
              <w:left w:val="single" w:sz="4" w:space="0" w:color="000000" w:themeColor="text1"/>
              <w:bottom w:val="single" w:sz="4" w:space="0" w:color="000000" w:themeColor="text1"/>
              <w:right w:val="nil"/>
            </w:tcBorders>
            <w:shd w:val="clear" w:color="auto" w:fill="0099B3" w:themeFill="text2" w:themeFillTint="BF"/>
            <w:vAlign w:val="center"/>
          </w:tcPr>
          <w:p w:rsidR="00567572" w:rsidRPr="0050638D" w:rsidRDefault="00567572" w:rsidP="008E1FB1">
            <w:pPr>
              <w:spacing w:before="80" w:after="80" w:line="240" w:lineRule="exact"/>
              <w:jc w:val="left"/>
              <w:rPr>
                <w:b/>
              </w:rPr>
            </w:pPr>
            <w:r w:rsidRPr="0050638D">
              <w:rPr>
                <w:b/>
              </w:rPr>
              <w:t>Total</w:t>
            </w:r>
          </w:p>
        </w:tc>
        <w:tc>
          <w:tcPr>
            <w:tcW w:w="897" w:type="dxa"/>
            <w:tcBorders>
              <w:top w:val="nil"/>
              <w:left w:val="nil"/>
              <w:bottom w:val="single" w:sz="4" w:space="0" w:color="000000" w:themeColor="text1"/>
              <w:right w:val="nil"/>
            </w:tcBorders>
            <w:shd w:val="clear" w:color="auto" w:fill="0099B3" w:themeFill="text2" w:themeFillTint="BF"/>
            <w:vAlign w:val="center"/>
          </w:tcPr>
          <w:p w:rsidR="00567572" w:rsidRPr="009B5325" w:rsidRDefault="00567572" w:rsidP="008E1FB1">
            <w:pPr>
              <w:spacing w:before="80" w:after="80" w:line="240" w:lineRule="exact"/>
              <w:rPr>
                <w:b/>
              </w:rPr>
            </w:pPr>
            <w:r w:rsidRPr="009B5325">
              <w:rPr>
                <w:b/>
              </w:rPr>
              <w:t>50</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sidRPr="009B5325">
              <w:rPr>
                <w:b/>
              </w:rPr>
              <w:t>24</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sidRPr="009B5325">
              <w:rPr>
                <w:b/>
              </w:rPr>
              <w:t>74</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sidRPr="009B5325">
              <w:rPr>
                <w:b/>
              </w:rPr>
              <w:t>51</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sidRPr="009B5325">
              <w:rPr>
                <w:b/>
              </w:rPr>
              <w:t>35</w:t>
            </w:r>
          </w:p>
        </w:tc>
        <w:tc>
          <w:tcPr>
            <w:tcW w:w="898" w:type="dxa"/>
            <w:tcBorders>
              <w:top w:val="nil"/>
              <w:left w:val="nil"/>
              <w:bottom w:val="single" w:sz="4" w:space="0" w:color="000000" w:themeColor="text1"/>
              <w:right w:val="single" w:sz="4" w:space="0" w:color="000000" w:themeColor="text1"/>
            </w:tcBorders>
            <w:shd w:val="clear" w:color="auto" w:fill="0099B3" w:themeFill="text2" w:themeFillTint="BF"/>
          </w:tcPr>
          <w:p w:rsidR="00567572" w:rsidRPr="009B5325" w:rsidRDefault="00567572" w:rsidP="008E1FB1">
            <w:pPr>
              <w:spacing w:before="80" w:after="80" w:line="240" w:lineRule="exact"/>
              <w:rPr>
                <w:b/>
              </w:rPr>
            </w:pPr>
            <w:r w:rsidRPr="009B5325">
              <w:rPr>
                <w:b/>
              </w:rPr>
              <w:t>86</w:t>
            </w:r>
          </w:p>
        </w:tc>
      </w:tr>
    </w:tbl>
    <w:p w:rsidR="00567572" w:rsidRPr="001761BD" w:rsidRDefault="00567572" w:rsidP="00567572">
      <w:pPr>
        <w:pStyle w:val="Heading3"/>
        <w:numPr>
          <w:ilvl w:val="1"/>
          <w:numId w:val="13"/>
        </w:numPr>
        <w:spacing w:before="360" w:after="80" w:line="280" w:lineRule="exact"/>
        <w:ind w:left="567" w:hanging="567"/>
        <w:rPr>
          <w:lang w:val="en-US"/>
        </w:rPr>
      </w:pPr>
      <w:r>
        <w:rPr>
          <w:lang w:val="en-US"/>
        </w:rPr>
        <w:t>Prospective providers that are RTOs</w:t>
      </w:r>
      <w:r>
        <w:rPr>
          <w:rStyle w:val="FootnoteReference"/>
          <w:lang w:val="en-US"/>
        </w:rPr>
        <w:footnoteReference w:id="1"/>
      </w:r>
      <w:r>
        <w:rPr>
          <w:lang w:val="en-US"/>
        </w:rPr>
        <w:t xml:space="preserve"> by State</w:t>
      </w:r>
      <w:r>
        <w:rPr>
          <w:rStyle w:val="FootnoteReference"/>
          <w:lang w:val="en-US"/>
        </w:rPr>
        <w:footnoteReference w:id="2"/>
      </w:r>
    </w:p>
    <w:p w:rsidR="00567572" w:rsidRPr="009B5325" w:rsidRDefault="00567572" w:rsidP="00567572">
      <w:pPr>
        <w:spacing w:line="260" w:lineRule="exact"/>
        <w:rPr>
          <w:lang w:val="en-US"/>
        </w:rPr>
      </w:pPr>
      <w:r>
        <w:rPr>
          <w:lang w:val="en-US"/>
        </w:rPr>
        <w:t>The following table represents the number of prospective providers in each category (pre-sub</w:t>
      </w:r>
      <w:r w:rsidRPr="002D45A4">
        <w:rPr>
          <w:i/>
          <w:lang w:val="en-US"/>
        </w:rPr>
        <w:t>mission</w:t>
      </w:r>
      <w:r>
        <w:rPr>
          <w:lang w:val="en-US"/>
        </w:rPr>
        <w:t xml:space="preserve"> and post-sub</w:t>
      </w:r>
      <w:r w:rsidRPr="002D45A4">
        <w:rPr>
          <w:i/>
          <w:lang w:val="en-US"/>
        </w:rPr>
        <w:t>mission</w:t>
      </w:r>
      <w:r>
        <w:rPr>
          <w:lang w:val="en-US"/>
        </w:rPr>
        <w:t>) that have identified the entity that is applying for registration as a Higher Education provider is already registered as an RTO. These numbers are further broken down to indicate the location of each prospective provider that is already registered as an RTO by state.</w:t>
      </w:r>
    </w:p>
    <w:tbl>
      <w:tblPr>
        <w:tblStyle w:val="TEQSAtables"/>
        <w:tblW w:w="9356" w:type="dxa"/>
        <w:tblInd w:w="284" w:type="dxa"/>
        <w:tblLook w:val="04A0" w:firstRow="1" w:lastRow="0" w:firstColumn="1" w:lastColumn="0" w:noHBand="0" w:noVBand="1"/>
      </w:tblPr>
      <w:tblGrid>
        <w:gridCol w:w="3344"/>
        <w:gridCol w:w="625"/>
        <w:gridCol w:w="897"/>
        <w:gridCol w:w="898"/>
        <w:gridCol w:w="898"/>
        <w:gridCol w:w="898"/>
        <w:gridCol w:w="898"/>
        <w:gridCol w:w="898"/>
      </w:tblGrid>
      <w:tr w:rsidR="00567572" w:rsidRPr="007374AF" w:rsidTr="005B6050">
        <w:trPr>
          <w:cnfStyle w:val="100000000000" w:firstRow="1" w:lastRow="0" w:firstColumn="0" w:lastColumn="0" w:oddVBand="0" w:evenVBand="0" w:oddHBand="0" w:evenHBand="0" w:firstRowFirstColumn="0" w:firstRowLastColumn="0" w:lastRowFirstColumn="0" w:lastRowLastColumn="0"/>
          <w:trHeight w:val="412"/>
          <w:tblHeader/>
        </w:trPr>
        <w:tc>
          <w:tcPr>
            <w:tcW w:w="3344" w:type="dxa"/>
            <w:tcBorders>
              <w:top w:val="single" w:sz="4" w:space="0" w:color="004855"/>
              <w:left w:val="single" w:sz="4" w:space="0" w:color="004855"/>
              <w:right w:val="single" w:sz="4" w:space="0" w:color="004855"/>
            </w:tcBorders>
            <w:vAlign w:val="center"/>
          </w:tcPr>
          <w:p w:rsidR="00567572" w:rsidRPr="00E82CD9" w:rsidRDefault="00567572" w:rsidP="008E1FB1">
            <w:pPr>
              <w:pStyle w:val="TableHeadings"/>
              <w:spacing w:before="120" w:after="120"/>
              <w:jc w:val="left"/>
              <w:rPr>
                <w:b/>
              </w:rPr>
            </w:pPr>
            <w:r w:rsidRPr="00E82CD9">
              <w:rPr>
                <w:b/>
              </w:rPr>
              <w:t>RTO Prospective Providers</w:t>
            </w:r>
          </w:p>
        </w:tc>
        <w:tc>
          <w:tcPr>
            <w:tcW w:w="625" w:type="dxa"/>
            <w:tcBorders>
              <w:top w:val="single" w:sz="4" w:space="0" w:color="004855"/>
              <w:left w:val="single" w:sz="4" w:space="0" w:color="004855"/>
              <w:right w:val="single" w:sz="4" w:space="0" w:color="004855"/>
            </w:tcBorders>
          </w:tcPr>
          <w:p w:rsidR="00567572" w:rsidRPr="00836EA0" w:rsidRDefault="00567572" w:rsidP="008E1FB1">
            <w:pPr>
              <w:pStyle w:val="TableHeadings"/>
              <w:spacing w:before="120" w:after="120"/>
              <w:rPr>
                <w:b/>
              </w:rPr>
            </w:pPr>
          </w:p>
        </w:tc>
        <w:tc>
          <w:tcPr>
            <w:tcW w:w="2693" w:type="dxa"/>
            <w:gridSpan w:val="3"/>
            <w:tcBorders>
              <w:top w:val="single" w:sz="4" w:space="0" w:color="004855"/>
              <w:left w:val="single" w:sz="4" w:space="0" w:color="004855"/>
              <w:right w:val="single" w:sz="4" w:space="0" w:color="004855"/>
            </w:tcBorders>
            <w:vAlign w:val="center"/>
          </w:tcPr>
          <w:p w:rsidR="00567572" w:rsidRDefault="00567572" w:rsidP="008E1FB1">
            <w:pPr>
              <w:pStyle w:val="TableHeadings"/>
              <w:spacing w:before="120" w:after="120"/>
              <w:rPr>
                <w:b/>
              </w:rPr>
            </w:pPr>
            <w:r>
              <w:rPr>
                <w:b/>
              </w:rPr>
              <w:t>Q1 2016</w:t>
            </w:r>
          </w:p>
        </w:tc>
        <w:tc>
          <w:tcPr>
            <w:tcW w:w="2694" w:type="dxa"/>
            <w:gridSpan w:val="3"/>
            <w:tcBorders>
              <w:top w:val="single" w:sz="4" w:space="0" w:color="004855"/>
              <w:left w:val="single" w:sz="4" w:space="0" w:color="004855"/>
              <w:right w:val="single" w:sz="4" w:space="0" w:color="004855"/>
            </w:tcBorders>
            <w:vAlign w:val="center"/>
          </w:tcPr>
          <w:p w:rsidR="00567572" w:rsidRDefault="00567572" w:rsidP="008E1FB1">
            <w:pPr>
              <w:pStyle w:val="TableHeadings"/>
              <w:spacing w:before="120" w:after="120"/>
              <w:rPr>
                <w:b/>
              </w:rPr>
            </w:pPr>
            <w:r>
              <w:rPr>
                <w:b/>
              </w:rPr>
              <w:t>Q2</w:t>
            </w:r>
            <w:r w:rsidRPr="006C3C6F">
              <w:rPr>
                <w:b/>
              </w:rPr>
              <w:t xml:space="preserve"> 2016</w:t>
            </w:r>
          </w:p>
        </w:tc>
      </w:tr>
      <w:tr w:rsidR="00567572" w:rsidRPr="007374AF" w:rsidTr="00AF26DB">
        <w:trPr>
          <w:trHeight w:val="1029"/>
        </w:trPr>
        <w:tc>
          <w:tcPr>
            <w:tcW w:w="3969" w:type="dxa"/>
            <w:gridSpan w:val="2"/>
            <w:tcBorders>
              <w:top w:val="single" w:sz="4" w:space="0" w:color="000000" w:themeColor="text1"/>
              <w:left w:val="single" w:sz="4" w:space="0" w:color="000000" w:themeColor="text1"/>
              <w:bottom w:val="nil"/>
              <w:right w:val="nil"/>
            </w:tcBorders>
            <w:shd w:val="clear" w:color="auto" w:fill="003B45" w:themeFill="accent2"/>
            <w:vAlign w:val="center"/>
          </w:tcPr>
          <w:p w:rsidR="00567572" w:rsidRPr="00836EA0" w:rsidRDefault="00567572" w:rsidP="008E1FB1">
            <w:pPr>
              <w:pStyle w:val="TableHeadings"/>
              <w:spacing w:before="120" w:after="120"/>
              <w:jc w:val="left"/>
              <w:rPr>
                <w:b w:val="0"/>
              </w:rPr>
            </w:pPr>
            <w:r>
              <w:t>State</w:t>
            </w:r>
          </w:p>
        </w:tc>
        <w:tc>
          <w:tcPr>
            <w:tcW w:w="897" w:type="dxa"/>
            <w:tcBorders>
              <w:top w:val="single" w:sz="4" w:space="0" w:color="000000" w:themeColor="text1"/>
              <w:left w:val="nil"/>
              <w:bottom w:val="nil"/>
              <w:right w:val="nil"/>
            </w:tcBorders>
            <w:shd w:val="clear" w:color="auto" w:fill="003B45" w:themeFill="accent2"/>
            <w:vAlign w:val="center"/>
            <w:hideMark/>
          </w:tcPr>
          <w:p w:rsidR="00567572" w:rsidRPr="00836EA0" w:rsidRDefault="00567572" w:rsidP="008E1FB1">
            <w:pPr>
              <w:pStyle w:val="TableHeadings"/>
              <w:spacing w:before="120" w:after="120"/>
              <w:rPr>
                <w:b w:val="0"/>
              </w:rPr>
            </w:pPr>
            <w:r>
              <w:rPr>
                <w:b w:val="0"/>
              </w:rPr>
              <w:t>Pre-sub</w:t>
            </w:r>
          </w:p>
        </w:tc>
        <w:tc>
          <w:tcPr>
            <w:tcW w:w="898" w:type="dxa"/>
            <w:tcBorders>
              <w:top w:val="single" w:sz="4" w:space="0" w:color="000000" w:themeColor="text1"/>
              <w:left w:val="nil"/>
              <w:bottom w:val="nil"/>
              <w:right w:val="nil"/>
            </w:tcBorders>
            <w:shd w:val="clear" w:color="auto" w:fill="003B45" w:themeFill="accent2"/>
            <w:vAlign w:val="center"/>
          </w:tcPr>
          <w:p w:rsidR="00567572" w:rsidRPr="00FF0D9D" w:rsidRDefault="00567572" w:rsidP="008E1FB1">
            <w:pPr>
              <w:pStyle w:val="TableHeadings"/>
              <w:spacing w:before="120" w:after="120"/>
              <w:rPr>
                <w:b w:val="0"/>
              </w:rPr>
            </w:pPr>
            <w:r>
              <w:rPr>
                <w:b w:val="0"/>
              </w:rPr>
              <w:t>Post-sub</w:t>
            </w:r>
          </w:p>
        </w:tc>
        <w:tc>
          <w:tcPr>
            <w:tcW w:w="898" w:type="dxa"/>
            <w:tcBorders>
              <w:top w:val="single" w:sz="4" w:space="0" w:color="000000" w:themeColor="text1"/>
              <w:left w:val="nil"/>
              <w:bottom w:val="nil"/>
              <w:right w:val="nil"/>
            </w:tcBorders>
            <w:shd w:val="clear" w:color="auto" w:fill="003B45" w:themeFill="accent2"/>
            <w:vAlign w:val="center"/>
          </w:tcPr>
          <w:p w:rsidR="00567572" w:rsidRPr="001510DC" w:rsidRDefault="00567572" w:rsidP="008E1FB1">
            <w:pPr>
              <w:pStyle w:val="TableHeadings"/>
              <w:spacing w:before="120" w:after="120"/>
            </w:pPr>
            <w:r w:rsidRPr="001510DC">
              <w:t>Total</w:t>
            </w:r>
          </w:p>
        </w:tc>
        <w:tc>
          <w:tcPr>
            <w:tcW w:w="898" w:type="dxa"/>
            <w:tcBorders>
              <w:top w:val="single" w:sz="4" w:space="0" w:color="000000" w:themeColor="text1"/>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Pre-sub</w:t>
            </w:r>
          </w:p>
        </w:tc>
        <w:tc>
          <w:tcPr>
            <w:tcW w:w="898" w:type="dxa"/>
            <w:tcBorders>
              <w:top w:val="single" w:sz="4" w:space="0" w:color="000000" w:themeColor="text1"/>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Post-sub</w:t>
            </w:r>
          </w:p>
        </w:tc>
        <w:tc>
          <w:tcPr>
            <w:tcW w:w="898" w:type="dxa"/>
            <w:tcBorders>
              <w:top w:val="single" w:sz="4" w:space="0" w:color="000000" w:themeColor="text1"/>
              <w:left w:val="nil"/>
              <w:bottom w:val="nil"/>
              <w:right w:val="single" w:sz="4" w:space="0" w:color="000000" w:themeColor="text1"/>
            </w:tcBorders>
            <w:shd w:val="clear" w:color="auto" w:fill="005F70" w:themeFill="text2" w:themeFillTint="E6"/>
            <w:vAlign w:val="center"/>
          </w:tcPr>
          <w:p w:rsidR="00567572" w:rsidRPr="001510DC" w:rsidRDefault="00567572" w:rsidP="008E1FB1">
            <w:pPr>
              <w:pStyle w:val="TableHeadings"/>
              <w:spacing w:before="120" w:after="120"/>
            </w:pPr>
            <w:r w:rsidRPr="001510DC">
              <w:t>Total</w:t>
            </w:r>
          </w:p>
        </w:tc>
      </w:tr>
      <w:tr w:rsidR="00DE6790"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tcPr>
          <w:p w:rsidR="00567572" w:rsidRPr="00EA7B12" w:rsidRDefault="00567572" w:rsidP="008E1FB1">
            <w:pPr>
              <w:spacing w:before="80" w:after="80" w:line="240" w:lineRule="exact"/>
              <w:jc w:val="left"/>
            </w:pPr>
            <w:r>
              <w:t>New South Wales</w:t>
            </w:r>
          </w:p>
        </w:tc>
        <w:tc>
          <w:tcPr>
            <w:tcW w:w="897" w:type="dxa"/>
            <w:tcBorders>
              <w:top w:val="nil"/>
              <w:left w:val="nil"/>
              <w:bottom w:val="nil"/>
              <w:right w:val="nil"/>
            </w:tcBorders>
            <w:shd w:val="clear" w:color="auto" w:fill="E5F6F6"/>
            <w:vAlign w:val="center"/>
          </w:tcPr>
          <w:p w:rsidR="00567572" w:rsidRPr="00EA7B12" w:rsidRDefault="00567572" w:rsidP="008E1FB1">
            <w:pPr>
              <w:spacing w:before="80" w:after="80" w:line="240" w:lineRule="exact"/>
              <w:rPr>
                <w:highlight w:val="yellow"/>
              </w:rPr>
            </w:pPr>
            <w:r w:rsidRPr="00857D70">
              <w:t>7</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4</w:t>
            </w:r>
          </w:p>
        </w:tc>
        <w:tc>
          <w:tcPr>
            <w:tcW w:w="898" w:type="dxa"/>
            <w:tcBorders>
              <w:top w:val="nil"/>
              <w:left w:val="nil"/>
              <w:bottom w:val="nil"/>
              <w:right w:val="nil"/>
            </w:tcBorders>
            <w:shd w:val="clear" w:color="auto" w:fill="E5F6F6"/>
          </w:tcPr>
          <w:p w:rsidR="00567572" w:rsidRPr="001510DC" w:rsidRDefault="00567572" w:rsidP="008E1FB1">
            <w:pPr>
              <w:spacing w:before="80" w:after="80" w:line="240" w:lineRule="exact"/>
              <w:rPr>
                <w:b/>
              </w:rPr>
            </w:pPr>
            <w:r w:rsidRPr="001510DC">
              <w:rPr>
                <w:b/>
              </w:rPr>
              <w:t>11</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12</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4</w:t>
            </w:r>
          </w:p>
        </w:tc>
        <w:tc>
          <w:tcPr>
            <w:tcW w:w="898" w:type="dxa"/>
            <w:tcBorders>
              <w:top w:val="nil"/>
              <w:left w:val="nil"/>
              <w:bottom w:val="nil"/>
              <w:right w:val="single" w:sz="4" w:space="0" w:color="000000" w:themeColor="text1"/>
            </w:tcBorders>
            <w:shd w:val="clear" w:color="auto" w:fill="E5F6F6"/>
          </w:tcPr>
          <w:p w:rsidR="00567572" w:rsidRPr="001510DC" w:rsidRDefault="00567572" w:rsidP="008E1FB1">
            <w:pPr>
              <w:spacing w:before="80" w:after="80" w:line="240" w:lineRule="exact"/>
              <w:rPr>
                <w:b/>
              </w:rPr>
            </w:pPr>
            <w:r w:rsidRPr="001510DC">
              <w:rPr>
                <w:b/>
              </w:rPr>
              <w:t>16</w:t>
            </w:r>
          </w:p>
        </w:tc>
      </w:tr>
      <w:tr w:rsidR="00567572" w:rsidRPr="00EA7B12" w:rsidTr="00DE6790">
        <w:tc>
          <w:tcPr>
            <w:tcW w:w="3969" w:type="dxa"/>
            <w:gridSpan w:val="2"/>
            <w:tcBorders>
              <w:top w:val="nil"/>
              <w:left w:val="single" w:sz="4" w:space="0" w:color="000000" w:themeColor="text1"/>
              <w:bottom w:val="nil"/>
              <w:right w:val="nil"/>
            </w:tcBorders>
            <w:vAlign w:val="center"/>
          </w:tcPr>
          <w:p w:rsidR="00567572" w:rsidRPr="00EA7B12" w:rsidRDefault="00567572" w:rsidP="008E1FB1">
            <w:pPr>
              <w:spacing w:before="80" w:after="80" w:line="240" w:lineRule="exact"/>
              <w:jc w:val="left"/>
            </w:pPr>
            <w:r>
              <w:t>Victoria</w:t>
            </w:r>
          </w:p>
        </w:tc>
        <w:tc>
          <w:tcPr>
            <w:tcW w:w="897" w:type="dxa"/>
            <w:tcBorders>
              <w:top w:val="nil"/>
              <w:left w:val="nil"/>
              <w:bottom w:val="nil"/>
              <w:right w:val="nil"/>
            </w:tcBorders>
            <w:vAlign w:val="center"/>
          </w:tcPr>
          <w:p w:rsidR="00567572" w:rsidRDefault="00567572" w:rsidP="008E1FB1">
            <w:pPr>
              <w:spacing w:before="80" w:after="80" w:line="240" w:lineRule="exact"/>
            </w:pPr>
            <w:r>
              <w:t>9</w:t>
            </w:r>
          </w:p>
        </w:tc>
        <w:tc>
          <w:tcPr>
            <w:tcW w:w="898" w:type="dxa"/>
            <w:tcBorders>
              <w:top w:val="nil"/>
              <w:left w:val="nil"/>
              <w:bottom w:val="nil"/>
              <w:right w:val="nil"/>
            </w:tcBorders>
          </w:tcPr>
          <w:p w:rsidR="00567572" w:rsidRDefault="00567572" w:rsidP="008E1FB1">
            <w:pPr>
              <w:spacing w:before="80" w:after="80" w:line="240" w:lineRule="exact"/>
            </w:pPr>
            <w:r>
              <w:t>2</w:t>
            </w:r>
          </w:p>
        </w:tc>
        <w:tc>
          <w:tcPr>
            <w:tcW w:w="898" w:type="dxa"/>
            <w:tcBorders>
              <w:top w:val="nil"/>
              <w:left w:val="nil"/>
              <w:bottom w:val="nil"/>
              <w:right w:val="nil"/>
            </w:tcBorders>
          </w:tcPr>
          <w:p w:rsidR="00567572" w:rsidRPr="001510DC" w:rsidRDefault="00567572" w:rsidP="008E1FB1">
            <w:pPr>
              <w:spacing w:before="80" w:after="80" w:line="240" w:lineRule="exact"/>
              <w:rPr>
                <w:b/>
              </w:rPr>
            </w:pPr>
            <w:r w:rsidRPr="001510DC">
              <w:rPr>
                <w:b/>
              </w:rPr>
              <w:t>11</w:t>
            </w:r>
          </w:p>
        </w:tc>
        <w:tc>
          <w:tcPr>
            <w:tcW w:w="898" w:type="dxa"/>
            <w:tcBorders>
              <w:top w:val="nil"/>
              <w:left w:val="nil"/>
              <w:bottom w:val="nil"/>
              <w:right w:val="nil"/>
            </w:tcBorders>
          </w:tcPr>
          <w:p w:rsidR="00567572" w:rsidRDefault="00567572" w:rsidP="008E1FB1">
            <w:pPr>
              <w:spacing w:before="80" w:after="80" w:line="240" w:lineRule="exact"/>
            </w:pPr>
            <w:r>
              <w:t>10</w:t>
            </w:r>
          </w:p>
        </w:tc>
        <w:tc>
          <w:tcPr>
            <w:tcW w:w="898" w:type="dxa"/>
            <w:tcBorders>
              <w:top w:val="nil"/>
              <w:left w:val="nil"/>
              <w:bottom w:val="nil"/>
              <w:right w:val="nil"/>
            </w:tcBorders>
          </w:tcPr>
          <w:p w:rsidR="00567572" w:rsidRDefault="00567572" w:rsidP="008E1FB1">
            <w:pPr>
              <w:spacing w:before="80" w:after="80" w:line="240" w:lineRule="exact"/>
            </w:pPr>
            <w:r>
              <w:t>5</w:t>
            </w:r>
          </w:p>
        </w:tc>
        <w:tc>
          <w:tcPr>
            <w:tcW w:w="898" w:type="dxa"/>
            <w:tcBorders>
              <w:top w:val="nil"/>
              <w:left w:val="nil"/>
              <w:bottom w:val="nil"/>
              <w:right w:val="single" w:sz="4" w:space="0" w:color="000000" w:themeColor="text1"/>
            </w:tcBorders>
          </w:tcPr>
          <w:p w:rsidR="00567572" w:rsidRPr="001510DC" w:rsidRDefault="00567572" w:rsidP="008E1FB1">
            <w:pPr>
              <w:spacing w:before="80" w:after="80" w:line="240" w:lineRule="exact"/>
              <w:rPr>
                <w:b/>
              </w:rPr>
            </w:pPr>
            <w:r w:rsidRPr="001510DC">
              <w:rPr>
                <w:b/>
              </w:rPr>
              <w:t>15</w:t>
            </w:r>
          </w:p>
        </w:tc>
      </w:tr>
      <w:tr w:rsidR="00DE6790"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vAlign w:val="center"/>
          </w:tcPr>
          <w:p w:rsidR="00567572" w:rsidRPr="00EA7B12" w:rsidRDefault="00567572" w:rsidP="008E1FB1">
            <w:pPr>
              <w:spacing w:before="80" w:after="80" w:line="240" w:lineRule="exact"/>
              <w:jc w:val="left"/>
            </w:pPr>
            <w:r>
              <w:t>Queensland</w:t>
            </w:r>
          </w:p>
        </w:tc>
        <w:tc>
          <w:tcPr>
            <w:tcW w:w="897" w:type="dxa"/>
            <w:tcBorders>
              <w:top w:val="nil"/>
              <w:left w:val="nil"/>
              <w:bottom w:val="nil"/>
              <w:right w:val="nil"/>
            </w:tcBorders>
            <w:shd w:val="clear" w:color="auto" w:fill="E5F6F6"/>
            <w:vAlign w:val="center"/>
          </w:tcPr>
          <w:p w:rsidR="00567572" w:rsidRDefault="00567572" w:rsidP="008E1FB1">
            <w:pPr>
              <w:spacing w:before="80" w:after="80" w:line="240" w:lineRule="exact"/>
            </w:pPr>
            <w:r>
              <w:t>6</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3</w:t>
            </w:r>
          </w:p>
        </w:tc>
        <w:tc>
          <w:tcPr>
            <w:tcW w:w="898" w:type="dxa"/>
            <w:tcBorders>
              <w:top w:val="nil"/>
              <w:left w:val="nil"/>
              <w:bottom w:val="nil"/>
              <w:right w:val="nil"/>
            </w:tcBorders>
            <w:shd w:val="clear" w:color="auto" w:fill="E5F6F6"/>
          </w:tcPr>
          <w:p w:rsidR="00567572" w:rsidRPr="001510DC" w:rsidRDefault="00567572" w:rsidP="008E1FB1">
            <w:pPr>
              <w:spacing w:before="80" w:after="80" w:line="240" w:lineRule="exact"/>
              <w:rPr>
                <w:b/>
              </w:rPr>
            </w:pPr>
            <w:r w:rsidRPr="001510DC">
              <w:rPr>
                <w:b/>
              </w:rPr>
              <w:t>9</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7</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5</w:t>
            </w:r>
          </w:p>
        </w:tc>
        <w:tc>
          <w:tcPr>
            <w:tcW w:w="898" w:type="dxa"/>
            <w:tcBorders>
              <w:top w:val="nil"/>
              <w:left w:val="nil"/>
              <w:bottom w:val="nil"/>
              <w:right w:val="single" w:sz="4" w:space="0" w:color="000000" w:themeColor="text1"/>
            </w:tcBorders>
            <w:shd w:val="clear" w:color="auto" w:fill="E5F6F6"/>
          </w:tcPr>
          <w:p w:rsidR="00567572" w:rsidRPr="001510DC" w:rsidRDefault="00567572" w:rsidP="008E1FB1">
            <w:pPr>
              <w:spacing w:before="80" w:after="80" w:line="240" w:lineRule="exact"/>
              <w:rPr>
                <w:b/>
              </w:rPr>
            </w:pPr>
            <w:r w:rsidRPr="001510DC">
              <w:rPr>
                <w:b/>
              </w:rPr>
              <w:t>12</w:t>
            </w:r>
          </w:p>
        </w:tc>
      </w:tr>
      <w:tr w:rsidR="00567572" w:rsidRPr="00EA7B12" w:rsidTr="00DE6790">
        <w:tc>
          <w:tcPr>
            <w:tcW w:w="3969" w:type="dxa"/>
            <w:gridSpan w:val="2"/>
            <w:tcBorders>
              <w:top w:val="nil"/>
              <w:left w:val="single" w:sz="4" w:space="0" w:color="000000" w:themeColor="text1"/>
              <w:bottom w:val="nil"/>
              <w:right w:val="nil"/>
            </w:tcBorders>
            <w:vAlign w:val="center"/>
          </w:tcPr>
          <w:p w:rsidR="00567572" w:rsidRDefault="00567572" w:rsidP="008E1FB1">
            <w:pPr>
              <w:spacing w:before="80" w:after="80" w:line="240" w:lineRule="exact"/>
              <w:jc w:val="left"/>
            </w:pPr>
            <w:r>
              <w:t>South Australia</w:t>
            </w:r>
          </w:p>
        </w:tc>
        <w:tc>
          <w:tcPr>
            <w:tcW w:w="897" w:type="dxa"/>
            <w:tcBorders>
              <w:top w:val="nil"/>
              <w:left w:val="nil"/>
              <w:bottom w:val="nil"/>
              <w:right w:val="nil"/>
            </w:tcBorders>
            <w:vAlign w:val="center"/>
          </w:tcPr>
          <w:p w:rsidR="00567572" w:rsidRDefault="00567572" w:rsidP="008E1FB1">
            <w:pPr>
              <w:spacing w:before="80" w:after="80" w:line="240" w:lineRule="exact"/>
            </w:pPr>
            <w:r>
              <w:t>1</w:t>
            </w:r>
          </w:p>
        </w:tc>
        <w:tc>
          <w:tcPr>
            <w:tcW w:w="898" w:type="dxa"/>
            <w:tcBorders>
              <w:top w:val="nil"/>
              <w:left w:val="nil"/>
              <w:bottom w:val="nil"/>
              <w:right w:val="nil"/>
            </w:tcBorders>
          </w:tcPr>
          <w:p w:rsidR="00567572" w:rsidRDefault="00567572" w:rsidP="008E1FB1">
            <w:pPr>
              <w:spacing w:before="80" w:after="80" w:line="240" w:lineRule="exact"/>
            </w:pPr>
            <w:r>
              <w:t>1</w:t>
            </w:r>
          </w:p>
        </w:tc>
        <w:tc>
          <w:tcPr>
            <w:tcW w:w="898" w:type="dxa"/>
            <w:tcBorders>
              <w:top w:val="nil"/>
              <w:left w:val="nil"/>
              <w:bottom w:val="nil"/>
              <w:right w:val="nil"/>
            </w:tcBorders>
          </w:tcPr>
          <w:p w:rsidR="00567572" w:rsidRPr="001510DC" w:rsidRDefault="00567572" w:rsidP="008E1FB1">
            <w:pPr>
              <w:spacing w:before="80" w:after="80" w:line="240" w:lineRule="exact"/>
              <w:rPr>
                <w:b/>
              </w:rPr>
            </w:pPr>
            <w:r w:rsidRPr="001510DC">
              <w:rPr>
                <w:b/>
              </w:rPr>
              <w:t>2</w:t>
            </w:r>
          </w:p>
        </w:tc>
        <w:tc>
          <w:tcPr>
            <w:tcW w:w="898" w:type="dxa"/>
            <w:tcBorders>
              <w:top w:val="nil"/>
              <w:left w:val="nil"/>
              <w:bottom w:val="nil"/>
              <w:right w:val="nil"/>
            </w:tcBorders>
          </w:tcPr>
          <w:p w:rsidR="00567572" w:rsidRDefault="00567572" w:rsidP="008E1FB1">
            <w:pPr>
              <w:spacing w:before="80" w:after="80" w:line="240" w:lineRule="exact"/>
            </w:pPr>
            <w:r>
              <w:t>2</w:t>
            </w:r>
          </w:p>
        </w:tc>
        <w:tc>
          <w:tcPr>
            <w:tcW w:w="898" w:type="dxa"/>
            <w:tcBorders>
              <w:top w:val="nil"/>
              <w:left w:val="nil"/>
              <w:bottom w:val="nil"/>
              <w:right w:val="nil"/>
            </w:tcBorders>
          </w:tcPr>
          <w:p w:rsidR="00567572" w:rsidRDefault="00567572" w:rsidP="008E1FB1">
            <w:pPr>
              <w:spacing w:before="80" w:after="80" w:line="240" w:lineRule="exact"/>
            </w:pPr>
            <w:r>
              <w:t>1</w:t>
            </w:r>
          </w:p>
        </w:tc>
        <w:tc>
          <w:tcPr>
            <w:tcW w:w="898" w:type="dxa"/>
            <w:tcBorders>
              <w:top w:val="nil"/>
              <w:left w:val="nil"/>
              <w:bottom w:val="nil"/>
              <w:right w:val="single" w:sz="4" w:space="0" w:color="000000" w:themeColor="text1"/>
            </w:tcBorders>
          </w:tcPr>
          <w:p w:rsidR="00567572" w:rsidRPr="001510DC" w:rsidRDefault="00567572" w:rsidP="008E1FB1">
            <w:pPr>
              <w:spacing w:before="80" w:after="80" w:line="240" w:lineRule="exact"/>
              <w:rPr>
                <w:b/>
              </w:rPr>
            </w:pPr>
            <w:r w:rsidRPr="001510DC">
              <w:rPr>
                <w:b/>
              </w:rPr>
              <w:t>3</w:t>
            </w:r>
          </w:p>
        </w:tc>
      </w:tr>
      <w:tr w:rsidR="00DE6790"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vAlign w:val="center"/>
          </w:tcPr>
          <w:p w:rsidR="00567572" w:rsidRDefault="00567572" w:rsidP="008E1FB1">
            <w:pPr>
              <w:spacing w:before="80" w:after="80" w:line="240" w:lineRule="exact"/>
              <w:jc w:val="left"/>
            </w:pPr>
            <w:r>
              <w:t>Australian Capital Territory</w:t>
            </w:r>
          </w:p>
        </w:tc>
        <w:tc>
          <w:tcPr>
            <w:tcW w:w="897" w:type="dxa"/>
            <w:tcBorders>
              <w:top w:val="nil"/>
              <w:left w:val="nil"/>
              <w:bottom w:val="nil"/>
              <w:right w:val="nil"/>
            </w:tcBorders>
            <w:shd w:val="clear" w:color="auto" w:fill="E5F6F6"/>
            <w:vAlign w:val="center"/>
          </w:tcPr>
          <w:p w:rsidR="00567572" w:rsidRDefault="00567572" w:rsidP="008E1FB1">
            <w:pPr>
              <w:spacing w:before="80" w:after="80" w:line="240" w:lineRule="exact"/>
            </w:pPr>
            <w:r>
              <w:t>1</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0</w:t>
            </w:r>
          </w:p>
        </w:tc>
        <w:tc>
          <w:tcPr>
            <w:tcW w:w="898" w:type="dxa"/>
            <w:tcBorders>
              <w:top w:val="nil"/>
              <w:left w:val="nil"/>
              <w:bottom w:val="nil"/>
              <w:right w:val="nil"/>
            </w:tcBorders>
            <w:shd w:val="clear" w:color="auto" w:fill="E5F6F6"/>
          </w:tcPr>
          <w:p w:rsidR="00567572" w:rsidRPr="001510DC" w:rsidRDefault="00567572" w:rsidP="008E1FB1">
            <w:pPr>
              <w:spacing w:before="80" w:after="80" w:line="240" w:lineRule="exact"/>
              <w:rPr>
                <w:b/>
              </w:rPr>
            </w:pPr>
            <w:r w:rsidRPr="001510DC">
              <w:rPr>
                <w:b/>
              </w:rPr>
              <w:t>1</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2</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0</w:t>
            </w:r>
          </w:p>
        </w:tc>
        <w:tc>
          <w:tcPr>
            <w:tcW w:w="898" w:type="dxa"/>
            <w:tcBorders>
              <w:top w:val="nil"/>
              <w:left w:val="nil"/>
              <w:bottom w:val="nil"/>
              <w:right w:val="single" w:sz="4" w:space="0" w:color="000000" w:themeColor="text1"/>
            </w:tcBorders>
            <w:shd w:val="clear" w:color="auto" w:fill="E5F6F6"/>
          </w:tcPr>
          <w:p w:rsidR="00567572" w:rsidRPr="001510DC" w:rsidRDefault="00567572" w:rsidP="008E1FB1">
            <w:pPr>
              <w:spacing w:before="80" w:after="80" w:line="240" w:lineRule="exact"/>
              <w:rPr>
                <w:b/>
              </w:rPr>
            </w:pPr>
            <w:r w:rsidRPr="001510DC">
              <w:rPr>
                <w:b/>
              </w:rPr>
              <w:t>2</w:t>
            </w:r>
          </w:p>
        </w:tc>
      </w:tr>
      <w:tr w:rsidR="00567572" w:rsidRPr="00EA7B12" w:rsidTr="00DE6790">
        <w:tc>
          <w:tcPr>
            <w:tcW w:w="3969" w:type="dxa"/>
            <w:gridSpan w:val="2"/>
            <w:tcBorders>
              <w:top w:val="nil"/>
              <w:left w:val="single" w:sz="4" w:space="0" w:color="000000" w:themeColor="text1"/>
              <w:bottom w:val="nil"/>
              <w:right w:val="nil"/>
            </w:tcBorders>
            <w:vAlign w:val="center"/>
          </w:tcPr>
          <w:p w:rsidR="00567572" w:rsidRDefault="00567572" w:rsidP="008E1FB1">
            <w:pPr>
              <w:spacing w:before="80" w:after="80" w:line="240" w:lineRule="exact"/>
              <w:jc w:val="left"/>
            </w:pPr>
            <w:r>
              <w:t>Western Australia</w:t>
            </w:r>
          </w:p>
        </w:tc>
        <w:tc>
          <w:tcPr>
            <w:tcW w:w="897" w:type="dxa"/>
            <w:tcBorders>
              <w:top w:val="nil"/>
              <w:left w:val="nil"/>
              <w:bottom w:val="nil"/>
              <w:right w:val="nil"/>
            </w:tcBorders>
            <w:vAlign w:val="center"/>
          </w:tcPr>
          <w:p w:rsidR="00567572" w:rsidRDefault="00567572" w:rsidP="008E1FB1">
            <w:pPr>
              <w:spacing w:before="80" w:after="80" w:line="240" w:lineRule="exact"/>
            </w:pPr>
            <w:r>
              <w:t>0</w:t>
            </w:r>
          </w:p>
        </w:tc>
        <w:tc>
          <w:tcPr>
            <w:tcW w:w="898" w:type="dxa"/>
            <w:tcBorders>
              <w:top w:val="nil"/>
              <w:left w:val="nil"/>
              <w:bottom w:val="nil"/>
              <w:right w:val="nil"/>
            </w:tcBorders>
          </w:tcPr>
          <w:p w:rsidR="00567572" w:rsidRDefault="00567572" w:rsidP="008E1FB1">
            <w:pPr>
              <w:spacing w:before="80" w:after="80" w:line="240" w:lineRule="exact"/>
            </w:pPr>
            <w:r>
              <w:t>2</w:t>
            </w:r>
          </w:p>
        </w:tc>
        <w:tc>
          <w:tcPr>
            <w:tcW w:w="898" w:type="dxa"/>
            <w:tcBorders>
              <w:top w:val="nil"/>
              <w:left w:val="nil"/>
              <w:bottom w:val="nil"/>
              <w:right w:val="nil"/>
            </w:tcBorders>
          </w:tcPr>
          <w:p w:rsidR="00567572" w:rsidRPr="001510DC" w:rsidRDefault="00567572" w:rsidP="008E1FB1">
            <w:pPr>
              <w:spacing w:before="80" w:after="80" w:line="240" w:lineRule="exact"/>
              <w:rPr>
                <w:b/>
              </w:rPr>
            </w:pPr>
            <w:r w:rsidRPr="001510DC">
              <w:rPr>
                <w:b/>
              </w:rPr>
              <w:t>2</w:t>
            </w:r>
          </w:p>
        </w:tc>
        <w:tc>
          <w:tcPr>
            <w:tcW w:w="898" w:type="dxa"/>
            <w:tcBorders>
              <w:top w:val="nil"/>
              <w:left w:val="nil"/>
              <w:bottom w:val="nil"/>
              <w:right w:val="nil"/>
            </w:tcBorders>
          </w:tcPr>
          <w:p w:rsidR="00567572" w:rsidRDefault="00567572" w:rsidP="008E1FB1">
            <w:pPr>
              <w:spacing w:before="80" w:after="80" w:line="240" w:lineRule="exact"/>
            </w:pPr>
            <w:r>
              <w:t>1</w:t>
            </w:r>
          </w:p>
        </w:tc>
        <w:tc>
          <w:tcPr>
            <w:tcW w:w="898" w:type="dxa"/>
            <w:tcBorders>
              <w:top w:val="nil"/>
              <w:left w:val="nil"/>
              <w:bottom w:val="nil"/>
              <w:right w:val="nil"/>
            </w:tcBorders>
          </w:tcPr>
          <w:p w:rsidR="00567572" w:rsidRDefault="00567572" w:rsidP="008E1FB1">
            <w:pPr>
              <w:spacing w:before="80" w:after="80" w:line="240" w:lineRule="exact"/>
            </w:pPr>
            <w:r>
              <w:t>1</w:t>
            </w:r>
          </w:p>
        </w:tc>
        <w:tc>
          <w:tcPr>
            <w:tcW w:w="898" w:type="dxa"/>
            <w:tcBorders>
              <w:top w:val="nil"/>
              <w:left w:val="nil"/>
              <w:bottom w:val="nil"/>
              <w:right w:val="single" w:sz="4" w:space="0" w:color="000000" w:themeColor="text1"/>
            </w:tcBorders>
          </w:tcPr>
          <w:p w:rsidR="00567572" w:rsidRPr="001510DC" w:rsidRDefault="00567572" w:rsidP="008E1FB1">
            <w:pPr>
              <w:spacing w:before="80" w:after="80" w:line="240" w:lineRule="exact"/>
              <w:rPr>
                <w:b/>
              </w:rPr>
            </w:pPr>
            <w:r w:rsidRPr="001510DC">
              <w:rPr>
                <w:b/>
              </w:rPr>
              <w:t>2</w:t>
            </w:r>
          </w:p>
        </w:tc>
      </w:tr>
      <w:tr w:rsidR="00DE6790" w:rsidRPr="00EA7B12" w:rsidTr="00AF26DB">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vAlign w:val="center"/>
          </w:tcPr>
          <w:p w:rsidR="00567572" w:rsidRDefault="00567572" w:rsidP="008E1FB1">
            <w:pPr>
              <w:spacing w:before="80" w:after="80" w:line="240" w:lineRule="exact"/>
              <w:jc w:val="left"/>
            </w:pPr>
            <w:r>
              <w:t>Unknown</w:t>
            </w:r>
          </w:p>
        </w:tc>
        <w:tc>
          <w:tcPr>
            <w:tcW w:w="897" w:type="dxa"/>
            <w:tcBorders>
              <w:top w:val="nil"/>
              <w:left w:val="nil"/>
              <w:bottom w:val="nil"/>
              <w:right w:val="nil"/>
            </w:tcBorders>
            <w:shd w:val="clear" w:color="auto" w:fill="E5F6F6"/>
            <w:vAlign w:val="center"/>
          </w:tcPr>
          <w:p w:rsidR="00567572" w:rsidRDefault="00567572" w:rsidP="008E1FB1">
            <w:pPr>
              <w:spacing w:before="80" w:after="80" w:line="240" w:lineRule="exact"/>
            </w:pPr>
            <w:r>
              <w:t>6</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0</w:t>
            </w:r>
          </w:p>
        </w:tc>
        <w:tc>
          <w:tcPr>
            <w:tcW w:w="898" w:type="dxa"/>
            <w:tcBorders>
              <w:top w:val="nil"/>
              <w:left w:val="nil"/>
              <w:bottom w:val="nil"/>
              <w:right w:val="nil"/>
            </w:tcBorders>
            <w:shd w:val="clear" w:color="auto" w:fill="E5F6F6"/>
          </w:tcPr>
          <w:p w:rsidR="00567572" w:rsidRPr="001510DC" w:rsidRDefault="00567572" w:rsidP="008E1FB1">
            <w:pPr>
              <w:spacing w:before="80" w:after="80" w:line="240" w:lineRule="exact"/>
              <w:rPr>
                <w:b/>
              </w:rPr>
            </w:pPr>
            <w:r w:rsidRPr="001510DC">
              <w:rPr>
                <w:b/>
              </w:rPr>
              <w:t>6</w:t>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0</w:t>
            </w:r>
            <w:r>
              <w:rPr>
                <w:rStyle w:val="FootnoteReference"/>
              </w:rPr>
              <w:footnoteReference w:id="3"/>
            </w:r>
          </w:p>
        </w:tc>
        <w:tc>
          <w:tcPr>
            <w:tcW w:w="898" w:type="dxa"/>
            <w:tcBorders>
              <w:top w:val="nil"/>
              <w:left w:val="nil"/>
              <w:bottom w:val="nil"/>
              <w:right w:val="nil"/>
            </w:tcBorders>
            <w:shd w:val="clear" w:color="auto" w:fill="E5F6F6"/>
          </w:tcPr>
          <w:p w:rsidR="00567572" w:rsidRDefault="00567572" w:rsidP="008E1FB1">
            <w:pPr>
              <w:spacing w:before="80" w:after="80" w:line="240" w:lineRule="exact"/>
            </w:pPr>
            <w:r>
              <w:t>0</w:t>
            </w:r>
          </w:p>
        </w:tc>
        <w:tc>
          <w:tcPr>
            <w:tcW w:w="898" w:type="dxa"/>
            <w:tcBorders>
              <w:top w:val="nil"/>
              <w:left w:val="nil"/>
              <w:bottom w:val="nil"/>
              <w:right w:val="single" w:sz="4" w:space="0" w:color="000000" w:themeColor="text1"/>
            </w:tcBorders>
            <w:shd w:val="clear" w:color="auto" w:fill="E5F6F6"/>
          </w:tcPr>
          <w:p w:rsidR="00567572" w:rsidRPr="001510DC" w:rsidRDefault="00567572" w:rsidP="008E1FB1">
            <w:pPr>
              <w:spacing w:before="80" w:after="80" w:line="240" w:lineRule="exact"/>
              <w:rPr>
                <w:b/>
              </w:rPr>
            </w:pPr>
            <w:r w:rsidRPr="001510DC">
              <w:rPr>
                <w:b/>
              </w:rPr>
              <w:t>0</w:t>
            </w:r>
          </w:p>
        </w:tc>
      </w:tr>
      <w:tr w:rsidR="00AF26DB" w:rsidRPr="00EA7B12" w:rsidTr="00AF26DB">
        <w:tc>
          <w:tcPr>
            <w:tcW w:w="3969" w:type="dxa"/>
            <w:gridSpan w:val="2"/>
            <w:tcBorders>
              <w:top w:val="nil"/>
              <w:left w:val="single" w:sz="4" w:space="0" w:color="000000" w:themeColor="text1"/>
              <w:bottom w:val="single" w:sz="4" w:space="0" w:color="000000" w:themeColor="text1"/>
              <w:right w:val="nil"/>
            </w:tcBorders>
            <w:shd w:val="clear" w:color="auto" w:fill="0099B3" w:themeFill="text2" w:themeFillTint="BF"/>
            <w:vAlign w:val="center"/>
          </w:tcPr>
          <w:p w:rsidR="00567572" w:rsidRPr="0050638D" w:rsidRDefault="00567572" w:rsidP="008E1FB1">
            <w:pPr>
              <w:spacing w:before="80" w:after="80" w:line="240" w:lineRule="exact"/>
              <w:jc w:val="left"/>
              <w:rPr>
                <w:b/>
              </w:rPr>
            </w:pPr>
            <w:r w:rsidRPr="0050638D">
              <w:rPr>
                <w:b/>
              </w:rPr>
              <w:t>Total</w:t>
            </w:r>
          </w:p>
        </w:tc>
        <w:tc>
          <w:tcPr>
            <w:tcW w:w="897" w:type="dxa"/>
            <w:tcBorders>
              <w:top w:val="nil"/>
              <w:left w:val="nil"/>
              <w:bottom w:val="single" w:sz="4" w:space="0" w:color="000000" w:themeColor="text1"/>
              <w:right w:val="nil"/>
            </w:tcBorders>
            <w:shd w:val="clear" w:color="auto" w:fill="0099B3" w:themeFill="text2" w:themeFillTint="BF"/>
            <w:vAlign w:val="center"/>
          </w:tcPr>
          <w:p w:rsidR="00567572" w:rsidRPr="009B5325" w:rsidRDefault="00567572" w:rsidP="008E1FB1">
            <w:pPr>
              <w:spacing w:before="80" w:after="80" w:line="240" w:lineRule="exact"/>
              <w:rPr>
                <w:b/>
              </w:rPr>
            </w:pPr>
            <w:r>
              <w:rPr>
                <w:b/>
              </w:rPr>
              <w:t>30</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Pr>
                <w:b/>
              </w:rPr>
              <w:t>12</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Pr>
                <w:b/>
              </w:rPr>
              <w:t>42</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Pr>
                <w:b/>
              </w:rPr>
              <w:t>34</w:t>
            </w:r>
          </w:p>
        </w:tc>
        <w:tc>
          <w:tcPr>
            <w:tcW w:w="898" w:type="dxa"/>
            <w:tcBorders>
              <w:top w:val="nil"/>
              <w:left w:val="nil"/>
              <w:bottom w:val="single" w:sz="4" w:space="0" w:color="000000" w:themeColor="text1"/>
              <w:right w:val="nil"/>
            </w:tcBorders>
            <w:shd w:val="clear" w:color="auto" w:fill="0099B3" w:themeFill="text2" w:themeFillTint="BF"/>
          </w:tcPr>
          <w:p w:rsidR="00567572" w:rsidRPr="009B5325" w:rsidRDefault="00567572" w:rsidP="008E1FB1">
            <w:pPr>
              <w:spacing w:before="80" w:after="80" w:line="240" w:lineRule="exact"/>
              <w:rPr>
                <w:b/>
              </w:rPr>
            </w:pPr>
            <w:r>
              <w:rPr>
                <w:b/>
              </w:rPr>
              <w:t>16</w:t>
            </w:r>
          </w:p>
        </w:tc>
        <w:tc>
          <w:tcPr>
            <w:tcW w:w="898" w:type="dxa"/>
            <w:tcBorders>
              <w:top w:val="nil"/>
              <w:left w:val="nil"/>
              <w:bottom w:val="single" w:sz="4" w:space="0" w:color="000000" w:themeColor="text1"/>
              <w:right w:val="single" w:sz="4" w:space="0" w:color="000000" w:themeColor="text1"/>
            </w:tcBorders>
            <w:shd w:val="clear" w:color="auto" w:fill="0099B3" w:themeFill="text2" w:themeFillTint="BF"/>
          </w:tcPr>
          <w:p w:rsidR="00567572" w:rsidRPr="009B5325" w:rsidRDefault="00567572" w:rsidP="008E1FB1">
            <w:pPr>
              <w:spacing w:before="80" w:after="80" w:line="240" w:lineRule="exact"/>
              <w:rPr>
                <w:b/>
              </w:rPr>
            </w:pPr>
            <w:r>
              <w:rPr>
                <w:b/>
              </w:rPr>
              <w:t>50</w:t>
            </w:r>
          </w:p>
        </w:tc>
      </w:tr>
    </w:tbl>
    <w:p w:rsidR="00567572" w:rsidRPr="0037091D" w:rsidRDefault="00567572" w:rsidP="00567572">
      <w:pPr>
        <w:pStyle w:val="Heading3"/>
        <w:numPr>
          <w:ilvl w:val="1"/>
          <w:numId w:val="13"/>
        </w:numPr>
        <w:spacing w:before="600" w:after="80" w:line="280" w:lineRule="exact"/>
        <w:ind w:left="567" w:hanging="567"/>
        <w:rPr>
          <w:lang w:val="en-US"/>
        </w:rPr>
      </w:pPr>
      <w:r>
        <w:rPr>
          <w:lang w:val="en-US"/>
        </w:rPr>
        <w:lastRenderedPageBreak/>
        <w:t>Prospective providers that are RTOs with current CRICOS registration</w:t>
      </w:r>
    </w:p>
    <w:p w:rsidR="00567572" w:rsidRDefault="00567572" w:rsidP="00567572">
      <w:pPr>
        <w:spacing w:before="0" w:after="0" w:line="260" w:lineRule="exact"/>
        <w:rPr>
          <w:lang w:val="en-US"/>
        </w:rPr>
      </w:pPr>
      <w:r>
        <w:rPr>
          <w:lang w:val="en-US"/>
        </w:rPr>
        <w:t xml:space="preserve">The following table represents the </w:t>
      </w:r>
      <w:r w:rsidRPr="00367546">
        <w:rPr>
          <w:lang w:val="en-US"/>
        </w:rPr>
        <w:t>number of prospective providers in each ca</w:t>
      </w:r>
      <w:r>
        <w:rPr>
          <w:lang w:val="en-US"/>
        </w:rPr>
        <w:t>tegory (pre-sub</w:t>
      </w:r>
      <w:r w:rsidRPr="002D45A4">
        <w:rPr>
          <w:i/>
          <w:lang w:val="en-US"/>
        </w:rPr>
        <w:t>mission</w:t>
      </w:r>
      <w:r>
        <w:rPr>
          <w:lang w:val="en-US"/>
        </w:rPr>
        <w:t xml:space="preserve"> and post-</w:t>
      </w:r>
      <w:r w:rsidRPr="00367546">
        <w:rPr>
          <w:lang w:val="en-US"/>
        </w:rPr>
        <w:t>sub</w:t>
      </w:r>
      <w:r w:rsidRPr="002D45A4">
        <w:rPr>
          <w:i/>
          <w:lang w:val="en-US"/>
        </w:rPr>
        <w:t>mission</w:t>
      </w:r>
      <w:r w:rsidRPr="00367546">
        <w:rPr>
          <w:lang w:val="en-US"/>
        </w:rPr>
        <w:t>) that have identified the entity that is applying for registration as a Higher Education provider is already registered as an RTO</w:t>
      </w:r>
      <w:r>
        <w:rPr>
          <w:lang w:val="en-US"/>
        </w:rPr>
        <w:t xml:space="preserve"> </w:t>
      </w:r>
      <w:r w:rsidRPr="00367546">
        <w:rPr>
          <w:i/>
          <w:lang w:val="en-US"/>
        </w:rPr>
        <w:t>and</w:t>
      </w:r>
      <w:r>
        <w:rPr>
          <w:lang w:val="en-US"/>
        </w:rPr>
        <w:t xml:space="preserve"> </w:t>
      </w:r>
      <w:r w:rsidRPr="00367546">
        <w:rPr>
          <w:lang w:val="en-US"/>
        </w:rPr>
        <w:t>is currently registered on CRICOS to deliver courses to international students.</w:t>
      </w:r>
    </w:p>
    <w:p w:rsidR="00567572" w:rsidRPr="003E5AC1" w:rsidRDefault="00567572" w:rsidP="00567572">
      <w:pPr>
        <w:rPr>
          <w:sz w:val="16"/>
          <w:szCs w:val="16"/>
          <w:lang w:val="en-US"/>
        </w:rPr>
      </w:pPr>
    </w:p>
    <w:tbl>
      <w:tblPr>
        <w:tblStyle w:val="TEQSAtables"/>
        <w:tblW w:w="9356" w:type="dxa"/>
        <w:tblInd w:w="284" w:type="dxa"/>
        <w:tblLook w:val="04A0" w:firstRow="1" w:lastRow="0" w:firstColumn="1" w:lastColumn="0" w:noHBand="0" w:noVBand="1"/>
      </w:tblPr>
      <w:tblGrid>
        <w:gridCol w:w="3344"/>
        <w:gridCol w:w="625"/>
        <w:gridCol w:w="897"/>
        <w:gridCol w:w="898"/>
        <w:gridCol w:w="898"/>
        <w:gridCol w:w="898"/>
        <w:gridCol w:w="898"/>
        <w:gridCol w:w="898"/>
      </w:tblGrid>
      <w:tr w:rsidR="00567572" w:rsidRPr="007374AF" w:rsidTr="005B6050">
        <w:trPr>
          <w:cnfStyle w:val="100000000000" w:firstRow="1" w:lastRow="0" w:firstColumn="0" w:lastColumn="0" w:oddVBand="0" w:evenVBand="0" w:oddHBand="0" w:evenHBand="0" w:firstRowFirstColumn="0" w:firstRowLastColumn="0" w:lastRowFirstColumn="0" w:lastRowLastColumn="0"/>
          <w:trHeight w:val="473"/>
          <w:tblHeader/>
        </w:trPr>
        <w:tc>
          <w:tcPr>
            <w:tcW w:w="3344" w:type="dxa"/>
            <w:tcBorders>
              <w:top w:val="single" w:sz="4" w:space="0" w:color="004855"/>
              <w:left w:val="single" w:sz="4" w:space="0" w:color="004855"/>
              <w:bottom w:val="single" w:sz="4" w:space="0" w:color="004855"/>
              <w:right w:val="single" w:sz="4" w:space="0" w:color="004855"/>
            </w:tcBorders>
            <w:vAlign w:val="center"/>
          </w:tcPr>
          <w:p w:rsidR="00567572" w:rsidRPr="00A212B0" w:rsidRDefault="00567572" w:rsidP="008E1FB1">
            <w:pPr>
              <w:pStyle w:val="TableHeadings"/>
              <w:spacing w:before="120" w:after="120"/>
              <w:jc w:val="left"/>
              <w:rPr>
                <w:b/>
              </w:rPr>
            </w:pPr>
            <w:r w:rsidRPr="00A212B0">
              <w:rPr>
                <w:b/>
              </w:rPr>
              <w:t>RTOs with CRICOS</w:t>
            </w:r>
          </w:p>
        </w:tc>
        <w:tc>
          <w:tcPr>
            <w:tcW w:w="625" w:type="dxa"/>
            <w:tcBorders>
              <w:top w:val="single" w:sz="4" w:space="0" w:color="004855"/>
              <w:left w:val="single" w:sz="4" w:space="0" w:color="004855"/>
              <w:bottom w:val="single" w:sz="4" w:space="0" w:color="004855"/>
              <w:right w:val="single" w:sz="4" w:space="0" w:color="004855"/>
            </w:tcBorders>
          </w:tcPr>
          <w:p w:rsidR="00567572" w:rsidRPr="00836EA0" w:rsidRDefault="00567572" w:rsidP="008E1FB1">
            <w:pPr>
              <w:pStyle w:val="TableHeadings"/>
              <w:spacing w:before="120" w:after="120"/>
              <w:rPr>
                <w:b/>
              </w:rPr>
            </w:pPr>
          </w:p>
        </w:tc>
        <w:tc>
          <w:tcPr>
            <w:tcW w:w="2693" w:type="dxa"/>
            <w:gridSpan w:val="3"/>
            <w:tcBorders>
              <w:top w:val="single" w:sz="4" w:space="0" w:color="004855"/>
              <w:left w:val="single" w:sz="4" w:space="0" w:color="004855"/>
              <w:bottom w:val="single" w:sz="4" w:space="0" w:color="004855"/>
              <w:right w:val="single" w:sz="4" w:space="0" w:color="004855"/>
            </w:tcBorders>
            <w:vAlign w:val="center"/>
          </w:tcPr>
          <w:p w:rsidR="00567572" w:rsidRDefault="00567572" w:rsidP="008E1FB1">
            <w:pPr>
              <w:pStyle w:val="TableHeadings"/>
              <w:spacing w:before="120" w:after="120"/>
              <w:rPr>
                <w:b/>
              </w:rPr>
            </w:pPr>
            <w:r>
              <w:rPr>
                <w:b/>
              </w:rPr>
              <w:t>Q1 2016</w:t>
            </w:r>
          </w:p>
        </w:tc>
        <w:tc>
          <w:tcPr>
            <w:tcW w:w="2694" w:type="dxa"/>
            <w:gridSpan w:val="3"/>
            <w:tcBorders>
              <w:top w:val="single" w:sz="4" w:space="0" w:color="004855"/>
              <w:left w:val="single" w:sz="4" w:space="0" w:color="004855"/>
              <w:bottom w:val="single" w:sz="4" w:space="0" w:color="004855"/>
              <w:right w:val="single" w:sz="4" w:space="0" w:color="004855"/>
            </w:tcBorders>
            <w:vAlign w:val="center"/>
          </w:tcPr>
          <w:p w:rsidR="00567572" w:rsidRDefault="00567572" w:rsidP="008E1FB1">
            <w:pPr>
              <w:pStyle w:val="TableHeadings"/>
              <w:spacing w:before="120" w:after="120"/>
              <w:rPr>
                <w:b/>
              </w:rPr>
            </w:pPr>
            <w:r>
              <w:rPr>
                <w:b/>
              </w:rPr>
              <w:t>Q2</w:t>
            </w:r>
            <w:r w:rsidRPr="006C3C6F">
              <w:rPr>
                <w:b/>
              </w:rPr>
              <w:t xml:space="preserve"> 2016</w:t>
            </w:r>
          </w:p>
        </w:tc>
      </w:tr>
      <w:tr w:rsidR="00567572" w:rsidRPr="007374AF" w:rsidTr="00AF26DB">
        <w:trPr>
          <w:trHeight w:val="940"/>
        </w:trPr>
        <w:tc>
          <w:tcPr>
            <w:tcW w:w="3969" w:type="dxa"/>
            <w:gridSpan w:val="2"/>
            <w:tcBorders>
              <w:top w:val="single" w:sz="4" w:space="0" w:color="004855"/>
              <w:left w:val="single" w:sz="4" w:space="0" w:color="004855"/>
              <w:bottom w:val="nil"/>
              <w:right w:val="nil"/>
            </w:tcBorders>
            <w:shd w:val="clear" w:color="auto" w:fill="003B45" w:themeFill="accent2"/>
            <w:vAlign w:val="center"/>
          </w:tcPr>
          <w:p w:rsidR="00567572" w:rsidRPr="00836EA0" w:rsidRDefault="00567572" w:rsidP="008E1FB1">
            <w:pPr>
              <w:pStyle w:val="TableHeadings"/>
              <w:spacing w:before="120" w:after="120"/>
              <w:rPr>
                <w:b w:val="0"/>
              </w:rPr>
            </w:pPr>
          </w:p>
        </w:tc>
        <w:tc>
          <w:tcPr>
            <w:tcW w:w="897" w:type="dxa"/>
            <w:tcBorders>
              <w:top w:val="single" w:sz="4" w:space="0" w:color="004855"/>
              <w:left w:val="nil"/>
              <w:bottom w:val="nil"/>
              <w:right w:val="nil"/>
            </w:tcBorders>
            <w:shd w:val="clear" w:color="auto" w:fill="003B45" w:themeFill="accent2"/>
            <w:vAlign w:val="center"/>
            <w:hideMark/>
          </w:tcPr>
          <w:p w:rsidR="00567572" w:rsidRPr="00836EA0" w:rsidRDefault="00567572" w:rsidP="008E1FB1">
            <w:pPr>
              <w:pStyle w:val="TableHeadings"/>
              <w:spacing w:before="120" w:after="120"/>
              <w:rPr>
                <w:b w:val="0"/>
              </w:rPr>
            </w:pPr>
            <w:r>
              <w:rPr>
                <w:b w:val="0"/>
              </w:rPr>
              <w:t>Pre-sub</w:t>
            </w:r>
          </w:p>
        </w:tc>
        <w:tc>
          <w:tcPr>
            <w:tcW w:w="898" w:type="dxa"/>
            <w:tcBorders>
              <w:top w:val="single" w:sz="4" w:space="0" w:color="004855"/>
              <w:left w:val="nil"/>
              <w:bottom w:val="nil"/>
              <w:right w:val="nil"/>
            </w:tcBorders>
            <w:shd w:val="clear" w:color="auto" w:fill="003B45" w:themeFill="accent2"/>
            <w:vAlign w:val="center"/>
          </w:tcPr>
          <w:p w:rsidR="00567572" w:rsidRPr="00FF0D9D" w:rsidRDefault="00567572" w:rsidP="008E1FB1">
            <w:pPr>
              <w:pStyle w:val="TableHeadings"/>
              <w:spacing w:before="120" w:after="120"/>
              <w:rPr>
                <w:b w:val="0"/>
              </w:rPr>
            </w:pPr>
            <w:r>
              <w:rPr>
                <w:b w:val="0"/>
              </w:rPr>
              <w:t>Post-sub</w:t>
            </w:r>
          </w:p>
        </w:tc>
        <w:tc>
          <w:tcPr>
            <w:tcW w:w="898" w:type="dxa"/>
            <w:tcBorders>
              <w:top w:val="single" w:sz="4" w:space="0" w:color="004855"/>
              <w:left w:val="nil"/>
              <w:bottom w:val="nil"/>
              <w:right w:val="nil"/>
            </w:tcBorders>
            <w:shd w:val="clear" w:color="auto" w:fill="003B45" w:themeFill="accent2"/>
            <w:vAlign w:val="center"/>
          </w:tcPr>
          <w:p w:rsidR="00567572" w:rsidRPr="001510DC" w:rsidRDefault="00567572" w:rsidP="008E1FB1">
            <w:pPr>
              <w:pStyle w:val="TableHeadings"/>
              <w:spacing w:before="120" w:after="120"/>
            </w:pPr>
            <w:r w:rsidRPr="001510DC">
              <w:t>Total</w:t>
            </w:r>
          </w:p>
        </w:tc>
        <w:tc>
          <w:tcPr>
            <w:tcW w:w="898" w:type="dxa"/>
            <w:tcBorders>
              <w:top w:val="single" w:sz="4" w:space="0" w:color="004855"/>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Pre-sub</w:t>
            </w:r>
          </w:p>
        </w:tc>
        <w:tc>
          <w:tcPr>
            <w:tcW w:w="898" w:type="dxa"/>
            <w:tcBorders>
              <w:top w:val="single" w:sz="4" w:space="0" w:color="004855"/>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Post-sub</w:t>
            </w:r>
          </w:p>
        </w:tc>
        <w:tc>
          <w:tcPr>
            <w:tcW w:w="898" w:type="dxa"/>
            <w:tcBorders>
              <w:top w:val="single" w:sz="4" w:space="0" w:color="004855"/>
              <w:left w:val="nil"/>
              <w:bottom w:val="nil"/>
              <w:right w:val="single" w:sz="4" w:space="0" w:color="004855"/>
            </w:tcBorders>
            <w:shd w:val="clear" w:color="auto" w:fill="005F70" w:themeFill="text2" w:themeFillTint="E6"/>
            <w:vAlign w:val="center"/>
          </w:tcPr>
          <w:p w:rsidR="00567572" w:rsidRPr="001510DC" w:rsidRDefault="00567572" w:rsidP="008E1FB1">
            <w:pPr>
              <w:pStyle w:val="TableHeadings"/>
              <w:spacing w:before="120" w:after="120"/>
            </w:pPr>
            <w:r w:rsidRPr="001510DC">
              <w:t>Total</w:t>
            </w:r>
          </w:p>
        </w:tc>
      </w:tr>
      <w:tr w:rsidR="00DE6790"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4855"/>
              <w:bottom w:val="single" w:sz="4" w:space="0" w:color="004855"/>
              <w:right w:val="nil"/>
            </w:tcBorders>
            <w:shd w:val="clear" w:color="auto" w:fill="E5F6F6"/>
            <w:vAlign w:val="center"/>
          </w:tcPr>
          <w:p w:rsidR="00567572" w:rsidRPr="0050638D" w:rsidRDefault="00567572" w:rsidP="008E1FB1">
            <w:pPr>
              <w:spacing w:before="80" w:after="80" w:line="240" w:lineRule="exact"/>
              <w:jc w:val="left"/>
              <w:rPr>
                <w:b/>
              </w:rPr>
            </w:pPr>
            <w:r w:rsidRPr="0050638D">
              <w:rPr>
                <w:b/>
              </w:rPr>
              <w:t>Tot</w:t>
            </w:r>
            <w:r w:rsidRPr="00857D70">
              <w:rPr>
                <w:b/>
              </w:rPr>
              <w:t>al</w:t>
            </w:r>
          </w:p>
        </w:tc>
        <w:tc>
          <w:tcPr>
            <w:tcW w:w="897" w:type="dxa"/>
            <w:tcBorders>
              <w:top w:val="nil"/>
              <w:left w:val="nil"/>
              <w:bottom w:val="single" w:sz="4" w:space="0" w:color="004855"/>
              <w:right w:val="nil"/>
            </w:tcBorders>
            <w:shd w:val="clear" w:color="auto" w:fill="E5F6F6"/>
            <w:vAlign w:val="center"/>
          </w:tcPr>
          <w:p w:rsidR="00567572" w:rsidRPr="00831A42" w:rsidRDefault="00567572" w:rsidP="008E1FB1">
            <w:pPr>
              <w:spacing w:before="80" w:after="80" w:line="240" w:lineRule="exact"/>
            </w:pPr>
            <w:r w:rsidRPr="00831A42">
              <w:t>19</w:t>
            </w:r>
          </w:p>
        </w:tc>
        <w:tc>
          <w:tcPr>
            <w:tcW w:w="898" w:type="dxa"/>
            <w:tcBorders>
              <w:top w:val="nil"/>
              <w:left w:val="nil"/>
              <w:bottom w:val="single" w:sz="4" w:space="0" w:color="004855"/>
              <w:right w:val="nil"/>
            </w:tcBorders>
            <w:shd w:val="clear" w:color="auto" w:fill="E5F6F6"/>
          </w:tcPr>
          <w:p w:rsidR="00567572" w:rsidRPr="00831A42" w:rsidRDefault="00567572" w:rsidP="008E1FB1">
            <w:pPr>
              <w:spacing w:before="80" w:after="80" w:line="240" w:lineRule="exact"/>
            </w:pPr>
            <w:r w:rsidRPr="00831A42">
              <w:t>7</w:t>
            </w:r>
          </w:p>
        </w:tc>
        <w:tc>
          <w:tcPr>
            <w:tcW w:w="898" w:type="dxa"/>
            <w:tcBorders>
              <w:top w:val="nil"/>
              <w:left w:val="nil"/>
              <w:bottom w:val="single" w:sz="4" w:space="0" w:color="004855"/>
              <w:right w:val="nil"/>
            </w:tcBorders>
            <w:shd w:val="clear" w:color="auto" w:fill="E5F6F6"/>
          </w:tcPr>
          <w:p w:rsidR="00567572" w:rsidRPr="009B5325" w:rsidRDefault="00567572" w:rsidP="008E1FB1">
            <w:pPr>
              <w:spacing w:before="80" w:after="80" w:line="240" w:lineRule="exact"/>
              <w:rPr>
                <w:b/>
              </w:rPr>
            </w:pPr>
            <w:r>
              <w:rPr>
                <w:b/>
              </w:rPr>
              <w:t>26</w:t>
            </w:r>
          </w:p>
        </w:tc>
        <w:tc>
          <w:tcPr>
            <w:tcW w:w="898" w:type="dxa"/>
            <w:tcBorders>
              <w:top w:val="nil"/>
              <w:left w:val="nil"/>
              <w:bottom w:val="single" w:sz="4" w:space="0" w:color="004855"/>
              <w:right w:val="nil"/>
            </w:tcBorders>
            <w:shd w:val="clear" w:color="auto" w:fill="E5F6F6"/>
          </w:tcPr>
          <w:p w:rsidR="00567572" w:rsidRPr="00831A42" w:rsidRDefault="00567572" w:rsidP="008E1FB1">
            <w:pPr>
              <w:spacing w:before="80" w:after="80" w:line="240" w:lineRule="exact"/>
            </w:pPr>
            <w:r w:rsidRPr="00831A42">
              <w:t>20</w:t>
            </w:r>
          </w:p>
        </w:tc>
        <w:tc>
          <w:tcPr>
            <w:tcW w:w="898" w:type="dxa"/>
            <w:tcBorders>
              <w:top w:val="nil"/>
              <w:left w:val="nil"/>
              <w:bottom w:val="single" w:sz="4" w:space="0" w:color="004855"/>
              <w:right w:val="nil"/>
            </w:tcBorders>
            <w:shd w:val="clear" w:color="auto" w:fill="E5F6F6"/>
          </w:tcPr>
          <w:p w:rsidR="00567572" w:rsidRPr="00831A42" w:rsidRDefault="00567572" w:rsidP="008E1FB1">
            <w:pPr>
              <w:spacing w:before="80" w:after="80" w:line="240" w:lineRule="exact"/>
            </w:pPr>
            <w:r w:rsidRPr="00831A42">
              <w:t>11</w:t>
            </w:r>
          </w:p>
        </w:tc>
        <w:tc>
          <w:tcPr>
            <w:tcW w:w="898" w:type="dxa"/>
            <w:tcBorders>
              <w:top w:val="nil"/>
              <w:left w:val="nil"/>
              <w:bottom w:val="single" w:sz="4" w:space="0" w:color="004855"/>
              <w:right w:val="single" w:sz="4" w:space="0" w:color="004855"/>
            </w:tcBorders>
            <w:shd w:val="clear" w:color="auto" w:fill="E5F6F6"/>
          </w:tcPr>
          <w:p w:rsidR="00567572" w:rsidRPr="009B5325" w:rsidRDefault="00567572" w:rsidP="008E1FB1">
            <w:pPr>
              <w:spacing w:before="80" w:after="80" w:line="240" w:lineRule="exact"/>
              <w:rPr>
                <w:b/>
              </w:rPr>
            </w:pPr>
            <w:r>
              <w:rPr>
                <w:b/>
              </w:rPr>
              <w:t>31</w:t>
            </w:r>
          </w:p>
        </w:tc>
      </w:tr>
    </w:tbl>
    <w:p w:rsidR="00567572" w:rsidRDefault="00567572" w:rsidP="00567572">
      <w:pPr>
        <w:rPr>
          <w:rFonts w:eastAsiaTheme="majorEastAsia" w:cstheme="majorBidi"/>
          <w:color w:val="003B45" w:themeColor="accent2"/>
          <w:sz w:val="26"/>
        </w:rPr>
      </w:pPr>
    </w:p>
    <w:p w:rsidR="00567572" w:rsidRDefault="00567572" w:rsidP="00567572">
      <w:pPr>
        <w:pStyle w:val="Heading3"/>
        <w:ind w:left="567" w:hanging="567"/>
      </w:pPr>
      <w:r>
        <w:t xml:space="preserve">5.4 </w:t>
      </w:r>
      <w:r>
        <w:tab/>
        <w:t xml:space="preserve">Most prevalent Broad </w:t>
      </w:r>
      <w:proofErr w:type="spellStart"/>
      <w:r>
        <w:t>FoE</w:t>
      </w:r>
      <w:proofErr w:type="spellEnd"/>
      <w:r>
        <w:rPr>
          <w:rStyle w:val="FootnoteReference"/>
        </w:rPr>
        <w:footnoteReference w:id="4"/>
      </w:r>
      <w:r>
        <w:t xml:space="preserve"> course applications</w:t>
      </w:r>
    </w:p>
    <w:p w:rsidR="00567572" w:rsidRDefault="00567572" w:rsidP="00567572">
      <w:r w:rsidRPr="00367546">
        <w:t xml:space="preserve">The following table represents the </w:t>
      </w:r>
      <w:r>
        <w:t>type of courses, identified by Broad Field of Education (</w:t>
      </w:r>
      <w:proofErr w:type="spellStart"/>
      <w:r>
        <w:t>FoE</w:t>
      </w:r>
      <w:proofErr w:type="spellEnd"/>
      <w:r>
        <w:t>), that are most common in the proposed/submitted course accreditation applications from prospective providers in each category that accompany a proposed/submitted application for registration.</w:t>
      </w:r>
    </w:p>
    <w:p w:rsidR="00567572" w:rsidRDefault="00567572" w:rsidP="00567572"/>
    <w:tbl>
      <w:tblPr>
        <w:tblStyle w:val="TEQSAtables"/>
        <w:tblW w:w="9356" w:type="dxa"/>
        <w:tblInd w:w="284" w:type="dxa"/>
        <w:tblLook w:val="04A0" w:firstRow="1" w:lastRow="0" w:firstColumn="1" w:lastColumn="0" w:noHBand="0" w:noVBand="1"/>
      </w:tblPr>
      <w:tblGrid>
        <w:gridCol w:w="3344"/>
        <w:gridCol w:w="625"/>
        <w:gridCol w:w="1346"/>
        <w:gridCol w:w="1347"/>
        <w:gridCol w:w="1347"/>
        <w:gridCol w:w="1347"/>
      </w:tblGrid>
      <w:tr w:rsidR="00567572" w:rsidRPr="007374AF" w:rsidTr="005B6050">
        <w:trPr>
          <w:cnfStyle w:val="100000000000" w:firstRow="1" w:lastRow="0" w:firstColumn="0" w:lastColumn="0" w:oddVBand="0" w:evenVBand="0" w:oddHBand="0" w:evenHBand="0" w:firstRowFirstColumn="0" w:firstRowLastColumn="0" w:lastRowFirstColumn="0" w:lastRowLastColumn="0"/>
          <w:trHeight w:val="462"/>
          <w:tblHeader/>
        </w:trPr>
        <w:tc>
          <w:tcPr>
            <w:tcW w:w="3344" w:type="dxa"/>
            <w:tcBorders>
              <w:top w:val="single" w:sz="4" w:space="0" w:color="004855"/>
              <w:left w:val="single" w:sz="4" w:space="0" w:color="004855"/>
              <w:right w:val="single" w:sz="4" w:space="0" w:color="004855"/>
            </w:tcBorders>
            <w:vAlign w:val="center"/>
          </w:tcPr>
          <w:p w:rsidR="00567572" w:rsidRPr="00836EA0" w:rsidRDefault="00567572" w:rsidP="008E1FB1">
            <w:pPr>
              <w:pStyle w:val="TableHeadings"/>
              <w:spacing w:before="120" w:after="120"/>
            </w:pPr>
            <w:bookmarkStart w:id="0" w:name="_GoBack" w:colFirst="0" w:colLast="3"/>
          </w:p>
        </w:tc>
        <w:tc>
          <w:tcPr>
            <w:tcW w:w="625" w:type="dxa"/>
            <w:tcBorders>
              <w:top w:val="single" w:sz="4" w:space="0" w:color="004855"/>
              <w:left w:val="single" w:sz="4" w:space="0" w:color="004855"/>
              <w:right w:val="single" w:sz="4" w:space="0" w:color="004855"/>
            </w:tcBorders>
          </w:tcPr>
          <w:p w:rsidR="00567572" w:rsidRPr="00836EA0" w:rsidRDefault="00567572" w:rsidP="008E1FB1">
            <w:pPr>
              <w:pStyle w:val="TableHeadings"/>
              <w:spacing w:before="120" w:after="120"/>
              <w:rPr>
                <w:b/>
              </w:rPr>
            </w:pPr>
          </w:p>
        </w:tc>
        <w:tc>
          <w:tcPr>
            <w:tcW w:w="2693" w:type="dxa"/>
            <w:gridSpan w:val="2"/>
            <w:tcBorders>
              <w:top w:val="single" w:sz="4" w:space="0" w:color="004855"/>
              <w:left w:val="single" w:sz="4" w:space="0" w:color="004855"/>
              <w:right w:val="single" w:sz="4" w:space="0" w:color="004855"/>
            </w:tcBorders>
            <w:vAlign w:val="center"/>
          </w:tcPr>
          <w:p w:rsidR="00567572" w:rsidRDefault="00567572" w:rsidP="008E1FB1">
            <w:pPr>
              <w:pStyle w:val="TableHeadings"/>
              <w:spacing w:before="120" w:after="120"/>
            </w:pPr>
            <w:r>
              <w:rPr>
                <w:b/>
              </w:rPr>
              <w:t>Q1 2016</w:t>
            </w:r>
          </w:p>
        </w:tc>
        <w:tc>
          <w:tcPr>
            <w:tcW w:w="2694" w:type="dxa"/>
            <w:gridSpan w:val="2"/>
            <w:tcBorders>
              <w:top w:val="single" w:sz="4" w:space="0" w:color="004855"/>
              <w:left w:val="single" w:sz="4" w:space="0" w:color="004855"/>
              <w:right w:val="single" w:sz="4" w:space="0" w:color="004855"/>
            </w:tcBorders>
            <w:vAlign w:val="center"/>
          </w:tcPr>
          <w:p w:rsidR="00567572" w:rsidRDefault="00567572" w:rsidP="008E1FB1">
            <w:pPr>
              <w:pStyle w:val="TableHeadings"/>
              <w:spacing w:before="120" w:after="120"/>
            </w:pPr>
            <w:r>
              <w:rPr>
                <w:b/>
              </w:rPr>
              <w:t>Q2</w:t>
            </w:r>
            <w:r w:rsidRPr="006C3C6F">
              <w:rPr>
                <w:b/>
              </w:rPr>
              <w:t xml:space="preserve"> 2016</w:t>
            </w:r>
          </w:p>
        </w:tc>
      </w:tr>
      <w:bookmarkEnd w:id="0"/>
      <w:tr w:rsidR="00AF26DB" w:rsidRPr="007374AF" w:rsidTr="00AF26DB">
        <w:trPr>
          <w:trHeight w:val="1029"/>
        </w:trPr>
        <w:tc>
          <w:tcPr>
            <w:tcW w:w="3969" w:type="dxa"/>
            <w:gridSpan w:val="2"/>
            <w:tcBorders>
              <w:top w:val="single" w:sz="4" w:space="0" w:color="000000" w:themeColor="text1"/>
              <w:left w:val="single" w:sz="4" w:space="0" w:color="000000" w:themeColor="text1"/>
              <w:bottom w:val="nil"/>
              <w:right w:val="nil"/>
            </w:tcBorders>
            <w:shd w:val="clear" w:color="auto" w:fill="003B45" w:themeFill="accent2"/>
            <w:vAlign w:val="center"/>
          </w:tcPr>
          <w:p w:rsidR="00567572" w:rsidRPr="00836EA0" w:rsidRDefault="00567572" w:rsidP="008E1FB1">
            <w:pPr>
              <w:pStyle w:val="TableHeadings"/>
              <w:spacing w:before="120" w:after="120"/>
              <w:jc w:val="left"/>
              <w:rPr>
                <w:b w:val="0"/>
              </w:rPr>
            </w:pPr>
            <w:r>
              <w:t xml:space="preserve">Broad </w:t>
            </w:r>
            <w:proofErr w:type="spellStart"/>
            <w:r>
              <w:t>FoE</w:t>
            </w:r>
            <w:proofErr w:type="spellEnd"/>
          </w:p>
        </w:tc>
        <w:tc>
          <w:tcPr>
            <w:tcW w:w="1346" w:type="dxa"/>
            <w:tcBorders>
              <w:top w:val="single" w:sz="4" w:space="0" w:color="000000" w:themeColor="text1"/>
              <w:left w:val="nil"/>
              <w:bottom w:val="nil"/>
              <w:right w:val="nil"/>
            </w:tcBorders>
            <w:shd w:val="clear" w:color="auto" w:fill="003B45" w:themeFill="accent2"/>
            <w:vAlign w:val="center"/>
            <w:hideMark/>
          </w:tcPr>
          <w:p w:rsidR="00567572" w:rsidRPr="00836EA0" w:rsidRDefault="00567572" w:rsidP="008E1FB1">
            <w:pPr>
              <w:pStyle w:val="TableHeadings"/>
              <w:spacing w:before="120" w:after="120"/>
              <w:rPr>
                <w:b w:val="0"/>
              </w:rPr>
            </w:pPr>
            <w:r>
              <w:rPr>
                <w:b w:val="0"/>
              </w:rPr>
              <w:t>Pre-sub</w:t>
            </w:r>
          </w:p>
        </w:tc>
        <w:tc>
          <w:tcPr>
            <w:tcW w:w="1347" w:type="dxa"/>
            <w:tcBorders>
              <w:top w:val="single" w:sz="4" w:space="0" w:color="000000" w:themeColor="text1"/>
              <w:left w:val="nil"/>
              <w:bottom w:val="nil"/>
              <w:right w:val="nil"/>
            </w:tcBorders>
            <w:shd w:val="clear" w:color="auto" w:fill="003B45" w:themeFill="accent2"/>
            <w:vAlign w:val="center"/>
          </w:tcPr>
          <w:p w:rsidR="00567572" w:rsidRPr="00FF0D9D" w:rsidRDefault="00567572" w:rsidP="008E1FB1">
            <w:pPr>
              <w:pStyle w:val="TableHeadings"/>
              <w:spacing w:before="120" w:after="120"/>
              <w:rPr>
                <w:b w:val="0"/>
              </w:rPr>
            </w:pPr>
            <w:r>
              <w:rPr>
                <w:b w:val="0"/>
              </w:rPr>
              <w:t>Post-sub</w:t>
            </w:r>
          </w:p>
        </w:tc>
        <w:tc>
          <w:tcPr>
            <w:tcW w:w="1347" w:type="dxa"/>
            <w:tcBorders>
              <w:top w:val="single" w:sz="4" w:space="0" w:color="000000" w:themeColor="text1"/>
              <w:left w:val="nil"/>
              <w:bottom w:val="nil"/>
              <w:right w:val="nil"/>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Pre-sub</w:t>
            </w:r>
          </w:p>
        </w:tc>
        <w:tc>
          <w:tcPr>
            <w:tcW w:w="1347" w:type="dxa"/>
            <w:tcBorders>
              <w:top w:val="single" w:sz="4" w:space="0" w:color="000000" w:themeColor="text1"/>
              <w:left w:val="nil"/>
              <w:bottom w:val="nil"/>
              <w:right w:val="single" w:sz="4" w:space="0" w:color="000000" w:themeColor="text1"/>
            </w:tcBorders>
            <w:shd w:val="clear" w:color="auto" w:fill="005F70" w:themeFill="text2" w:themeFillTint="E6"/>
            <w:vAlign w:val="center"/>
          </w:tcPr>
          <w:p w:rsidR="00567572" w:rsidRPr="00FF0D9D" w:rsidRDefault="00567572" w:rsidP="008E1FB1">
            <w:pPr>
              <w:pStyle w:val="TableHeadings"/>
              <w:spacing w:before="120" w:after="120"/>
              <w:rPr>
                <w:b w:val="0"/>
              </w:rPr>
            </w:pPr>
            <w:r>
              <w:rPr>
                <w:b w:val="0"/>
              </w:rPr>
              <w:t>Post-sub</w:t>
            </w:r>
          </w:p>
        </w:tc>
      </w:tr>
      <w:tr w:rsidR="00567572"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tcPr>
          <w:p w:rsidR="00567572" w:rsidRPr="00EA7B12" w:rsidRDefault="00567572" w:rsidP="008E1FB1">
            <w:pPr>
              <w:spacing w:before="80" w:after="80" w:line="240" w:lineRule="exact"/>
              <w:jc w:val="left"/>
            </w:pPr>
            <w:r>
              <w:t>08 Management and Commerce</w:t>
            </w:r>
          </w:p>
        </w:tc>
        <w:tc>
          <w:tcPr>
            <w:tcW w:w="1346" w:type="dxa"/>
            <w:tcBorders>
              <w:top w:val="nil"/>
              <w:left w:val="nil"/>
              <w:bottom w:val="nil"/>
              <w:right w:val="nil"/>
            </w:tcBorders>
            <w:shd w:val="clear" w:color="auto" w:fill="E5F6F6"/>
            <w:vAlign w:val="center"/>
          </w:tcPr>
          <w:p w:rsidR="00567572" w:rsidRPr="00EA7B12" w:rsidRDefault="00567572" w:rsidP="008E1FB1">
            <w:pPr>
              <w:spacing w:before="80" w:after="80" w:line="240" w:lineRule="exact"/>
              <w:rPr>
                <w:highlight w:val="yellow"/>
              </w:rPr>
            </w:pPr>
            <w:r>
              <w:t>25</w:t>
            </w:r>
          </w:p>
        </w:tc>
        <w:tc>
          <w:tcPr>
            <w:tcW w:w="1347" w:type="dxa"/>
            <w:tcBorders>
              <w:top w:val="nil"/>
              <w:left w:val="nil"/>
              <w:bottom w:val="nil"/>
              <w:right w:val="nil"/>
            </w:tcBorders>
            <w:shd w:val="clear" w:color="auto" w:fill="E5F6F6"/>
          </w:tcPr>
          <w:p w:rsidR="00567572" w:rsidRDefault="00567572" w:rsidP="008E1FB1">
            <w:pPr>
              <w:spacing w:before="80" w:after="80" w:line="240" w:lineRule="exact"/>
            </w:pPr>
            <w:r>
              <w:t>14</w:t>
            </w:r>
          </w:p>
        </w:tc>
        <w:tc>
          <w:tcPr>
            <w:tcW w:w="1347" w:type="dxa"/>
            <w:tcBorders>
              <w:top w:val="nil"/>
              <w:left w:val="nil"/>
              <w:bottom w:val="nil"/>
              <w:right w:val="nil"/>
            </w:tcBorders>
            <w:shd w:val="clear" w:color="auto" w:fill="E5F6F6"/>
          </w:tcPr>
          <w:p w:rsidR="00567572" w:rsidRDefault="00567572" w:rsidP="008E1FB1">
            <w:pPr>
              <w:spacing w:before="80" w:after="80" w:line="240" w:lineRule="exact"/>
            </w:pPr>
            <w:r>
              <w:t>34</w:t>
            </w:r>
          </w:p>
        </w:tc>
        <w:tc>
          <w:tcPr>
            <w:tcW w:w="1347" w:type="dxa"/>
            <w:tcBorders>
              <w:top w:val="nil"/>
              <w:left w:val="nil"/>
              <w:bottom w:val="nil"/>
              <w:right w:val="single" w:sz="4" w:space="0" w:color="000000" w:themeColor="text1"/>
            </w:tcBorders>
            <w:shd w:val="clear" w:color="auto" w:fill="E5F6F6"/>
          </w:tcPr>
          <w:p w:rsidR="00567572" w:rsidRDefault="00567572" w:rsidP="008E1FB1">
            <w:pPr>
              <w:spacing w:before="80" w:after="80" w:line="240" w:lineRule="exact"/>
            </w:pPr>
            <w:r>
              <w:t>22</w:t>
            </w:r>
          </w:p>
        </w:tc>
      </w:tr>
      <w:tr w:rsidR="00567572" w:rsidRPr="00EA7B12" w:rsidTr="00DE6790">
        <w:tc>
          <w:tcPr>
            <w:tcW w:w="3969" w:type="dxa"/>
            <w:gridSpan w:val="2"/>
            <w:tcBorders>
              <w:top w:val="nil"/>
              <w:left w:val="single" w:sz="4" w:space="0" w:color="000000" w:themeColor="text1"/>
              <w:bottom w:val="nil"/>
              <w:right w:val="nil"/>
            </w:tcBorders>
            <w:vAlign w:val="center"/>
          </w:tcPr>
          <w:p w:rsidR="00567572" w:rsidRPr="00EA7B12" w:rsidRDefault="00567572" w:rsidP="008E1FB1">
            <w:pPr>
              <w:spacing w:before="80" w:after="80" w:line="240" w:lineRule="exact"/>
              <w:jc w:val="left"/>
            </w:pPr>
            <w:r>
              <w:t>02 Information Technology</w:t>
            </w:r>
          </w:p>
        </w:tc>
        <w:tc>
          <w:tcPr>
            <w:tcW w:w="1346" w:type="dxa"/>
            <w:tcBorders>
              <w:top w:val="nil"/>
              <w:left w:val="nil"/>
              <w:bottom w:val="nil"/>
              <w:right w:val="nil"/>
            </w:tcBorders>
            <w:vAlign w:val="center"/>
          </w:tcPr>
          <w:p w:rsidR="00567572" w:rsidRDefault="00567572" w:rsidP="008E1FB1">
            <w:pPr>
              <w:spacing w:before="80" w:after="80" w:line="240" w:lineRule="exact"/>
            </w:pPr>
            <w:r>
              <w:t>8</w:t>
            </w:r>
          </w:p>
        </w:tc>
        <w:tc>
          <w:tcPr>
            <w:tcW w:w="1347" w:type="dxa"/>
            <w:tcBorders>
              <w:top w:val="nil"/>
              <w:left w:val="nil"/>
              <w:bottom w:val="nil"/>
              <w:right w:val="nil"/>
            </w:tcBorders>
          </w:tcPr>
          <w:p w:rsidR="00567572" w:rsidRDefault="00567572" w:rsidP="008E1FB1">
            <w:pPr>
              <w:spacing w:before="80" w:after="80" w:line="240" w:lineRule="exact"/>
            </w:pPr>
            <w:r>
              <w:t>1</w:t>
            </w:r>
          </w:p>
        </w:tc>
        <w:tc>
          <w:tcPr>
            <w:tcW w:w="1347" w:type="dxa"/>
            <w:tcBorders>
              <w:top w:val="nil"/>
              <w:left w:val="nil"/>
              <w:bottom w:val="nil"/>
              <w:right w:val="nil"/>
            </w:tcBorders>
          </w:tcPr>
          <w:p w:rsidR="00567572" w:rsidRDefault="00567572" w:rsidP="008E1FB1">
            <w:pPr>
              <w:spacing w:before="80" w:after="80" w:line="240" w:lineRule="exact"/>
            </w:pPr>
            <w:r>
              <w:t>10</w:t>
            </w:r>
          </w:p>
        </w:tc>
        <w:tc>
          <w:tcPr>
            <w:tcW w:w="1347" w:type="dxa"/>
            <w:tcBorders>
              <w:top w:val="nil"/>
              <w:left w:val="nil"/>
              <w:bottom w:val="nil"/>
              <w:right w:val="single" w:sz="4" w:space="0" w:color="000000" w:themeColor="text1"/>
            </w:tcBorders>
          </w:tcPr>
          <w:p w:rsidR="00567572" w:rsidRDefault="00567572" w:rsidP="008E1FB1">
            <w:pPr>
              <w:spacing w:before="80" w:after="80" w:line="240" w:lineRule="exact"/>
            </w:pPr>
            <w:r>
              <w:t>4</w:t>
            </w:r>
          </w:p>
        </w:tc>
      </w:tr>
      <w:tr w:rsidR="00567572" w:rsidRPr="00EA7B12" w:rsidTr="00DE6790">
        <w:trPr>
          <w:cnfStyle w:val="000000010000" w:firstRow="0" w:lastRow="0" w:firstColumn="0" w:lastColumn="0" w:oddVBand="0" w:evenVBand="0" w:oddHBand="0" w:evenHBand="1" w:firstRowFirstColumn="0" w:firstRowLastColumn="0" w:lastRowFirstColumn="0" w:lastRowLastColumn="0"/>
        </w:trPr>
        <w:tc>
          <w:tcPr>
            <w:tcW w:w="3969" w:type="dxa"/>
            <w:gridSpan w:val="2"/>
            <w:tcBorders>
              <w:top w:val="nil"/>
              <w:left w:val="single" w:sz="4" w:space="0" w:color="000000" w:themeColor="text1"/>
              <w:bottom w:val="nil"/>
              <w:right w:val="nil"/>
            </w:tcBorders>
            <w:shd w:val="clear" w:color="auto" w:fill="E5F6F6"/>
            <w:vAlign w:val="center"/>
          </w:tcPr>
          <w:p w:rsidR="00567572" w:rsidRPr="00EA7B12" w:rsidRDefault="00567572" w:rsidP="008E1FB1">
            <w:pPr>
              <w:spacing w:before="80" w:after="80" w:line="240" w:lineRule="exact"/>
              <w:jc w:val="left"/>
            </w:pPr>
            <w:r>
              <w:t>06 Health</w:t>
            </w:r>
          </w:p>
        </w:tc>
        <w:tc>
          <w:tcPr>
            <w:tcW w:w="1346" w:type="dxa"/>
            <w:tcBorders>
              <w:top w:val="nil"/>
              <w:left w:val="nil"/>
              <w:bottom w:val="nil"/>
              <w:right w:val="nil"/>
            </w:tcBorders>
            <w:shd w:val="clear" w:color="auto" w:fill="E5F6F6"/>
            <w:vAlign w:val="center"/>
          </w:tcPr>
          <w:p w:rsidR="00567572" w:rsidRDefault="00567572" w:rsidP="008E1FB1">
            <w:pPr>
              <w:spacing w:before="80" w:after="80" w:line="240" w:lineRule="exact"/>
            </w:pPr>
            <w:r>
              <w:t>3</w:t>
            </w:r>
          </w:p>
        </w:tc>
        <w:tc>
          <w:tcPr>
            <w:tcW w:w="1347" w:type="dxa"/>
            <w:tcBorders>
              <w:top w:val="nil"/>
              <w:left w:val="nil"/>
              <w:bottom w:val="nil"/>
              <w:right w:val="nil"/>
            </w:tcBorders>
            <w:shd w:val="clear" w:color="auto" w:fill="E5F6F6"/>
          </w:tcPr>
          <w:p w:rsidR="00567572" w:rsidRDefault="00567572" w:rsidP="008E1FB1">
            <w:pPr>
              <w:spacing w:before="80" w:after="80" w:line="240" w:lineRule="exact"/>
            </w:pPr>
            <w:r>
              <w:t>4</w:t>
            </w:r>
          </w:p>
        </w:tc>
        <w:tc>
          <w:tcPr>
            <w:tcW w:w="1347" w:type="dxa"/>
            <w:tcBorders>
              <w:top w:val="nil"/>
              <w:left w:val="nil"/>
              <w:bottom w:val="nil"/>
              <w:right w:val="nil"/>
            </w:tcBorders>
            <w:shd w:val="clear" w:color="auto" w:fill="E5F6F6"/>
          </w:tcPr>
          <w:p w:rsidR="00567572" w:rsidRDefault="00567572" w:rsidP="008E1FB1">
            <w:pPr>
              <w:spacing w:before="80" w:after="80" w:line="240" w:lineRule="exact"/>
            </w:pPr>
            <w:r>
              <w:t>6</w:t>
            </w:r>
          </w:p>
        </w:tc>
        <w:tc>
          <w:tcPr>
            <w:tcW w:w="1347" w:type="dxa"/>
            <w:tcBorders>
              <w:top w:val="nil"/>
              <w:left w:val="nil"/>
              <w:bottom w:val="nil"/>
              <w:right w:val="single" w:sz="4" w:space="0" w:color="000000" w:themeColor="text1"/>
            </w:tcBorders>
            <w:shd w:val="clear" w:color="auto" w:fill="E5F6F6"/>
          </w:tcPr>
          <w:p w:rsidR="00567572" w:rsidRDefault="00567572" w:rsidP="008E1FB1">
            <w:pPr>
              <w:spacing w:before="80" w:after="80" w:line="240" w:lineRule="exact"/>
            </w:pPr>
            <w:r>
              <w:t>4</w:t>
            </w:r>
          </w:p>
        </w:tc>
      </w:tr>
      <w:tr w:rsidR="00567572" w:rsidRPr="00EA7B12" w:rsidTr="008E1FB1">
        <w:tc>
          <w:tcPr>
            <w:tcW w:w="3969" w:type="dxa"/>
            <w:gridSpan w:val="2"/>
            <w:tcBorders>
              <w:top w:val="nil"/>
              <w:left w:val="single" w:sz="4" w:space="0" w:color="000000" w:themeColor="text1"/>
              <w:bottom w:val="single" w:sz="4" w:space="0" w:color="000000" w:themeColor="text1"/>
              <w:right w:val="nil"/>
            </w:tcBorders>
            <w:vAlign w:val="center"/>
          </w:tcPr>
          <w:p w:rsidR="00567572" w:rsidRDefault="00567572" w:rsidP="008E1FB1">
            <w:pPr>
              <w:spacing w:before="80" w:after="80" w:line="240" w:lineRule="exact"/>
              <w:jc w:val="left"/>
            </w:pPr>
            <w:r>
              <w:t>09 Society and Culture</w:t>
            </w:r>
          </w:p>
        </w:tc>
        <w:tc>
          <w:tcPr>
            <w:tcW w:w="1346" w:type="dxa"/>
            <w:tcBorders>
              <w:top w:val="nil"/>
              <w:left w:val="nil"/>
              <w:bottom w:val="single" w:sz="4" w:space="0" w:color="000000" w:themeColor="text1"/>
              <w:right w:val="nil"/>
            </w:tcBorders>
            <w:vAlign w:val="center"/>
          </w:tcPr>
          <w:p w:rsidR="00567572" w:rsidRDefault="00567572" w:rsidP="008E1FB1">
            <w:pPr>
              <w:spacing w:before="80" w:after="80" w:line="240" w:lineRule="exact"/>
            </w:pPr>
            <w:r>
              <w:t>4</w:t>
            </w:r>
          </w:p>
        </w:tc>
        <w:tc>
          <w:tcPr>
            <w:tcW w:w="1347" w:type="dxa"/>
            <w:tcBorders>
              <w:top w:val="nil"/>
              <w:left w:val="nil"/>
              <w:bottom w:val="single" w:sz="4" w:space="0" w:color="000000" w:themeColor="text1"/>
              <w:right w:val="nil"/>
            </w:tcBorders>
          </w:tcPr>
          <w:p w:rsidR="00567572" w:rsidRDefault="00567572" w:rsidP="008E1FB1">
            <w:pPr>
              <w:spacing w:before="80" w:after="80" w:line="240" w:lineRule="exact"/>
            </w:pPr>
            <w:r>
              <w:t>3</w:t>
            </w:r>
          </w:p>
        </w:tc>
        <w:tc>
          <w:tcPr>
            <w:tcW w:w="1347" w:type="dxa"/>
            <w:tcBorders>
              <w:top w:val="nil"/>
              <w:left w:val="nil"/>
              <w:bottom w:val="single" w:sz="4" w:space="0" w:color="000000" w:themeColor="text1"/>
              <w:right w:val="nil"/>
            </w:tcBorders>
          </w:tcPr>
          <w:p w:rsidR="00567572" w:rsidRDefault="00567572" w:rsidP="008E1FB1">
            <w:pPr>
              <w:spacing w:before="80" w:after="80" w:line="240" w:lineRule="exact"/>
            </w:pPr>
            <w:r>
              <w:t>4</w:t>
            </w:r>
          </w:p>
        </w:tc>
        <w:tc>
          <w:tcPr>
            <w:tcW w:w="1347" w:type="dxa"/>
            <w:tcBorders>
              <w:top w:val="nil"/>
              <w:left w:val="nil"/>
              <w:bottom w:val="single" w:sz="4" w:space="0" w:color="000000" w:themeColor="text1"/>
              <w:right w:val="single" w:sz="4" w:space="0" w:color="000000" w:themeColor="text1"/>
            </w:tcBorders>
          </w:tcPr>
          <w:p w:rsidR="00567572" w:rsidRDefault="00567572" w:rsidP="008E1FB1">
            <w:pPr>
              <w:spacing w:before="80" w:after="80" w:line="240" w:lineRule="exact"/>
            </w:pPr>
            <w:r>
              <w:t>3</w:t>
            </w:r>
          </w:p>
        </w:tc>
      </w:tr>
    </w:tbl>
    <w:p w:rsidR="006C328D" w:rsidRPr="00F6420D" w:rsidRDefault="006C328D" w:rsidP="00F6420D"/>
    <w:sectPr w:rsidR="006C328D" w:rsidRPr="00F6420D" w:rsidSect="00FF2540">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8D" w:rsidRDefault="006C328D" w:rsidP="006C328D">
      <w:pPr>
        <w:spacing w:before="0" w:after="0"/>
      </w:pPr>
      <w:r>
        <w:separator/>
      </w:r>
    </w:p>
  </w:endnote>
  <w:endnote w:type="continuationSeparator" w:id="0">
    <w:p w:rsidR="006C328D" w:rsidRDefault="006C328D"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5B6050">
              <w:rPr>
                <w:b/>
                <w:bCs/>
                <w:noProof/>
                <w:color w:val="00847E" w:themeColor="accent1"/>
                <w:sz w:val="20"/>
                <w:szCs w:val="20"/>
              </w:rPr>
              <w:t>4</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5B6050">
              <w:rPr>
                <w:b/>
                <w:bCs/>
                <w:noProof/>
                <w:color w:val="00847E" w:themeColor="accent1"/>
                <w:sz w:val="20"/>
                <w:szCs w:val="20"/>
              </w:rPr>
              <w:t>4</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8D" w:rsidRDefault="006C328D" w:rsidP="006C328D">
      <w:pPr>
        <w:spacing w:before="0" w:after="0"/>
      </w:pPr>
      <w:r>
        <w:separator/>
      </w:r>
    </w:p>
  </w:footnote>
  <w:footnote w:type="continuationSeparator" w:id="0">
    <w:p w:rsidR="006C328D" w:rsidRDefault="006C328D" w:rsidP="006C328D">
      <w:pPr>
        <w:spacing w:before="0" w:after="0"/>
      </w:pPr>
      <w:r>
        <w:continuationSeparator/>
      </w:r>
    </w:p>
  </w:footnote>
  <w:footnote w:id="1">
    <w:p w:rsidR="00567572" w:rsidRDefault="00567572" w:rsidP="00567572">
      <w:pPr>
        <w:pStyle w:val="FootnoteText"/>
      </w:pPr>
      <w:r>
        <w:rPr>
          <w:rStyle w:val="FootnoteReference"/>
        </w:rPr>
        <w:footnoteRef/>
      </w:r>
      <w:r>
        <w:t xml:space="preserve"> </w:t>
      </w:r>
      <w:r w:rsidRPr="006161A1">
        <w:t>Not including</w:t>
      </w:r>
      <w:r>
        <w:t xml:space="preserve"> RTOs that are related entities.</w:t>
      </w:r>
    </w:p>
  </w:footnote>
  <w:footnote w:id="2">
    <w:p w:rsidR="00567572" w:rsidRDefault="00567572" w:rsidP="00567572">
      <w:pPr>
        <w:pStyle w:val="FootnoteText"/>
      </w:pPr>
      <w:r>
        <w:rPr>
          <w:rStyle w:val="FootnoteReference"/>
        </w:rPr>
        <w:footnoteRef/>
      </w:r>
      <w:r>
        <w:t xml:space="preserve"> </w:t>
      </w:r>
      <w:r w:rsidRPr="006161A1">
        <w:t>Head office location may not be the same as the provider’s delivery site(s).</w:t>
      </w:r>
    </w:p>
  </w:footnote>
  <w:footnote w:id="3">
    <w:p w:rsidR="00567572" w:rsidRDefault="00567572" w:rsidP="00567572">
      <w:pPr>
        <w:pStyle w:val="FootnoteText"/>
      </w:pPr>
      <w:r>
        <w:rPr>
          <w:rStyle w:val="FootnoteReference"/>
        </w:rPr>
        <w:footnoteRef/>
      </w:r>
      <w:r>
        <w:t xml:space="preserve"> Unknown prospective provider location data corrected to relevant states</w:t>
      </w:r>
    </w:p>
  </w:footnote>
  <w:footnote w:id="4">
    <w:p w:rsidR="00567572" w:rsidRDefault="00567572" w:rsidP="00567572">
      <w:pPr>
        <w:pStyle w:val="FootnoteText"/>
      </w:pPr>
      <w:r>
        <w:rPr>
          <w:rStyle w:val="FootnoteReference"/>
        </w:rPr>
        <w:footnoteRef/>
      </w:r>
      <w:r>
        <w:t xml:space="preserve"> </w:t>
      </w:r>
      <w:r w:rsidRPr="006161A1">
        <w:t>Some providers intend to offer courses in two Broad Fields of Education, and have therefore been counted against both.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nsid w:val="055D690E"/>
    <w:multiLevelType w:val="hybridMultilevel"/>
    <w:tmpl w:val="2A263EDA"/>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5A2E56"/>
    <w:multiLevelType w:val="hybridMultilevel"/>
    <w:tmpl w:val="4D30BEF2"/>
    <w:lvl w:ilvl="0" w:tplc="F50EB21A">
      <w:start w:val="1"/>
      <w:numFmt w:val="bullet"/>
      <w:pStyle w:val="BulletsL2"/>
      <w:lvlText w:val="4"/>
      <w:lvlJc w:val="left"/>
      <w:pPr>
        <w:ind w:left="1353" w:hanging="360"/>
      </w:pPr>
      <w:rPr>
        <w:rFonts w:ascii="Webdings" w:hAnsi="Webdings" w:hint="default"/>
        <w:color w:val="00A6AA"/>
      </w:rPr>
    </w:lvl>
    <w:lvl w:ilvl="1" w:tplc="0C090001">
      <w:start w:val="1"/>
      <w:numFmt w:val="bullet"/>
      <w:lvlText w:val=""/>
      <w:lvlJc w:val="left"/>
      <w:pPr>
        <w:ind w:left="1866" w:hanging="360"/>
      </w:pPr>
      <w:rPr>
        <w:rFonts w:ascii="Symbol" w:hAnsi="Symbol"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21EE63B2"/>
    <w:multiLevelType w:val="hybridMultilevel"/>
    <w:tmpl w:val="5032000C"/>
    <w:lvl w:ilvl="0" w:tplc="17DA7ADA">
      <w:start w:val="1"/>
      <w:numFmt w:val="bullet"/>
      <w:lvlText w:val="4"/>
      <w:lvlJc w:val="left"/>
      <w:pPr>
        <w:ind w:left="720" w:hanging="360"/>
      </w:pPr>
      <w:rPr>
        <w:rFonts w:ascii="Webdings" w:hAnsi="Webdings"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064EE1"/>
    <w:multiLevelType w:val="hybridMultilevel"/>
    <w:tmpl w:val="B6600F2A"/>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D05DC5"/>
    <w:multiLevelType w:val="hybridMultilevel"/>
    <w:tmpl w:val="15E44274"/>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34FE2F50"/>
    <w:multiLevelType w:val="multilevel"/>
    <w:tmpl w:val="571ADF0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nsid w:val="3B0E3CF1"/>
    <w:multiLevelType w:val="hybridMultilevel"/>
    <w:tmpl w:val="5E4E3E2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813A95"/>
    <w:multiLevelType w:val="hybridMultilevel"/>
    <w:tmpl w:val="617AE9C6"/>
    <w:lvl w:ilvl="0" w:tplc="4BCEABDA">
      <w:start w:val="1"/>
      <w:numFmt w:val="bullet"/>
      <w:lvlText w:val=""/>
      <w:lvlJc w:val="left"/>
      <w:pPr>
        <w:ind w:left="1353" w:hanging="360"/>
      </w:pPr>
      <w:rPr>
        <w:rFonts w:ascii="Symbol" w:hAnsi="Symbol" w:hint="default"/>
        <w:color w:val="00A398"/>
      </w:rPr>
    </w:lvl>
    <w:lvl w:ilvl="1" w:tplc="0C090001">
      <w:start w:val="1"/>
      <w:numFmt w:val="bullet"/>
      <w:lvlText w:val=""/>
      <w:lvlJc w:val="left"/>
      <w:pPr>
        <w:ind w:left="1866" w:hanging="360"/>
      </w:pPr>
      <w:rPr>
        <w:rFonts w:ascii="Symbol" w:hAnsi="Symbol"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4FA8355D"/>
    <w:multiLevelType w:val="hybridMultilevel"/>
    <w:tmpl w:val="9BE06538"/>
    <w:lvl w:ilvl="0" w:tplc="7ED65C78">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0E87145"/>
    <w:multiLevelType w:val="hybridMultilevel"/>
    <w:tmpl w:val="6838B72C"/>
    <w:lvl w:ilvl="0" w:tplc="4BCEABDA">
      <w:start w:val="1"/>
      <w:numFmt w:val="bullet"/>
      <w:lvlText w:val=""/>
      <w:lvlJc w:val="left"/>
      <w:pPr>
        <w:ind w:left="1353" w:hanging="360"/>
      </w:pPr>
      <w:rPr>
        <w:rFonts w:ascii="Symbol" w:hAnsi="Symbol" w:hint="default"/>
        <w:color w:val="00A398"/>
      </w:rPr>
    </w:lvl>
    <w:lvl w:ilvl="1" w:tplc="0C090001">
      <w:start w:val="1"/>
      <w:numFmt w:val="bullet"/>
      <w:lvlText w:val=""/>
      <w:lvlJc w:val="left"/>
      <w:pPr>
        <w:ind w:left="1866" w:hanging="360"/>
      </w:pPr>
      <w:rPr>
        <w:rFonts w:ascii="Symbol" w:hAnsi="Symbol"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6E517689"/>
    <w:multiLevelType w:val="hybridMultilevel"/>
    <w:tmpl w:val="421CA16C"/>
    <w:lvl w:ilvl="0" w:tplc="16EEEEA2">
      <w:start w:val="1"/>
      <w:numFmt w:val="lowerLetter"/>
      <w:pStyle w:val="Numberedtext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20"/>
  </w:num>
  <w:num w:numId="3">
    <w:abstractNumId w:val="8"/>
  </w:num>
  <w:num w:numId="4">
    <w:abstractNumId w:val="17"/>
  </w:num>
  <w:num w:numId="5">
    <w:abstractNumId w:val="16"/>
  </w:num>
  <w:num w:numId="6">
    <w:abstractNumId w:val="14"/>
  </w:num>
  <w:num w:numId="7">
    <w:abstractNumId w:val="5"/>
  </w:num>
  <w:num w:numId="8">
    <w:abstractNumId w:val="6"/>
  </w:num>
  <w:num w:numId="9">
    <w:abstractNumId w:val="7"/>
  </w:num>
  <w:num w:numId="10">
    <w:abstractNumId w:val="15"/>
  </w:num>
  <w:num w:numId="11">
    <w:abstractNumId w:val="11"/>
  </w:num>
  <w:num w:numId="12">
    <w:abstractNumId w:val="1"/>
  </w:num>
  <w:num w:numId="13">
    <w:abstractNumId w:val="9"/>
  </w:num>
  <w:num w:numId="14">
    <w:abstractNumId w:val="4"/>
  </w:num>
  <w:num w:numId="15">
    <w:abstractNumId w:val="0"/>
  </w:num>
  <w:num w:numId="16">
    <w:abstractNumId w:val="18"/>
  </w:num>
  <w:num w:numId="17">
    <w:abstractNumId w:val="2"/>
  </w:num>
  <w:num w:numId="18">
    <w:abstractNumId w:val="13"/>
  </w:num>
  <w:num w:numId="19">
    <w:abstractNumId w:val="19"/>
  </w:num>
  <w:num w:numId="20">
    <w:abstractNumId w:val="3"/>
  </w:num>
  <w:num w:numId="21">
    <w:abstractNumId w:val="10"/>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1E079D"/>
    <w:rsid w:val="001F39F5"/>
    <w:rsid w:val="00236CD9"/>
    <w:rsid w:val="00370322"/>
    <w:rsid w:val="00567572"/>
    <w:rsid w:val="005B458E"/>
    <w:rsid w:val="005B6050"/>
    <w:rsid w:val="006C328D"/>
    <w:rsid w:val="0070529F"/>
    <w:rsid w:val="007B01C8"/>
    <w:rsid w:val="007F78F7"/>
    <w:rsid w:val="009B769E"/>
    <w:rsid w:val="00AF26DB"/>
    <w:rsid w:val="00CA0469"/>
    <w:rsid w:val="00DE6790"/>
    <w:rsid w:val="00F6420D"/>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F6420D"/>
    <w:pPr>
      <w:spacing w:before="40" w:line="280" w:lineRule="exact"/>
      <w:ind w:left="0"/>
      <w:contextualSpacing w:val="0"/>
    </w:pPr>
    <w:rPr>
      <w:rFonts w:ascii="Arial" w:hAnsi="Arial"/>
      <w:color w:val="auto"/>
      <w:lang w:val="en-US"/>
    </w:rPr>
  </w:style>
  <w:style w:type="paragraph" w:customStyle="1" w:styleId="BulletsL2">
    <w:name w:val="Bullets L2"/>
    <w:basedOn w:val="BulletsL1"/>
    <w:link w:val="BulletsL2Char"/>
    <w:qFormat/>
    <w:rsid w:val="00F6420D"/>
    <w:pPr>
      <w:numPr>
        <w:numId w:val="12"/>
      </w:numPr>
      <w:ind w:left="1146"/>
    </w:pPr>
  </w:style>
  <w:style w:type="character" w:customStyle="1" w:styleId="BulletsL1Char">
    <w:name w:val="Bullets L1 Char"/>
    <w:basedOn w:val="DefaultParagraphFont"/>
    <w:link w:val="BulletsL1"/>
    <w:rsid w:val="00F6420D"/>
    <w:rPr>
      <w:rFonts w:ascii="Arial" w:hAnsi="Arial"/>
      <w:color w:val="auto"/>
      <w:lang w:val="en-US"/>
    </w:rPr>
  </w:style>
  <w:style w:type="character" w:customStyle="1" w:styleId="BulletsL2Char">
    <w:name w:val="Bullets L2 Char"/>
    <w:basedOn w:val="BulletsL1Char"/>
    <w:link w:val="BulletsL2"/>
    <w:rsid w:val="00F6420D"/>
    <w:rPr>
      <w:rFonts w:ascii="Arial" w:hAnsi="Arial"/>
      <w:color w:val="auto"/>
      <w:lang w:val="en-US"/>
    </w:rPr>
  </w:style>
  <w:style w:type="table" w:styleId="TableGrid">
    <w:name w:val="Table Grid"/>
    <w:basedOn w:val="TableNormal"/>
    <w:uiPriority w:val="59"/>
    <w:rsid w:val="00F6420D"/>
    <w:pPr>
      <w:spacing w:before="0" w:after="0"/>
    </w:pPr>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QSAtables">
    <w:name w:val="TEQSA tables"/>
    <w:basedOn w:val="TableNormal"/>
    <w:uiPriority w:val="99"/>
    <w:rsid w:val="00F6420D"/>
    <w:pPr>
      <w:spacing w:before="0" w:after="0"/>
      <w:jc w:val="center"/>
    </w:pPr>
    <w:rPr>
      <w:color w:val="auto"/>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paragraph" w:customStyle="1" w:styleId="TableHeadings">
    <w:name w:val="Table Headings"/>
    <w:basedOn w:val="Normal"/>
    <w:link w:val="TableHeadingsChar"/>
    <w:qFormat/>
    <w:rsid w:val="00F6420D"/>
    <w:pPr>
      <w:spacing w:before="40" w:after="160" w:line="280" w:lineRule="exact"/>
      <w:jc w:val="center"/>
    </w:pPr>
    <w:rPr>
      <w:rFonts w:ascii="Arial" w:hAnsi="Arial"/>
      <w:b/>
      <w:color w:val="E7E6E6" w:themeColor="background2"/>
    </w:rPr>
  </w:style>
  <w:style w:type="character" w:customStyle="1" w:styleId="TableHeadingsChar">
    <w:name w:val="Table Headings Char"/>
    <w:basedOn w:val="DefaultParagraphFont"/>
    <w:link w:val="TableHeadings"/>
    <w:rsid w:val="00F6420D"/>
    <w:rPr>
      <w:rFonts w:ascii="Arial" w:hAnsi="Arial"/>
      <w:b/>
      <w:color w:val="E7E6E6" w:themeColor="background2"/>
    </w:rPr>
  </w:style>
  <w:style w:type="paragraph" w:styleId="FootnoteText">
    <w:name w:val="footnote text"/>
    <w:basedOn w:val="Normal"/>
    <w:link w:val="FootnoteTextChar"/>
    <w:uiPriority w:val="99"/>
    <w:semiHidden/>
    <w:unhideWhenUsed/>
    <w:rsid w:val="00F6420D"/>
    <w:pPr>
      <w:spacing w:before="0" w:after="0"/>
    </w:pPr>
    <w:rPr>
      <w:rFonts w:ascii="Arial" w:hAnsi="Arial"/>
      <w:color w:val="auto"/>
      <w:sz w:val="20"/>
      <w:szCs w:val="20"/>
    </w:rPr>
  </w:style>
  <w:style w:type="character" w:customStyle="1" w:styleId="FootnoteTextChar">
    <w:name w:val="Footnote Text Char"/>
    <w:basedOn w:val="DefaultParagraphFont"/>
    <w:link w:val="FootnoteText"/>
    <w:uiPriority w:val="99"/>
    <w:semiHidden/>
    <w:rsid w:val="00F6420D"/>
    <w:rPr>
      <w:rFonts w:ascii="Arial" w:hAnsi="Arial"/>
      <w:color w:val="auto"/>
      <w:sz w:val="20"/>
      <w:szCs w:val="20"/>
    </w:rPr>
  </w:style>
  <w:style w:type="character" w:styleId="FootnoteReference">
    <w:name w:val="footnote reference"/>
    <w:basedOn w:val="DefaultParagraphFont"/>
    <w:uiPriority w:val="99"/>
    <w:semiHidden/>
    <w:unhideWhenUsed/>
    <w:rsid w:val="00F6420D"/>
    <w:rPr>
      <w:vertAlign w:val="superscript"/>
    </w:rPr>
  </w:style>
  <w:style w:type="paragraph" w:styleId="ListParagraph">
    <w:name w:val="List Paragraph"/>
    <w:basedOn w:val="Normal"/>
    <w:uiPriority w:val="34"/>
    <w:rsid w:val="00F6420D"/>
    <w:pPr>
      <w:ind w:left="720"/>
      <w:contextualSpacing/>
    </w:pPr>
  </w:style>
  <w:style w:type="character" w:styleId="SubtleEmphasis">
    <w:name w:val="Subtle Emphasis"/>
    <w:basedOn w:val="DefaultParagraphFont"/>
    <w:uiPriority w:val="19"/>
    <w:qFormat/>
    <w:rsid w:val="001E079D"/>
    <w:rPr>
      <w:i/>
      <w:iCs/>
      <w:color w:val="808080" w:themeColor="text1" w:themeTint="7F"/>
    </w:rPr>
  </w:style>
  <w:style w:type="paragraph" w:customStyle="1" w:styleId="Numberedtext">
    <w:name w:val="Numbered text"/>
    <w:basedOn w:val="ListParagraph"/>
    <w:qFormat/>
    <w:rsid w:val="00567572"/>
    <w:pPr>
      <w:numPr>
        <w:numId w:val="18"/>
      </w:numPr>
      <w:spacing w:before="40" w:after="160" w:line="280" w:lineRule="exact"/>
      <w:ind w:left="425" w:hanging="425"/>
      <w:contextualSpacing w:val="0"/>
    </w:pPr>
    <w:rPr>
      <w:rFonts w:ascii="Arial" w:hAnsi="Arial"/>
      <w:color w:val="auto"/>
      <w:lang w:val="en-US"/>
    </w:rPr>
  </w:style>
  <w:style w:type="paragraph" w:customStyle="1" w:styleId="NumberedtextL2">
    <w:name w:val="Numbered text L2"/>
    <w:basedOn w:val="Numberedtext"/>
    <w:qFormat/>
    <w:rsid w:val="00567572"/>
    <w:pPr>
      <w:numPr>
        <w:numId w:val="19"/>
      </w:numPr>
      <w:ind w:left="851"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F6420D"/>
    <w:pPr>
      <w:spacing w:before="40" w:line="280" w:lineRule="exact"/>
      <w:ind w:left="0"/>
      <w:contextualSpacing w:val="0"/>
    </w:pPr>
    <w:rPr>
      <w:rFonts w:ascii="Arial" w:hAnsi="Arial"/>
      <w:color w:val="auto"/>
      <w:lang w:val="en-US"/>
    </w:rPr>
  </w:style>
  <w:style w:type="paragraph" w:customStyle="1" w:styleId="BulletsL2">
    <w:name w:val="Bullets L2"/>
    <w:basedOn w:val="BulletsL1"/>
    <w:link w:val="BulletsL2Char"/>
    <w:qFormat/>
    <w:rsid w:val="00F6420D"/>
    <w:pPr>
      <w:numPr>
        <w:numId w:val="12"/>
      </w:numPr>
      <w:ind w:left="1146"/>
    </w:pPr>
  </w:style>
  <w:style w:type="character" w:customStyle="1" w:styleId="BulletsL1Char">
    <w:name w:val="Bullets L1 Char"/>
    <w:basedOn w:val="DefaultParagraphFont"/>
    <w:link w:val="BulletsL1"/>
    <w:rsid w:val="00F6420D"/>
    <w:rPr>
      <w:rFonts w:ascii="Arial" w:hAnsi="Arial"/>
      <w:color w:val="auto"/>
      <w:lang w:val="en-US"/>
    </w:rPr>
  </w:style>
  <w:style w:type="character" w:customStyle="1" w:styleId="BulletsL2Char">
    <w:name w:val="Bullets L2 Char"/>
    <w:basedOn w:val="BulletsL1Char"/>
    <w:link w:val="BulletsL2"/>
    <w:rsid w:val="00F6420D"/>
    <w:rPr>
      <w:rFonts w:ascii="Arial" w:hAnsi="Arial"/>
      <w:color w:val="auto"/>
      <w:lang w:val="en-US"/>
    </w:rPr>
  </w:style>
  <w:style w:type="table" w:styleId="TableGrid">
    <w:name w:val="Table Grid"/>
    <w:basedOn w:val="TableNormal"/>
    <w:uiPriority w:val="59"/>
    <w:rsid w:val="00F6420D"/>
    <w:pPr>
      <w:spacing w:before="0" w:after="0"/>
    </w:pPr>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QSAtables">
    <w:name w:val="TEQSA tables"/>
    <w:basedOn w:val="TableNormal"/>
    <w:uiPriority w:val="99"/>
    <w:rsid w:val="00F6420D"/>
    <w:pPr>
      <w:spacing w:before="0" w:after="0"/>
      <w:jc w:val="center"/>
    </w:pPr>
    <w:rPr>
      <w:color w:val="auto"/>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paragraph" w:customStyle="1" w:styleId="TableHeadings">
    <w:name w:val="Table Headings"/>
    <w:basedOn w:val="Normal"/>
    <w:link w:val="TableHeadingsChar"/>
    <w:qFormat/>
    <w:rsid w:val="00F6420D"/>
    <w:pPr>
      <w:spacing w:before="40" w:after="160" w:line="280" w:lineRule="exact"/>
      <w:jc w:val="center"/>
    </w:pPr>
    <w:rPr>
      <w:rFonts w:ascii="Arial" w:hAnsi="Arial"/>
      <w:b/>
      <w:color w:val="E7E6E6" w:themeColor="background2"/>
    </w:rPr>
  </w:style>
  <w:style w:type="character" w:customStyle="1" w:styleId="TableHeadingsChar">
    <w:name w:val="Table Headings Char"/>
    <w:basedOn w:val="DefaultParagraphFont"/>
    <w:link w:val="TableHeadings"/>
    <w:rsid w:val="00F6420D"/>
    <w:rPr>
      <w:rFonts w:ascii="Arial" w:hAnsi="Arial"/>
      <w:b/>
      <w:color w:val="E7E6E6" w:themeColor="background2"/>
    </w:rPr>
  </w:style>
  <w:style w:type="paragraph" w:styleId="FootnoteText">
    <w:name w:val="footnote text"/>
    <w:basedOn w:val="Normal"/>
    <w:link w:val="FootnoteTextChar"/>
    <w:uiPriority w:val="99"/>
    <w:semiHidden/>
    <w:unhideWhenUsed/>
    <w:rsid w:val="00F6420D"/>
    <w:pPr>
      <w:spacing w:before="0" w:after="0"/>
    </w:pPr>
    <w:rPr>
      <w:rFonts w:ascii="Arial" w:hAnsi="Arial"/>
      <w:color w:val="auto"/>
      <w:sz w:val="20"/>
      <w:szCs w:val="20"/>
    </w:rPr>
  </w:style>
  <w:style w:type="character" w:customStyle="1" w:styleId="FootnoteTextChar">
    <w:name w:val="Footnote Text Char"/>
    <w:basedOn w:val="DefaultParagraphFont"/>
    <w:link w:val="FootnoteText"/>
    <w:uiPriority w:val="99"/>
    <w:semiHidden/>
    <w:rsid w:val="00F6420D"/>
    <w:rPr>
      <w:rFonts w:ascii="Arial" w:hAnsi="Arial"/>
      <w:color w:val="auto"/>
      <w:sz w:val="20"/>
      <w:szCs w:val="20"/>
    </w:rPr>
  </w:style>
  <w:style w:type="character" w:styleId="FootnoteReference">
    <w:name w:val="footnote reference"/>
    <w:basedOn w:val="DefaultParagraphFont"/>
    <w:uiPriority w:val="99"/>
    <w:semiHidden/>
    <w:unhideWhenUsed/>
    <w:rsid w:val="00F6420D"/>
    <w:rPr>
      <w:vertAlign w:val="superscript"/>
    </w:rPr>
  </w:style>
  <w:style w:type="paragraph" w:styleId="ListParagraph">
    <w:name w:val="List Paragraph"/>
    <w:basedOn w:val="Normal"/>
    <w:uiPriority w:val="34"/>
    <w:rsid w:val="00F6420D"/>
    <w:pPr>
      <w:ind w:left="720"/>
      <w:contextualSpacing/>
    </w:pPr>
  </w:style>
  <w:style w:type="character" w:styleId="SubtleEmphasis">
    <w:name w:val="Subtle Emphasis"/>
    <w:basedOn w:val="DefaultParagraphFont"/>
    <w:uiPriority w:val="19"/>
    <w:qFormat/>
    <w:rsid w:val="001E079D"/>
    <w:rPr>
      <w:i/>
      <w:iCs/>
      <w:color w:val="808080" w:themeColor="text1" w:themeTint="7F"/>
    </w:rPr>
  </w:style>
  <w:style w:type="paragraph" w:customStyle="1" w:styleId="Numberedtext">
    <w:name w:val="Numbered text"/>
    <w:basedOn w:val="ListParagraph"/>
    <w:qFormat/>
    <w:rsid w:val="00567572"/>
    <w:pPr>
      <w:numPr>
        <w:numId w:val="18"/>
      </w:numPr>
      <w:spacing w:before="40" w:after="160" w:line="280" w:lineRule="exact"/>
      <w:ind w:left="425" w:hanging="425"/>
      <w:contextualSpacing w:val="0"/>
    </w:pPr>
    <w:rPr>
      <w:rFonts w:ascii="Arial" w:hAnsi="Arial"/>
      <w:color w:val="auto"/>
      <w:lang w:val="en-US"/>
    </w:rPr>
  </w:style>
  <w:style w:type="paragraph" w:customStyle="1" w:styleId="NumberedtextL2">
    <w:name w:val="Numbered text L2"/>
    <w:basedOn w:val="Numberedtext"/>
    <w:qFormat/>
    <w:rsid w:val="00567572"/>
    <w:pPr>
      <w:numPr>
        <w:numId w:val="19"/>
      </w:numPr>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c7dac4e8-3feb-44f4-96ca-b86e7c14d0f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Prospective higher education providers update</vt:lpstr>
    </vt:vector>
  </TitlesOfParts>
  <Company>Tertiary Education Quality and Standards Agency</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higher education providers update</dc:title>
  <dc:creator>May, Raphael</dc:creator>
  <cp:lastModifiedBy>Hewitt-McManus, Tom</cp:lastModifiedBy>
  <cp:revision>5</cp:revision>
  <dcterms:created xsi:type="dcterms:W3CDTF">2017-10-20T02:02:00Z</dcterms:created>
  <dcterms:modified xsi:type="dcterms:W3CDTF">2017-10-20T02:13:00Z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