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AA257" w14:textId="5D1A77F3" w:rsidR="00AF0899" w:rsidRPr="008E6967" w:rsidRDefault="00180C26" w:rsidP="008E6967">
      <w:pPr>
        <w:pStyle w:val="Title"/>
      </w:pPr>
      <w:r>
        <w:t>TEQS</w:t>
      </w:r>
      <w:bookmarkStart w:id="0" w:name="_GoBack"/>
      <w:bookmarkEnd w:id="0"/>
      <w:r>
        <w:t>A and Professional Accreditation Bodies Forum</w:t>
      </w:r>
    </w:p>
    <w:p w14:paraId="7672B25A" w14:textId="5D0DCBAB" w:rsidR="000E6484" w:rsidRPr="008E6967" w:rsidRDefault="00180C26" w:rsidP="00EB7F3A">
      <w:pPr>
        <w:pStyle w:val="Subtitle"/>
      </w:pPr>
      <w:r>
        <w:t xml:space="preserve">Melbourne </w:t>
      </w:r>
      <w:r w:rsidR="00FB03DD">
        <w:t xml:space="preserve">– </w:t>
      </w:r>
      <w:r w:rsidR="002344BA">
        <w:t>1</w:t>
      </w:r>
      <w:r>
        <w:t>4 December</w:t>
      </w:r>
      <w:r w:rsidR="002344BA">
        <w:t xml:space="preserve"> </w:t>
      </w:r>
      <w:r w:rsidR="00FB03DD">
        <w:t>2018</w:t>
      </w:r>
    </w:p>
    <w:p w14:paraId="2931233A" w14:textId="77777777" w:rsidR="000E6484" w:rsidRPr="008E6967" w:rsidRDefault="000E6484" w:rsidP="008E6967"/>
    <w:p w14:paraId="5D213DB6" w14:textId="77777777" w:rsidR="000E6484" w:rsidRPr="008E6967" w:rsidRDefault="000E6484" w:rsidP="008E6967"/>
    <w:p w14:paraId="5F49608F" w14:textId="77777777" w:rsidR="000E6484" w:rsidRPr="008E6967" w:rsidRDefault="000E6484" w:rsidP="008E6967">
      <w:pPr>
        <w:sectPr w:rsidR="000E6484" w:rsidRPr="008E6967" w:rsidSect="000E6484">
          <w:headerReference w:type="first" r:id="rId11"/>
          <w:footerReference w:type="first" r:id="rId12"/>
          <w:pgSz w:w="11906" w:h="16838" w:code="9"/>
          <w:pgMar w:top="3402" w:right="1247" w:bottom="4536" w:left="2325" w:header="567" w:footer="567" w:gutter="0"/>
          <w:cols w:space="708"/>
          <w:titlePg/>
          <w:docGrid w:linePitch="360"/>
        </w:sectPr>
      </w:pPr>
    </w:p>
    <w:p w14:paraId="1D0A27F1" w14:textId="77777777" w:rsidR="00AF0899" w:rsidRPr="00A74B34" w:rsidRDefault="00401244" w:rsidP="008E6967">
      <w:pPr>
        <w:pStyle w:val="Heading3"/>
        <w:rPr>
          <w:sz w:val="44"/>
          <w:szCs w:val="26"/>
        </w:rPr>
      </w:pPr>
      <w:r w:rsidRPr="00A74B34">
        <w:rPr>
          <w:sz w:val="44"/>
          <w:szCs w:val="26"/>
        </w:rPr>
        <w:lastRenderedPageBreak/>
        <w:t>Overview</w:t>
      </w:r>
    </w:p>
    <w:p w14:paraId="02FFB316" w14:textId="5128ECF8" w:rsidR="00884335" w:rsidRDefault="002344BA" w:rsidP="002344BA">
      <w:r w:rsidRPr="00D17D1F">
        <w:t>The</w:t>
      </w:r>
      <w:r w:rsidR="00884335">
        <w:t xml:space="preserve"> Professional Accreditation Bodies Forum</w:t>
      </w:r>
      <w:r w:rsidRPr="00D17D1F">
        <w:t xml:space="preserve"> was convened </w:t>
      </w:r>
      <w:r w:rsidR="00970043">
        <w:t xml:space="preserve">on 14 </w:t>
      </w:r>
      <w:r w:rsidR="003819CA">
        <w:t xml:space="preserve">December 2018 </w:t>
      </w:r>
      <w:r w:rsidRPr="00D17D1F">
        <w:t>as an opportunity for TEQSA to</w:t>
      </w:r>
      <w:r w:rsidR="00884335">
        <w:t xml:space="preserve"> </w:t>
      </w:r>
      <w:r w:rsidRPr="00D17D1F">
        <w:t>receive feedback directly from</w:t>
      </w:r>
      <w:r w:rsidR="00884335">
        <w:t xml:space="preserve"> professional accrediting bodies about the ways in which we can work together to effectively reduce duplication and streamline accreditation processes. </w:t>
      </w:r>
      <w:r w:rsidR="00315DF5">
        <w:t xml:space="preserve">It also responded to the advice of the Higher Education Standards Panel </w:t>
      </w:r>
      <w:r w:rsidR="007F09EB">
        <w:t xml:space="preserve">(HESP) </w:t>
      </w:r>
      <w:r w:rsidR="00315DF5">
        <w:t xml:space="preserve">which recommended closer collaboration between TEQSA and the professional accreditation bodies. </w:t>
      </w:r>
    </w:p>
    <w:p w14:paraId="73103B31" w14:textId="4193A422" w:rsidR="00884335" w:rsidRDefault="00884335" w:rsidP="002344BA">
      <w:r>
        <w:t>Over the past five years, TEQSA has entered into partnerships with 40 departments, agencies</w:t>
      </w:r>
      <w:r w:rsidR="00315DF5">
        <w:t>,</w:t>
      </w:r>
      <w:r>
        <w:t xml:space="preserve"> peak bodies and professional accreditation bodies. Invitations to this forum were extended to 31 professional accreditation bodies with whom TEQSA has signed, or is in negotiations with to sign</w:t>
      </w:r>
      <w:r w:rsidR="004A30F0">
        <w:t xml:space="preserve">, a Memorandum of Understanding </w:t>
      </w:r>
      <w:r w:rsidR="007F369B">
        <w:t>(</w:t>
      </w:r>
      <w:proofErr w:type="spellStart"/>
      <w:r w:rsidR="007F369B">
        <w:t>MoU</w:t>
      </w:r>
      <w:proofErr w:type="spellEnd"/>
      <w:r w:rsidR="007F369B">
        <w:t>).</w:t>
      </w:r>
      <w:r>
        <w:t xml:space="preserve"> </w:t>
      </w:r>
      <w:r w:rsidR="00382262">
        <w:t>Approximately 50</w:t>
      </w:r>
      <w:r w:rsidR="000835DF">
        <w:t> </w:t>
      </w:r>
      <w:r w:rsidR="00382262">
        <w:t>representatives participated in the forum, representing the financial advice, teaching, health</w:t>
      </w:r>
      <w:r w:rsidR="00467B8C">
        <w:t>,</w:t>
      </w:r>
      <w:r w:rsidR="00382262">
        <w:t xml:space="preserve"> and engineering sectors, amongst others.  </w:t>
      </w:r>
      <w:r>
        <w:t xml:space="preserve"> </w:t>
      </w:r>
    </w:p>
    <w:p w14:paraId="4E3CEABC" w14:textId="71AA8CCF" w:rsidR="00382262" w:rsidRDefault="002344BA" w:rsidP="002344BA">
      <w:r w:rsidRPr="00D17D1F">
        <w:t>The event included an update from</w:t>
      </w:r>
      <w:r w:rsidR="00970043">
        <w:t xml:space="preserve"> Mr</w:t>
      </w:r>
      <w:r w:rsidRPr="00D17D1F">
        <w:t xml:space="preserve"> Anthony McClaran</w:t>
      </w:r>
      <w:r w:rsidR="00382262">
        <w:t>, Chief Executive Officer</w:t>
      </w:r>
      <w:r w:rsidR="00970043">
        <w:t xml:space="preserve"> of TEQSA</w:t>
      </w:r>
      <w:r w:rsidR="00382262">
        <w:t xml:space="preserve">, including the intersection between professional accreditation and the </w:t>
      </w:r>
      <w:r w:rsidR="00970043" w:rsidRPr="00C00BFB">
        <w:rPr>
          <w:i/>
        </w:rPr>
        <w:t>Higher Education Standards Framework (Threshold Standards) 2015</w:t>
      </w:r>
      <w:r w:rsidR="007F09EB">
        <w:t xml:space="preserve"> (Higher Education Standards Framework 2015)</w:t>
      </w:r>
      <w:r w:rsidR="00382262">
        <w:t>, the principles that guide T</w:t>
      </w:r>
      <w:r w:rsidRPr="00D17D1F">
        <w:t>EQSA’s</w:t>
      </w:r>
      <w:r w:rsidR="00382262">
        <w:t xml:space="preserve"> engagement with professional accreditation bodies and what we have learnt through interaction and pilot projects with professional accreditation partners thus far.  </w:t>
      </w:r>
    </w:p>
    <w:p w14:paraId="62D5864E" w14:textId="3D80C3D1" w:rsidR="00797590" w:rsidRDefault="00970043" w:rsidP="002344BA">
      <w:r>
        <w:t xml:space="preserve">Mr </w:t>
      </w:r>
      <w:r w:rsidR="00797590">
        <w:t>Steve Erskine,</w:t>
      </w:r>
      <w:r>
        <w:t xml:space="preserve"> Australian Government </w:t>
      </w:r>
      <w:r w:rsidR="00797590">
        <w:t xml:space="preserve">Department of Education and Training, gave an update on the actions arising </w:t>
      </w:r>
      <w:r w:rsidR="00797590" w:rsidRPr="00797590">
        <w:t xml:space="preserve">from advice </w:t>
      </w:r>
      <w:r w:rsidR="003819CA">
        <w:t>provided by</w:t>
      </w:r>
      <w:r w:rsidR="003819CA" w:rsidRPr="00797590">
        <w:t xml:space="preserve"> the </w:t>
      </w:r>
      <w:r w:rsidR="007F09EB">
        <w:t>HESP</w:t>
      </w:r>
      <w:r w:rsidR="003819CA" w:rsidRPr="00797590">
        <w:t xml:space="preserve"> </w:t>
      </w:r>
      <w:r w:rsidR="00797590" w:rsidRPr="00797590">
        <w:t xml:space="preserve">to </w:t>
      </w:r>
      <w:r w:rsidR="003819CA">
        <w:t xml:space="preserve">the then </w:t>
      </w:r>
      <w:r w:rsidR="00797590" w:rsidRPr="00797590">
        <w:t>Minister for Education</w:t>
      </w:r>
      <w:r w:rsidR="003819CA">
        <w:t xml:space="preserve"> and Training</w:t>
      </w:r>
      <w:r w:rsidR="00797590" w:rsidRPr="00797590">
        <w:t xml:space="preserve"> in early 2018.</w:t>
      </w:r>
    </w:p>
    <w:p w14:paraId="754E0D8C" w14:textId="0FE50CCF" w:rsidR="00382262" w:rsidRDefault="00382262" w:rsidP="002344BA">
      <w:r>
        <w:t xml:space="preserve">Dr Mark Brimble, Financial Adviser Standards and Ethics Authority (FASEA), </w:t>
      </w:r>
      <w:r w:rsidR="003819CA">
        <w:t xml:space="preserve">Ms </w:t>
      </w:r>
      <w:r>
        <w:t>Phoebe Haywood, Queensland College of Teachers (QCT)</w:t>
      </w:r>
      <w:r w:rsidR="007F09EB">
        <w:t>,</w:t>
      </w:r>
      <w:r>
        <w:t xml:space="preserve"> and</w:t>
      </w:r>
      <w:r w:rsidR="003819CA">
        <w:t xml:space="preserve"> Ms</w:t>
      </w:r>
      <w:r>
        <w:t xml:space="preserve"> Pauline Tang, </w:t>
      </w:r>
      <w:r w:rsidR="00664BAD">
        <w:t>The</w:t>
      </w:r>
      <w:r w:rsidR="000835DF">
        <w:t> </w:t>
      </w:r>
      <w:r w:rsidR="00664BAD">
        <w:t>International Centre of Excellence in Tourism and Hospitality Education (THE-ICE)</w:t>
      </w:r>
      <w:r w:rsidR="007F09EB">
        <w:t>,</w:t>
      </w:r>
      <w:r w:rsidR="00664BAD">
        <w:t xml:space="preserve"> were invited to present case studies of different streamlined regulation and examples of working with TEQSA. Participants were encouraged to ask questions of the presenters but also to explor</w:t>
      </w:r>
      <w:r w:rsidR="000A62E5">
        <w:t>e</w:t>
      </w:r>
      <w:r w:rsidR="00664BAD">
        <w:t xml:space="preserve"> how these models could be transferred and used across different professions. </w:t>
      </w:r>
    </w:p>
    <w:p w14:paraId="33C79E55" w14:textId="603B1EC2" w:rsidR="000A62E5" w:rsidRDefault="000A62E5" w:rsidP="002344BA">
      <w:r>
        <w:t xml:space="preserve">Presentations from the forum are available via the </w:t>
      </w:r>
      <w:hyperlink r:id="rId13" w:history="1">
        <w:r w:rsidR="004A30F0">
          <w:rPr>
            <w:rStyle w:val="Hyperlink"/>
          </w:rPr>
          <w:t>p</w:t>
        </w:r>
        <w:r w:rsidRPr="000A62E5">
          <w:rPr>
            <w:rStyle w:val="Hyperlink"/>
          </w:rPr>
          <w:t>resentations page on the TEQSA we</w:t>
        </w:r>
        <w:r>
          <w:rPr>
            <w:rStyle w:val="Hyperlink"/>
          </w:rPr>
          <w:t>b</w:t>
        </w:r>
        <w:r w:rsidRPr="000A62E5">
          <w:rPr>
            <w:rStyle w:val="Hyperlink"/>
          </w:rPr>
          <w:t>site</w:t>
        </w:r>
      </w:hyperlink>
      <w:r>
        <w:t xml:space="preserve">. </w:t>
      </w:r>
    </w:p>
    <w:p w14:paraId="00AC0AD0" w14:textId="5FCD0296" w:rsidR="00664BAD" w:rsidRDefault="00664BAD" w:rsidP="002344BA">
      <w:r>
        <w:t xml:space="preserve">Participants conducted small </w:t>
      </w:r>
      <w:r w:rsidR="002344BA">
        <w:t>group discussions</w:t>
      </w:r>
      <w:r>
        <w:t xml:space="preserve"> focussing on the following questions:</w:t>
      </w:r>
    </w:p>
    <w:p w14:paraId="746A8365" w14:textId="1D11A80B" w:rsidR="00664BAD" w:rsidRDefault="00664BAD" w:rsidP="00664BAD">
      <w:pPr>
        <w:pStyle w:val="Bullet1"/>
      </w:pPr>
      <w:r>
        <w:t xml:space="preserve">How does TEQSA work more effectively with professional accreditation bodies in the future? </w:t>
      </w:r>
    </w:p>
    <w:p w14:paraId="1E3864EC" w14:textId="77777777" w:rsidR="00664BAD" w:rsidRDefault="00664BAD" w:rsidP="00664BAD">
      <w:pPr>
        <w:pStyle w:val="Bullet1"/>
      </w:pPr>
      <w:r>
        <w:t xml:space="preserve">What further support do professional accreditation bodies need to develop risk based approaches to regulation? </w:t>
      </w:r>
    </w:p>
    <w:p w14:paraId="4968679E" w14:textId="6129198B" w:rsidR="00664BAD" w:rsidRDefault="00664BAD" w:rsidP="00664BAD">
      <w:pPr>
        <w:pStyle w:val="Bullet1"/>
      </w:pPr>
      <w:r>
        <w:t>How can we systematise greater information sharing between TEQSA and professional accreditation bodies</w:t>
      </w:r>
      <w:r w:rsidR="003819CA">
        <w:t>?</w:t>
      </w:r>
      <w:r>
        <w:t xml:space="preserve">  </w:t>
      </w:r>
    </w:p>
    <w:p w14:paraId="4722BF5A" w14:textId="6CE8727C" w:rsidR="002344BA" w:rsidRDefault="00664BAD" w:rsidP="00664BAD">
      <w:r>
        <w:t>R</w:t>
      </w:r>
      <w:r w:rsidR="00D17D1F">
        <w:t>epresentative</w:t>
      </w:r>
      <w:r>
        <w:t>s</w:t>
      </w:r>
      <w:r w:rsidR="00D17D1F">
        <w:t xml:space="preserve"> from each group reported back</w:t>
      </w:r>
      <w:r>
        <w:t xml:space="preserve"> as part of the final plenary session, facilitated by </w:t>
      </w:r>
      <w:r w:rsidR="003819CA">
        <w:t xml:space="preserve">Ms </w:t>
      </w:r>
      <w:r>
        <w:t>Narelle Mills, Australian Dental Council (ADC)</w:t>
      </w:r>
      <w:r w:rsidR="003819CA">
        <w:t>,</w:t>
      </w:r>
      <w:r>
        <w:t xml:space="preserve"> and feedback from this session will inform the development of a shared action plan in 2019.   </w:t>
      </w:r>
    </w:p>
    <w:p w14:paraId="1B13A8D4" w14:textId="00C5DA1E" w:rsidR="00920968" w:rsidRDefault="004A30F0">
      <w:r>
        <w:t>Approximately 77 per cent</w:t>
      </w:r>
      <w:r w:rsidR="008F5D91">
        <w:t xml:space="preserve"> of post-event survey respondents rated the forum as very good or excellent</w:t>
      </w:r>
      <w:r w:rsidR="003819CA">
        <w:t>,</w:t>
      </w:r>
      <w:r w:rsidR="008F5D91">
        <w:t xml:space="preserve"> and o</w:t>
      </w:r>
      <w:r w:rsidR="00445F11">
        <w:t>verall there was s</w:t>
      </w:r>
      <w:r w:rsidR="00315DF5">
        <w:t xml:space="preserve">trong support for TEQSA to host more forums for professional accreditation bodies and continue to build relationships and discuss ways to further </w:t>
      </w:r>
      <w:r w:rsidR="008F5D91">
        <w:t>s</w:t>
      </w:r>
      <w:r w:rsidR="00315DF5">
        <w:t xml:space="preserve">treamline accreditation in the future. </w:t>
      </w:r>
      <w:r w:rsidR="00920968">
        <w:br w:type="page"/>
      </w:r>
    </w:p>
    <w:p w14:paraId="5C408B48" w14:textId="7CBF5608" w:rsidR="009A236C" w:rsidRDefault="00A74B34" w:rsidP="00920968">
      <w:pPr>
        <w:pStyle w:val="Heading2"/>
        <w:spacing w:before="0"/>
      </w:pPr>
      <w:r>
        <w:lastRenderedPageBreak/>
        <w:t xml:space="preserve">Major themes </w:t>
      </w:r>
      <w:r w:rsidR="006E5500">
        <w:t>discussed</w:t>
      </w:r>
    </w:p>
    <w:p w14:paraId="32994B43" w14:textId="751693D0" w:rsidR="00B4215B" w:rsidRDefault="00320E7E" w:rsidP="00B4215B">
      <w:pPr>
        <w:pStyle w:val="Heading3"/>
      </w:pPr>
      <w:r>
        <w:t>TEQSA and professional accreditation bodies working more effectively together</w:t>
      </w:r>
    </w:p>
    <w:p w14:paraId="4EA17729" w14:textId="0168AAA0" w:rsidR="00A75C80" w:rsidRDefault="000D6D23" w:rsidP="00A75C80">
      <w:pPr>
        <w:rPr>
          <w:rFonts w:asciiTheme="majorHAnsi" w:hAnsiTheme="majorHAnsi" w:cstheme="majorHAnsi"/>
          <w:color w:val="333E48"/>
          <w:shd w:val="clear" w:color="auto" w:fill="FFFFFF"/>
        </w:rPr>
      </w:pPr>
      <w:r>
        <w:rPr>
          <w:rFonts w:asciiTheme="majorHAnsi" w:hAnsiTheme="majorHAnsi" w:cstheme="majorHAnsi"/>
          <w:color w:val="333E48"/>
          <w:shd w:val="clear" w:color="auto" w:fill="FFFFFF"/>
        </w:rPr>
        <w:t>Most participants agreed that a greater understanding of each other’s responsibilities, processes</w:t>
      </w:r>
      <w:r w:rsidR="003819CA">
        <w:rPr>
          <w:rFonts w:asciiTheme="majorHAnsi" w:hAnsiTheme="majorHAnsi" w:cstheme="majorHAnsi"/>
          <w:color w:val="333E48"/>
          <w:shd w:val="clear" w:color="auto" w:fill="FFFFFF"/>
        </w:rPr>
        <w:t>,</w:t>
      </w:r>
      <w:r>
        <w:rPr>
          <w:rFonts w:asciiTheme="majorHAnsi" w:hAnsiTheme="majorHAnsi" w:cstheme="majorHAnsi"/>
          <w:color w:val="333E48"/>
          <w:shd w:val="clear" w:color="auto" w:fill="FFFFFF"/>
        </w:rPr>
        <w:t xml:space="preserve"> and principles for decision making would enhance the relationship between TEQSA and the professional accreditation bodies. </w:t>
      </w:r>
      <w:r w:rsidR="00A75C80">
        <w:rPr>
          <w:rFonts w:asciiTheme="majorHAnsi" w:hAnsiTheme="majorHAnsi" w:cstheme="majorHAnsi"/>
          <w:color w:val="333E48"/>
          <w:shd w:val="clear" w:color="auto" w:fill="FFFFFF"/>
        </w:rPr>
        <w:t>It was suggested that both TEQSA and the professional accreditation bodies need to explore and determine what it is that each would require in order to be satisfied with, and confidently rely on, the findings, analysis and decision</w:t>
      </w:r>
      <w:r w:rsidR="00C86092">
        <w:rPr>
          <w:rFonts w:asciiTheme="majorHAnsi" w:hAnsiTheme="majorHAnsi" w:cstheme="majorHAnsi"/>
          <w:color w:val="333E48"/>
          <w:shd w:val="clear" w:color="auto" w:fill="FFFFFF"/>
        </w:rPr>
        <w:t>s</w:t>
      </w:r>
      <w:r w:rsidR="00A75C80">
        <w:rPr>
          <w:rFonts w:asciiTheme="majorHAnsi" w:hAnsiTheme="majorHAnsi" w:cstheme="majorHAnsi"/>
          <w:color w:val="333E48"/>
          <w:shd w:val="clear" w:color="auto" w:fill="FFFFFF"/>
        </w:rPr>
        <w:t xml:space="preserve"> made by the other party.    </w:t>
      </w:r>
    </w:p>
    <w:p w14:paraId="173D521A" w14:textId="434A6963" w:rsidR="00230FC2" w:rsidRDefault="00230FC2" w:rsidP="00B57A6A">
      <w:pPr>
        <w:rPr>
          <w:rFonts w:asciiTheme="majorHAnsi" w:hAnsiTheme="majorHAnsi" w:cstheme="majorHAnsi"/>
          <w:color w:val="333E48"/>
          <w:shd w:val="clear" w:color="auto" w:fill="FFFFFF"/>
        </w:rPr>
      </w:pPr>
      <w:r>
        <w:rPr>
          <w:rFonts w:asciiTheme="majorHAnsi" w:hAnsiTheme="majorHAnsi" w:cstheme="majorHAnsi"/>
          <w:color w:val="333E48"/>
          <w:shd w:val="clear" w:color="auto" w:fill="FFFFFF"/>
        </w:rPr>
        <w:t>There was strong suppor</w:t>
      </w:r>
      <w:r w:rsidR="00763531">
        <w:rPr>
          <w:rFonts w:asciiTheme="majorHAnsi" w:hAnsiTheme="majorHAnsi" w:cstheme="majorHAnsi"/>
          <w:color w:val="333E48"/>
          <w:shd w:val="clear" w:color="auto" w:fill="FFFFFF"/>
        </w:rPr>
        <w:t>t for TEQSA to hold more forums, either</w:t>
      </w:r>
      <w:r>
        <w:rPr>
          <w:rFonts w:asciiTheme="majorHAnsi" w:hAnsiTheme="majorHAnsi" w:cstheme="majorHAnsi"/>
          <w:color w:val="333E48"/>
          <w:shd w:val="clear" w:color="auto" w:fill="FFFFFF"/>
        </w:rPr>
        <w:t xml:space="preserve"> open to all professional accreditation bodies or targeted to those operating in similar fields. It was suggested that forums could also be thematic and used as a way to consult and workshop ideas</w:t>
      </w:r>
      <w:r w:rsidR="00763531">
        <w:rPr>
          <w:rFonts w:asciiTheme="majorHAnsi" w:hAnsiTheme="majorHAnsi" w:cstheme="majorHAnsi"/>
          <w:color w:val="333E48"/>
          <w:shd w:val="clear" w:color="auto" w:fill="FFFFFF"/>
        </w:rPr>
        <w:t xml:space="preserve"> with stakeholders</w:t>
      </w:r>
      <w:r>
        <w:rPr>
          <w:rFonts w:asciiTheme="majorHAnsi" w:hAnsiTheme="majorHAnsi" w:cstheme="majorHAnsi"/>
          <w:color w:val="333E48"/>
          <w:shd w:val="clear" w:color="auto" w:fill="FFFFFF"/>
        </w:rPr>
        <w:t>. TEQSA could also be invited to participate in meetings and events hosted by the professional accreditation bodies and their members</w:t>
      </w:r>
      <w:r w:rsidR="00763531">
        <w:rPr>
          <w:rFonts w:asciiTheme="majorHAnsi" w:hAnsiTheme="majorHAnsi" w:cstheme="majorHAnsi"/>
          <w:color w:val="333E48"/>
          <w:shd w:val="clear" w:color="auto" w:fill="FFFFFF"/>
        </w:rPr>
        <w:t xml:space="preserve"> to</w:t>
      </w:r>
      <w:r w:rsidR="00B00691">
        <w:rPr>
          <w:rFonts w:asciiTheme="majorHAnsi" w:hAnsiTheme="majorHAnsi" w:cstheme="majorHAnsi"/>
          <w:color w:val="333E48"/>
          <w:shd w:val="clear" w:color="auto" w:fill="FFFFFF"/>
        </w:rPr>
        <w:t xml:space="preserve"> assist in the </w:t>
      </w:r>
      <w:r w:rsidR="00763531">
        <w:rPr>
          <w:rFonts w:asciiTheme="majorHAnsi" w:hAnsiTheme="majorHAnsi" w:cstheme="majorHAnsi"/>
          <w:color w:val="333E48"/>
          <w:shd w:val="clear" w:color="auto" w:fill="FFFFFF"/>
        </w:rPr>
        <w:t>develop</w:t>
      </w:r>
      <w:r w:rsidR="00B00691">
        <w:rPr>
          <w:rFonts w:asciiTheme="majorHAnsi" w:hAnsiTheme="majorHAnsi" w:cstheme="majorHAnsi"/>
          <w:color w:val="333E48"/>
          <w:shd w:val="clear" w:color="auto" w:fill="FFFFFF"/>
        </w:rPr>
        <w:t>ment of</w:t>
      </w:r>
      <w:r w:rsidR="00763531">
        <w:rPr>
          <w:rFonts w:asciiTheme="majorHAnsi" w:hAnsiTheme="majorHAnsi" w:cstheme="majorHAnsi"/>
          <w:color w:val="333E48"/>
          <w:shd w:val="clear" w:color="auto" w:fill="FFFFFF"/>
        </w:rPr>
        <w:t xml:space="preserve"> a shared understanding</w:t>
      </w:r>
      <w:r w:rsidR="00B00691">
        <w:rPr>
          <w:rFonts w:asciiTheme="majorHAnsi" w:hAnsiTheme="majorHAnsi" w:cstheme="majorHAnsi"/>
          <w:color w:val="333E48"/>
          <w:shd w:val="clear" w:color="auto" w:fill="FFFFFF"/>
        </w:rPr>
        <w:t xml:space="preserve"> and </w:t>
      </w:r>
      <w:r w:rsidR="00A75C80">
        <w:rPr>
          <w:rFonts w:asciiTheme="majorHAnsi" w:hAnsiTheme="majorHAnsi" w:cstheme="majorHAnsi"/>
          <w:color w:val="333E48"/>
          <w:shd w:val="clear" w:color="auto" w:fill="FFFFFF"/>
        </w:rPr>
        <w:t xml:space="preserve">mutual respect </w:t>
      </w:r>
      <w:r w:rsidR="00C86092">
        <w:rPr>
          <w:rFonts w:asciiTheme="majorHAnsi" w:hAnsiTheme="majorHAnsi" w:cstheme="majorHAnsi"/>
          <w:color w:val="333E48"/>
          <w:shd w:val="clear" w:color="auto" w:fill="FFFFFF"/>
        </w:rPr>
        <w:t>and recognition. O</w:t>
      </w:r>
      <w:r w:rsidR="00B00691">
        <w:rPr>
          <w:rFonts w:asciiTheme="majorHAnsi" w:hAnsiTheme="majorHAnsi" w:cstheme="majorHAnsi"/>
          <w:color w:val="333E48"/>
          <w:shd w:val="clear" w:color="auto" w:fill="FFFFFF"/>
        </w:rPr>
        <w:t xml:space="preserve">ne participant </w:t>
      </w:r>
      <w:r w:rsidR="00A75C80">
        <w:rPr>
          <w:rFonts w:asciiTheme="majorHAnsi" w:hAnsiTheme="majorHAnsi" w:cstheme="majorHAnsi"/>
          <w:color w:val="333E48"/>
          <w:shd w:val="clear" w:color="auto" w:fill="FFFFFF"/>
        </w:rPr>
        <w:t xml:space="preserve">suggested moving to a culture of shared terminology where possible to also assist with this process. </w:t>
      </w:r>
      <w:r w:rsidR="00763531">
        <w:rPr>
          <w:rFonts w:asciiTheme="majorHAnsi" w:hAnsiTheme="majorHAnsi" w:cstheme="majorHAnsi"/>
          <w:color w:val="333E48"/>
          <w:shd w:val="clear" w:color="auto" w:fill="FFFFFF"/>
        </w:rPr>
        <w:t xml:space="preserve"> </w:t>
      </w:r>
      <w:r>
        <w:rPr>
          <w:rFonts w:asciiTheme="majorHAnsi" w:hAnsiTheme="majorHAnsi" w:cstheme="majorHAnsi"/>
          <w:color w:val="333E48"/>
          <w:shd w:val="clear" w:color="auto" w:fill="FFFFFF"/>
        </w:rPr>
        <w:t xml:space="preserve"> </w:t>
      </w:r>
    </w:p>
    <w:p w14:paraId="1102EA28" w14:textId="414D6499" w:rsidR="00230FC2" w:rsidRDefault="00763531" w:rsidP="00B57A6A">
      <w:pPr>
        <w:rPr>
          <w:rFonts w:asciiTheme="majorHAnsi" w:hAnsiTheme="majorHAnsi" w:cstheme="majorHAnsi"/>
          <w:color w:val="333E48"/>
          <w:shd w:val="clear" w:color="auto" w:fill="FFFFFF"/>
        </w:rPr>
      </w:pPr>
      <w:r>
        <w:rPr>
          <w:rFonts w:asciiTheme="majorHAnsi" w:hAnsiTheme="majorHAnsi" w:cstheme="majorHAnsi"/>
          <w:color w:val="333E48"/>
          <w:shd w:val="clear" w:color="auto" w:fill="FFFFFF"/>
        </w:rPr>
        <w:t xml:space="preserve">In acknowledgement that some professional accreditation bodies are currently working more closely with TEQSA than others, many participants agreed that the </w:t>
      </w:r>
      <w:proofErr w:type="spellStart"/>
      <w:r>
        <w:rPr>
          <w:rFonts w:asciiTheme="majorHAnsi" w:hAnsiTheme="majorHAnsi" w:cstheme="majorHAnsi"/>
          <w:color w:val="333E48"/>
          <w:shd w:val="clear" w:color="auto" w:fill="FFFFFF"/>
        </w:rPr>
        <w:t>MoUs</w:t>
      </w:r>
      <w:proofErr w:type="spellEnd"/>
      <w:r>
        <w:rPr>
          <w:rFonts w:asciiTheme="majorHAnsi" w:hAnsiTheme="majorHAnsi" w:cstheme="majorHAnsi"/>
          <w:color w:val="333E48"/>
          <w:shd w:val="clear" w:color="auto" w:fill="FFFFFF"/>
        </w:rPr>
        <w:t xml:space="preserve"> should be ex</w:t>
      </w:r>
      <w:r w:rsidR="00C86092">
        <w:rPr>
          <w:rFonts w:asciiTheme="majorHAnsi" w:hAnsiTheme="majorHAnsi" w:cstheme="majorHAnsi"/>
          <w:color w:val="333E48"/>
          <w:shd w:val="clear" w:color="auto" w:fill="FFFFFF"/>
        </w:rPr>
        <w:t>amined</w:t>
      </w:r>
      <w:r>
        <w:rPr>
          <w:rFonts w:asciiTheme="majorHAnsi" w:hAnsiTheme="majorHAnsi" w:cstheme="majorHAnsi"/>
          <w:color w:val="333E48"/>
          <w:shd w:val="clear" w:color="auto" w:fill="FFFFFF"/>
        </w:rPr>
        <w:t xml:space="preserve"> to determine the level each is operating at</w:t>
      </w:r>
      <w:r w:rsidR="003819CA">
        <w:rPr>
          <w:rFonts w:asciiTheme="majorHAnsi" w:hAnsiTheme="majorHAnsi" w:cstheme="majorHAnsi"/>
          <w:color w:val="333E48"/>
          <w:shd w:val="clear" w:color="auto" w:fill="FFFFFF"/>
        </w:rPr>
        <w:t>,</w:t>
      </w:r>
      <w:r>
        <w:rPr>
          <w:rFonts w:asciiTheme="majorHAnsi" w:hAnsiTheme="majorHAnsi" w:cstheme="majorHAnsi"/>
          <w:color w:val="333E48"/>
          <w:shd w:val="clear" w:color="auto" w:fill="FFFFFF"/>
        </w:rPr>
        <w:t xml:space="preserve"> as well as where these could be expanded on to increase</w:t>
      </w:r>
      <w:r w:rsidR="00C86092">
        <w:rPr>
          <w:rFonts w:asciiTheme="majorHAnsi" w:hAnsiTheme="majorHAnsi" w:cstheme="majorHAnsi"/>
          <w:color w:val="333E48"/>
          <w:shd w:val="clear" w:color="auto" w:fill="FFFFFF"/>
        </w:rPr>
        <w:t xml:space="preserve"> and formalise</w:t>
      </w:r>
      <w:r>
        <w:rPr>
          <w:rFonts w:asciiTheme="majorHAnsi" w:hAnsiTheme="majorHAnsi" w:cstheme="majorHAnsi"/>
          <w:color w:val="333E48"/>
          <w:shd w:val="clear" w:color="auto" w:fill="FFFFFF"/>
        </w:rPr>
        <w:t xml:space="preserve"> information sharing across the board. Some participants suggested an examination of the data currently collected and held by both parties to see where there are commonalities, particularly at the course level, to make information sharing more relevant and effective.    </w:t>
      </w:r>
    </w:p>
    <w:p w14:paraId="64977D12" w14:textId="59D7EE4C" w:rsidR="00320E7E" w:rsidRDefault="00A75C80" w:rsidP="00B57A6A">
      <w:pPr>
        <w:rPr>
          <w:rFonts w:asciiTheme="majorHAnsi" w:hAnsiTheme="majorHAnsi" w:cstheme="majorHAnsi"/>
          <w:color w:val="333E48"/>
          <w:shd w:val="clear" w:color="auto" w:fill="FFFFFF"/>
        </w:rPr>
      </w:pPr>
      <w:r>
        <w:rPr>
          <w:rFonts w:asciiTheme="majorHAnsi" w:hAnsiTheme="majorHAnsi" w:cstheme="majorHAnsi"/>
          <w:color w:val="333E48"/>
          <w:shd w:val="clear" w:color="auto" w:fill="FFFFFF"/>
        </w:rPr>
        <w:t>Other suggestions included: developing a culture that n</w:t>
      </w:r>
      <w:r w:rsidR="00320E7E">
        <w:rPr>
          <w:rFonts w:asciiTheme="majorHAnsi" w:hAnsiTheme="majorHAnsi" w:cstheme="majorHAnsi"/>
          <w:color w:val="333E48"/>
          <w:shd w:val="clear" w:color="auto" w:fill="FFFFFF"/>
        </w:rPr>
        <w:t>ormalis</w:t>
      </w:r>
      <w:r>
        <w:rPr>
          <w:rFonts w:asciiTheme="majorHAnsi" w:hAnsiTheme="majorHAnsi" w:cstheme="majorHAnsi"/>
          <w:color w:val="333E48"/>
          <w:shd w:val="clear" w:color="auto" w:fill="FFFFFF"/>
        </w:rPr>
        <w:t>ed</w:t>
      </w:r>
      <w:r w:rsidR="00320E7E">
        <w:rPr>
          <w:rFonts w:asciiTheme="majorHAnsi" w:hAnsiTheme="majorHAnsi" w:cstheme="majorHAnsi"/>
          <w:color w:val="333E48"/>
          <w:shd w:val="clear" w:color="auto" w:fill="FFFFFF"/>
        </w:rPr>
        <w:t xml:space="preserve"> </w:t>
      </w:r>
      <w:r>
        <w:rPr>
          <w:rFonts w:asciiTheme="majorHAnsi" w:hAnsiTheme="majorHAnsi" w:cstheme="majorHAnsi"/>
          <w:color w:val="333E48"/>
          <w:shd w:val="clear" w:color="auto" w:fill="FFFFFF"/>
        </w:rPr>
        <w:t>proactive and regular information sharing between both parties;</w:t>
      </w:r>
      <w:r w:rsidR="00887B12">
        <w:rPr>
          <w:rFonts w:asciiTheme="majorHAnsi" w:hAnsiTheme="majorHAnsi" w:cstheme="majorHAnsi"/>
          <w:color w:val="333E48"/>
          <w:shd w:val="clear" w:color="auto" w:fill="FFFFFF"/>
        </w:rPr>
        <w:t xml:space="preserve"> being more transparent and making more information available in the public domain;</w:t>
      </w:r>
      <w:r>
        <w:rPr>
          <w:rFonts w:asciiTheme="majorHAnsi" w:hAnsiTheme="majorHAnsi" w:cstheme="majorHAnsi"/>
          <w:color w:val="333E48"/>
          <w:shd w:val="clear" w:color="auto" w:fill="FFFFFF"/>
        </w:rPr>
        <w:t xml:space="preserve"> building relationships and encouraging contact at an operational level; working together to build capacity within providers;</w:t>
      </w:r>
      <w:r w:rsidR="00887B12">
        <w:rPr>
          <w:rFonts w:asciiTheme="majorHAnsi" w:hAnsiTheme="majorHAnsi" w:cstheme="majorHAnsi"/>
          <w:color w:val="333E48"/>
          <w:shd w:val="clear" w:color="auto" w:fill="FFFFFF"/>
        </w:rPr>
        <w:t xml:space="preserve"> supporting training opportunities for professional accreditation body staff at TEQSA; and </w:t>
      </w:r>
      <w:r w:rsidR="00C86092">
        <w:rPr>
          <w:rFonts w:asciiTheme="majorHAnsi" w:hAnsiTheme="majorHAnsi" w:cstheme="majorHAnsi"/>
          <w:color w:val="333E48"/>
          <w:shd w:val="clear" w:color="auto" w:fill="FFFFFF"/>
        </w:rPr>
        <w:t xml:space="preserve">considering </w:t>
      </w:r>
      <w:r w:rsidR="00887B12">
        <w:rPr>
          <w:rFonts w:asciiTheme="majorHAnsi" w:hAnsiTheme="majorHAnsi" w:cstheme="majorHAnsi"/>
          <w:color w:val="333E48"/>
          <w:shd w:val="clear" w:color="auto" w:fill="FFFFFF"/>
        </w:rPr>
        <w:t>nuance</w:t>
      </w:r>
      <w:r w:rsidR="00C86092">
        <w:rPr>
          <w:rFonts w:asciiTheme="majorHAnsi" w:hAnsiTheme="majorHAnsi" w:cstheme="majorHAnsi"/>
          <w:color w:val="333E48"/>
          <w:shd w:val="clear" w:color="auto" w:fill="FFFFFF"/>
        </w:rPr>
        <w:t>d</w:t>
      </w:r>
      <w:r w:rsidR="00887B12">
        <w:rPr>
          <w:rFonts w:asciiTheme="majorHAnsi" w:hAnsiTheme="majorHAnsi" w:cstheme="majorHAnsi"/>
          <w:color w:val="333E48"/>
          <w:shd w:val="clear" w:color="auto" w:fill="FFFFFF"/>
        </w:rPr>
        <w:t xml:space="preserve"> approaches to working together, in acknowledgment of the varying levels of operational maturity and requirements of the professional accreditation bodies</w:t>
      </w:r>
      <w:r w:rsidR="003819CA">
        <w:rPr>
          <w:rFonts w:asciiTheme="majorHAnsi" w:hAnsiTheme="majorHAnsi" w:cstheme="majorHAnsi"/>
          <w:color w:val="333E48"/>
          <w:shd w:val="clear" w:color="auto" w:fill="FFFFFF"/>
        </w:rPr>
        <w:t xml:space="preserve">.   </w:t>
      </w:r>
    </w:p>
    <w:p w14:paraId="25DA1DA9" w14:textId="4DD7C4DC" w:rsidR="0025543B" w:rsidRDefault="00C86092" w:rsidP="00B57A6A">
      <w:pPr>
        <w:rPr>
          <w:rFonts w:asciiTheme="majorHAnsi" w:hAnsiTheme="majorHAnsi" w:cstheme="majorHAnsi"/>
          <w:color w:val="333E48"/>
          <w:shd w:val="clear" w:color="auto" w:fill="FFFFFF"/>
        </w:rPr>
      </w:pPr>
      <w:r>
        <w:rPr>
          <w:rFonts w:asciiTheme="majorHAnsi" w:hAnsiTheme="majorHAnsi" w:cstheme="majorHAnsi"/>
          <w:color w:val="333E48"/>
          <w:shd w:val="clear" w:color="auto" w:fill="FFFFFF"/>
        </w:rPr>
        <w:t>The majority of</w:t>
      </w:r>
      <w:r w:rsidR="00887B12">
        <w:rPr>
          <w:rFonts w:asciiTheme="majorHAnsi" w:hAnsiTheme="majorHAnsi" w:cstheme="majorHAnsi"/>
          <w:color w:val="333E48"/>
          <w:shd w:val="clear" w:color="auto" w:fill="FFFFFF"/>
        </w:rPr>
        <w:t xml:space="preserve"> participants were in agreement to work together more collaboratively with an aim of developing a model of partnership between the professional </w:t>
      </w:r>
      <w:r w:rsidR="008869EB">
        <w:rPr>
          <w:rFonts w:asciiTheme="majorHAnsi" w:hAnsiTheme="majorHAnsi" w:cstheme="majorHAnsi"/>
          <w:color w:val="333E48"/>
          <w:shd w:val="clear" w:color="auto" w:fill="FFFFFF"/>
        </w:rPr>
        <w:t>accreditation</w:t>
      </w:r>
      <w:r w:rsidR="00887B12">
        <w:rPr>
          <w:rFonts w:asciiTheme="majorHAnsi" w:hAnsiTheme="majorHAnsi" w:cstheme="majorHAnsi"/>
          <w:color w:val="333E48"/>
          <w:shd w:val="clear" w:color="auto" w:fill="FFFFFF"/>
        </w:rPr>
        <w:t xml:space="preserve"> bodies and the regulator. </w:t>
      </w:r>
      <w:r w:rsidR="0025543B">
        <w:rPr>
          <w:rFonts w:asciiTheme="majorHAnsi" w:hAnsiTheme="majorHAnsi" w:cstheme="majorHAnsi"/>
          <w:color w:val="333E48"/>
          <w:shd w:val="clear" w:color="auto" w:fill="FFFFFF"/>
        </w:rPr>
        <w:t xml:space="preserve"> </w:t>
      </w:r>
    </w:p>
    <w:p w14:paraId="7BA80ACA" w14:textId="30C2BF24" w:rsidR="00187575" w:rsidRDefault="00320E7E" w:rsidP="00187575">
      <w:pPr>
        <w:pStyle w:val="Heading3"/>
      </w:pPr>
      <w:r>
        <w:t xml:space="preserve">Navigating variations in standards and requirements </w:t>
      </w:r>
    </w:p>
    <w:p w14:paraId="56C48945" w14:textId="26E6DA85" w:rsidR="00AA0874" w:rsidRDefault="001F39FB" w:rsidP="00B57A6A">
      <w:pPr>
        <w:rPr>
          <w:rFonts w:asciiTheme="majorHAnsi" w:hAnsiTheme="majorHAnsi" w:cstheme="majorHAnsi"/>
          <w:color w:val="333E48"/>
          <w:shd w:val="clear" w:color="auto" w:fill="FFFFFF"/>
        </w:rPr>
      </w:pPr>
      <w:r>
        <w:rPr>
          <w:rFonts w:asciiTheme="majorHAnsi" w:hAnsiTheme="majorHAnsi" w:cstheme="majorHAnsi"/>
          <w:color w:val="333E48"/>
          <w:shd w:val="clear" w:color="auto" w:fill="FFFFFF"/>
        </w:rPr>
        <w:t>Participants acknowledged t</w:t>
      </w:r>
      <w:r w:rsidR="008869EB">
        <w:rPr>
          <w:rFonts w:asciiTheme="majorHAnsi" w:hAnsiTheme="majorHAnsi" w:cstheme="majorHAnsi"/>
          <w:color w:val="333E48"/>
          <w:shd w:val="clear" w:color="auto" w:fill="FFFFFF"/>
        </w:rPr>
        <w:t>he</w:t>
      </w:r>
      <w:r>
        <w:rPr>
          <w:rFonts w:asciiTheme="majorHAnsi" w:hAnsiTheme="majorHAnsi" w:cstheme="majorHAnsi"/>
          <w:color w:val="333E48"/>
          <w:shd w:val="clear" w:color="auto" w:fill="FFFFFF"/>
        </w:rPr>
        <w:t xml:space="preserve"> challenges </w:t>
      </w:r>
      <w:r w:rsidR="008869EB">
        <w:rPr>
          <w:rFonts w:asciiTheme="majorHAnsi" w:hAnsiTheme="majorHAnsi" w:cstheme="majorHAnsi"/>
          <w:color w:val="333E48"/>
          <w:shd w:val="clear" w:color="auto" w:fill="FFFFFF"/>
        </w:rPr>
        <w:t>of</w:t>
      </w:r>
      <w:r>
        <w:rPr>
          <w:rFonts w:asciiTheme="majorHAnsi" w:hAnsiTheme="majorHAnsi" w:cstheme="majorHAnsi"/>
          <w:color w:val="333E48"/>
          <w:shd w:val="clear" w:color="auto" w:fill="FFFFFF"/>
        </w:rPr>
        <w:t xml:space="preserve"> streamlining accreditation activities considering the different requirements, standards and expectations of organisations, and the complexity of </w:t>
      </w:r>
      <w:r w:rsidR="00E05311">
        <w:rPr>
          <w:rFonts w:asciiTheme="majorHAnsi" w:hAnsiTheme="majorHAnsi" w:cstheme="majorHAnsi"/>
          <w:color w:val="333E48"/>
          <w:shd w:val="clear" w:color="auto" w:fill="FFFFFF"/>
        </w:rPr>
        <w:t xml:space="preserve">having to adhere to state </w:t>
      </w:r>
      <w:r w:rsidR="008869EB">
        <w:rPr>
          <w:rFonts w:asciiTheme="majorHAnsi" w:hAnsiTheme="majorHAnsi" w:cstheme="majorHAnsi"/>
          <w:color w:val="333E48"/>
          <w:shd w:val="clear" w:color="auto" w:fill="FFFFFF"/>
        </w:rPr>
        <w:t>and/</w:t>
      </w:r>
      <w:r w:rsidR="00E05311">
        <w:rPr>
          <w:rFonts w:asciiTheme="majorHAnsi" w:hAnsiTheme="majorHAnsi" w:cstheme="majorHAnsi"/>
          <w:color w:val="333E48"/>
          <w:shd w:val="clear" w:color="auto" w:fill="FFFFFF"/>
        </w:rPr>
        <w:t>or federal requirements.</w:t>
      </w:r>
    </w:p>
    <w:p w14:paraId="0159F3B7" w14:textId="4BDDB073" w:rsidR="008869EB" w:rsidRDefault="008869EB" w:rsidP="00B57A6A">
      <w:pPr>
        <w:rPr>
          <w:rFonts w:asciiTheme="majorHAnsi" w:hAnsiTheme="majorHAnsi" w:cstheme="majorHAnsi"/>
          <w:color w:val="333E48"/>
          <w:shd w:val="clear" w:color="auto" w:fill="FFFFFF"/>
        </w:rPr>
      </w:pPr>
      <w:r>
        <w:rPr>
          <w:rFonts w:asciiTheme="majorHAnsi" w:hAnsiTheme="majorHAnsi" w:cstheme="majorHAnsi"/>
          <w:color w:val="333E48"/>
          <w:shd w:val="clear" w:color="auto" w:fill="FFFFFF"/>
        </w:rPr>
        <w:t xml:space="preserve">One suggestion was to determine the requirements that are different due to legislation, as opposed to differences in approaches that are </w:t>
      </w:r>
      <w:r w:rsidR="003819CA">
        <w:rPr>
          <w:rFonts w:asciiTheme="majorHAnsi" w:hAnsiTheme="majorHAnsi" w:cstheme="majorHAnsi"/>
          <w:color w:val="333E48"/>
          <w:shd w:val="clear" w:color="auto" w:fill="FFFFFF"/>
        </w:rPr>
        <w:t xml:space="preserve">embedded </w:t>
      </w:r>
      <w:r>
        <w:rPr>
          <w:rFonts w:asciiTheme="majorHAnsi" w:hAnsiTheme="majorHAnsi" w:cstheme="majorHAnsi"/>
          <w:color w:val="333E48"/>
          <w:shd w:val="clear" w:color="auto" w:fill="FFFFFF"/>
        </w:rPr>
        <w:t xml:space="preserve">in processes and the culture of the organisation or the industry. Once identified, how can TEQSA and the professional accreditation bodies work together to support </w:t>
      </w:r>
      <w:r w:rsidR="00C86092">
        <w:rPr>
          <w:rFonts w:asciiTheme="majorHAnsi" w:hAnsiTheme="majorHAnsi" w:cstheme="majorHAnsi"/>
          <w:color w:val="333E48"/>
          <w:shd w:val="clear" w:color="auto" w:fill="FFFFFF"/>
        </w:rPr>
        <w:t xml:space="preserve">the </w:t>
      </w:r>
      <w:r>
        <w:rPr>
          <w:rFonts w:asciiTheme="majorHAnsi" w:hAnsiTheme="majorHAnsi" w:cstheme="majorHAnsi"/>
          <w:color w:val="333E48"/>
          <w:shd w:val="clear" w:color="auto" w:fill="FFFFFF"/>
        </w:rPr>
        <w:t xml:space="preserve">changes that might be required to achieve a more streamlined approach?  </w:t>
      </w:r>
    </w:p>
    <w:p w14:paraId="3E98063F" w14:textId="4D900CBC" w:rsidR="008869EB" w:rsidRDefault="008869EB" w:rsidP="00B57A6A">
      <w:pPr>
        <w:rPr>
          <w:rFonts w:asciiTheme="majorHAnsi" w:hAnsiTheme="majorHAnsi" w:cstheme="majorHAnsi"/>
          <w:color w:val="333E48"/>
          <w:shd w:val="clear" w:color="auto" w:fill="FFFFFF"/>
        </w:rPr>
      </w:pPr>
      <w:r>
        <w:rPr>
          <w:rFonts w:asciiTheme="majorHAnsi" w:hAnsiTheme="majorHAnsi" w:cstheme="majorHAnsi"/>
          <w:color w:val="333E48"/>
          <w:shd w:val="clear" w:color="auto" w:fill="FFFFFF"/>
        </w:rPr>
        <w:lastRenderedPageBreak/>
        <w:t>One participant raised the need to map differences between bodies by looking at the drivers</w:t>
      </w:r>
      <w:r w:rsidR="00C86092">
        <w:rPr>
          <w:rFonts w:asciiTheme="majorHAnsi" w:hAnsiTheme="majorHAnsi" w:cstheme="majorHAnsi"/>
          <w:color w:val="333E48"/>
          <w:shd w:val="clear" w:color="auto" w:fill="FFFFFF"/>
        </w:rPr>
        <w:t>. Are the standards, processes or requirements driven by</w:t>
      </w:r>
      <w:r>
        <w:rPr>
          <w:rFonts w:asciiTheme="majorHAnsi" w:hAnsiTheme="majorHAnsi" w:cstheme="majorHAnsi"/>
          <w:color w:val="333E48"/>
          <w:shd w:val="clear" w:color="auto" w:fill="FFFFFF"/>
        </w:rPr>
        <w:t xml:space="preserve"> public concern and confidence</w:t>
      </w:r>
      <w:r w:rsidR="003819CA">
        <w:rPr>
          <w:rFonts w:asciiTheme="majorHAnsi" w:hAnsiTheme="majorHAnsi" w:cstheme="majorHAnsi"/>
          <w:color w:val="333E48"/>
          <w:shd w:val="clear" w:color="auto" w:fill="FFFFFF"/>
        </w:rPr>
        <w:t>,</w:t>
      </w:r>
      <w:r w:rsidR="00C86092">
        <w:rPr>
          <w:rFonts w:asciiTheme="majorHAnsi" w:hAnsiTheme="majorHAnsi" w:cstheme="majorHAnsi"/>
          <w:color w:val="333E48"/>
          <w:shd w:val="clear" w:color="auto" w:fill="FFFFFF"/>
        </w:rPr>
        <w:t xml:space="preserve"> </w:t>
      </w:r>
      <w:r>
        <w:rPr>
          <w:rFonts w:asciiTheme="majorHAnsi" w:hAnsiTheme="majorHAnsi" w:cstheme="majorHAnsi"/>
          <w:color w:val="333E48"/>
          <w:shd w:val="clear" w:color="auto" w:fill="FFFFFF"/>
        </w:rPr>
        <w:t>student interests, standards</w:t>
      </w:r>
      <w:r w:rsidR="003819CA">
        <w:rPr>
          <w:rFonts w:asciiTheme="majorHAnsi" w:hAnsiTheme="majorHAnsi" w:cstheme="majorHAnsi"/>
          <w:color w:val="333E48"/>
          <w:shd w:val="clear" w:color="auto" w:fill="FFFFFF"/>
        </w:rPr>
        <w:t>-</w:t>
      </w:r>
      <w:r>
        <w:rPr>
          <w:rFonts w:asciiTheme="majorHAnsi" w:hAnsiTheme="majorHAnsi" w:cstheme="majorHAnsi"/>
          <w:color w:val="333E48"/>
          <w:shd w:val="clear" w:color="auto" w:fill="FFFFFF"/>
        </w:rPr>
        <w:t>based regulation</w:t>
      </w:r>
      <w:r w:rsidR="003819CA">
        <w:rPr>
          <w:rFonts w:asciiTheme="majorHAnsi" w:hAnsiTheme="majorHAnsi" w:cstheme="majorHAnsi"/>
          <w:color w:val="333E48"/>
          <w:shd w:val="clear" w:color="auto" w:fill="FFFFFF"/>
        </w:rPr>
        <w:t>,</w:t>
      </w:r>
      <w:r>
        <w:rPr>
          <w:rFonts w:asciiTheme="majorHAnsi" w:hAnsiTheme="majorHAnsi" w:cstheme="majorHAnsi"/>
          <w:color w:val="333E48"/>
          <w:shd w:val="clear" w:color="auto" w:fill="FFFFFF"/>
        </w:rPr>
        <w:t xml:space="preserve"> </w:t>
      </w:r>
      <w:r w:rsidR="00C86092">
        <w:rPr>
          <w:rFonts w:asciiTheme="majorHAnsi" w:hAnsiTheme="majorHAnsi" w:cstheme="majorHAnsi"/>
          <w:color w:val="333E48"/>
          <w:shd w:val="clear" w:color="auto" w:fill="FFFFFF"/>
        </w:rPr>
        <w:t xml:space="preserve">or an </w:t>
      </w:r>
      <w:r>
        <w:rPr>
          <w:rFonts w:asciiTheme="majorHAnsi" w:hAnsiTheme="majorHAnsi" w:cstheme="majorHAnsi"/>
          <w:color w:val="333E48"/>
          <w:shd w:val="clear" w:color="auto" w:fill="FFFFFF"/>
        </w:rPr>
        <w:t>improvement and enhancement approach</w:t>
      </w:r>
      <w:r w:rsidR="00C86092">
        <w:rPr>
          <w:rFonts w:asciiTheme="majorHAnsi" w:hAnsiTheme="majorHAnsi" w:cstheme="majorHAnsi"/>
          <w:color w:val="333E48"/>
          <w:shd w:val="clear" w:color="auto" w:fill="FFFFFF"/>
        </w:rPr>
        <w:t>?</w:t>
      </w:r>
      <w:r>
        <w:rPr>
          <w:rFonts w:asciiTheme="majorHAnsi" w:hAnsiTheme="majorHAnsi" w:cstheme="majorHAnsi"/>
          <w:color w:val="333E48"/>
          <w:shd w:val="clear" w:color="auto" w:fill="FFFFFF"/>
        </w:rPr>
        <w:t xml:space="preserve"> </w:t>
      </w:r>
    </w:p>
    <w:p w14:paraId="07FE4368" w14:textId="7A65A234" w:rsidR="00320E7E" w:rsidRDefault="00C86092" w:rsidP="00B57A6A">
      <w:pPr>
        <w:rPr>
          <w:rFonts w:asciiTheme="majorHAnsi" w:hAnsiTheme="majorHAnsi" w:cstheme="majorHAnsi"/>
          <w:color w:val="333E48"/>
          <w:shd w:val="clear" w:color="auto" w:fill="FFFFFF"/>
        </w:rPr>
      </w:pPr>
      <w:r>
        <w:rPr>
          <w:rFonts w:asciiTheme="majorHAnsi" w:hAnsiTheme="majorHAnsi" w:cstheme="majorHAnsi"/>
          <w:color w:val="333E48"/>
          <w:shd w:val="clear" w:color="auto" w:fill="FFFFFF"/>
        </w:rPr>
        <w:t xml:space="preserve">One participant raised the need for </w:t>
      </w:r>
      <w:r w:rsidR="008869EB">
        <w:rPr>
          <w:rFonts w:asciiTheme="majorHAnsi" w:hAnsiTheme="majorHAnsi" w:cstheme="majorHAnsi"/>
          <w:color w:val="333E48"/>
          <w:shd w:val="clear" w:color="auto" w:fill="FFFFFF"/>
        </w:rPr>
        <w:t xml:space="preserve">support for those professional </w:t>
      </w:r>
      <w:r w:rsidR="00E21959">
        <w:rPr>
          <w:rFonts w:asciiTheme="majorHAnsi" w:hAnsiTheme="majorHAnsi" w:cstheme="majorHAnsi"/>
          <w:color w:val="333E48"/>
          <w:shd w:val="clear" w:color="auto" w:fill="FFFFFF"/>
        </w:rPr>
        <w:t xml:space="preserve">accreditation </w:t>
      </w:r>
      <w:r w:rsidR="005306FE">
        <w:rPr>
          <w:rFonts w:asciiTheme="majorHAnsi" w:hAnsiTheme="majorHAnsi" w:cstheme="majorHAnsi"/>
          <w:color w:val="333E48"/>
          <w:shd w:val="clear" w:color="auto" w:fill="FFFFFF"/>
        </w:rPr>
        <w:t>bodies seeking</w:t>
      </w:r>
      <w:r w:rsidR="00E21959">
        <w:rPr>
          <w:rFonts w:asciiTheme="majorHAnsi" w:hAnsiTheme="majorHAnsi" w:cstheme="majorHAnsi"/>
          <w:color w:val="333E48"/>
          <w:shd w:val="clear" w:color="auto" w:fill="FFFFFF"/>
        </w:rPr>
        <w:t xml:space="preserve"> recognition or operating in the international space. </w:t>
      </w:r>
    </w:p>
    <w:p w14:paraId="4CD312A4" w14:textId="55460C48" w:rsidR="00563CA3" w:rsidRDefault="00320E7E" w:rsidP="008C1DA5">
      <w:pPr>
        <w:pStyle w:val="Heading3"/>
      </w:pPr>
      <w:r>
        <w:t>Reducing duplication</w:t>
      </w:r>
    </w:p>
    <w:p w14:paraId="065EED52" w14:textId="679E72D3" w:rsidR="00E21959" w:rsidRDefault="00E21959" w:rsidP="00B57A6A">
      <w:pPr>
        <w:rPr>
          <w:rFonts w:asciiTheme="majorHAnsi" w:hAnsiTheme="majorHAnsi" w:cstheme="majorHAnsi"/>
          <w:color w:val="333E48"/>
          <w:shd w:val="clear" w:color="auto" w:fill="FFFFFF"/>
        </w:rPr>
      </w:pPr>
      <w:r>
        <w:rPr>
          <w:rFonts w:asciiTheme="majorHAnsi" w:hAnsiTheme="majorHAnsi" w:cstheme="majorHAnsi"/>
          <w:color w:val="333E48"/>
          <w:shd w:val="clear" w:color="auto" w:fill="FFFFFF"/>
        </w:rPr>
        <w:t xml:space="preserve">There was strong support </w:t>
      </w:r>
      <w:r w:rsidR="00E82A27">
        <w:rPr>
          <w:rFonts w:asciiTheme="majorHAnsi" w:hAnsiTheme="majorHAnsi" w:cstheme="majorHAnsi"/>
          <w:color w:val="333E48"/>
          <w:shd w:val="clear" w:color="auto" w:fill="FFFFFF"/>
        </w:rPr>
        <w:t xml:space="preserve">from participants </w:t>
      </w:r>
      <w:r>
        <w:rPr>
          <w:rFonts w:asciiTheme="majorHAnsi" w:hAnsiTheme="majorHAnsi" w:cstheme="majorHAnsi"/>
          <w:color w:val="333E48"/>
          <w:shd w:val="clear" w:color="auto" w:fill="FFFFFF"/>
        </w:rPr>
        <w:t xml:space="preserve">to work together to reduce duplication, and in turn reduce burden for higher education providers. </w:t>
      </w:r>
      <w:r w:rsidR="00E82A27">
        <w:rPr>
          <w:rFonts w:asciiTheme="majorHAnsi" w:hAnsiTheme="majorHAnsi" w:cstheme="majorHAnsi"/>
          <w:color w:val="333E48"/>
          <w:shd w:val="clear" w:color="auto" w:fill="FFFFFF"/>
        </w:rPr>
        <w:t xml:space="preserve">Some participants suggested </w:t>
      </w:r>
      <w:r>
        <w:rPr>
          <w:rFonts w:asciiTheme="majorHAnsi" w:hAnsiTheme="majorHAnsi" w:cstheme="majorHAnsi"/>
          <w:color w:val="333E48"/>
          <w:shd w:val="clear" w:color="auto" w:fill="FFFFFF"/>
        </w:rPr>
        <w:t>map</w:t>
      </w:r>
      <w:r w:rsidR="00E82A27">
        <w:rPr>
          <w:rFonts w:asciiTheme="majorHAnsi" w:hAnsiTheme="majorHAnsi" w:cstheme="majorHAnsi"/>
          <w:color w:val="333E48"/>
          <w:shd w:val="clear" w:color="auto" w:fill="FFFFFF"/>
        </w:rPr>
        <w:t>ping</w:t>
      </w:r>
      <w:r>
        <w:rPr>
          <w:rFonts w:asciiTheme="majorHAnsi" w:hAnsiTheme="majorHAnsi" w:cstheme="majorHAnsi"/>
          <w:color w:val="333E48"/>
          <w:shd w:val="clear" w:color="auto" w:fill="FFFFFF"/>
        </w:rPr>
        <w:t xml:space="preserve"> the evidence requirements of TEQSA and the professional accreditation bodies to identify the commonalities and opportunities where the same evidence may be able to be used for both processes. There may also be an opportunity to develop a template for</w:t>
      </w:r>
      <w:r w:rsidR="00E82A27">
        <w:rPr>
          <w:rFonts w:asciiTheme="majorHAnsi" w:hAnsiTheme="majorHAnsi" w:cstheme="majorHAnsi"/>
          <w:color w:val="333E48"/>
          <w:shd w:val="clear" w:color="auto" w:fill="FFFFFF"/>
        </w:rPr>
        <w:t xml:space="preserve"> this which meets both purposes and makes submitting evidence more streamlined for the provider.</w:t>
      </w:r>
      <w:r>
        <w:rPr>
          <w:rFonts w:asciiTheme="majorHAnsi" w:hAnsiTheme="majorHAnsi" w:cstheme="majorHAnsi"/>
          <w:color w:val="333E48"/>
          <w:shd w:val="clear" w:color="auto" w:fill="FFFFFF"/>
        </w:rPr>
        <w:t xml:space="preserve"> </w:t>
      </w:r>
    </w:p>
    <w:p w14:paraId="1EE6423A" w14:textId="2A456DD4" w:rsidR="00E21959" w:rsidRDefault="00E21959" w:rsidP="00B57A6A">
      <w:pPr>
        <w:rPr>
          <w:rFonts w:asciiTheme="majorHAnsi" w:hAnsiTheme="majorHAnsi" w:cstheme="majorHAnsi"/>
          <w:color w:val="333E48"/>
          <w:shd w:val="clear" w:color="auto" w:fill="FFFFFF"/>
        </w:rPr>
      </w:pPr>
      <w:r>
        <w:rPr>
          <w:rFonts w:asciiTheme="majorHAnsi" w:hAnsiTheme="majorHAnsi" w:cstheme="majorHAnsi"/>
          <w:color w:val="333E48"/>
          <w:shd w:val="clear" w:color="auto" w:fill="FFFFFF"/>
        </w:rPr>
        <w:t xml:space="preserve">Raised during one of the presentations, there was some support amongst participants </w:t>
      </w:r>
      <w:r w:rsidR="005306FE">
        <w:rPr>
          <w:rFonts w:asciiTheme="majorHAnsi" w:hAnsiTheme="majorHAnsi" w:cstheme="majorHAnsi"/>
          <w:color w:val="333E48"/>
          <w:shd w:val="clear" w:color="auto" w:fill="FFFFFF"/>
        </w:rPr>
        <w:t>to explore</w:t>
      </w:r>
      <w:r w:rsidR="00E82A27">
        <w:rPr>
          <w:rFonts w:asciiTheme="majorHAnsi" w:hAnsiTheme="majorHAnsi" w:cstheme="majorHAnsi"/>
          <w:color w:val="333E48"/>
          <w:shd w:val="clear" w:color="auto" w:fill="FFFFFF"/>
        </w:rPr>
        <w:t xml:space="preserve"> the possibility of</w:t>
      </w:r>
      <w:r>
        <w:rPr>
          <w:rFonts w:asciiTheme="majorHAnsi" w:hAnsiTheme="majorHAnsi" w:cstheme="majorHAnsi"/>
          <w:color w:val="333E48"/>
          <w:shd w:val="clear" w:color="auto" w:fill="FFFFFF"/>
        </w:rPr>
        <w:t xml:space="preserve"> a shared information portal, which would allow different organisations to access the same data and evidence submitted once by the higher education provider. </w:t>
      </w:r>
    </w:p>
    <w:p w14:paraId="59AECFAD" w14:textId="0E69F7A9" w:rsidR="00E21959" w:rsidRDefault="00E82A27" w:rsidP="00B57A6A">
      <w:pPr>
        <w:rPr>
          <w:rFonts w:asciiTheme="majorHAnsi" w:hAnsiTheme="majorHAnsi" w:cstheme="majorHAnsi"/>
          <w:color w:val="333E48"/>
          <w:shd w:val="clear" w:color="auto" w:fill="FFFFFF"/>
        </w:rPr>
      </w:pPr>
      <w:r>
        <w:rPr>
          <w:rFonts w:asciiTheme="majorHAnsi" w:hAnsiTheme="majorHAnsi" w:cstheme="majorHAnsi"/>
          <w:color w:val="333E48"/>
          <w:shd w:val="clear" w:color="auto" w:fill="FFFFFF"/>
        </w:rPr>
        <w:t>Participants al</w:t>
      </w:r>
      <w:r w:rsidR="00E21959">
        <w:rPr>
          <w:rFonts w:asciiTheme="majorHAnsi" w:hAnsiTheme="majorHAnsi" w:cstheme="majorHAnsi"/>
          <w:color w:val="333E48"/>
          <w:shd w:val="clear" w:color="auto" w:fill="FFFFFF"/>
        </w:rPr>
        <w:t>so discussed sharing external experts, who could submit a report for use by both TEQSA and the professional accreditation bodies. It was suggested that staff from the professional accreditation bodies could also be trained in a similar way to TEQSA staff, enhancing a shared understanding and capacity</w:t>
      </w:r>
      <w:r>
        <w:rPr>
          <w:rFonts w:asciiTheme="majorHAnsi" w:hAnsiTheme="majorHAnsi" w:cstheme="majorHAnsi"/>
          <w:color w:val="333E48"/>
          <w:shd w:val="clear" w:color="auto" w:fill="FFFFFF"/>
        </w:rPr>
        <w:t xml:space="preserve">, as well as </w:t>
      </w:r>
      <w:r w:rsidR="00E21959">
        <w:rPr>
          <w:rFonts w:asciiTheme="majorHAnsi" w:hAnsiTheme="majorHAnsi" w:cstheme="majorHAnsi"/>
          <w:color w:val="333E48"/>
          <w:shd w:val="clear" w:color="auto" w:fill="FFFFFF"/>
        </w:rPr>
        <w:t xml:space="preserve">building trust across the organisations. </w:t>
      </w:r>
    </w:p>
    <w:p w14:paraId="6E28C627" w14:textId="59C7F84C" w:rsidR="00206DFE" w:rsidRDefault="00E21959" w:rsidP="00B57A6A">
      <w:pPr>
        <w:rPr>
          <w:rFonts w:asciiTheme="majorHAnsi" w:hAnsiTheme="majorHAnsi" w:cstheme="majorHAnsi"/>
          <w:color w:val="333E48"/>
          <w:shd w:val="clear" w:color="auto" w:fill="FFFFFF"/>
        </w:rPr>
      </w:pPr>
      <w:r>
        <w:rPr>
          <w:rFonts w:asciiTheme="majorHAnsi" w:hAnsiTheme="majorHAnsi" w:cstheme="majorHAnsi"/>
          <w:color w:val="333E48"/>
          <w:shd w:val="clear" w:color="auto" w:fill="FFFFFF"/>
        </w:rPr>
        <w:t>Some concerns were raised that joint accreditation processes, when trying to meet different requirements, can actually be more burdensome and resource</w:t>
      </w:r>
      <w:r w:rsidR="007F09EB">
        <w:rPr>
          <w:rFonts w:asciiTheme="majorHAnsi" w:hAnsiTheme="majorHAnsi" w:cstheme="majorHAnsi"/>
          <w:color w:val="333E48"/>
          <w:shd w:val="clear" w:color="auto" w:fill="FFFFFF"/>
        </w:rPr>
        <w:t>-</w:t>
      </w:r>
      <w:r>
        <w:rPr>
          <w:rFonts w:asciiTheme="majorHAnsi" w:hAnsiTheme="majorHAnsi" w:cstheme="majorHAnsi"/>
          <w:color w:val="333E48"/>
          <w:shd w:val="clear" w:color="auto" w:fill="FFFFFF"/>
        </w:rPr>
        <w:t xml:space="preserve">intensive. However, models of conducting parallel assessments may be more effective.  </w:t>
      </w:r>
    </w:p>
    <w:p w14:paraId="4496E70D" w14:textId="678D5DEA" w:rsidR="00320E7E" w:rsidRDefault="00320E7E" w:rsidP="00320E7E">
      <w:pPr>
        <w:pStyle w:val="Heading3"/>
      </w:pPr>
      <w:r>
        <w:t>Risk</w:t>
      </w:r>
      <w:r w:rsidR="007F09EB">
        <w:t>-</w:t>
      </w:r>
      <w:r>
        <w:t>based approach</w:t>
      </w:r>
    </w:p>
    <w:p w14:paraId="6F37E538" w14:textId="28C448D0" w:rsidR="00993ACA" w:rsidRDefault="00E21959" w:rsidP="00B57A6A">
      <w:pPr>
        <w:rPr>
          <w:rFonts w:asciiTheme="majorHAnsi" w:hAnsiTheme="majorHAnsi" w:cstheme="majorHAnsi"/>
          <w:color w:val="333E48"/>
          <w:shd w:val="clear" w:color="auto" w:fill="FFFFFF"/>
        </w:rPr>
      </w:pPr>
      <w:r>
        <w:rPr>
          <w:rFonts w:asciiTheme="majorHAnsi" w:hAnsiTheme="majorHAnsi" w:cstheme="majorHAnsi"/>
          <w:color w:val="333E48"/>
          <w:shd w:val="clear" w:color="auto" w:fill="FFFFFF"/>
        </w:rPr>
        <w:t>Participants discussed adopting a risk</w:t>
      </w:r>
      <w:r w:rsidR="007F09EB">
        <w:rPr>
          <w:rFonts w:asciiTheme="majorHAnsi" w:hAnsiTheme="majorHAnsi" w:cstheme="majorHAnsi"/>
          <w:color w:val="333E48"/>
          <w:shd w:val="clear" w:color="auto" w:fill="FFFFFF"/>
        </w:rPr>
        <w:t>-</w:t>
      </w:r>
      <w:r>
        <w:rPr>
          <w:rFonts w:asciiTheme="majorHAnsi" w:hAnsiTheme="majorHAnsi" w:cstheme="majorHAnsi"/>
          <w:color w:val="333E48"/>
          <w:shd w:val="clear" w:color="auto" w:fill="FFFFFF"/>
        </w:rPr>
        <w:t>based approach</w:t>
      </w:r>
      <w:r w:rsidR="00993ACA">
        <w:rPr>
          <w:rFonts w:asciiTheme="majorHAnsi" w:hAnsiTheme="majorHAnsi" w:cstheme="majorHAnsi"/>
          <w:color w:val="333E48"/>
          <w:shd w:val="clear" w:color="auto" w:fill="FFFFFF"/>
        </w:rPr>
        <w:t xml:space="preserve"> to professional accreditation, and there was strong support to learn more about how this is implemented at TEQSA and the philosophy and principles behind decision making. Having a more thorough understanding and greater confidence in TEQSA’s approach could lead to professional accreditation bodies adopting TEQSA’s risk ratings of providers</w:t>
      </w:r>
      <w:r w:rsidR="007F09EB">
        <w:rPr>
          <w:rFonts w:asciiTheme="majorHAnsi" w:hAnsiTheme="majorHAnsi" w:cstheme="majorHAnsi"/>
          <w:color w:val="333E48"/>
          <w:shd w:val="clear" w:color="auto" w:fill="FFFFFF"/>
        </w:rPr>
        <w:t>,</w:t>
      </w:r>
      <w:r w:rsidR="00993ACA">
        <w:rPr>
          <w:rFonts w:asciiTheme="majorHAnsi" w:hAnsiTheme="majorHAnsi" w:cstheme="majorHAnsi"/>
          <w:color w:val="333E48"/>
          <w:shd w:val="clear" w:color="auto" w:fill="FFFFFF"/>
        </w:rPr>
        <w:t xml:space="preserve"> and reducing the scope of assessment for low risk providers</w:t>
      </w:r>
      <w:r w:rsidR="004A30F0">
        <w:rPr>
          <w:rFonts w:asciiTheme="majorHAnsi" w:hAnsiTheme="majorHAnsi" w:cstheme="majorHAnsi"/>
          <w:color w:val="333E48"/>
          <w:shd w:val="clear" w:color="auto" w:fill="FFFFFF"/>
        </w:rPr>
        <w:t>.</w:t>
      </w:r>
    </w:p>
    <w:p w14:paraId="1C3DC8AB" w14:textId="39E155BE" w:rsidR="002020F0" w:rsidRDefault="00993ACA" w:rsidP="00993ACA">
      <w:pPr>
        <w:rPr>
          <w:rFonts w:asciiTheme="majorHAnsi" w:hAnsiTheme="majorHAnsi" w:cstheme="majorHAnsi"/>
          <w:color w:val="333E48"/>
          <w:shd w:val="clear" w:color="auto" w:fill="FFFFFF"/>
        </w:rPr>
      </w:pPr>
      <w:r>
        <w:rPr>
          <w:rFonts w:asciiTheme="majorHAnsi" w:hAnsiTheme="majorHAnsi" w:cstheme="majorHAnsi"/>
          <w:color w:val="333E48"/>
          <w:shd w:val="clear" w:color="auto" w:fill="FFFFFF"/>
        </w:rPr>
        <w:t>One participant suggested that, for mature and established providers and courses, it was not necessary to assess all elements during every cycle. Instead, efforts could be concentrated on identifying any changes since the last cycle and assessing how these have been</w:t>
      </w:r>
      <w:r w:rsidR="00E82A27">
        <w:rPr>
          <w:rFonts w:asciiTheme="majorHAnsi" w:hAnsiTheme="majorHAnsi" w:cstheme="majorHAnsi"/>
          <w:color w:val="333E48"/>
          <w:shd w:val="clear" w:color="auto" w:fill="FFFFFF"/>
        </w:rPr>
        <w:t xml:space="preserve"> managed and implemented</w:t>
      </w:r>
      <w:r>
        <w:rPr>
          <w:rFonts w:asciiTheme="majorHAnsi" w:hAnsiTheme="majorHAnsi" w:cstheme="majorHAnsi"/>
          <w:color w:val="333E48"/>
          <w:shd w:val="clear" w:color="auto" w:fill="FFFFFF"/>
        </w:rPr>
        <w:t>. It was noted that an ability to adopt this approach m</w:t>
      </w:r>
      <w:r w:rsidR="004A30F0">
        <w:rPr>
          <w:rFonts w:asciiTheme="majorHAnsi" w:hAnsiTheme="majorHAnsi" w:cstheme="majorHAnsi"/>
          <w:color w:val="333E48"/>
          <w:shd w:val="clear" w:color="auto" w:fill="FFFFFF"/>
        </w:rPr>
        <w:t>ight also depend on the maturity</w:t>
      </w:r>
      <w:r>
        <w:rPr>
          <w:rFonts w:asciiTheme="majorHAnsi" w:hAnsiTheme="majorHAnsi" w:cstheme="majorHAnsi"/>
          <w:color w:val="333E48"/>
          <w:shd w:val="clear" w:color="auto" w:fill="FFFFFF"/>
        </w:rPr>
        <w:t xml:space="preserve"> of the professional accreditation body as well as the provider. </w:t>
      </w:r>
    </w:p>
    <w:p w14:paraId="11A306AB" w14:textId="0D2A25C3" w:rsidR="00993ACA" w:rsidRDefault="00993ACA" w:rsidP="00B57A6A">
      <w:pPr>
        <w:rPr>
          <w:rFonts w:asciiTheme="majorHAnsi" w:hAnsiTheme="majorHAnsi" w:cstheme="majorHAnsi"/>
          <w:color w:val="333E48"/>
          <w:shd w:val="clear" w:color="auto" w:fill="FFFFFF"/>
        </w:rPr>
      </w:pPr>
      <w:r>
        <w:rPr>
          <w:rFonts w:asciiTheme="majorHAnsi" w:hAnsiTheme="majorHAnsi" w:cstheme="majorHAnsi"/>
          <w:color w:val="333E48"/>
          <w:shd w:val="clear" w:color="auto" w:fill="FFFFFF"/>
        </w:rPr>
        <w:t xml:space="preserve">Other suggestions included: identifying opportunities for professional accreditation bodies to </w:t>
      </w:r>
      <w:r w:rsidR="007F09EB">
        <w:rPr>
          <w:rFonts w:asciiTheme="majorHAnsi" w:hAnsiTheme="majorHAnsi" w:cstheme="majorHAnsi"/>
          <w:color w:val="333E48"/>
          <w:shd w:val="clear" w:color="auto" w:fill="FFFFFF"/>
        </w:rPr>
        <w:t xml:space="preserve">provide more </w:t>
      </w:r>
      <w:r>
        <w:rPr>
          <w:rFonts w:asciiTheme="majorHAnsi" w:hAnsiTheme="majorHAnsi" w:cstheme="majorHAnsi"/>
          <w:color w:val="333E48"/>
          <w:shd w:val="clear" w:color="auto" w:fill="FFFFFF"/>
        </w:rPr>
        <w:t xml:space="preserve">input into TEQSA risk assessments; exploring further how each organisation defines ‘risk’ to find commonalities; looking at models adopted in other jurisdictions; and </w:t>
      </w:r>
      <w:r w:rsidR="008C6A3D">
        <w:rPr>
          <w:rFonts w:asciiTheme="majorHAnsi" w:hAnsiTheme="majorHAnsi" w:cstheme="majorHAnsi"/>
          <w:color w:val="333E48"/>
          <w:shd w:val="clear" w:color="auto" w:fill="FFFFFF"/>
        </w:rPr>
        <w:t xml:space="preserve">further consideration by TEQSA about </w:t>
      </w:r>
      <w:r w:rsidR="00E82A27">
        <w:rPr>
          <w:rFonts w:asciiTheme="majorHAnsi" w:hAnsiTheme="majorHAnsi" w:cstheme="majorHAnsi"/>
          <w:color w:val="333E48"/>
          <w:shd w:val="clear" w:color="auto" w:fill="FFFFFF"/>
        </w:rPr>
        <w:t xml:space="preserve">implementing </w:t>
      </w:r>
      <w:r w:rsidR="008C6A3D">
        <w:rPr>
          <w:rFonts w:asciiTheme="majorHAnsi" w:hAnsiTheme="majorHAnsi" w:cstheme="majorHAnsi"/>
          <w:color w:val="333E48"/>
          <w:shd w:val="clear" w:color="auto" w:fill="FFFFFF"/>
        </w:rPr>
        <w:t xml:space="preserve">greater transparency of risk thresholds.  </w:t>
      </w:r>
    </w:p>
    <w:p w14:paraId="4A366881" w14:textId="77777777" w:rsidR="00CB31F8" w:rsidRPr="00445F11" w:rsidRDefault="009379AD" w:rsidP="00CB31F8">
      <w:pPr>
        <w:pStyle w:val="Heading2"/>
      </w:pPr>
      <w:r w:rsidRPr="00445F11">
        <w:lastRenderedPageBreak/>
        <w:t>Next Steps</w:t>
      </w:r>
    </w:p>
    <w:p w14:paraId="2453F475" w14:textId="59486808" w:rsidR="00B761E6" w:rsidRPr="00445F11" w:rsidRDefault="001A1AB1" w:rsidP="00B761E6">
      <w:pPr>
        <w:rPr>
          <w:rFonts w:asciiTheme="majorHAnsi" w:hAnsiTheme="majorHAnsi"/>
          <w:color w:val="00A398"/>
        </w:rPr>
      </w:pPr>
      <w:r w:rsidRPr="00445F11">
        <w:rPr>
          <w:rFonts w:asciiTheme="majorHAnsi" w:hAnsiTheme="majorHAnsi"/>
          <w:color w:val="00A398"/>
        </w:rPr>
        <w:t>The following questions, based on the feedback r</w:t>
      </w:r>
      <w:r w:rsidR="00C65B0D" w:rsidRPr="00445F11">
        <w:rPr>
          <w:rFonts w:asciiTheme="majorHAnsi" w:hAnsiTheme="majorHAnsi"/>
          <w:color w:val="00A398"/>
        </w:rPr>
        <w:t xml:space="preserve">eceived from </w:t>
      </w:r>
      <w:r w:rsidR="00445F11" w:rsidRPr="00445F11">
        <w:rPr>
          <w:rFonts w:asciiTheme="majorHAnsi" w:hAnsiTheme="majorHAnsi"/>
          <w:color w:val="00A398"/>
        </w:rPr>
        <w:t xml:space="preserve">this </w:t>
      </w:r>
      <w:r w:rsidR="006E5500">
        <w:rPr>
          <w:rFonts w:asciiTheme="majorHAnsi" w:hAnsiTheme="majorHAnsi"/>
          <w:color w:val="00A398"/>
        </w:rPr>
        <w:t>forum</w:t>
      </w:r>
      <w:r w:rsidR="007F09EB">
        <w:rPr>
          <w:rFonts w:asciiTheme="majorHAnsi" w:hAnsiTheme="majorHAnsi"/>
          <w:color w:val="00A398"/>
        </w:rPr>
        <w:t>,</w:t>
      </w:r>
      <w:r w:rsidR="00445F11" w:rsidRPr="00445F11">
        <w:rPr>
          <w:rFonts w:asciiTheme="majorHAnsi" w:hAnsiTheme="majorHAnsi"/>
          <w:color w:val="00A398"/>
        </w:rPr>
        <w:t xml:space="preserve"> will be </w:t>
      </w:r>
      <w:r w:rsidR="00CD749C">
        <w:rPr>
          <w:rFonts w:asciiTheme="majorHAnsi" w:hAnsiTheme="majorHAnsi"/>
          <w:color w:val="00A398"/>
        </w:rPr>
        <w:t xml:space="preserve">considered </w:t>
      </w:r>
      <w:r w:rsidR="005306FE">
        <w:rPr>
          <w:rFonts w:asciiTheme="majorHAnsi" w:hAnsiTheme="majorHAnsi"/>
          <w:color w:val="00A398"/>
        </w:rPr>
        <w:t xml:space="preserve">as part of TEQSA’s forward planning. </w:t>
      </w:r>
    </w:p>
    <w:p w14:paraId="129BAE2C" w14:textId="5A2FF589" w:rsidR="008C6A3D" w:rsidRDefault="00755C7F" w:rsidP="00BC1C60">
      <w:pPr>
        <w:pStyle w:val="ListParagraph"/>
        <w:numPr>
          <w:ilvl w:val="0"/>
          <w:numId w:val="20"/>
        </w:numPr>
      </w:pPr>
      <w:r>
        <w:t xml:space="preserve">How </w:t>
      </w:r>
      <w:r w:rsidR="008C6A3D">
        <w:t xml:space="preserve">are our </w:t>
      </w:r>
      <w:proofErr w:type="spellStart"/>
      <w:r w:rsidR="008C6A3D">
        <w:t>MoUs</w:t>
      </w:r>
      <w:proofErr w:type="spellEnd"/>
      <w:r w:rsidR="008C6A3D">
        <w:t xml:space="preserve"> currently operating and how can these be improved? Do our </w:t>
      </w:r>
      <w:proofErr w:type="spellStart"/>
      <w:r w:rsidR="008C6A3D">
        <w:t>MoUs</w:t>
      </w:r>
      <w:proofErr w:type="spellEnd"/>
      <w:r w:rsidR="008C6A3D">
        <w:t xml:space="preserve"> need to be reviewed to be more prescriptive and specific about the type of information being shared and a formal process for doing so?</w:t>
      </w:r>
    </w:p>
    <w:p w14:paraId="7E5DAF57" w14:textId="49A6BF78" w:rsidR="00D94D20" w:rsidRDefault="008C6A3D" w:rsidP="00BC1C60">
      <w:pPr>
        <w:pStyle w:val="ListParagraph"/>
        <w:numPr>
          <w:ilvl w:val="0"/>
          <w:numId w:val="20"/>
        </w:numPr>
      </w:pPr>
      <w:r>
        <w:t>What systems can be put in place to enhance relationships and create more of a partnership approach between TEQSA and professional accreditation bodies? How might a broad approach to working with professional accreditation bodies need to be nuanced for specific professional accreditation bodies if there are different requirements to overcome?</w:t>
      </w:r>
      <w:r w:rsidR="00755C7F">
        <w:t xml:space="preserve"> </w:t>
      </w:r>
    </w:p>
    <w:p w14:paraId="1D0C45D9" w14:textId="17453250" w:rsidR="008C6A3D" w:rsidRDefault="008C6A3D" w:rsidP="00BC1C60">
      <w:pPr>
        <w:pStyle w:val="ListParagraph"/>
        <w:numPr>
          <w:ilvl w:val="0"/>
          <w:numId w:val="20"/>
        </w:numPr>
      </w:pPr>
      <w:r>
        <w:t xml:space="preserve">How can TEQSA consider the sharing of external experts with professional accreditation bodies as part of the current Expert Review Project? </w:t>
      </w:r>
    </w:p>
    <w:p w14:paraId="54A7DD16" w14:textId="7E26B6A9" w:rsidR="008C6A3D" w:rsidRDefault="008C6A3D" w:rsidP="00BC1C60">
      <w:pPr>
        <w:pStyle w:val="ListParagraph"/>
        <w:numPr>
          <w:ilvl w:val="0"/>
          <w:numId w:val="20"/>
        </w:numPr>
      </w:pPr>
      <w:r>
        <w:t>What further forums can TEQSA lead to continue the conversations? What training or workshops could be offered to enhance understanding of TEQSA’s risk based approach, quality assurance, information and data collection and analysis, or the Higher Education Standards Framework 2015? Participants agreed to be a sounding board for future consultation about working together, and agreed to help bring other bodies not present at this event, into the conversation. How can TEQSA facilitate greater communication and collaboration in this regard across the sector?</w:t>
      </w:r>
    </w:p>
    <w:p w14:paraId="5EF821C7" w14:textId="16E6D934" w:rsidR="00B4215B" w:rsidRDefault="00B4215B" w:rsidP="00D94D20">
      <w:pPr>
        <w:pStyle w:val="ListParagraph"/>
      </w:pPr>
    </w:p>
    <w:sectPr w:rsidR="00B4215B" w:rsidSect="00C00BFB">
      <w:headerReference w:type="even" r:id="rId14"/>
      <w:headerReference w:type="default" r:id="rId15"/>
      <w:footerReference w:type="even" r:id="rId16"/>
      <w:footerReference w:type="default" r:id="rId17"/>
      <w:headerReference w:type="first" r:id="rId18"/>
      <w:footerReference w:type="first" r:id="rId19"/>
      <w:pgSz w:w="11906" w:h="16838" w:code="9"/>
      <w:pgMar w:top="2127" w:right="1247" w:bottom="993" w:left="192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FEF08" w14:textId="77777777" w:rsidR="007225DC" w:rsidRDefault="007225DC" w:rsidP="008E21DE">
      <w:pPr>
        <w:spacing w:before="0" w:after="0"/>
      </w:pPr>
      <w:r>
        <w:separator/>
      </w:r>
    </w:p>
  </w:endnote>
  <w:endnote w:type="continuationSeparator" w:id="0">
    <w:p w14:paraId="02092552" w14:textId="77777777" w:rsidR="007225DC" w:rsidRDefault="007225DC"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0FAD1" w14:textId="77777777" w:rsidR="00CD749C" w:rsidRDefault="00CD749C">
    <w:pPr>
      <w:pStyle w:val="Footer"/>
    </w:pPr>
    <w:r>
      <w:rPr>
        <w:noProof/>
        <w:lang w:eastAsia="en-AU"/>
      </w:rPr>
      <w:drawing>
        <wp:anchor distT="0" distB="0" distL="114300" distR="114300" simplePos="0" relativeHeight="251657728" behindDoc="0" locked="1" layoutInCell="1" allowOverlap="1" wp14:anchorId="6E6D715F" wp14:editId="77A32F30">
          <wp:simplePos x="0" y="0"/>
          <wp:positionH relativeFrom="page">
            <wp:align>right</wp:align>
          </wp:positionH>
          <wp:positionV relativeFrom="page">
            <wp:align>bottom</wp:align>
          </wp:positionV>
          <wp:extent cx="2507760" cy="111132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EQSA-DkGreen-HR.png"/>
                  <pic:cNvPicPr/>
                </pic:nvPicPr>
                <pic:blipFill rotWithShape="1">
                  <a:blip r:embed="rId1">
                    <a:extLst>
                      <a:ext uri="{28A0092B-C50C-407E-A947-70E740481C1C}">
                        <a14:useLocalDpi xmlns:a14="http://schemas.microsoft.com/office/drawing/2010/main" val="0"/>
                      </a:ext>
                    </a:extLst>
                  </a:blip>
                  <a:srcRect l="1" r="-39508" b="-136574"/>
                  <a:stretch/>
                </pic:blipFill>
                <pic:spPr bwMode="auto">
                  <a:xfrm>
                    <a:off x="0" y="0"/>
                    <a:ext cx="2507760" cy="1111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0076D" w14:textId="77777777" w:rsidR="00CD749C" w:rsidRDefault="00CD749C">
    <w:pPr>
      <w:pStyle w:val="Footer"/>
    </w:pPr>
    <w:r w:rsidRPr="000E6484">
      <w:rPr>
        <w:noProof/>
        <w:lang w:eastAsia="en-AU"/>
      </w:rPr>
      <mc:AlternateContent>
        <mc:Choice Requires="wps">
          <w:drawing>
            <wp:anchor distT="0" distB="0" distL="114300" distR="114300" simplePos="0" relativeHeight="251659776" behindDoc="0" locked="1" layoutInCell="1" allowOverlap="1" wp14:anchorId="4A563102" wp14:editId="67A2FB35">
              <wp:simplePos x="0" y="0"/>
              <wp:positionH relativeFrom="page">
                <wp:align>left</wp:align>
              </wp:positionH>
              <wp:positionV relativeFrom="page">
                <wp:align>bottom</wp:align>
              </wp:positionV>
              <wp:extent cx="1919160" cy="466920"/>
              <wp:effectExtent l="0" t="0" r="5080" b="9525"/>
              <wp:wrapNone/>
              <wp:docPr id="11" name="Text Box 11"/>
              <wp:cNvGraphicFramePr/>
              <a:graphic xmlns:a="http://schemas.openxmlformats.org/drawingml/2006/main">
                <a:graphicData uri="http://schemas.microsoft.com/office/word/2010/wordprocessingShape">
                  <wps:wsp>
                    <wps:cNvSpPr txBox="1"/>
                    <wps:spPr>
                      <a:xfrm>
                        <a:off x="0" y="0"/>
                        <a:ext cx="1919160" cy="466920"/>
                      </a:xfrm>
                      <a:prstGeom prst="rect">
                        <a:avLst/>
                      </a:prstGeom>
                      <a:noFill/>
                      <a:ln w="6350">
                        <a:noFill/>
                      </a:ln>
                    </wps:spPr>
                    <wps:txbx>
                      <w:txbxContent>
                        <w:p w14:paraId="1EA90C18" w14:textId="36DD53C4" w:rsidR="00CD749C" w:rsidRDefault="00CD749C" w:rsidP="000E6484">
                          <w:pPr>
                            <w:pStyle w:val="Footer"/>
                          </w:pPr>
                          <w:r>
                            <w:fldChar w:fldCharType="begin"/>
                          </w:r>
                          <w:r>
                            <w:instrText xml:space="preserve"> PAGE   \* MERGEFORMAT </w:instrText>
                          </w:r>
                          <w:r>
                            <w:fldChar w:fldCharType="separate"/>
                          </w:r>
                          <w:r w:rsidR="00113FD9">
                            <w:rPr>
                              <w:noProof/>
                            </w:rPr>
                            <w:t>4</w:t>
                          </w:r>
                          <w:r>
                            <w:rPr>
                              <w:noProof/>
                            </w:rPr>
                            <w:fldChar w:fldCharType="end"/>
                          </w:r>
                        </w:p>
                      </w:txbxContent>
                    </wps:txbx>
                    <wps:bodyPr rot="0" spcFirstLastPara="0" vertOverflow="overflow" horzOverflow="overflow" vert="horz" wrap="square" lIns="792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63102" id="_x0000_t202" coordsize="21600,21600" o:spt="202" path="m,l,21600r21600,l21600,xe">
              <v:stroke joinstyle="miter"/>
              <v:path gradientshapeok="t" o:connecttype="rect"/>
            </v:shapetype>
            <v:shape id="Text Box 11" o:spid="_x0000_s1026" type="#_x0000_t202" style="position:absolute;margin-left:0;margin-top:0;width:151.1pt;height:36.75pt;z-index:25165977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" filled="f" stroked="f" strokeweight=".5pt">
              <v:textbox inset="22mm,0,0,0">
                <w:txbxContent>
                  <w:p w14:paraId="1EA90C18" w14:textId="36DD53C4" w:rsidR="00CD749C" w:rsidRDefault="00CD749C" w:rsidP="000E6484">
                    <w:pPr>
                      <w:pStyle w:val="Footer"/>
                    </w:pPr>
                    <w:r>
                      <w:fldChar w:fldCharType="begin"/>
                    </w:r>
                    <w:r>
                      <w:instrText xml:space="preserve"> PAGE   \* MERGEFORMAT </w:instrText>
                    </w:r>
                    <w:r>
                      <w:fldChar w:fldCharType="separate"/>
                    </w:r>
                    <w:r w:rsidR="00113FD9">
                      <w:rPr>
                        <w:noProof/>
                      </w:rPr>
                      <w:t>4</w:t>
                    </w:r>
                    <w:r>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DCCF3" w14:textId="233EEACF" w:rsidR="00CD749C" w:rsidRPr="004A30F0" w:rsidRDefault="00CD749C" w:rsidP="00080615">
    <w:pPr>
      <w:pStyle w:val="Footer"/>
    </w:pPr>
    <w:r w:rsidRPr="004A30F0">
      <w:rPr>
        <w:noProof/>
        <w:lang w:eastAsia="en-AU"/>
      </w:rPr>
      <mc:AlternateContent>
        <mc:Choice Requires="wps">
          <w:drawing>
            <wp:anchor distT="0" distB="0" distL="114300" distR="114300" simplePos="0" relativeHeight="251655680" behindDoc="0" locked="1" layoutInCell="1" allowOverlap="1" wp14:anchorId="728C0627" wp14:editId="00D50793">
              <wp:simplePos x="0" y="0"/>
              <wp:positionH relativeFrom="page">
                <wp:align>right</wp:align>
              </wp:positionH>
              <wp:positionV relativeFrom="page">
                <wp:align>bottom</wp:align>
              </wp:positionV>
              <wp:extent cx="1919160" cy="466920"/>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1919160" cy="466920"/>
                      </a:xfrm>
                      <a:prstGeom prst="rect">
                        <a:avLst/>
                      </a:prstGeom>
                      <a:noFill/>
                      <a:ln w="6350">
                        <a:noFill/>
                      </a:ln>
                    </wps:spPr>
                    <wps:txbx>
                      <w:txbxContent>
                        <w:p w14:paraId="331192FB" w14:textId="319955CF" w:rsidR="00CD749C" w:rsidRDefault="00CD749C" w:rsidP="008E21DE">
                          <w:pPr>
                            <w:pStyle w:val="Footer"/>
                            <w:jc w:val="right"/>
                          </w:pPr>
                          <w:r>
                            <w:fldChar w:fldCharType="begin"/>
                          </w:r>
                          <w:r>
                            <w:instrText xml:space="preserve"> PAGE   \* MERGEFORMAT </w:instrText>
                          </w:r>
                          <w:r>
                            <w:fldChar w:fldCharType="separate"/>
                          </w:r>
                          <w:r w:rsidR="00113FD9">
                            <w:rPr>
                              <w:noProof/>
                            </w:rPr>
                            <w:t>5</w:t>
                          </w:r>
                          <w:r>
                            <w:rPr>
                              <w:noProof/>
                            </w:rPr>
                            <w:fldChar w:fldCharType="end"/>
                          </w:r>
                        </w:p>
                      </w:txbxContent>
                    </wps:txbx>
                    <wps:bodyPr rot="0" spcFirstLastPara="0" vertOverflow="overflow" horzOverflow="overflow" vert="horz" wrap="square" lIns="0" tIns="0" rIns="792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8C0627" id="_x0000_t202" coordsize="21600,21600" o:spt="202" path="m,l,21600r21600,l21600,xe">
              <v:stroke joinstyle="miter"/>
              <v:path gradientshapeok="t" o:connecttype="rect"/>
            </v:shapetype>
            <v:shape id="Text Box 5" o:spid="_x0000_s1027" type="#_x0000_t202" style="position:absolute;margin-left:99.9pt;margin-top:0;width:151.1pt;height:36.75pt;z-index:25165568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" filled="f" stroked="f" strokeweight=".5pt">
              <v:textbox inset="0,0,22mm,0">
                <w:txbxContent>
                  <w:p w14:paraId="331192FB" w14:textId="319955CF" w:rsidR="00CD749C" w:rsidRDefault="00CD749C" w:rsidP="008E21DE">
                    <w:pPr>
                      <w:pStyle w:val="Footer"/>
                      <w:jc w:val="right"/>
                    </w:pPr>
                    <w:r>
                      <w:fldChar w:fldCharType="begin"/>
                    </w:r>
                    <w:r>
                      <w:instrText xml:space="preserve"> PAGE   \* MERGEFORMAT </w:instrText>
                    </w:r>
                    <w:r>
                      <w:fldChar w:fldCharType="separate"/>
                    </w:r>
                    <w:r w:rsidR="00113FD9">
                      <w:rPr>
                        <w:noProof/>
                      </w:rPr>
                      <w:t>5</w:t>
                    </w:r>
                    <w:r>
                      <w:rPr>
                        <w:noProof/>
                      </w:rPr>
                      <w:fldChar w:fldCharType="end"/>
                    </w:r>
                  </w:p>
                </w:txbxContent>
              </v:textbox>
              <w10:wrap anchorx="page" anchory="page"/>
              <w10:anchorlock/>
            </v:shape>
          </w:pict>
        </mc:Fallback>
      </mc:AlternateContent>
    </w:r>
    <w:r w:rsidRPr="004A30F0">
      <w:rPr>
        <w:bCs/>
        <w:noProof/>
        <w:lang w:val="en-US"/>
      </w:rPr>
      <w:fldChar w:fldCharType="begin"/>
    </w:r>
    <w:r w:rsidRPr="004A30F0">
      <w:rPr>
        <w:bCs/>
        <w:noProof/>
        <w:lang w:val="en-US"/>
      </w:rPr>
      <w:instrText xml:space="preserve"> STYLEREF  Title  \* MERGEFORMAT </w:instrText>
    </w:r>
    <w:r w:rsidRPr="004A30F0">
      <w:rPr>
        <w:bCs/>
        <w:noProof/>
        <w:lang w:val="en-US"/>
      </w:rPr>
      <w:fldChar w:fldCharType="separate"/>
    </w:r>
    <w:r w:rsidR="00113FD9">
      <w:rPr>
        <w:bCs/>
        <w:noProof/>
        <w:lang w:val="en-US"/>
      </w:rPr>
      <w:t>TEQSA and</w:t>
    </w:r>
    <w:r w:rsidR="00113FD9" w:rsidRPr="00113FD9">
      <w:rPr>
        <w:noProof/>
      </w:rPr>
      <w:t xml:space="preserve"> Professional Accreditation Bodies Forum</w:t>
    </w:r>
    <w:r w:rsidRPr="004A30F0">
      <w:rPr>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DF246" w14:textId="5B3B119F" w:rsidR="00CD749C" w:rsidRPr="00080615" w:rsidRDefault="00CD749C" w:rsidP="00080615">
    <w:pPr>
      <w:pStyle w:val="Footer"/>
    </w:pPr>
    <w:r w:rsidRPr="00080615">
      <w:rPr>
        <w:noProof/>
        <w:lang w:eastAsia="en-AU"/>
      </w:rPr>
      <mc:AlternateContent>
        <mc:Choice Requires="wps">
          <w:drawing>
            <wp:anchor distT="0" distB="0" distL="114300" distR="114300" simplePos="0" relativeHeight="251654656" behindDoc="0" locked="1" layoutInCell="1" allowOverlap="1" wp14:anchorId="07903A31" wp14:editId="43152E96">
              <wp:simplePos x="0" y="0"/>
              <wp:positionH relativeFrom="page">
                <wp:posOffset>6070600</wp:posOffset>
              </wp:positionH>
              <wp:positionV relativeFrom="page">
                <wp:posOffset>10083800</wp:posOffset>
              </wp:positionV>
              <wp:extent cx="1490345" cy="600710"/>
              <wp:effectExtent l="0" t="0" r="0" b="8890"/>
              <wp:wrapNone/>
              <wp:docPr id="4" name="Text Box 4"/>
              <wp:cNvGraphicFramePr/>
              <a:graphic xmlns:a="http://schemas.openxmlformats.org/drawingml/2006/main">
                <a:graphicData uri="http://schemas.microsoft.com/office/word/2010/wordprocessingShape">
                  <wps:wsp>
                    <wps:cNvSpPr txBox="1"/>
                    <wps:spPr>
                      <a:xfrm>
                        <a:off x="0" y="0"/>
                        <a:ext cx="1490345" cy="600710"/>
                      </a:xfrm>
                      <a:prstGeom prst="rect">
                        <a:avLst/>
                      </a:prstGeom>
                      <a:noFill/>
                      <a:ln w="6350">
                        <a:noFill/>
                      </a:ln>
                    </wps:spPr>
                    <wps:txbx>
                      <w:txbxContent>
                        <w:p w14:paraId="7607DE5D" w14:textId="478D21A4" w:rsidR="00CD749C" w:rsidRDefault="00CD749C" w:rsidP="008E21DE">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026CF8">
                            <w:rPr>
                              <w:noProof/>
                            </w:rPr>
                            <w:t>5</w:t>
                          </w:r>
                          <w:r>
                            <w:rPr>
                              <w:noProof/>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07903A31" id="_x0000_t202" coordsize="21600,21600" o:spt="202" path="m,l,21600r21600,l21600,xe">
              <v:stroke joinstyle="miter"/>
              <v:path gradientshapeok="t" o:connecttype="rect"/>
            </v:shapetype>
            <v:shape id="Text Box 4" o:spid="_x0000_s1028" type="#_x0000_t202" style="position:absolute;margin-left:478pt;margin-top:794pt;width:117.35pt;height:47.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" filled="f" stroked="f" strokeweight=".5pt">
              <v:textbox inset="0,0,20mm,0">
                <w:txbxContent>
                  <w:p w14:paraId="7607DE5D" w14:textId="478D21A4" w:rsidR="00CD749C" w:rsidRDefault="00CD749C" w:rsidP="008E21DE">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026CF8">
                      <w:rPr>
                        <w:noProof/>
                      </w:rPr>
                      <w:t>5</w:t>
                    </w:r>
                    <w:r>
                      <w:rPr>
                        <w:noProof/>
                      </w:rPr>
                      <w:fldChar w:fldCharType="end"/>
                    </w:r>
                  </w:p>
                </w:txbxContent>
              </v:textbox>
              <w10:wrap anchorx="page" anchory="page"/>
              <w10:anchorlock/>
            </v:shape>
          </w:pict>
        </mc:Fallback>
      </mc:AlternateContent>
    </w:r>
    <w:r>
      <w:rPr>
        <w:b/>
        <w:bCs/>
        <w:noProof/>
        <w:lang w:val="en-US"/>
      </w:rPr>
      <w:fldChar w:fldCharType="begin"/>
    </w:r>
    <w:r>
      <w:rPr>
        <w:b/>
        <w:bCs/>
        <w:noProof/>
        <w:lang w:val="en-US"/>
      </w:rPr>
      <w:instrText xml:space="preserve"> STYLEREF  Title  \* MERGEFORMAT </w:instrText>
    </w:r>
    <w:r>
      <w:rPr>
        <w:b/>
        <w:bCs/>
        <w:noProof/>
        <w:lang w:val="en-US"/>
      </w:rPr>
      <w:fldChar w:fldCharType="separate"/>
    </w:r>
    <w:r w:rsidR="00026CF8">
      <w:rPr>
        <w:b/>
        <w:bCs/>
        <w:noProof/>
        <w:lang w:val="en-US"/>
      </w:rPr>
      <w:t>TEQSA</w:t>
    </w:r>
    <w:r w:rsidR="00026CF8" w:rsidRPr="00026CF8">
      <w:rPr>
        <w:noProof/>
      </w:rPr>
      <w:t xml:space="preserve"> and Professional Accreditation Bodies Forum</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B052F" w14:textId="77777777" w:rsidR="007225DC" w:rsidRDefault="007225DC" w:rsidP="008E21DE">
      <w:pPr>
        <w:spacing w:before="0" w:after="0"/>
      </w:pPr>
      <w:r>
        <w:separator/>
      </w:r>
    </w:p>
  </w:footnote>
  <w:footnote w:type="continuationSeparator" w:id="0">
    <w:p w14:paraId="03F9EA26" w14:textId="77777777" w:rsidR="007225DC" w:rsidRDefault="007225DC"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FACC7" w14:textId="4E6AC676" w:rsidR="00CD749C" w:rsidRDefault="00CD749C">
    <w:pPr>
      <w:pStyle w:val="Header"/>
    </w:pPr>
    <w:r>
      <w:rPr>
        <w:noProof/>
        <w:lang w:eastAsia="en-AU"/>
      </w:rPr>
      <w:drawing>
        <wp:anchor distT="0" distB="0" distL="114300" distR="114300" simplePos="0" relativeHeight="251658752" behindDoc="0" locked="1" layoutInCell="1" allowOverlap="1" wp14:anchorId="03339590" wp14:editId="6CFD7539">
          <wp:simplePos x="0" y="0"/>
          <wp:positionH relativeFrom="page">
            <wp:align>left</wp:align>
          </wp:positionH>
          <wp:positionV relativeFrom="page">
            <wp:align>top</wp:align>
          </wp:positionV>
          <wp:extent cx="4175640" cy="12578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usGov-TEQSA-DkGreen-HR.png"/>
                  <pic:cNvPicPr/>
                </pic:nvPicPr>
                <pic:blipFill rotWithShape="1">
                  <a:blip r:embed="rId1">
                    <a:extLst>
                      <a:ext uri="{28A0092B-C50C-407E-A947-70E740481C1C}">
                        <a14:useLocalDpi xmlns:a14="http://schemas.microsoft.com/office/drawing/2010/main" val="0"/>
                      </a:ext>
                    </a:extLst>
                  </a:blip>
                  <a:srcRect l="-20969" t="-135554" b="-1"/>
                  <a:stretch/>
                </pic:blipFill>
                <pic:spPr bwMode="auto">
                  <a:xfrm>
                    <a:off x="0" y="0"/>
                    <a:ext cx="4175640" cy="1257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6704" behindDoc="1" locked="1" layoutInCell="1" allowOverlap="1" wp14:anchorId="52870997" wp14:editId="2187B668">
              <wp:simplePos x="0" y="0"/>
              <wp:positionH relativeFrom="page">
                <wp:align>right</wp:align>
              </wp:positionH>
              <wp:positionV relativeFrom="page">
                <wp:align>bottom</wp:align>
              </wp:positionV>
              <wp:extent cx="7308720" cy="7296840"/>
              <wp:effectExtent l="0" t="0" r="6985" b="0"/>
              <wp:wrapNone/>
              <wp:docPr id="8" name="Group 8"/>
              <wp:cNvGraphicFramePr/>
              <a:graphic xmlns:a="http://schemas.openxmlformats.org/drawingml/2006/main">
                <a:graphicData uri="http://schemas.microsoft.com/office/word/2010/wordprocessingGroup">
                  <wpg:wgp>
                    <wpg:cNvGrpSpPr/>
                    <wpg:grpSpPr>
                      <a:xfrm>
                        <a:off x="0" y="0"/>
                        <a:ext cx="7308720" cy="7296840"/>
                        <a:chOff x="0" y="0"/>
                        <a:chExt cx="7309640" cy="7296940"/>
                      </a:xfrm>
                    </wpg:grpSpPr>
                    <wps:wsp>
                      <wps:cNvPr id="7" name="Right Triangle 7"/>
                      <wps:cNvSpPr/>
                      <wps:spPr>
                        <a:xfrm rot="16200000">
                          <a:off x="254000" y="241300"/>
                          <a:ext cx="7055640" cy="7055640"/>
                        </a:xfrm>
                        <a:prstGeom prst="r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ight Triangle 6"/>
                      <wps:cNvSpPr/>
                      <wps:spPr>
                        <a:xfrm rot="16200000">
                          <a:off x="0" y="0"/>
                          <a:ext cx="7055640" cy="7055640"/>
                        </a:xfrm>
                        <a:prstGeom prst="rtTriangle">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1="http://schemas.microsoft.com/office/drawing/2015/9/8/chartex">
          <w:pict>
            <v:group w14:anchorId="6C171DDA" id="Group 8" o:spid="_x0000_s1026" style="position:absolute;margin-left:524.3pt;margin-top:0;width:575.5pt;height:574.55pt;z-index:-251659776;mso-position-horizontal:right;mso-position-horizontal-relative:page;mso-position-vertical:bottom;mso-position-vertical-relative:page;mso-width-relative:margin;mso-height-relative:margin" coordsize="73096,72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">
              <v:shapetype id="_x0000_t6" coordsize="21600,21600" o:spt="6" path="m,l,21600r21600,xe">
                <v:stroke joinstyle="miter"/>
                <v:path gradientshapeok="t" o:connecttype="custom" o:connectlocs="0,0;0,10800;0,21600;10800,21600;21600,21600;10800,10800" textboxrect="1800,12600,12600,19800"/>
              </v:shapetype>
              <v:shape id="Right Triangle 7" o:spid="_x0000_s1027" type="#_x0000_t6" style="position:absolute;left:2540;top:2413;width:70556;height:705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" fillcolor="white [3212]" stroked="f" strokeweight="1pt"/>
              <v:shape id="Right Triangle 6" o:spid="_x0000_s1028" type="#_x0000_t6" style="position:absolute;width:70556;height:7055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" fillcolor="#d9f0f1 [1304]" stroked="f" strokeweight="1pt"/>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D467A" w14:textId="77777777" w:rsidR="00CD749C" w:rsidRDefault="00CD749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04ED9" w14:textId="77777777" w:rsidR="00CD749C" w:rsidRPr="000E6484" w:rsidRDefault="00CD749C" w:rsidP="000E648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66CB1" w14:textId="77777777" w:rsidR="00CD749C" w:rsidRPr="00080615" w:rsidRDefault="00CD749C" w:rsidP="00080615">
    <w:pPr>
      <w:pStyle w:val="Header"/>
    </w:pPr>
    <w:r w:rsidRPr="00080615">
      <w:t>Client Name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3pt" o:bullet="t">
        <v:imagedata r:id="rId1" o:title="Teal-Triangles"/>
      </v:shape>
    </w:pict>
  </w:numPicBullet>
  <w:numPicBullet w:numPicBulletId="1">
    <w:pict>
      <v:shape id="_x0000_i1027" type="#_x0000_t75" style="width:1in;height:36.3pt" o:bullet="t">
        <v:imagedata r:id="rId2" o:title="Pink-Triangles"/>
      </v:shape>
    </w:pict>
  </w:numPicBullet>
  <w:numPicBullet w:numPicBulletId="2">
    <w:pict>
      <v:shape id="_x0000_i1028" type="#_x0000_t75" style="width:1in;height:36.3pt" o:bullet="t">
        <v:imagedata r:id="rId3" o:title="Yellow-Triangles"/>
      </v:shape>
    </w:pict>
  </w:numPicBullet>
  <w:abstractNum w:abstractNumId="0" w15:restartNumberingAfterBreak="0">
    <w:nsid w:val="077954BA"/>
    <w:multiLevelType w:val="hybridMultilevel"/>
    <w:tmpl w:val="679C61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003B45" w:themeColor="text2"/>
      </w:rPr>
    </w:lvl>
    <w:lvl w:ilvl="2">
      <w:start w:val="1"/>
      <w:numFmt w:val="bullet"/>
      <w:lvlText w:val="»"/>
      <w:lvlJc w:val="left"/>
      <w:pPr>
        <w:ind w:left="852" w:hanging="284"/>
      </w:pPr>
      <w:rPr>
        <w:rFonts w:ascii="Arial" w:hAnsi="Arial" w:hint="default"/>
        <w:color w:val="003B45"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CC862E1"/>
    <w:multiLevelType w:val="multilevel"/>
    <w:tmpl w:val="B29223F6"/>
    <w:styleLink w:val="FigureNumbers"/>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C92EA3"/>
    <w:multiLevelType w:val="hybridMultilevel"/>
    <w:tmpl w:val="A72E0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1761EE"/>
    <w:multiLevelType w:val="multilevel"/>
    <w:tmpl w:val="131EEC6C"/>
    <w:numStyleLink w:val="TableNumbers"/>
  </w:abstractNum>
  <w:abstractNum w:abstractNumId="9" w15:restartNumberingAfterBreak="0">
    <w:nsid w:val="335A332E"/>
    <w:multiLevelType w:val="multilevel"/>
    <w:tmpl w:val="EDDCBB3C"/>
    <w:numStyleLink w:val="DefaultBullets"/>
  </w:abstractNum>
  <w:abstractNum w:abstractNumId="10"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15:restartNumberingAfterBreak="0">
    <w:nsid w:val="51393919"/>
    <w:multiLevelType w:val="hybridMultilevel"/>
    <w:tmpl w:val="F8B287CA"/>
    <w:lvl w:ilvl="0" w:tplc="2E6C307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5249AF"/>
    <w:multiLevelType w:val="multilevel"/>
    <w:tmpl w:val="CC9AB0EE"/>
    <w:styleLink w:val="AppendixNumbers"/>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6DB5F4C"/>
    <w:multiLevelType w:val="multilevel"/>
    <w:tmpl w:val="BA4CA9E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8615703"/>
    <w:multiLevelType w:val="multilevel"/>
    <w:tmpl w:val="803CF862"/>
    <w:numStyleLink w:val="List1Numbered"/>
  </w:abstractNum>
  <w:abstractNum w:abstractNumId="16"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BF51665"/>
    <w:multiLevelType w:val="multilevel"/>
    <w:tmpl w:val="BA4CA9E6"/>
    <w:numStyleLink w:val="NumberedHeadings"/>
  </w:abstractNum>
  <w:abstractNum w:abstractNumId="18" w15:restartNumberingAfterBreak="0">
    <w:nsid w:val="5C283B55"/>
    <w:multiLevelType w:val="multilevel"/>
    <w:tmpl w:val="B29223F6"/>
    <w:numStyleLink w:val="FigureNumbers"/>
  </w:abstractNum>
  <w:abstractNum w:abstractNumId="19" w15:restartNumberingAfterBreak="0">
    <w:nsid w:val="651223CE"/>
    <w:multiLevelType w:val="hybridMultilevel"/>
    <w:tmpl w:val="513AA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8A4D83"/>
    <w:multiLevelType w:val="multilevel"/>
    <w:tmpl w:val="EDDCBB3C"/>
    <w:styleLink w:val="DefaultBullets"/>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5A50E8F"/>
    <w:multiLevelType w:val="hybridMultilevel"/>
    <w:tmpl w:val="CA7E00E6"/>
    <w:lvl w:ilvl="0" w:tplc="C35659AE">
      <w:start w:val="1"/>
      <w:numFmt w:val="bullet"/>
      <w:lvlText w:val=""/>
      <w:lvlJc w:val="left"/>
      <w:pPr>
        <w:ind w:left="1440" w:hanging="360"/>
      </w:pPr>
      <w:rPr>
        <w:rFonts w:ascii="Symbol" w:hAnsi="Symbol" w:hint="default"/>
        <w:color w:val="00847E" w:themeColor="accent1"/>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90B67C4"/>
    <w:multiLevelType w:val="multilevel"/>
    <w:tmpl w:val="FE688822"/>
    <w:numStyleLink w:val="BoxedBullets"/>
  </w:abstractNum>
  <w:abstractNum w:abstractNumId="23" w15:restartNumberingAfterBreak="0">
    <w:nsid w:val="7EE44065"/>
    <w:multiLevelType w:val="multilevel"/>
    <w:tmpl w:val="CC9AB0EE"/>
    <w:numStyleLink w:val="AppendixNumbers"/>
  </w:abstractNum>
  <w:num w:numId="1">
    <w:abstractNumId w:val="1"/>
  </w:num>
  <w:num w:numId="2">
    <w:abstractNumId w:val="23"/>
  </w:num>
  <w:num w:numId="3">
    <w:abstractNumId w:val="13"/>
  </w:num>
  <w:num w:numId="4">
    <w:abstractNumId w:val="22"/>
  </w:num>
  <w:num w:numId="5">
    <w:abstractNumId w:val="11"/>
  </w:num>
  <w:num w:numId="6">
    <w:abstractNumId w:val="3"/>
  </w:num>
  <w:num w:numId="7">
    <w:abstractNumId w:val="17"/>
  </w:num>
  <w:num w:numId="8">
    <w:abstractNumId w:val="2"/>
  </w:num>
  <w:num w:numId="9">
    <w:abstractNumId w:val="15"/>
  </w:num>
  <w:num w:numId="10">
    <w:abstractNumId w:val="14"/>
  </w:num>
  <w:num w:numId="11">
    <w:abstractNumId w:val="7"/>
  </w:num>
  <w:num w:numId="12">
    <w:abstractNumId w:val="4"/>
  </w:num>
  <w:num w:numId="13">
    <w:abstractNumId w:val="20"/>
  </w:num>
  <w:num w:numId="14">
    <w:abstractNumId w:val="9"/>
  </w:num>
  <w:num w:numId="15">
    <w:abstractNumId w:val="6"/>
  </w:num>
  <w:num w:numId="16">
    <w:abstractNumId w:val="16"/>
  </w:num>
  <w:num w:numId="17">
    <w:abstractNumId w:val="10"/>
  </w:num>
  <w:num w:numId="18">
    <w:abstractNumId w:val="18"/>
  </w:num>
  <w:num w:numId="19">
    <w:abstractNumId w:val="8"/>
  </w:num>
  <w:num w:numId="20">
    <w:abstractNumId w:val="19"/>
  </w:num>
  <w:num w:numId="21">
    <w:abstractNumId w:val="5"/>
  </w:num>
  <w:num w:numId="22">
    <w:abstractNumId w:val="0"/>
  </w:num>
  <w:num w:numId="23">
    <w:abstractNumId w:val="12"/>
  </w:num>
  <w:num w:numId="24">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35C"/>
    <w:rsid w:val="00026CF8"/>
    <w:rsid w:val="000433F7"/>
    <w:rsid w:val="000562B6"/>
    <w:rsid w:val="00067521"/>
    <w:rsid w:val="0007582F"/>
    <w:rsid w:val="00077BF1"/>
    <w:rsid w:val="00080615"/>
    <w:rsid w:val="000835DF"/>
    <w:rsid w:val="000A62E5"/>
    <w:rsid w:val="000B211F"/>
    <w:rsid w:val="000D43E2"/>
    <w:rsid w:val="000D6D23"/>
    <w:rsid w:val="000E5B59"/>
    <w:rsid w:val="000E6484"/>
    <w:rsid w:val="000E6C9D"/>
    <w:rsid w:val="001128FD"/>
    <w:rsid w:val="00113FD9"/>
    <w:rsid w:val="00117AC9"/>
    <w:rsid w:val="00120B4D"/>
    <w:rsid w:val="00131CDE"/>
    <w:rsid w:val="0014112B"/>
    <w:rsid w:val="0014277F"/>
    <w:rsid w:val="001521AD"/>
    <w:rsid w:val="00154FA9"/>
    <w:rsid w:val="001632AD"/>
    <w:rsid w:val="00180C26"/>
    <w:rsid w:val="00187575"/>
    <w:rsid w:val="001A1AB1"/>
    <w:rsid w:val="001A1DB7"/>
    <w:rsid w:val="001C7017"/>
    <w:rsid w:val="001D1FC9"/>
    <w:rsid w:val="001E2D08"/>
    <w:rsid w:val="001F39FB"/>
    <w:rsid w:val="002020F0"/>
    <w:rsid w:val="00206DFE"/>
    <w:rsid w:val="00211C07"/>
    <w:rsid w:val="002215C1"/>
    <w:rsid w:val="002234F3"/>
    <w:rsid w:val="00230AF2"/>
    <w:rsid w:val="00230FC2"/>
    <w:rsid w:val="002344BA"/>
    <w:rsid w:val="002404D5"/>
    <w:rsid w:val="00254FC8"/>
    <w:rsid w:val="0025543B"/>
    <w:rsid w:val="00272B6F"/>
    <w:rsid w:val="002804D3"/>
    <w:rsid w:val="002A539D"/>
    <w:rsid w:val="002B7DCA"/>
    <w:rsid w:val="002C5B3C"/>
    <w:rsid w:val="002D0A24"/>
    <w:rsid w:val="002F104E"/>
    <w:rsid w:val="00315DF5"/>
    <w:rsid w:val="00320E7E"/>
    <w:rsid w:val="003314FC"/>
    <w:rsid w:val="00355F76"/>
    <w:rsid w:val="0037639D"/>
    <w:rsid w:val="00380E21"/>
    <w:rsid w:val="003819CA"/>
    <w:rsid w:val="00382262"/>
    <w:rsid w:val="00384D31"/>
    <w:rsid w:val="003917CF"/>
    <w:rsid w:val="003F4753"/>
    <w:rsid w:val="003F6CF7"/>
    <w:rsid w:val="00400926"/>
    <w:rsid w:val="00401244"/>
    <w:rsid w:val="004154E2"/>
    <w:rsid w:val="00426023"/>
    <w:rsid w:val="00445F11"/>
    <w:rsid w:val="0045772E"/>
    <w:rsid w:val="00465A86"/>
    <w:rsid w:val="00467B8C"/>
    <w:rsid w:val="004767BB"/>
    <w:rsid w:val="004A30F0"/>
    <w:rsid w:val="004C7E4E"/>
    <w:rsid w:val="004D20D3"/>
    <w:rsid w:val="004D23C8"/>
    <w:rsid w:val="004E0395"/>
    <w:rsid w:val="004E36C3"/>
    <w:rsid w:val="004E3A37"/>
    <w:rsid w:val="004F3F27"/>
    <w:rsid w:val="00507FB1"/>
    <w:rsid w:val="0051357B"/>
    <w:rsid w:val="00520857"/>
    <w:rsid w:val="005306FE"/>
    <w:rsid w:val="00534D53"/>
    <w:rsid w:val="00557133"/>
    <w:rsid w:val="00563CA3"/>
    <w:rsid w:val="00577F5F"/>
    <w:rsid w:val="005E1864"/>
    <w:rsid w:val="005F16C4"/>
    <w:rsid w:val="005F1AD4"/>
    <w:rsid w:val="0060227A"/>
    <w:rsid w:val="00607B3B"/>
    <w:rsid w:val="006118C0"/>
    <w:rsid w:val="00613871"/>
    <w:rsid w:val="006349D9"/>
    <w:rsid w:val="006411DF"/>
    <w:rsid w:val="00641661"/>
    <w:rsid w:val="006441E8"/>
    <w:rsid w:val="00664BAD"/>
    <w:rsid w:val="00687428"/>
    <w:rsid w:val="00687647"/>
    <w:rsid w:val="00687E64"/>
    <w:rsid w:val="006A30EE"/>
    <w:rsid w:val="006B7CAF"/>
    <w:rsid w:val="006C6F6C"/>
    <w:rsid w:val="006D7FE0"/>
    <w:rsid w:val="006E5500"/>
    <w:rsid w:val="00703321"/>
    <w:rsid w:val="007225DC"/>
    <w:rsid w:val="00727733"/>
    <w:rsid w:val="007311DF"/>
    <w:rsid w:val="00755C7F"/>
    <w:rsid w:val="00756AE3"/>
    <w:rsid w:val="00763531"/>
    <w:rsid w:val="00797590"/>
    <w:rsid w:val="007C320A"/>
    <w:rsid w:val="007D2F52"/>
    <w:rsid w:val="007D5419"/>
    <w:rsid w:val="007E43D0"/>
    <w:rsid w:val="007F09EB"/>
    <w:rsid w:val="007F369B"/>
    <w:rsid w:val="007F3F2B"/>
    <w:rsid w:val="00823EDF"/>
    <w:rsid w:val="008371D5"/>
    <w:rsid w:val="00846487"/>
    <w:rsid w:val="008621B5"/>
    <w:rsid w:val="00880543"/>
    <w:rsid w:val="00884335"/>
    <w:rsid w:val="008869EB"/>
    <w:rsid w:val="00887B12"/>
    <w:rsid w:val="008A2754"/>
    <w:rsid w:val="008B0C6C"/>
    <w:rsid w:val="008B2036"/>
    <w:rsid w:val="008B2E08"/>
    <w:rsid w:val="008B4BEB"/>
    <w:rsid w:val="008C1DA5"/>
    <w:rsid w:val="008C6A3D"/>
    <w:rsid w:val="008D2F07"/>
    <w:rsid w:val="008D673C"/>
    <w:rsid w:val="008E21DE"/>
    <w:rsid w:val="008E6967"/>
    <w:rsid w:val="008F17EC"/>
    <w:rsid w:val="008F5D91"/>
    <w:rsid w:val="009129E1"/>
    <w:rsid w:val="0091492E"/>
    <w:rsid w:val="00920968"/>
    <w:rsid w:val="00924CC5"/>
    <w:rsid w:val="009254DE"/>
    <w:rsid w:val="0093202D"/>
    <w:rsid w:val="009379AD"/>
    <w:rsid w:val="0096035C"/>
    <w:rsid w:val="009615EF"/>
    <w:rsid w:val="00961ED7"/>
    <w:rsid w:val="00970043"/>
    <w:rsid w:val="00993ACA"/>
    <w:rsid w:val="009A236C"/>
    <w:rsid w:val="009A57B3"/>
    <w:rsid w:val="009E1D2B"/>
    <w:rsid w:val="009E51C7"/>
    <w:rsid w:val="00A01A17"/>
    <w:rsid w:val="00A07E4A"/>
    <w:rsid w:val="00A72ED9"/>
    <w:rsid w:val="00A74B34"/>
    <w:rsid w:val="00A75C80"/>
    <w:rsid w:val="00A77C6E"/>
    <w:rsid w:val="00A93723"/>
    <w:rsid w:val="00AA0874"/>
    <w:rsid w:val="00AB12D5"/>
    <w:rsid w:val="00AE1A0E"/>
    <w:rsid w:val="00AF0899"/>
    <w:rsid w:val="00B00691"/>
    <w:rsid w:val="00B03B4D"/>
    <w:rsid w:val="00B3255F"/>
    <w:rsid w:val="00B4215B"/>
    <w:rsid w:val="00B57A6A"/>
    <w:rsid w:val="00B603C0"/>
    <w:rsid w:val="00B75365"/>
    <w:rsid w:val="00B761E6"/>
    <w:rsid w:val="00B76A2B"/>
    <w:rsid w:val="00B776AB"/>
    <w:rsid w:val="00B8538F"/>
    <w:rsid w:val="00B86C73"/>
    <w:rsid w:val="00BC1C60"/>
    <w:rsid w:val="00BD62F8"/>
    <w:rsid w:val="00BE53E8"/>
    <w:rsid w:val="00C00BFB"/>
    <w:rsid w:val="00C0421C"/>
    <w:rsid w:val="00C4003F"/>
    <w:rsid w:val="00C52457"/>
    <w:rsid w:val="00C65B0D"/>
    <w:rsid w:val="00C7165D"/>
    <w:rsid w:val="00C812F5"/>
    <w:rsid w:val="00C86092"/>
    <w:rsid w:val="00C90CF3"/>
    <w:rsid w:val="00CB31F8"/>
    <w:rsid w:val="00CB45C0"/>
    <w:rsid w:val="00CC7C6D"/>
    <w:rsid w:val="00CD749C"/>
    <w:rsid w:val="00D17D1F"/>
    <w:rsid w:val="00D37A26"/>
    <w:rsid w:val="00D42A66"/>
    <w:rsid w:val="00D54D9B"/>
    <w:rsid w:val="00D557DB"/>
    <w:rsid w:val="00D57755"/>
    <w:rsid w:val="00D615E9"/>
    <w:rsid w:val="00D902B2"/>
    <w:rsid w:val="00D903EB"/>
    <w:rsid w:val="00D94D20"/>
    <w:rsid w:val="00DC222F"/>
    <w:rsid w:val="00DC41B7"/>
    <w:rsid w:val="00DE724C"/>
    <w:rsid w:val="00DE7EF9"/>
    <w:rsid w:val="00DF74BA"/>
    <w:rsid w:val="00E05311"/>
    <w:rsid w:val="00E21959"/>
    <w:rsid w:val="00E27B6E"/>
    <w:rsid w:val="00E34698"/>
    <w:rsid w:val="00E55E00"/>
    <w:rsid w:val="00E8151E"/>
    <w:rsid w:val="00E82A27"/>
    <w:rsid w:val="00E91596"/>
    <w:rsid w:val="00E92368"/>
    <w:rsid w:val="00E93CD0"/>
    <w:rsid w:val="00EB7F3A"/>
    <w:rsid w:val="00F22581"/>
    <w:rsid w:val="00F31FAB"/>
    <w:rsid w:val="00F703DF"/>
    <w:rsid w:val="00F82742"/>
    <w:rsid w:val="00F9318C"/>
    <w:rsid w:val="00F96A6D"/>
    <w:rsid w:val="00FB03DD"/>
    <w:rsid w:val="00FB3D43"/>
    <w:rsid w:val="00FC5740"/>
    <w:rsid w:val="00FD3051"/>
    <w:rsid w:val="00FE01EA"/>
    <w:rsid w:val="00FF4668"/>
    <w:rsid w:val="00FF5A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DEA97"/>
  <w15:docId w15:val="{D8752C88-6471-431F-B7D6-76127500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967"/>
  </w:style>
  <w:style w:type="paragraph" w:styleId="Heading1">
    <w:name w:val="heading 1"/>
    <w:basedOn w:val="Normal"/>
    <w:next w:val="Normal"/>
    <w:link w:val="Heading1Char"/>
    <w:uiPriority w:val="9"/>
    <w:qFormat/>
    <w:rsid w:val="00880543"/>
    <w:pPr>
      <w:keepNext/>
      <w:keepLines/>
      <w:pageBreakBefore/>
      <w:spacing w:before="0" w:after="1800" w:line="540" w:lineRule="atLeast"/>
      <w:outlineLvl w:val="0"/>
    </w:pPr>
    <w:rPr>
      <w:rFonts w:asciiTheme="majorHAnsi" w:eastAsiaTheme="majorEastAsia" w:hAnsiTheme="majorHAnsi" w:cstheme="majorBidi"/>
      <w:b/>
      <w:color w:val="00A398"/>
      <w:sz w:val="48"/>
      <w:szCs w:val="32"/>
    </w:rPr>
  </w:style>
  <w:style w:type="paragraph" w:styleId="Heading2">
    <w:name w:val="heading 2"/>
    <w:basedOn w:val="Normal"/>
    <w:next w:val="Normal"/>
    <w:link w:val="Heading2Char"/>
    <w:uiPriority w:val="9"/>
    <w:qFormat/>
    <w:rsid w:val="00880543"/>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880543"/>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07FB1"/>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DF74BA"/>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AF0899"/>
    <w:pPr>
      <w:tabs>
        <w:tab w:val="center" w:pos="4513"/>
        <w:tab w:val="right" w:pos="9026"/>
      </w:tabs>
      <w:spacing w:before="0" w:after="0"/>
    </w:pPr>
    <w:rPr>
      <w:rFonts w:asciiTheme="majorHAnsi" w:hAnsiTheme="majorHAnsi"/>
      <w:sz w:val="16"/>
    </w:rPr>
  </w:style>
  <w:style w:type="character" w:customStyle="1" w:styleId="FooterChar">
    <w:name w:val="Footer Char"/>
    <w:basedOn w:val="DefaultParagraphFont"/>
    <w:link w:val="Footer"/>
    <w:uiPriority w:val="99"/>
    <w:rsid w:val="00AF0899"/>
    <w:rPr>
      <w:rFonts w:asciiTheme="majorHAnsi" w:hAnsiTheme="majorHAnsi"/>
      <w:color w:val="000000" w:themeColor="text1"/>
      <w:sz w:val="16"/>
      <w:szCs w:val="20"/>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880543"/>
    <w:rPr>
      <w:rFonts w:asciiTheme="majorHAnsi" w:eastAsiaTheme="majorEastAsia" w:hAnsiTheme="majorHAnsi" w:cstheme="majorBidi"/>
      <w:color w:val="00A398"/>
      <w:sz w:val="44"/>
      <w:szCs w:val="26"/>
    </w:rPr>
  </w:style>
  <w:style w:type="paragraph" w:customStyle="1" w:styleId="AppendixNumbered">
    <w:name w:val="Appendix Numbered"/>
    <w:basedOn w:val="Heading2"/>
    <w:uiPriority w:val="11"/>
    <w:qFormat/>
    <w:rsid w:val="008E6967"/>
    <w:pPr>
      <w:pageBreakBefore/>
      <w:numPr>
        <w:numId w:val="2"/>
      </w:numPr>
    </w:pPr>
    <w:rPr>
      <w:b/>
    </w:rPr>
  </w:style>
  <w:style w:type="numbering" w:customStyle="1" w:styleId="AppendixNumbers">
    <w:name w:val="Appendix Numbers"/>
    <w:uiPriority w:val="99"/>
    <w:rsid w:val="00400926"/>
    <w:pPr>
      <w:numPr>
        <w:numId w:val="3"/>
      </w:numPr>
    </w:pPr>
  </w:style>
  <w:style w:type="paragraph" w:customStyle="1" w:styleId="Boxed1Text">
    <w:name w:val="Boxed 1 Text"/>
    <w:basedOn w:val="Normal"/>
    <w:uiPriority w:val="29"/>
    <w:qFormat/>
    <w:rsid w:val="00AF0899"/>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rPr>
  </w:style>
  <w:style w:type="paragraph" w:customStyle="1" w:styleId="Boxed2Text">
    <w:name w:val="Boxed 2 Text"/>
    <w:basedOn w:val="Boxed1Text"/>
    <w:uiPriority w:val="31"/>
    <w:qFormat/>
    <w:rsid w:val="00AF0899"/>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rPr>
  </w:style>
  <w:style w:type="numbering" w:customStyle="1" w:styleId="BoxedBullets">
    <w:name w:val="Boxed Bullets"/>
    <w:uiPriority w:val="99"/>
    <w:rsid w:val="00AF0899"/>
    <w:pPr>
      <w:numPr>
        <w:numId w:val="5"/>
      </w:numPr>
    </w:pPr>
  </w:style>
  <w:style w:type="paragraph" w:customStyle="1" w:styleId="Bullet1">
    <w:name w:val="Bullet 1"/>
    <w:basedOn w:val="Normal"/>
    <w:uiPriority w:val="2"/>
    <w:qFormat/>
    <w:rsid w:val="00507FB1"/>
    <w:pPr>
      <w:numPr>
        <w:numId w:val="14"/>
      </w:numPr>
    </w:pPr>
  </w:style>
  <w:style w:type="paragraph" w:customStyle="1" w:styleId="Bullet2">
    <w:name w:val="Bullet 2"/>
    <w:basedOn w:val="Normal"/>
    <w:uiPriority w:val="2"/>
    <w:qFormat/>
    <w:rsid w:val="00507FB1"/>
    <w:pPr>
      <w:numPr>
        <w:ilvl w:val="1"/>
        <w:numId w:val="14"/>
      </w:numPr>
    </w:pPr>
  </w:style>
  <w:style w:type="paragraph" w:customStyle="1" w:styleId="Bullet3">
    <w:name w:val="Bullet 3"/>
    <w:basedOn w:val="Normal"/>
    <w:uiPriority w:val="2"/>
    <w:qFormat/>
    <w:rsid w:val="00507FB1"/>
    <w:pPr>
      <w:numPr>
        <w:ilvl w:val="2"/>
        <w:numId w:val="14"/>
      </w:numPr>
    </w:pPr>
  </w:style>
  <w:style w:type="paragraph" w:styleId="Caption">
    <w:name w:val="caption"/>
    <w:basedOn w:val="Normal"/>
    <w:next w:val="Normal"/>
    <w:uiPriority w:val="19"/>
    <w:qFormat/>
    <w:rsid w:val="003917CF"/>
    <w:pPr>
      <w:spacing w:before="180" w:after="480" w:line="200" w:lineRule="atLeast"/>
      <w:ind w:right="2268"/>
    </w:pPr>
    <w:rPr>
      <w:rFonts w:asciiTheme="majorHAnsi" w:hAnsiTheme="majorHAnsi"/>
      <w:iCs/>
      <w:color w:val="00847E" w:themeColor="accent1"/>
      <w:sz w:val="16"/>
      <w:szCs w:val="18"/>
    </w:rPr>
  </w:style>
  <w:style w:type="table" w:customStyle="1" w:styleId="GridTable5Dark-Accent11">
    <w:name w:val="Grid Table 5 Dark - Accent 1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FF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47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47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7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47E" w:themeFill="accent1"/>
      </w:tcPr>
    </w:tblStylePr>
    <w:tblStylePr w:type="band1Vert">
      <w:tblPr/>
      <w:tcPr>
        <w:shd w:val="clear" w:color="auto" w:fill="67FFF7" w:themeFill="accent1" w:themeFillTint="66"/>
      </w:tcPr>
    </w:tblStylePr>
    <w:tblStylePr w:type="band1Horz">
      <w:tblPr/>
      <w:tcPr>
        <w:shd w:val="clear" w:color="auto" w:fill="67FFF7" w:themeFill="accent1" w:themeFillTint="66"/>
      </w:tcPr>
    </w:tblStylePr>
  </w:style>
  <w:style w:type="table" w:customStyle="1" w:styleId="DefaultTable1">
    <w:name w:val="Default Table 1"/>
    <w:basedOn w:val="GridTable5Dark-Accent1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00847E"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47E"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B3FFFB" w:themeFill="accent1" w:themeFillTint="33"/>
      </w:tcPr>
    </w:tblStylePr>
    <w:tblStylePr w:type="band2Vert">
      <w:tblPr/>
      <w:tcPr>
        <w:shd w:val="clear" w:color="auto" w:fill="67FFF7" w:themeFill="accent1" w:themeFillTint="66"/>
      </w:tcPr>
    </w:tblStylePr>
    <w:tblStylePr w:type="band1Horz">
      <w:tblPr/>
      <w:tcPr>
        <w:shd w:val="clear" w:color="auto" w:fill="B3FFFB" w:themeFill="accent1" w:themeFillTint="33"/>
      </w:tcPr>
    </w:tblStylePr>
    <w:tblStylePr w:type="band2Horz">
      <w:tblPr/>
      <w:tcPr>
        <w:shd w:val="clear" w:color="auto" w:fill="67FFF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8E6967"/>
    <w:pPr>
      <w:numPr>
        <w:numId w:val="6"/>
      </w:numPr>
    </w:pPr>
  </w:style>
  <w:style w:type="paragraph" w:customStyle="1" w:styleId="FigureTitle">
    <w:name w:val="Figure Title"/>
    <w:basedOn w:val="Normal"/>
    <w:uiPriority w:val="12"/>
    <w:qFormat/>
    <w:rsid w:val="008E6967"/>
    <w:pPr>
      <w:keepNext/>
      <w:numPr>
        <w:numId w:val="18"/>
      </w:numPr>
      <w:spacing w:before="240"/>
    </w:pPr>
    <w:rPr>
      <w:rFonts w:asciiTheme="majorHAnsi" w:hAnsiTheme="majorHAnsi"/>
      <w:color w:val="00847E" w:themeColor="accent1"/>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880543"/>
    <w:rPr>
      <w:rFonts w:asciiTheme="majorHAnsi" w:eastAsiaTheme="majorEastAsia" w:hAnsiTheme="majorHAnsi" w:cstheme="majorBidi"/>
      <w:b/>
      <w:color w:val="00A398"/>
      <w:sz w:val="48"/>
      <w:szCs w:val="32"/>
    </w:rPr>
  </w:style>
  <w:style w:type="paragraph" w:customStyle="1" w:styleId="Heading1Numbered">
    <w:name w:val="Heading 1 Numbered"/>
    <w:basedOn w:val="Heading1"/>
    <w:uiPriority w:val="10"/>
    <w:qFormat/>
    <w:rsid w:val="00400926"/>
    <w:pPr>
      <w:numPr>
        <w:numId w:val="7"/>
      </w:numPr>
      <w:ind w:left="0" w:firstLine="0"/>
    </w:pPr>
  </w:style>
  <w:style w:type="paragraph" w:customStyle="1" w:styleId="Heading2Numbered">
    <w:name w:val="Heading 2 Numbered"/>
    <w:basedOn w:val="Heading2"/>
    <w:uiPriority w:val="10"/>
    <w:qFormat/>
    <w:rsid w:val="00400926"/>
    <w:pPr>
      <w:numPr>
        <w:ilvl w:val="1"/>
        <w:numId w:val="7"/>
      </w:numPr>
    </w:pPr>
  </w:style>
  <w:style w:type="character" w:customStyle="1" w:styleId="Heading3Char">
    <w:name w:val="Heading 3 Char"/>
    <w:basedOn w:val="DefaultParagraphFont"/>
    <w:link w:val="Heading3"/>
    <w:uiPriority w:val="9"/>
    <w:rsid w:val="00880543"/>
    <w:rPr>
      <w:rFonts w:asciiTheme="majorHAnsi" w:eastAsiaTheme="majorEastAsia" w:hAnsiTheme="majorHAnsi" w:cstheme="majorBidi"/>
      <w:color w:val="00A398"/>
      <w:sz w:val="32"/>
      <w:szCs w:val="24"/>
    </w:rPr>
  </w:style>
  <w:style w:type="paragraph" w:customStyle="1" w:styleId="Heading3Numbered">
    <w:name w:val="Heading 3 Numbered"/>
    <w:basedOn w:val="Heading3"/>
    <w:uiPriority w:val="10"/>
    <w:qFormat/>
    <w:rsid w:val="00400926"/>
    <w:pPr>
      <w:numPr>
        <w:ilvl w:val="2"/>
        <w:numId w:val="7"/>
      </w:numPr>
    </w:pPr>
  </w:style>
  <w:style w:type="character" w:customStyle="1" w:styleId="Heading4Char">
    <w:name w:val="Heading 4 Char"/>
    <w:basedOn w:val="DefaultParagraphFont"/>
    <w:link w:val="Heading4"/>
    <w:uiPriority w:val="9"/>
    <w:rsid w:val="00507FB1"/>
    <w:rPr>
      <w:rFonts w:eastAsiaTheme="majorEastAsia" w:cstheme="majorBidi"/>
      <w:b/>
      <w:iCs/>
      <w:color w:val="auto"/>
      <w:sz w:val="24"/>
    </w:rPr>
  </w:style>
  <w:style w:type="paragraph" w:customStyle="1" w:styleId="Heading4Numbered">
    <w:name w:val="Heading 4 Numbered"/>
    <w:basedOn w:val="Heading4"/>
    <w:uiPriority w:val="10"/>
    <w:qFormat/>
    <w:rsid w:val="00400926"/>
    <w:pPr>
      <w:numPr>
        <w:ilvl w:val="3"/>
        <w:numId w:val="7"/>
      </w:numPr>
    </w:pPr>
  </w:style>
  <w:style w:type="character" w:customStyle="1" w:styleId="Heading5Char">
    <w:name w:val="Heading 5 Char"/>
    <w:basedOn w:val="DefaultParagraphFont"/>
    <w:link w:val="Heading5"/>
    <w:uiPriority w:val="9"/>
    <w:rsid w:val="00DF74BA"/>
    <w:rPr>
      <w:rFonts w:eastAsiaTheme="majorEastAsia" w:cstheme="majorBidi"/>
      <w:b/>
      <w:i/>
      <w:color w:val="auto"/>
      <w:sz w:val="22"/>
    </w:rPr>
  </w:style>
  <w:style w:type="paragraph" w:customStyle="1" w:styleId="Heading5Numbered">
    <w:name w:val="Heading 5 Numbered"/>
    <w:basedOn w:val="Heading5"/>
    <w:uiPriority w:val="10"/>
    <w:qFormat/>
    <w:rsid w:val="00400926"/>
    <w:pPr>
      <w:keepNext w:val="0"/>
      <w:numPr>
        <w:ilvl w:val="4"/>
        <w:numId w:val="7"/>
      </w:numPr>
    </w:pPr>
  </w:style>
  <w:style w:type="character" w:customStyle="1" w:styleId="Heading6Char">
    <w:name w:val="Heading 6 Char"/>
    <w:basedOn w:val="DefaultParagraphFont"/>
    <w:link w:val="Heading6"/>
    <w:uiPriority w:val="9"/>
    <w:rsid w:val="00AF0899"/>
    <w:rPr>
      <w:rFonts w:eastAsiaTheme="majorEastAsia" w:cstheme="majorBidi"/>
      <w:b/>
      <w:i/>
      <w:color w:val="000000" w:themeColor="text1"/>
      <w:sz w:val="20"/>
      <w:szCs w:val="20"/>
    </w:rPr>
  </w:style>
  <w:style w:type="paragraph" w:customStyle="1" w:styleId="Heading6Numbered">
    <w:name w:val="Heading 6 Numbered"/>
    <w:basedOn w:val="Heading6"/>
    <w:uiPriority w:val="10"/>
    <w:qFormat/>
    <w:rsid w:val="00400926"/>
    <w:pPr>
      <w:keepNext w:val="0"/>
      <w:numPr>
        <w:ilvl w:val="5"/>
        <w:numId w:val="7"/>
      </w:numPr>
    </w:pPr>
  </w:style>
  <w:style w:type="character" w:customStyle="1" w:styleId="Heading7Char">
    <w:name w:val="Heading 7 Char"/>
    <w:basedOn w:val="DefaultParagraphFont"/>
    <w:link w:val="Heading7"/>
    <w:uiPriority w:val="9"/>
    <w:rsid w:val="00AF0899"/>
    <w:rPr>
      <w:rFonts w:eastAsiaTheme="majorEastAsia" w:cstheme="majorBidi"/>
      <w:i/>
      <w:iCs/>
      <w:color w:val="000000" w:themeColor="text1"/>
      <w:sz w:val="20"/>
      <w:szCs w:val="20"/>
    </w:rPr>
  </w:style>
  <w:style w:type="paragraph" w:customStyle="1" w:styleId="Heading7Numbered">
    <w:name w:val="Heading 7 Numbered"/>
    <w:basedOn w:val="Heading7"/>
    <w:uiPriority w:val="10"/>
    <w:qFormat/>
    <w:rsid w:val="00400926"/>
    <w:pPr>
      <w:numPr>
        <w:ilvl w:val="6"/>
        <w:numId w:val="7"/>
      </w:numPr>
    </w:p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880543"/>
    <w:pPr>
      <w:spacing w:before="240" w:after="240"/>
      <w:contextualSpacing/>
    </w:pPr>
    <w:rPr>
      <w:rFonts w:asciiTheme="majorHAnsi" w:hAnsiTheme="majorHAnsi"/>
      <w:color w:val="00A398"/>
    </w:rPr>
  </w:style>
  <w:style w:type="numbering" w:customStyle="1" w:styleId="List1Numbered">
    <w:name w:val="List 1 Numbered"/>
    <w:uiPriority w:val="99"/>
    <w:rsid w:val="00DF74BA"/>
    <w:pPr>
      <w:numPr>
        <w:numId w:val="8"/>
      </w:numPr>
    </w:pPr>
  </w:style>
  <w:style w:type="paragraph" w:customStyle="1" w:styleId="List1Numbered1">
    <w:name w:val="List 1 Numbered 1"/>
    <w:basedOn w:val="Normal"/>
    <w:uiPriority w:val="2"/>
    <w:qFormat/>
    <w:rsid w:val="00DF74BA"/>
    <w:pPr>
      <w:numPr>
        <w:numId w:val="9"/>
      </w:numPr>
    </w:pPr>
  </w:style>
  <w:style w:type="paragraph" w:customStyle="1" w:styleId="List1Numbered2">
    <w:name w:val="List 1 Numbered 2"/>
    <w:basedOn w:val="Normal"/>
    <w:uiPriority w:val="2"/>
    <w:qFormat/>
    <w:rsid w:val="00DF74BA"/>
    <w:pPr>
      <w:numPr>
        <w:ilvl w:val="1"/>
        <w:numId w:val="9"/>
      </w:numPr>
    </w:pPr>
  </w:style>
  <w:style w:type="paragraph" w:customStyle="1" w:styleId="List1Numbered3">
    <w:name w:val="List 1 Numbered 3"/>
    <w:basedOn w:val="Normal"/>
    <w:uiPriority w:val="2"/>
    <w:qFormat/>
    <w:rsid w:val="00DF74BA"/>
    <w:pPr>
      <w:numPr>
        <w:ilvl w:val="2"/>
        <w:numId w:val="9"/>
      </w:numPr>
    </w:pPr>
  </w:style>
  <w:style w:type="paragraph" w:styleId="NoSpacing">
    <w:name w:val="No Spacing"/>
    <w:uiPriority w:val="1"/>
    <w:qFormat/>
    <w:rsid w:val="00AF0899"/>
    <w:pPr>
      <w:spacing w:after="0"/>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400926"/>
    <w:pPr>
      <w:numPr>
        <w:numId w:val="10"/>
      </w:numPr>
    </w:pPr>
  </w:style>
  <w:style w:type="paragraph" w:customStyle="1" w:styleId="PullOut-Teal">
    <w:name w:val="Pull Out - Teal"/>
    <w:basedOn w:val="Normal"/>
    <w:uiPriority w:val="22"/>
    <w:qFormat/>
    <w:rsid w:val="00400926"/>
    <w:pPr>
      <w:numPr>
        <w:numId w:val="15"/>
      </w:numPr>
      <w:spacing w:before="480" w:after="480" w:line="340" w:lineRule="atLeast"/>
      <w:ind w:left="1247" w:hanging="1247"/>
    </w:pPr>
    <w:rPr>
      <w:color w:val="003B45" w:themeColor="text2"/>
      <w:sz w:val="28"/>
    </w:rPr>
  </w:style>
  <w:style w:type="paragraph" w:customStyle="1" w:styleId="SourceNotes">
    <w:name w:val="Source Notes"/>
    <w:basedOn w:val="Normal"/>
    <w:uiPriority w:val="21"/>
    <w:qFormat/>
    <w:rsid w:val="00AF0899"/>
    <w:pPr>
      <w:spacing w:before="60" w:after="60"/>
    </w:pPr>
    <w:rPr>
      <w:sz w:val="16"/>
    </w:rPr>
  </w:style>
  <w:style w:type="paragraph" w:customStyle="1" w:styleId="SourceNotesHeading">
    <w:name w:val="Source Notes Heading"/>
    <w:basedOn w:val="SourceNotes"/>
    <w:uiPriority w:val="20"/>
    <w:qFormat/>
    <w:rsid w:val="008E6967"/>
    <w:pPr>
      <w:spacing w:before="120"/>
    </w:pPr>
    <w:rPr>
      <w:rFonts w:asciiTheme="majorHAnsi" w:hAnsiTheme="majorHAnsi"/>
      <w:b/>
    </w:rPr>
  </w:style>
  <w:style w:type="paragraph" w:customStyle="1" w:styleId="SourceNotesNumbered">
    <w:name w:val="Source Notes Numbered"/>
    <w:basedOn w:val="SourceNotes"/>
    <w:uiPriority w:val="21"/>
    <w:qFormat/>
    <w:rsid w:val="00AF0899"/>
    <w:pPr>
      <w:numPr>
        <w:numId w:val="11"/>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880543"/>
    <w:pPr>
      <w:keepLines/>
      <w:numPr>
        <w:ilvl w:val="1"/>
      </w:numPr>
      <w:spacing w:before="360" w:after="360" w:line="280" w:lineRule="exact"/>
      <w:contextualSpacing/>
    </w:pPr>
    <w:rPr>
      <w:rFonts w:eastAsiaTheme="minorEastAsia"/>
      <w:color w:val="00A398"/>
      <w:sz w:val="24"/>
    </w:rPr>
  </w:style>
  <w:style w:type="character" w:customStyle="1" w:styleId="SubtitleChar">
    <w:name w:val="Subtitle Char"/>
    <w:basedOn w:val="DefaultParagraphFont"/>
    <w:link w:val="Subtitle"/>
    <w:uiPriority w:val="23"/>
    <w:rsid w:val="00880543"/>
    <w:rPr>
      <w:rFonts w:eastAsiaTheme="minorEastAsia"/>
      <w:color w:val="00A398"/>
      <w:sz w:val="24"/>
    </w:rPr>
  </w:style>
  <w:style w:type="table" w:styleId="TableGrid">
    <w:name w:val="Table Grid"/>
    <w:basedOn w:val="TableNormal"/>
    <w:uiPriority w:val="5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2"/>
      </w:numPr>
    </w:pPr>
  </w:style>
  <w:style w:type="paragraph" w:customStyle="1" w:styleId="TableTitle">
    <w:name w:val="Table Title"/>
    <w:basedOn w:val="FigureTitle"/>
    <w:uiPriority w:val="12"/>
    <w:qFormat/>
    <w:rsid w:val="00AF0899"/>
    <w:pPr>
      <w:numPr>
        <w:numId w:val="19"/>
      </w:numPr>
    </w:pPr>
  </w:style>
  <w:style w:type="paragraph" w:styleId="Title">
    <w:name w:val="Title"/>
    <w:basedOn w:val="Normal"/>
    <w:next w:val="Normal"/>
    <w:link w:val="TitleChar"/>
    <w:uiPriority w:val="22"/>
    <w:qFormat/>
    <w:rsid w:val="00880543"/>
    <w:pPr>
      <w:keepLines/>
      <w:spacing w:before="0" w:after="360" w:line="640" w:lineRule="exact"/>
      <w:contextualSpacing/>
      <w:outlineLvl w:val="0"/>
    </w:pPr>
    <w:rPr>
      <w:rFonts w:asciiTheme="majorHAnsi" w:eastAsiaTheme="majorEastAsia" w:hAnsiTheme="majorHAnsi" w:cstheme="majorBidi"/>
      <w:color w:val="00A398"/>
      <w:kern w:val="28"/>
      <w:sz w:val="60"/>
      <w:szCs w:val="56"/>
    </w:rPr>
  </w:style>
  <w:style w:type="character" w:customStyle="1" w:styleId="TitleChar">
    <w:name w:val="Title Char"/>
    <w:basedOn w:val="DefaultParagraphFont"/>
    <w:link w:val="Title"/>
    <w:uiPriority w:val="22"/>
    <w:rsid w:val="00880543"/>
    <w:rPr>
      <w:rFonts w:asciiTheme="majorHAnsi" w:eastAsiaTheme="majorEastAsia" w:hAnsiTheme="majorHAnsi" w:cstheme="majorBidi"/>
      <w:color w:val="00A398"/>
      <w:kern w:val="28"/>
      <w:sz w:val="60"/>
      <w:szCs w:val="56"/>
    </w:rPr>
  </w:style>
  <w:style w:type="paragraph" w:styleId="TOC1">
    <w:name w:val="toc 1"/>
    <w:basedOn w:val="Normal"/>
    <w:next w:val="Normal"/>
    <w:autoRedefine/>
    <w:uiPriority w:val="39"/>
    <w:rsid w:val="00880543"/>
    <w:pPr>
      <w:keepNext/>
      <w:tabs>
        <w:tab w:val="right" w:pos="9628"/>
      </w:tabs>
      <w:spacing w:line="340" w:lineRule="atLeast"/>
    </w:pPr>
    <w:rPr>
      <w:rFonts w:asciiTheme="majorHAnsi" w:hAnsiTheme="majorHAnsi"/>
      <w:b/>
      <w:color w:val="00A398"/>
      <w:sz w:val="26"/>
    </w:rPr>
  </w:style>
  <w:style w:type="paragraph" w:styleId="TOC2">
    <w:name w:val="toc 2"/>
    <w:basedOn w:val="Normal"/>
    <w:next w:val="Normal"/>
    <w:autoRedefine/>
    <w:uiPriority w:val="39"/>
    <w:rsid w:val="003917CF"/>
    <w:pPr>
      <w:pBdr>
        <w:between w:val="single" w:sz="8" w:space="1" w:color="00847E" w:themeColor="accent1"/>
      </w:pBdr>
      <w:tabs>
        <w:tab w:val="right" w:pos="9628"/>
      </w:tabs>
      <w:spacing w:after="60"/>
      <w:ind w:left="851" w:hanging="851"/>
    </w:pPr>
    <w:rPr>
      <w:rFonts w:asciiTheme="majorHAnsi" w:hAnsiTheme="majorHAnsi"/>
      <w:b/>
    </w:rPr>
  </w:style>
  <w:style w:type="paragraph" w:styleId="TOC3">
    <w:name w:val="toc 3"/>
    <w:basedOn w:val="Normal"/>
    <w:next w:val="Normal"/>
    <w:autoRedefine/>
    <w:uiPriority w:val="39"/>
    <w:rsid w:val="003917CF"/>
    <w:pPr>
      <w:tabs>
        <w:tab w:val="right" w:pos="9628"/>
      </w:tabs>
      <w:spacing w:before="60" w:after="60"/>
      <w:ind w:left="851" w:hanging="851"/>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507FB1"/>
    <w:pPr>
      <w:numPr>
        <w:numId w:val="13"/>
      </w:numPr>
    </w:pPr>
  </w:style>
  <w:style w:type="paragraph" w:customStyle="1" w:styleId="PullOut-Pink">
    <w:name w:val="Pull Out - Pink"/>
    <w:basedOn w:val="PullOut-Teal"/>
    <w:uiPriority w:val="22"/>
    <w:qFormat/>
    <w:rsid w:val="00400926"/>
    <w:pPr>
      <w:numPr>
        <w:numId w:val="16"/>
      </w:numPr>
      <w:ind w:left="1247" w:hanging="1247"/>
    </w:pPr>
  </w:style>
  <w:style w:type="paragraph" w:customStyle="1" w:styleId="PullOut-Yellow">
    <w:name w:val="Pull Out - Yellow"/>
    <w:basedOn w:val="PullOut-Teal"/>
    <w:qFormat/>
    <w:rsid w:val="00400926"/>
    <w:pPr>
      <w:numPr>
        <w:numId w:val="17"/>
      </w:numPr>
      <w:ind w:left="1247" w:hanging="1247"/>
    </w:pPr>
  </w:style>
  <w:style w:type="paragraph" w:styleId="IntenseQuote">
    <w:name w:val="Intense Quote"/>
    <w:basedOn w:val="Normal"/>
    <w:next w:val="Normal"/>
    <w:link w:val="IntenseQuoteChar"/>
    <w:uiPriority w:val="30"/>
    <w:qFormat/>
    <w:rsid w:val="00880543"/>
    <w:pPr>
      <w:pBdr>
        <w:top w:val="single" w:sz="4" w:space="10" w:color="00847E" w:themeColor="accent1"/>
        <w:bottom w:val="single" w:sz="4" w:space="10" w:color="00847E" w:themeColor="accent1"/>
      </w:pBdr>
      <w:spacing w:before="360" w:after="360"/>
      <w:ind w:left="864" w:right="864"/>
      <w:jc w:val="center"/>
    </w:pPr>
    <w:rPr>
      <w:i/>
      <w:iCs/>
      <w:color w:val="00A398"/>
    </w:rPr>
  </w:style>
  <w:style w:type="character" w:customStyle="1" w:styleId="IntenseQuoteChar">
    <w:name w:val="Intense Quote Char"/>
    <w:basedOn w:val="DefaultParagraphFont"/>
    <w:link w:val="IntenseQuote"/>
    <w:uiPriority w:val="30"/>
    <w:rsid w:val="00880543"/>
    <w:rPr>
      <w:i/>
      <w:iCs/>
      <w:color w:val="00A398"/>
    </w:rPr>
  </w:style>
  <w:style w:type="character" w:styleId="IntenseReference">
    <w:name w:val="Intense Reference"/>
    <w:basedOn w:val="DefaultParagraphFont"/>
    <w:uiPriority w:val="32"/>
    <w:qFormat/>
    <w:rsid w:val="00880543"/>
    <w:rPr>
      <w:b/>
      <w:bCs/>
      <w:smallCaps/>
      <w:color w:val="00A398"/>
      <w:spacing w:val="5"/>
    </w:rPr>
  </w:style>
  <w:style w:type="paragraph" w:styleId="BalloonText">
    <w:name w:val="Balloon Text"/>
    <w:basedOn w:val="Normal"/>
    <w:link w:val="BalloonTextChar"/>
    <w:uiPriority w:val="99"/>
    <w:semiHidden/>
    <w:unhideWhenUsed/>
    <w:rsid w:val="00C90CF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CF3"/>
    <w:rPr>
      <w:rFonts w:ascii="Tahoma" w:hAnsi="Tahoma" w:cs="Tahoma"/>
      <w:sz w:val="16"/>
      <w:szCs w:val="16"/>
    </w:rPr>
  </w:style>
  <w:style w:type="paragraph" w:styleId="ListParagraph">
    <w:name w:val="List Paragraph"/>
    <w:basedOn w:val="Normal"/>
    <w:uiPriority w:val="34"/>
    <w:qFormat/>
    <w:rsid w:val="00380E21"/>
    <w:pPr>
      <w:ind w:left="720"/>
      <w:contextualSpacing/>
    </w:pPr>
  </w:style>
  <w:style w:type="character" w:styleId="CommentReference">
    <w:name w:val="annotation reference"/>
    <w:basedOn w:val="DefaultParagraphFont"/>
    <w:uiPriority w:val="99"/>
    <w:semiHidden/>
    <w:unhideWhenUsed/>
    <w:rsid w:val="008A2754"/>
    <w:rPr>
      <w:sz w:val="16"/>
      <w:szCs w:val="16"/>
    </w:rPr>
  </w:style>
  <w:style w:type="paragraph" w:styleId="CommentText">
    <w:name w:val="annotation text"/>
    <w:basedOn w:val="Normal"/>
    <w:link w:val="CommentTextChar"/>
    <w:uiPriority w:val="99"/>
    <w:semiHidden/>
    <w:unhideWhenUsed/>
    <w:rsid w:val="008A2754"/>
    <w:rPr>
      <w:sz w:val="20"/>
      <w:szCs w:val="20"/>
    </w:rPr>
  </w:style>
  <w:style w:type="character" w:customStyle="1" w:styleId="CommentTextChar">
    <w:name w:val="Comment Text Char"/>
    <w:basedOn w:val="DefaultParagraphFont"/>
    <w:link w:val="CommentText"/>
    <w:uiPriority w:val="99"/>
    <w:semiHidden/>
    <w:rsid w:val="008A2754"/>
    <w:rPr>
      <w:sz w:val="20"/>
      <w:szCs w:val="20"/>
    </w:rPr>
  </w:style>
  <w:style w:type="paragraph" w:styleId="CommentSubject">
    <w:name w:val="annotation subject"/>
    <w:basedOn w:val="CommentText"/>
    <w:next w:val="CommentText"/>
    <w:link w:val="CommentSubjectChar"/>
    <w:uiPriority w:val="99"/>
    <w:semiHidden/>
    <w:unhideWhenUsed/>
    <w:rsid w:val="008A2754"/>
    <w:rPr>
      <w:b/>
      <w:bCs/>
    </w:rPr>
  </w:style>
  <w:style w:type="character" w:customStyle="1" w:styleId="CommentSubjectChar">
    <w:name w:val="Comment Subject Char"/>
    <w:basedOn w:val="CommentTextChar"/>
    <w:link w:val="CommentSubject"/>
    <w:uiPriority w:val="99"/>
    <w:semiHidden/>
    <w:rsid w:val="008A27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37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qsa.gov.au/presentations"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17-07-04.dotx" TargetMode="External"/></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4F7F5-F729-406E-94C0-BA3232646C99}">
  <ds:schemaRefs>
    <ds:schemaRef ds:uri="http://www.w3.org/XML/1998/namespace"/>
    <ds:schemaRef ds:uri="http://schemas.microsoft.com/office/2006/metadata/properties"/>
    <ds:schemaRef ds:uri="http://purl.org/dc/dcmitype/"/>
    <ds:schemaRef ds:uri="http://purl.org/dc/elements/1.1/"/>
    <ds:schemaRef ds:uri="c7dac4e8-3feb-44f4-96ca-b86e7c14d0f6"/>
    <ds:schemaRef ds:uri="http://schemas.microsoft.com/office/infopath/2007/PartnerControls"/>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F7B51475-82ED-4D65-98D4-8E85B1AECE73}">
  <ds:schemaRefs>
    <ds:schemaRef ds:uri="http://schemas.microsoft.com/sharepoint/v3/contenttype/forms"/>
  </ds:schemaRefs>
</ds:datastoreItem>
</file>

<file path=customXml/itemProps3.xml><?xml version="1.0" encoding="utf-8"?>
<ds:datastoreItem xmlns:ds="http://schemas.openxmlformats.org/officeDocument/2006/customXml" ds:itemID="{93509665-42C1-46F9-9567-DE77E788F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5FFFA6-9C00-4945-8AAF-25EBD5A19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Keep Creative Word Template 2017-07-04</Template>
  <TotalTime>1</TotalTime>
  <Pages>5</Pages>
  <Words>1661</Words>
  <Characters>9473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TEQSA and Professional Accreditation Bodies Forum</vt:lpstr>
    </vt:vector>
  </TitlesOfParts>
  <Company>Tertiary Education Quality and Standards Agency</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TEQSA and Professional Accreditation Bodies Forum</dc:title>
  <dc:creator>Ben Fulford</dc:creator>
  <cp:lastModifiedBy>Hewitt-McManus, Tom</cp:lastModifiedBy>
  <cp:revision>4</cp:revision>
  <cp:lastPrinted>2019-01-14T23:02:00Z</cp:lastPrinted>
  <dcterms:created xsi:type="dcterms:W3CDTF">2019-02-18T02:14:00Z</dcterms:created>
  <dcterms:modified xsi:type="dcterms:W3CDTF">2019-02-18T02:14:00Z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y fmtid="{D5CDD505-2E9C-101B-9397-08002B2CF9AE}" pid="4" name="TitusGUID">
    <vt:lpwstr>756fb604-27b2-49ed-aeff-1a155ee547be</vt:lpwstr>
  </property>
</Properties>
</file>