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3FF4" w14:textId="29C4135F" w:rsidR="00AF0899" w:rsidRPr="009B7E58" w:rsidRDefault="004F6524" w:rsidP="008E6967">
      <w:pPr>
        <w:pStyle w:val="Title"/>
        <w:rPr>
          <w:color w:val="004E7D"/>
        </w:rPr>
      </w:pPr>
      <w:r w:rsidRPr="009B7E58">
        <w:rPr>
          <w:color w:val="004E7D"/>
        </w:rPr>
        <w:t xml:space="preserve">Policy on public </w:t>
      </w:r>
      <w:r w:rsidR="00B863C0" w:rsidRPr="009B7E58">
        <w:rPr>
          <w:color w:val="004E7D"/>
        </w:rPr>
        <w:t xml:space="preserve">statements </w:t>
      </w:r>
      <w:r w:rsidRPr="009B7E58">
        <w:rPr>
          <w:color w:val="004E7D"/>
        </w:rPr>
        <w:t>o</w:t>
      </w:r>
      <w:r w:rsidR="00B863C0" w:rsidRPr="009B7E58">
        <w:rPr>
          <w:color w:val="004E7D"/>
        </w:rPr>
        <w:t>n</w:t>
      </w:r>
      <w:r w:rsidRPr="009B7E58">
        <w:rPr>
          <w:color w:val="004E7D"/>
        </w:rPr>
        <w:t xml:space="preserve"> TEQSA’s </w:t>
      </w:r>
      <w:r w:rsidR="00B863C0" w:rsidRPr="009B7E58">
        <w:rPr>
          <w:color w:val="004E7D"/>
        </w:rPr>
        <w:t xml:space="preserve">regulatory </w:t>
      </w:r>
      <w:r w:rsidRPr="009B7E58">
        <w:rPr>
          <w:color w:val="004E7D"/>
        </w:rPr>
        <w:t xml:space="preserve">decisions </w:t>
      </w:r>
      <w:r w:rsidR="004E6CA9" w:rsidRPr="009B7E58">
        <w:rPr>
          <w:color w:val="004E7D"/>
        </w:rPr>
        <w:t>and processes</w:t>
      </w:r>
    </w:p>
    <w:p w14:paraId="39606FF3" w14:textId="492C353A" w:rsidR="00AF0899" w:rsidRPr="009B7E58" w:rsidRDefault="00800ECA" w:rsidP="008E6967">
      <w:pPr>
        <w:pStyle w:val="Subtitle"/>
        <w:rPr>
          <w:color w:val="004E7D"/>
        </w:rPr>
      </w:pPr>
      <w:r w:rsidRPr="009B7E58">
        <w:rPr>
          <w:color w:val="004E7D"/>
        </w:rPr>
        <w:t xml:space="preserve">August </w:t>
      </w:r>
      <w:r w:rsidR="004E6CA9" w:rsidRPr="009B7E58">
        <w:rPr>
          <w:color w:val="004E7D"/>
        </w:rPr>
        <w:t>2022</w:t>
      </w:r>
    </w:p>
    <w:p w14:paraId="43B38954" w14:textId="77777777" w:rsidR="000E6484" w:rsidRPr="008E6967" w:rsidRDefault="000E6484" w:rsidP="008E6967"/>
    <w:p w14:paraId="59A8435D" w14:textId="77777777" w:rsidR="000E6484" w:rsidRPr="008E6967" w:rsidRDefault="000E6484" w:rsidP="008E6967"/>
    <w:p w14:paraId="272D3D8C" w14:textId="77777777" w:rsidR="000E6484" w:rsidRPr="008E6967" w:rsidRDefault="000E6484" w:rsidP="008E6967"/>
    <w:p w14:paraId="0D9EF9E1" w14:textId="77777777" w:rsidR="000E6484" w:rsidRPr="008E6967" w:rsidRDefault="000E6484" w:rsidP="008E6967">
      <w:pPr>
        <w:sectPr w:rsidR="000E6484" w:rsidRPr="008E6967" w:rsidSect="000E6484">
          <w:headerReference w:type="first" r:id="rId11"/>
          <w:footerReference w:type="first" r:id="rId12"/>
          <w:pgSz w:w="11906" w:h="16838" w:code="9"/>
          <w:pgMar w:top="3402" w:right="1247" w:bottom="4536" w:left="2325" w:header="567" w:footer="567" w:gutter="0"/>
          <w:cols w:space="708"/>
          <w:titlePg/>
          <w:docGrid w:linePitch="360"/>
        </w:sectPr>
      </w:pPr>
    </w:p>
    <w:p w14:paraId="26E4F44C" w14:textId="77777777" w:rsidR="00AF0899" w:rsidRPr="009B7E58" w:rsidRDefault="00AF0899" w:rsidP="008E6967">
      <w:pPr>
        <w:pStyle w:val="TOCHeading"/>
        <w:rPr>
          <w:color w:val="004E7D"/>
        </w:rPr>
      </w:pPr>
      <w:r w:rsidRPr="009B7E58">
        <w:rPr>
          <w:color w:val="004E7D"/>
        </w:rPr>
        <w:lastRenderedPageBreak/>
        <w:t>Contents</w:t>
      </w:r>
    </w:p>
    <w:p w14:paraId="5910A6AE" w14:textId="38E2A6AE" w:rsidR="00F902D3" w:rsidRDefault="008E6967">
      <w:pPr>
        <w:pStyle w:val="TOC2"/>
        <w:rPr>
          <w:rFonts w:asciiTheme="minorHAnsi" w:eastAsiaTheme="minorEastAsia" w:hAnsiTheme="minorHAnsi"/>
          <w:b w:val="0"/>
          <w:noProof/>
          <w:color w:val="auto"/>
          <w:lang w:eastAsia="en-AU"/>
        </w:rPr>
      </w:pPr>
      <w:r>
        <w:rPr>
          <w:b w:val="0"/>
          <w:caps/>
          <w:color w:val="auto"/>
          <w:sz w:val="24"/>
        </w:rPr>
        <w:fldChar w:fldCharType="begin"/>
      </w:r>
      <w:r>
        <w:rPr>
          <w:b w:val="0"/>
          <w:caps/>
          <w:color w:val="auto"/>
          <w:sz w:val="24"/>
        </w:rPr>
        <w:instrText xml:space="preserve"> TOC \o "2-3" \h \z \t "Heading 1,1,Heading 1 Numbered,1" </w:instrText>
      </w:r>
      <w:r>
        <w:rPr>
          <w:b w:val="0"/>
          <w:caps/>
          <w:color w:val="auto"/>
          <w:sz w:val="24"/>
        </w:rPr>
        <w:fldChar w:fldCharType="separate"/>
      </w:r>
      <w:hyperlink w:anchor="_Toc110007648" w:history="1">
        <w:r w:rsidR="00F902D3" w:rsidRPr="00446F75">
          <w:rPr>
            <w:rStyle w:val="Hyperlink"/>
            <w:noProof/>
            <w:lang w:eastAsia="en-AU"/>
          </w:rPr>
          <w:t>Purpose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_Toc110007648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3</w:t>
        </w:r>
        <w:r w:rsidR="00F902D3">
          <w:rPr>
            <w:noProof/>
            <w:webHidden/>
          </w:rPr>
          <w:fldChar w:fldCharType="end"/>
        </w:r>
      </w:hyperlink>
    </w:p>
    <w:p w14:paraId="6ED73E7E" w14:textId="7ED0E471" w:rsidR="00F902D3" w:rsidRDefault="000E266E">
      <w:pPr>
        <w:pStyle w:val="TOC2"/>
        <w:rPr>
          <w:rFonts w:asciiTheme="minorHAnsi" w:eastAsiaTheme="minorEastAsia" w:hAnsiTheme="minorHAnsi"/>
          <w:b w:val="0"/>
          <w:noProof/>
          <w:color w:val="auto"/>
          <w:lang w:eastAsia="en-AU"/>
        </w:rPr>
      </w:pPr>
      <w:hyperlink w:anchor="_Toc110007649" w:history="1">
        <w:r w:rsidR="00F902D3" w:rsidRPr="00446F75">
          <w:rPr>
            <w:rStyle w:val="Hyperlink"/>
            <w:noProof/>
            <w:lang w:eastAsia="en-AU"/>
          </w:rPr>
          <w:t>Policy principles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_Toc110007649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3</w:t>
        </w:r>
        <w:r w:rsidR="00F902D3">
          <w:rPr>
            <w:noProof/>
            <w:webHidden/>
          </w:rPr>
          <w:fldChar w:fldCharType="end"/>
        </w:r>
      </w:hyperlink>
    </w:p>
    <w:p w14:paraId="52856D72" w14:textId="1B4225B6" w:rsidR="00F902D3" w:rsidRDefault="000E266E">
      <w:pPr>
        <w:pStyle w:val="TOC2"/>
        <w:rPr>
          <w:rFonts w:asciiTheme="minorHAnsi" w:eastAsiaTheme="minorEastAsia" w:hAnsiTheme="minorHAnsi"/>
          <w:b w:val="0"/>
          <w:noProof/>
          <w:color w:val="auto"/>
          <w:lang w:eastAsia="en-AU"/>
        </w:rPr>
      </w:pPr>
      <w:hyperlink w:anchor="_Toc110007650" w:history="1">
        <w:r w:rsidR="00F902D3" w:rsidRPr="00446F75">
          <w:rPr>
            <w:rStyle w:val="Hyperlink"/>
            <w:noProof/>
            <w:lang w:eastAsia="en-AU"/>
          </w:rPr>
          <w:t>Types of public statement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_Toc110007650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4</w:t>
        </w:r>
        <w:r w:rsidR="00F902D3">
          <w:rPr>
            <w:noProof/>
            <w:webHidden/>
          </w:rPr>
          <w:fldChar w:fldCharType="end"/>
        </w:r>
      </w:hyperlink>
    </w:p>
    <w:p w14:paraId="63C48A0D" w14:textId="5DF71C11" w:rsidR="00F902D3" w:rsidRDefault="000E266E">
      <w:pPr>
        <w:pStyle w:val="TOC3"/>
        <w:rPr>
          <w:rFonts w:eastAsiaTheme="minorEastAsia"/>
          <w:noProof/>
          <w:color w:val="auto"/>
          <w:lang w:eastAsia="en-AU"/>
        </w:rPr>
      </w:pPr>
      <w:hyperlink w:anchor="_Toc110007651" w:history="1">
        <w:r w:rsidR="00F902D3" w:rsidRPr="00446F75">
          <w:rPr>
            <w:rStyle w:val="Hyperlink"/>
            <w:noProof/>
            <w:lang w:eastAsia="en-AU"/>
          </w:rPr>
          <w:t>Public Reports of Regulatory Decisions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_Toc110007651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4</w:t>
        </w:r>
        <w:r w:rsidR="00F902D3">
          <w:rPr>
            <w:noProof/>
            <w:webHidden/>
          </w:rPr>
          <w:fldChar w:fldCharType="end"/>
        </w:r>
      </w:hyperlink>
    </w:p>
    <w:p w14:paraId="05F0F42F" w14:textId="610AFBC4" w:rsidR="00F902D3" w:rsidRDefault="000E266E">
      <w:pPr>
        <w:pStyle w:val="TOC3"/>
        <w:rPr>
          <w:rFonts w:eastAsiaTheme="minorEastAsia"/>
          <w:noProof/>
          <w:color w:val="auto"/>
          <w:lang w:eastAsia="en-AU"/>
        </w:rPr>
      </w:pPr>
      <w:hyperlink w:anchor="_Toc110007652" w:history="1">
        <w:r w:rsidR="00F902D3" w:rsidRPr="00446F75">
          <w:rPr>
            <w:rStyle w:val="Hyperlink"/>
            <w:noProof/>
            <w:lang w:eastAsia="en-AU"/>
          </w:rPr>
          <w:t>Comments on Inquiries and Investigations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_Toc110007652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4</w:t>
        </w:r>
        <w:r w:rsidR="00F902D3">
          <w:rPr>
            <w:noProof/>
            <w:webHidden/>
          </w:rPr>
          <w:fldChar w:fldCharType="end"/>
        </w:r>
      </w:hyperlink>
    </w:p>
    <w:p w14:paraId="07D4724A" w14:textId="2CB30C15" w:rsidR="00F902D3" w:rsidRDefault="000E266E">
      <w:pPr>
        <w:pStyle w:val="TOC3"/>
        <w:rPr>
          <w:rFonts w:eastAsiaTheme="minorEastAsia"/>
          <w:noProof/>
          <w:color w:val="auto"/>
          <w:lang w:eastAsia="en-AU"/>
        </w:rPr>
      </w:pPr>
      <w:hyperlink w:anchor="_Toc110007653" w:history="1">
        <w:r w:rsidR="00F902D3" w:rsidRPr="00446F75">
          <w:rPr>
            <w:rStyle w:val="Hyperlink"/>
            <w:noProof/>
            <w:lang w:eastAsia="en-AU"/>
          </w:rPr>
          <w:t>Comments on Enforcement Action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_Toc110007653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4</w:t>
        </w:r>
        <w:r w:rsidR="00F902D3">
          <w:rPr>
            <w:noProof/>
            <w:webHidden/>
          </w:rPr>
          <w:fldChar w:fldCharType="end"/>
        </w:r>
      </w:hyperlink>
    </w:p>
    <w:p w14:paraId="7C3131BC" w14:textId="2225F806" w:rsidR="00F902D3" w:rsidRDefault="000E266E">
      <w:pPr>
        <w:pStyle w:val="TOC3"/>
        <w:rPr>
          <w:rFonts w:eastAsiaTheme="minorEastAsia"/>
          <w:noProof/>
          <w:color w:val="auto"/>
          <w:lang w:eastAsia="en-AU"/>
        </w:rPr>
      </w:pPr>
      <w:hyperlink w:anchor="_Toc110007654" w:history="1">
        <w:r w:rsidR="00F902D3" w:rsidRPr="00446F75">
          <w:rPr>
            <w:rStyle w:val="Hyperlink"/>
            <w:noProof/>
            <w:lang w:eastAsia="en-AU"/>
          </w:rPr>
          <w:t>Publishing Significant Decisions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_Toc110007654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5</w:t>
        </w:r>
        <w:r w:rsidR="00F902D3">
          <w:rPr>
            <w:noProof/>
            <w:webHidden/>
          </w:rPr>
          <w:fldChar w:fldCharType="end"/>
        </w:r>
      </w:hyperlink>
    </w:p>
    <w:p w14:paraId="064DE3A0" w14:textId="3D9437A1" w:rsidR="00F902D3" w:rsidRDefault="000E266E">
      <w:pPr>
        <w:pStyle w:val="TOC3"/>
        <w:rPr>
          <w:rFonts w:eastAsiaTheme="minorEastAsia"/>
          <w:noProof/>
          <w:color w:val="auto"/>
          <w:lang w:eastAsia="en-AU"/>
        </w:rPr>
      </w:pPr>
      <w:hyperlink w:anchor="_Toc110007655" w:history="1">
        <w:r w:rsidR="00F902D3" w:rsidRPr="00446F75">
          <w:rPr>
            <w:rStyle w:val="Hyperlink"/>
            <w:noProof/>
            <w:lang w:eastAsia="en-AU"/>
          </w:rPr>
          <w:t>Publishing Applications by Unregistered Entities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_Toc110007655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5</w:t>
        </w:r>
        <w:r w:rsidR="00F902D3">
          <w:rPr>
            <w:noProof/>
            <w:webHidden/>
          </w:rPr>
          <w:fldChar w:fldCharType="end"/>
        </w:r>
      </w:hyperlink>
    </w:p>
    <w:p w14:paraId="75221B02" w14:textId="06828158" w:rsidR="00F902D3" w:rsidRDefault="000E266E">
      <w:pPr>
        <w:pStyle w:val="TOC2"/>
        <w:rPr>
          <w:rFonts w:asciiTheme="minorHAnsi" w:eastAsiaTheme="minorEastAsia" w:hAnsiTheme="minorHAnsi"/>
          <w:b w:val="0"/>
          <w:noProof/>
          <w:color w:val="auto"/>
          <w:lang w:eastAsia="en-AU"/>
        </w:rPr>
      </w:pPr>
      <w:hyperlink w:anchor="_Toc110007656" w:history="1">
        <w:r w:rsidR="00F902D3" w:rsidRPr="00446F75">
          <w:rPr>
            <w:rStyle w:val="Hyperlink"/>
            <w:noProof/>
            <w:lang w:eastAsia="en-AU"/>
          </w:rPr>
          <w:t>Further information</w:t>
        </w:r>
        <w:r w:rsidR="00F902D3">
          <w:rPr>
            <w:noProof/>
            <w:webHidden/>
          </w:rPr>
          <w:tab/>
        </w:r>
        <w:r w:rsidR="00F902D3">
          <w:rPr>
            <w:noProof/>
            <w:webHidden/>
          </w:rPr>
          <w:fldChar w:fldCharType="begin"/>
        </w:r>
        <w:r w:rsidR="00F902D3">
          <w:rPr>
            <w:noProof/>
            <w:webHidden/>
          </w:rPr>
          <w:instrText xml:space="preserve"> PAGEREF _Toc110007656 \h </w:instrText>
        </w:r>
        <w:r w:rsidR="00F902D3">
          <w:rPr>
            <w:noProof/>
            <w:webHidden/>
          </w:rPr>
        </w:r>
        <w:r w:rsidR="00F902D3">
          <w:rPr>
            <w:noProof/>
            <w:webHidden/>
          </w:rPr>
          <w:fldChar w:fldCharType="separate"/>
        </w:r>
        <w:r w:rsidR="00F902D3">
          <w:rPr>
            <w:noProof/>
            <w:webHidden/>
          </w:rPr>
          <w:t>6</w:t>
        </w:r>
        <w:r w:rsidR="00F902D3">
          <w:rPr>
            <w:noProof/>
            <w:webHidden/>
          </w:rPr>
          <w:fldChar w:fldCharType="end"/>
        </w:r>
      </w:hyperlink>
    </w:p>
    <w:p w14:paraId="1E89C0D6" w14:textId="38730A2C" w:rsidR="004F6524" w:rsidRDefault="008E6967" w:rsidP="008E6967">
      <w:pPr>
        <w:rPr>
          <w:rFonts w:asciiTheme="majorHAnsi" w:hAnsiTheme="majorHAnsi"/>
          <w:b/>
          <w:caps/>
          <w:color w:val="auto"/>
          <w:sz w:val="24"/>
        </w:rPr>
      </w:pPr>
      <w:r>
        <w:rPr>
          <w:rFonts w:asciiTheme="majorHAnsi" w:hAnsiTheme="majorHAnsi"/>
          <w:b/>
          <w:caps/>
          <w:color w:val="auto"/>
          <w:sz w:val="24"/>
        </w:rPr>
        <w:fldChar w:fldCharType="end"/>
      </w:r>
      <w:r w:rsidR="004F6524">
        <w:rPr>
          <w:rFonts w:asciiTheme="majorHAnsi" w:hAnsiTheme="majorHAnsi"/>
          <w:b/>
          <w:caps/>
          <w:color w:val="auto"/>
          <w:sz w:val="24"/>
        </w:rPr>
        <w:br w:type="page"/>
      </w:r>
    </w:p>
    <w:p w14:paraId="25B786F1" w14:textId="77777777" w:rsidR="004F6524" w:rsidRDefault="004F6524" w:rsidP="00382216">
      <w:pPr>
        <w:pStyle w:val="Heading2"/>
        <w:spacing w:before="300"/>
        <w:rPr>
          <w:noProof/>
          <w:lang w:eastAsia="en-AU"/>
        </w:rPr>
      </w:pPr>
      <w:bookmarkStart w:id="0" w:name="_Toc110007648"/>
      <w:r>
        <w:rPr>
          <w:noProof/>
          <w:lang w:eastAsia="en-AU"/>
        </w:rPr>
        <w:lastRenderedPageBreak/>
        <w:t>Purpose</w:t>
      </w:r>
      <w:bookmarkEnd w:id="0"/>
    </w:p>
    <w:p w14:paraId="0CC0A40B" w14:textId="009A6038" w:rsidR="004F6524" w:rsidRDefault="004F6524" w:rsidP="0097236D">
      <w:pPr>
        <w:rPr>
          <w:rStyle w:val="Hyperlink"/>
        </w:rPr>
      </w:pPr>
      <w:r>
        <w:rPr>
          <w:lang w:eastAsia="en-AU"/>
        </w:rPr>
        <w:t xml:space="preserve">This policy outlines TEQSA’s approach to </w:t>
      </w:r>
      <w:r w:rsidR="00B863C0">
        <w:rPr>
          <w:lang w:eastAsia="en-AU"/>
        </w:rPr>
        <w:t>public statements on</w:t>
      </w:r>
      <w:r>
        <w:rPr>
          <w:lang w:eastAsia="en-AU"/>
        </w:rPr>
        <w:t xml:space="preserve"> its regulatory decisions</w:t>
      </w:r>
      <w:r w:rsidR="00B863C0">
        <w:rPr>
          <w:lang w:eastAsia="en-AU"/>
        </w:rPr>
        <w:t xml:space="preserve"> and processes</w:t>
      </w:r>
      <w:r>
        <w:rPr>
          <w:lang w:eastAsia="en-AU"/>
        </w:rPr>
        <w:t xml:space="preserve">. </w:t>
      </w:r>
    </w:p>
    <w:p w14:paraId="6C04DDCF" w14:textId="77777777" w:rsidR="004F6524" w:rsidRPr="00A36C88" w:rsidRDefault="004F6524" w:rsidP="00382216">
      <w:pPr>
        <w:pStyle w:val="Heading2"/>
        <w:spacing w:before="300"/>
        <w:rPr>
          <w:noProof/>
          <w:lang w:eastAsia="en-AU"/>
        </w:rPr>
      </w:pPr>
      <w:bookmarkStart w:id="1" w:name="_Toc110007649"/>
      <w:r>
        <w:rPr>
          <w:noProof/>
          <w:lang w:eastAsia="en-AU"/>
        </w:rPr>
        <w:t>Policy principles</w:t>
      </w:r>
      <w:bookmarkEnd w:id="1"/>
    </w:p>
    <w:p w14:paraId="2B13E79E" w14:textId="748828AA" w:rsidR="00FA2F0E" w:rsidRDefault="002777FE" w:rsidP="00382216">
      <w:pPr>
        <w:pStyle w:val="ListParagraph"/>
        <w:numPr>
          <w:ilvl w:val="0"/>
          <w:numId w:val="74"/>
        </w:numPr>
        <w:rPr>
          <w:lang w:eastAsia="en-AU"/>
        </w:rPr>
      </w:pPr>
      <w:r>
        <w:rPr>
          <w:lang w:eastAsia="en-AU"/>
        </w:rPr>
        <w:t>T</w:t>
      </w:r>
      <w:r w:rsidR="00B863C0">
        <w:rPr>
          <w:lang w:eastAsia="en-AU"/>
        </w:rPr>
        <w:t xml:space="preserve">he manner and form </w:t>
      </w:r>
      <w:r>
        <w:rPr>
          <w:lang w:eastAsia="en-AU"/>
        </w:rPr>
        <w:t xml:space="preserve">of any </w:t>
      </w:r>
      <w:r w:rsidRPr="00382216">
        <w:rPr>
          <w:u w:val="single"/>
          <w:lang w:eastAsia="en-AU"/>
        </w:rPr>
        <w:t xml:space="preserve">public statements made by TEQSA </w:t>
      </w:r>
      <w:r w:rsidR="00370156" w:rsidRPr="00382216">
        <w:rPr>
          <w:u w:val="single"/>
          <w:lang w:eastAsia="en-AU"/>
        </w:rPr>
        <w:t>should be</w:t>
      </w:r>
      <w:r w:rsidR="004F6524" w:rsidRPr="00382216">
        <w:rPr>
          <w:u w:val="single"/>
          <w:lang w:eastAsia="en-AU"/>
        </w:rPr>
        <w:t xml:space="preserve"> guided by</w:t>
      </w:r>
      <w:r w:rsidR="004F6524">
        <w:rPr>
          <w:lang w:eastAsia="en-AU"/>
        </w:rPr>
        <w:t xml:space="preserve"> TEQSA’s</w:t>
      </w:r>
      <w:r w:rsidR="00FA2F0E">
        <w:rPr>
          <w:lang w:eastAsia="en-AU"/>
        </w:rPr>
        <w:t>:</w:t>
      </w:r>
    </w:p>
    <w:p w14:paraId="44002B75" w14:textId="268D0722" w:rsidR="00FA2F0E" w:rsidRDefault="004F6524" w:rsidP="007C667A">
      <w:pPr>
        <w:pStyle w:val="ListParagraph"/>
        <w:numPr>
          <w:ilvl w:val="0"/>
          <w:numId w:val="82"/>
        </w:numPr>
        <w:spacing w:before="240"/>
        <w:ind w:left="714" w:hanging="357"/>
        <w:contextualSpacing w:val="0"/>
        <w:rPr>
          <w:lang w:eastAsia="en-AU"/>
        </w:rPr>
      </w:pPr>
      <w:r>
        <w:rPr>
          <w:lang w:eastAsia="en-AU"/>
        </w:rPr>
        <w:t xml:space="preserve">objects (as set out in Section 3 of the TEQSA Act) and </w:t>
      </w:r>
    </w:p>
    <w:p w14:paraId="64E88A3D" w14:textId="52259C04" w:rsidR="0056291F" w:rsidRDefault="004F6524" w:rsidP="007C667A">
      <w:pPr>
        <w:pStyle w:val="ListParagraph"/>
        <w:numPr>
          <w:ilvl w:val="0"/>
          <w:numId w:val="82"/>
        </w:numPr>
        <w:contextualSpacing w:val="0"/>
        <w:rPr>
          <w:lang w:eastAsia="en-AU"/>
        </w:rPr>
      </w:pPr>
      <w:r>
        <w:rPr>
          <w:lang w:eastAsia="en-AU"/>
        </w:rPr>
        <w:t>basic principles of regulation (as set out in Section 13 of the TEQSA Act)</w:t>
      </w:r>
      <w:r w:rsidR="00800ECA">
        <w:rPr>
          <w:lang w:eastAsia="en-AU"/>
        </w:rPr>
        <w:t>, insofar as they are relevant</w:t>
      </w:r>
      <w:r>
        <w:rPr>
          <w:lang w:eastAsia="en-AU"/>
        </w:rPr>
        <w:t xml:space="preserve">. </w:t>
      </w:r>
    </w:p>
    <w:p w14:paraId="5C61B956" w14:textId="77777777" w:rsidR="00AB1A8F" w:rsidRDefault="00AB1A8F" w:rsidP="00382216">
      <w:pPr>
        <w:pStyle w:val="ListParagraph"/>
        <w:contextualSpacing w:val="0"/>
        <w:rPr>
          <w:lang w:eastAsia="en-AU"/>
        </w:rPr>
      </w:pPr>
    </w:p>
    <w:p w14:paraId="4C821AC9" w14:textId="77777777" w:rsidR="004F6524" w:rsidRDefault="004F6524" w:rsidP="00382216">
      <w:pPr>
        <w:pStyle w:val="ListParagraph"/>
        <w:numPr>
          <w:ilvl w:val="0"/>
          <w:numId w:val="73"/>
        </w:numPr>
        <w:ind w:left="357" w:hanging="357"/>
        <w:contextualSpacing w:val="0"/>
        <w:rPr>
          <w:lang w:eastAsia="en-AU"/>
        </w:rPr>
      </w:pPr>
      <w:r>
        <w:rPr>
          <w:lang w:eastAsia="en-AU"/>
        </w:rPr>
        <w:t>Other factors guiding TEQSA’s approach to public reporting are:</w:t>
      </w:r>
    </w:p>
    <w:p w14:paraId="364A71AE" w14:textId="77777777" w:rsidR="00060ADA" w:rsidRDefault="00060ADA" w:rsidP="00AF097A">
      <w:pPr>
        <w:pStyle w:val="ListParagraph"/>
        <w:numPr>
          <w:ilvl w:val="0"/>
          <w:numId w:val="45"/>
        </w:numPr>
        <w:ind w:hanging="357"/>
        <w:contextualSpacing w:val="0"/>
      </w:pPr>
      <w:r w:rsidRPr="009B7E58">
        <w:rPr>
          <w:rFonts w:asciiTheme="majorHAnsi" w:hAnsiTheme="majorHAnsi"/>
          <w:b/>
          <w:bCs/>
          <w:color w:val="004E7D"/>
          <w:lang w:eastAsia="en-AU"/>
        </w:rPr>
        <w:t>Transparency</w:t>
      </w:r>
      <w:r w:rsidRPr="009B7E58">
        <w:rPr>
          <w:color w:val="004E7D"/>
        </w:rPr>
        <w:t xml:space="preserve"> </w:t>
      </w:r>
      <w:r>
        <w:t xml:space="preserve">- TEQSA is committed to transparency in its regulatory and quality assurance activities in order to: </w:t>
      </w:r>
    </w:p>
    <w:p w14:paraId="60F7DFD3" w14:textId="3F351960" w:rsidR="00060ADA" w:rsidRDefault="00060ADA" w:rsidP="0046098C">
      <w:pPr>
        <w:pStyle w:val="ListParagraph"/>
        <w:numPr>
          <w:ilvl w:val="0"/>
          <w:numId w:val="46"/>
        </w:numPr>
        <w:ind w:hanging="357"/>
        <w:contextualSpacing w:val="0"/>
      </w:pPr>
      <w:r>
        <w:t>promote awareness of, and compliance with, the TEQSA Act, the Higher Education Standards Framework and other relevant legislation</w:t>
      </w:r>
    </w:p>
    <w:p w14:paraId="205283A9" w14:textId="62126736" w:rsidR="00060ADA" w:rsidRDefault="00060ADA">
      <w:pPr>
        <w:pStyle w:val="ListParagraph"/>
        <w:numPr>
          <w:ilvl w:val="0"/>
          <w:numId w:val="46"/>
        </w:numPr>
        <w:ind w:hanging="357"/>
        <w:contextualSpacing w:val="0"/>
      </w:pPr>
      <w:r>
        <w:t>promote confidence in TEQSA’s approach to regulation and quality assurance and, more generally, in Australia’s regulatory and quality assurance framework for higher education</w:t>
      </w:r>
    </w:p>
    <w:p w14:paraId="1891B45A" w14:textId="10429C72" w:rsidR="004F4C04" w:rsidRDefault="00060ADA">
      <w:pPr>
        <w:pStyle w:val="ListParagraph"/>
        <w:numPr>
          <w:ilvl w:val="0"/>
          <w:numId w:val="46"/>
        </w:numPr>
        <w:ind w:hanging="357"/>
        <w:contextualSpacing w:val="0"/>
      </w:pPr>
      <w:r>
        <w:t>ensure that TEQSA is accountable for its regulatory and quality assurance activities</w:t>
      </w:r>
    </w:p>
    <w:p w14:paraId="28C09EE3" w14:textId="77777777" w:rsidR="00060ADA" w:rsidRDefault="00060ADA">
      <w:pPr>
        <w:pStyle w:val="ListParagraph"/>
        <w:numPr>
          <w:ilvl w:val="0"/>
          <w:numId w:val="46"/>
        </w:numPr>
        <w:ind w:hanging="357"/>
        <w:contextualSpacing w:val="0"/>
      </w:pPr>
      <w:r>
        <w:t xml:space="preserve">ensure that students and other stakeholders have current information about higher education in Australia, including TEQSA’s work in the higher education sector. </w:t>
      </w:r>
    </w:p>
    <w:p w14:paraId="009C3B2B" w14:textId="77777777" w:rsidR="00060ADA" w:rsidRDefault="00060ADA">
      <w:pPr>
        <w:pStyle w:val="ListParagraph"/>
        <w:numPr>
          <w:ilvl w:val="0"/>
          <w:numId w:val="45"/>
        </w:numPr>
        <w:ind w:hanging="357"/>
        <w:contextualSpacing w:val="0"/>
      </w:pPr>
      <w:r w:rsidRPr="009B7E58">
        <w:rPr>
          <w:rFonts w:asciiTheme="majorHAnsi" w:hAnsiTheme="majorHAnsi"/>
          <w:b/>
          <w:bCs/>
          <w:color w:val="004E7D"/>
          <w:lang w:eastAsia="en-AU"/>
        </w:rPr>
        <w:t>Compliance</w:t>
      </w:r>
      <w:r w:rsidRPr="009B7E58">
        <w:rPr>
          <w:color w:val="004E7D"/>
        </w:rPr>
        <w:t xml:space="preserve"> </w:t>
      </w:r>
      <w:r>
        <w:t xml:space="preserve">- TEQSA will ensure that any publication of information is consistent with TEQSA’s obligations under the TEQSA Act and other legislation. </w:t>
      </w:r>
    </w:p>
    <w:p w14:paraId="049685CA" w14:textId="77777777" w:rsidR="00060ADA" w:rsidRDefault="00060ADA">
      <w:pPr>
        <w:pStyle w:val="ListParagraph"/>
        <w:numPr>
          <w:ilvl w:val="0"/>
          <w:numId w:val="45"/>
        </w:numPr>
        <w:ind w:hanging="357"/>
        <w:contextualSpacing w:val="0"/>
      </w:pPr>
      <w:r w:rsidRPr="009B7E58">
        <w:rPr>
          <w:rFonts w:asciiTheme="majorHAnsi" w:hAnsiTheme="majorHAnsi"/>
          <w:b/>
          <w:bCs/>
          <w:color w:val="004E7D"/>
          <w:lang w:eastAsia="en-AU"/>
        </w:rPr>
        <w:t>Fairness</w:t>
      </w:r>
      <w:r w:rsidRPr="009B7E58">
        <w:rPr>
          <w:color w:val="004E7D"/>
        </w:rPr>
        <w:t xml:space="preserve"> </w:t>
      </w:r>
      <w:r>
        <w:t xml:space="preserve">- TEQSA will ensure that any publication of information is in accordance with principles of procedural fairness and does not prejudice a provider’s right to have a decision reviewed. </w:t>
      </w:r>
    </w:p>
    <w:p w14:paraId="1D974D75" w14:textId="77777777" w:rsidR="004F6524" w:rsidRDefault="00060ADA">
      <w:pPr>
        <w:pStyle w:val="ListParagraph"/>
        <w:numPr>
          <w:ilvl w:val="0"/>
          <w:numId w:val="45"/>
        </w:numPr>
        <w:ind w:hanging="357"/>
        <w:contextualSpacing w:val="0"/>
      </w:pPr>
      <w:r w:rsidRPr="009B7E58">
        <w:rPr>
          <w:rFonts w:asciiTheme="majorHAnsi" w:hAnsiTheme="majorHAnsi"/>
          <w:b/>
          <w:bCs/>
          <w:color w:val="004E7D"/>
          <w:lang w:eastAsia="en-AU"/>
        </w:rPr>
        <w:t>Consistency</w:t>
      </w:r>
      <w:r w:rsidRPr="009B7E58">
        <w:rPr>
          <w:color w:val="004E7D"/>
        </w:rPr>
        <w:t xml:space="preserve"> </w:t>
      </w:r>
      <w:r>
        <w:t>- TEQSA will adopt a consistent approach to the publication of information.</w:t>
      </w:r>
    </w:p>
    <w:p w14:paraId="2A3E00E4" w14:textId="77777777" w:rsidR="00F83708" w:rsidRDefault="00F83708"/>
    <w:p w14:paraId="79646F6C" w14:textId="6A1B764A" w:rsidR="004E6CA9" w:rsidRDefault="004E6CA9" w:rsidP="00382216">
      <w:pPr>
        <w:pStyle w:val="ListParagraph"/>
        <w:numPr>
          <w:ilvl w:val="0"/>
          <w:numId w:val="72"/>
        </w:numPr>
        <w:ind w:left="357" w:hanging="357"/>
        <w:contextualSpacing w:val="0"/>
      </w:pPr>
      <w:r>
        <w:t xml:space="preserve">As appropriate, TEQSA </w:t>
      </w:r>
      <w:r w:rsidR="00A06A0A">
        <w:t>should</w:t>
      </w:r>
      <w:r>
        <w:t xml:space="preserve"> also have regard to:</w:t>
      </w:r>
    </w:p>
    <w:p w14:paraId="508353E2" w14:textId="4146C579" w:rsidR="008E21DE" w:rsidRDefault="004E6CA9" w:rsidP="007C667A">
      <w:pPr>
        <w:pStyle w:val="ListParagraph"/>
        <w:numPr>
          <w:ilvl w:val="0"/>
          <w:numId w:val="83"/>
        </w:numPr>
        <w:contextualSpacing w:val="0"/>
      </w:pPr>
      <w:r>
        <w:t xml:space="preserve">whether it is necessary </w:t>
      </w:r>
      <w:r w:rsidRPr="004E6CA9">
        <w:t>to maintain confidentiality to effectively</w:t>
      </w:r>
      <w:r>
        <w:t xml:space="preserve"> consider or</w:t>
      </w:r>
      <w:r w:rsidRPr="004E6CA9">
        <w:t xml:space="preserve"> investigate an issue</w:t>
      </w:r>
      <w:r>
        <w:t>, or to preserve the effectiveness of TEQSA’s processes</w:t>
      </w:r>
    </w:p>
    <w:p w14:paraId="5A70D9B2" w14:textId="4C270A54" w:rsidR="004E6CA9" w:rsidRDefault="004E6CA9" w:rsidP="007C667A">
      <w:pPr>
        <w:pStyle w:val="ListParagraph"/>
        <w:numPr>
          <w:ilvl w:val="0"/>
          <w:numId w:val="83"/>
        </w:numPr>
        <w:contextualSpacing w:val="0"/>
      </w:pPr>
      <w:r>
        <w:t>the need to protect an individual’s right to privacy</w:t>
      </w:r>
    </w:p>
    <w:p w14:paraId="14567422" w14:textId="7F855E3B" w:rsidR="004E6CA9" w:rsidRDefault="004E6CA9" w:rsidP="007C667A">
      <w:pPr>
        <w:pStyle w:val="ListParagraph"/>
        <w:numPr>
          <w:ilvl w:val="0"/>
          <w:numId w:val="83"/>
        </w:numPr>
        <w:contextualSpacing w:val="0"/>
      </w:pPr>
      <w:r>
        <w:t>the need to protect commercially sensitive information</w:t>
      </w:r>
      <w:r w:rsidR="00F530FD">
        <w:t>,</w:t>
      </w:r>
      <w:r>
        <w:t xml:space="preserve"> </w:t>
      </w:r>
      <w:r w:rsidR="00F530FD">
        <w:t xml:space="preserve">or information </w:t>
      </w:r>
      <w:r>
        <w:t>provided to TEQSA on a confidential basis.</w:t>
      </w:r>
    </w:p>
    <w:p w14:paraId="5935DF80" w14:textId="3A95E3ED" w:rsidR="002E0DD6" w:rsidRDefault="00010918" w:rsidP="00316906">
      <w:pPr>
        <w:pStyle w:val="Heading2"/>
        <w:spacing w:before="300"/>
        <w:rPr>
          <w:noProof/>
          <w:lang w:eastAsia="en-AU"/>
        </w:rPr>
      </w:pPr>
      <w:bookmarkStart w:id="2" w:name="_Toc110007650"/>
      <w:r>
        <w:rPr>
          <w:noProof/>
          <w:lang w:eastAsia="en-AU"/>
        </w:rPr>
        <w:lastRenderedPageBreak/>
        <w:t>Types of public</w:t>
      </w:r>
      <w:r w:rsidR="00DD2DAF">
        <w:rPr>
          <w:noProof/>
          <w:lang w:eastAsia="en-AU"/>
        </w:rPr>
        <w:t xml:space="preserve"> statement</w:t>
      </w:r>
      <w:bookmarkEnd w:id="2"/>
      <w:r>
        <w:rPr>
          <w:noProof/>
          <w:lang w:eastAsia="en-AU"/>
        </w:rPr>
        <w:t xml:space="preserve"> </w:t>
      </w:r>
    </w:p>
    <w:p w14:paraId="5175A1A5" w14:textId="614155D7" w:rsidR="00010918" w:rsidRPr="00382216" w:rsidRDefault="00010918" w:rsidP="00382216">
      <w:pPr>
        <w:pStyle w:val="Heading3"/>
        <w:spacing w:before="300"/>
        <w:rPr>
          <w:lang w:eastAsia="en-AU"/>
        </w:rPr>
      </w:pPr>
      <w:bookmarkStart w:id="3" w:name="_Toc110007651"/>
      <w:r>
        <w:rPr>
          <w:lang w:eastAsia="en-AU"/>
        </w:rPr>
        <w:t xml:space="preserve">Public </w:t>
      </w:r>
      <w:r w:rsidR="000E266E">
        <w:rPr>
          <w:lang w:eastAsia="en-AU"/>
        </w:rPr>
        <w:t>r</w:t>
      </w:r>
      <w:r>
        <w:rPr>
          <w:lang w:eastAsia="en-AU"/>
        </w:rPr>
        <w:t xml:space="preserve">eports of </w:t>
      </w:r>
      <w:r w:rsidR="000E266E">
        <w:rPr>
          <w:lang w:eastAsia="en-AU"/>
        </w:rPr>
        <w:t>r</w:t>
      </w:r>
      <w:r>
        <w:rPr>
          <w:lang w:eastAsia="en-AU"/>
        </w:rPr>
        <w:t xml:space="preserve">egulatory </w:t>
      </w:r>
      <w:r w:rsidR="000E266E">
        <w:rPr>
          <w:lang w:eastAsia="en-AU"/>
        </w:rPr>
        <w:t>d</w:t>
      </w:r>
      <w:r>
        <w:rPr>
          <w:lang w:eastAsia="en-AU"/>
        </w:rPr>
        <w:t>ecisions</w:t>
      </w:r>
      <w:bookmarkEnd w:id="3"/>
    </w:p>
    <w:p w14:paraId="02CC244B" w14:textId="1B7117EC" w:rsidR="002E0DD6" w:rsidRPr="00382216" w:rsidRDefault="00B863C0" w:rsidP="00382216">
      <w:pPr>
        <w:pStyle w:val="TEQSAbodytext"/>
        <w:numPr>
          <w:ilvl w:val="0"/>
          <w:numId w:val="71"/>
        </w:numPr>
        <w:tabs>
          <w:tab w:val="left" w:pos="426"/>
          <w:tab w:val="left" w:pos="1134"/>
        </w:tabs>
        <w:spacing w:before="120" w:after="120"/>
        <w:rPr>
          <w:rFonts w:cs="Arial"/>
        </w:rPr>
      </w:pPr>
      <w:r>
        <w:rPr>
          <w:rFonts w:cs="Arial"/>
        </w:rPr>
        <w:t xml:space="preserve">TEQSA publishes reports on </w:t>
      </w:r>
      <w:r w:rsidR="00222F38">
        <w:rPr>
          <w:rFonts w:cs="Arial"/>
        </w:rPr>
        <w:t xml:space="preserve">the types of </w:t>
      </w:r>
      <w:r>
        <w:rPr>
          <w:rFonts w:cs="Arial"/>
        </w:rPr>
        <w:t xml:space="preserve">regulatory decisions </w:t>
      </w:r>
      <w:r w:rsidR="00222F38">
        <w:rPr>
          <w:rFonts w:cs="Arial"/>
        </w:rPr>
        <w:t xml:space="preserve">listed in section 9 of the </w:t>
      </w:r>
      <w:r w:rsidR="00222F38">
        <w:rPr>
          <w:i/>
          <w:iCs/>
          <w:shd w:val="clear" w:color="auto" w:fill="FFFFFF"/>
        </w:rPr>
        <w:t>Tertiary Education Quality and Standards Agency (Register) Guidelines 2017</w:t>
      </w:r>
      <w:r w:rsidR="00222F38">
        <w:rPr>
          <w:rFonts w:cs="Arial"/>
        </w:rPr>
        <w:t>.</w:t>
      </w:r>
      <w:r w:rsidR="00723882">
        <w:rPr>
          <w:rFonts w:cs="Arial"/>
        </w:rPr>
        <w:t xml:space="preserve"> </w:t>
      </w:r>
      <w:r w:rsidR="002E0DD6">
        <w:rPr>
          <w:rFonts w:cs="Arial"/>
        </w:rPr>
        <w:t>Each report</w:t>
      </w:r>
      <w:r>
        <w:rPr>
          <w:rFonts w:cs="Arial"/>
        </w:rPr>
        <w:t xml:space="preserve"> </w:t>
      </w:r>
      <w:r w:rsidR="001B01F9">
        <w:rPr>
          <w:rFonts w:cs="Arial"/>
        </w:rPr>
        <w:t xml:space="preserve">must </w:t>
      </w:r>
      <w:r w:rsidR="002E0DD6">
        <w:rPr>
          <w:rFonts w:cs="Arial"/>
        </w:rPr>
        <w:t>include the following information:</w:t>
      </w:r>
    </w:p>
    <w:p w14:paraId="6C990F36" w14:textId="5CAF8413" w:rsidR="002E0DD6" w:rsidRDefault="004B1B34" w:rsidP="00382216">
      <w:pPr>
        <w:pStyle w:val="TEQSAbodytext"/>
        <w:numPr>
          <w:ilvl w:val="0"/>
          <w:numId w:val="59"/>
        </w:numPr>
        <w:tabs>
          <w:tab w:val="left" w:pos="426"/>
          <w:tab w:val="left" w:pos="1134"/>
        </w:tabs>
        <w:spacing w:before="120" w:after="120"/>
        <w:ind w:left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name of the </w:t>
      </w:r>
      <w:r w:rsidR="002E0DD6" w:rsidRPr="00382216">
        <w:rPr>
          <w:rFonts w:asciiTheme="minorHAnsi" w:eastAsiaTheme="minorHAnsi" w:hAnsiTheme="minorHAnsi" w:cs="Arial"/>
          <w:color w:val="000000" w:themeColor="text1"/>
          <w:szCs w:val="22"/>
          <w:u w:val="single"/>
          <w:lang w:val="en-AU" w:eastAsia="en-AU"/>
        </w:rPr>
        <w:t xml:space="preserve">provider </w:t>
      </w:r>
    </w:p>
    <w:p w14:paraId="57C03CCA" w14:textId="1EEC7D4D" w:rsidR="00711C7C" w:rsidRPr="0097236D" w:rsidRDefault="00723882" w:rsidP="00382216">
      <w:pPr>
        <w:pStyle w:val="TEQSAbodytext"/>
        <w:numPr>
          <w:ilvl w:val="0"/>
          <w:numId w:val="59"/>
        </w:numPr>
        <w:tabs>
          <w:tab w:val="left" w:pos="426"/>
          <w:tab w:val="left" w:pos="1134"/>
        </w:tabs>
        <w:spacing w:before="120" w:after="120"/>
        <w:ind w:left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</w:t>
      </w:r>
      <w:r w:rsidR="002E0DD6" w:rsidRPr="00382216">
        <w:rPr>
          <w:rFonts w:asciiTheme="minorHAnsi" w:eastAsiaTheme="minorHAnsi" w:hAnsiTheme="minorHAnsi" w:cs="Arial"/>
          <w:color w:val="000000" w:themeColor="text1"/>
          <w:szCs w:val="22"/>
          <w:u w:val="single"/>
          <w:lang w:val="en-AU" w:eastAsia="en-AU"/>
        </w:rPr>
        <w:t>decision reached</w:t>
      </w:r>
      <w:r w:rsidR="00741370" w:rsidRPr="00382216">
        <w:rPr>
          <w:rFonts w:asciiTheme="minorHAnsi" w:eastAsiaTheme="minorHAnsi" w:hAnsiTheme="minorHAnsi" w:cs="Arial"/>
          <w:color w:val="000000" w:themeColor="text1"/>
          <w:szCs w:val="22"/>
          <w:u w:val="single"/>
          <w:lang w:val="en-AU" w:eastAsia="en-AU"/>
        </w:rPr>
        <w:t>,</w:t>
      </w:r>
      <w:r w:rsidR="00741370">
        <w:rPr>
          <w:rFonts w:cs="Arial"/>
          <w:szCs w:val="22"/>
          <w:lang w:eastAsia="en-AU"/>
        </w:rPr>
        <w:t xml:space="preserve"> the </w:t>
      </w:r>
      <w:r w:rsidR="001B01F9">
        <w:rPr>
          <w:rFonts w:cs="Arial"/>
          <w:szCs w:val="22"/>
          <w:lang w:eastAsia="en-AU"/>
        </w:rPr>
        <w:t xml:space="preserve">legislative </w:t>
      </w:r>
      <w:r w:rsidR="009B3038">
        <w:rPr>
          <w:rFonts w:cs="Arial"/>
          <w:szCs w:val="22"/>
          <w:lang w:eastAsia="en-AU"/>
        </w:rPr>
        <w:t>provisions under which the decision was made</w:t>
      </w:r>
      <w:r w:rsidR="002E0DD6">
        <w:rPr>
          <w:rFonts w:cs="Arial"/>
          <w:szCs w:val="22"/>
          <w:lang w:eastAsia="en-AU"/>
        </w:rPr>
        <w:t xml:space="preserve"> and </w:t>
      </w:r>
      <w:r w:rsidR="009B3038">
        <w:rPr>
          <w:rFonts w:cs="Arial"/>
          <w:szCs w:val="22"/>
          <w:lang w:eastAsia="en-AU"/>
        </w:rPr>
        <w:t xml:space="preserve">the </w:t>
      </w:r>
      <w:r w:rsidR="002E0DD6">
        <w:rPr>
          <w:rFonts w:cs="Arial"/>
          <w:szCs w:val="22"/>
          <w:lang w:eastAsia="en-AU"/>
        </w:rPr>
        <w:t>main reasons for the decision</w:t>
      </w:r>
      <w:r w:rsidR="00711C7C">
        <w:rPr>
          <w:rFonts w:cs="Arial"/>
          <w:szCs w:val="22"/>
          <w:lang w:eastAsia="en-AU"/>
        </w:rPr>
        <w:t>. T</w:t>
      </w:r>
      <w:r w:rsidR="00CA0FD3" w:rsidRPr="00AB7B73">
        <w:rPr>
          <w:rFonts w:cs="Arial"/>
          <w:szCs w:val="22"/>
          <w:lang w:eastAsia="en-AU"/>
        </w:rPr>
        <w:t xml:space="preserve">his </w:t>
      </w:r>
      <w:r w:rsidR="002E0DD6" w:rsidRPr="00711C7C">
        <w:rPr>
          <w:rFonts w:cs="Arial"/>
          <w:szCs w:val="22"/>
          <w:lang w:eastAsia="en-AU"/>
        </w:rPr>
        <w:t>includ</w:t>
      </w:r>
      <w:r w:rsidR="00CA0FD3" w:rsidRPr="00711C7C">
        <w:rPr>
          <w:rFonts w:cs="Arial"/>
          <w:szCs w:val="22"/>
          <w:lang w:eastAsia="en-AU"/>
        </w:rPr>
        <w:t>es</w:t>
      </w:r>
      <w:r w:rsidR="002E0DD6" w:rsidRPr="00711C7C">
        <w:rPr>
          <w:rFonts w:cs="Arial"/>
          <w:szCs w:val="22"/>
          <w:lang w:eastAsia="en-AU"/>
        </w:rPr>
        <w:t xml:space="preserve">, </w:t>
      </w:r>
      <w:r w:rsidR="00574851">
        <w:rPr>
          <w:rFonts w:cs="Arial"/>
          <w:szCs w:val="22"/>
          <w:lang w:eastAsia="en-AU"/>
        </w:rPr>
        <w:t>as</w:t>
      </w:r>
      <w:r w:rsidR="00711C7C" w:rsidRPr="00AB7B73">
        <w:rPr>
          <w:rFonts w:cs="Arial"/>
          <w:szCs w:val="22"/>
          <w:lang w:eastAsia="en-AU"/>
        </w:rPr>
        <w:t xml:space="preserve"> relevant</w:t>
      </w:r>
      <w:r w:rsidR="00711C7C" w:rsidRPr="00DC24E5">
        <w:rPr>
          <w:rFonts w:cs="Arial"/>
          <w:szCs w:val="22"/>
          <w:lang w:eastAsia="en-AU"/>
        </w:rPr>
        <w:t>:</w:t>
      </w:r>
    </w:p>
    <w:p w14:paraId="76776E93" w14:textId="02766D49" w:rsidR="00711C7C" w:rsidRDefault="00CA0FD3" w:rsidP="00382216">
      <w:pPr>
        <w:pStyle w:val="TEQSAbodytext"/>
        <w:numPr>
          <w:ilvl w:val="0"/>
          <w:numId w:val="55"/>
        </w:numPr>
        <w:tabs>
          <w:tab w:val="left" w:pos="426"/>
          <w:tab w:val="left" w:pos="1134"/>
        </w:tabs>
        <w:spacing w:before="120" w:after="120"/>
        <w:ind w:left="144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</w:t>
      </w:r>
      <w:r w:rsidR="002E0DD6">
        <w:rPr>
          <w:rFonts w:cs="Arial"/>
          <w:szCs w:val="22"/>
          <w:lang w:eastAsia="en-AU"/>
        </w:rPr>
        <w:t>period of registration</w:t>
      </w:r>
    </w:p>
    <w:p w14:paraId="24A76159" w14:textId="1C84FBD0" w:rsidR="00711C7C" w:rsidRDefault="00CA0FD3" w:rsidP="00382216">
      <w:pPr>
        <w:pStyle w:val="TEQSAbodytext"/>
        <w:numPr>
          <w:ilvl w:val="0"/>
          <w:numId w:val="55"/>
        </w:numPr>
        <w:tabs>
          <w:tab w:val="left" w:pos="426"/>
          <w:tab w:val="left" w:pos="1134"/>
        </w:tabs>
        <w:spacing w:before="120" w:after="120"/>
        <w:ind w:left="144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</w:t>
      </w:r>
      <w:r w:rsidR="002E0DD6">
        <w:rPr>
          <w:rFonts w:cs="Arial"/>
          <w:szCs w:val="22"/>
          <w:lang w:eastAsia="en-AU"/>
        </w:rPr>
        <w:t>provider category</w:t>
      </w:r>
    </w:p>
    <w:p w14:paraId="3ECFB637" w14:textId="50402AD0" w:rsidR="00574851" w:rsidRDefault="00CA0FD3" w:rsidP="00382216">
      <w:pPr>
        <w:pStyle w:val="TEQSAbodytext"/>
        <w:numPr>
          <w:ilvl w:val="0"/>
          <w:numId w:val="55"/>
        </w:numPr>
        <w:tabs>
          <w:tab w:val="left" w:pos="426"/>
          <w:tab w:val="left" w:pos="1134"/>
        </w:tabs>
        <w:spacing w:before="120" w:after="120"/>
        <w:ind w:left="144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</w:t>
      </w:r>
      <w:r w:rsidR="002E0DD6">
        <w:rPr>
          <w:rFonts w:cs="Arial"/>
          <w:szCs w:val="22"/>
          <w:lang w:eastAsia="en-AU"/>
        </w:rPr>
        <w:t>period of accreditation</w:t>
      </w:r>
      <w:r w:rsidR="00574851">
        <w:rPr>
          <w:rFonts w:cs="Arial"/>
          <w:szCs w:val="22"/>
          <w:lang w:eastAsia="en-AU"/>
        </w:rPr>
        <w:t>; and /</w:t>
      </w:r>
      <w:r w:rsidR="002E0DD6">
        <w:rPr>
          <w:rFonts w:cs="Arial"/>
          <w:szCs w:val="22"/>
          <w:lang w:eastAsia="en-AU"/>
        </w:rPr>
        <w:t xml:space="preserve"> </w:t>
      </w:r>
      <w:r w:rsidR="00574851">
        <w:rPr>
          <w:rFonts w:cs="Arial"/>
          <w:szCs w:val="22"/>
          <w:lang w:eastAsia="en-AU"/>
        </w:rPr>
        <w:t>or</w:t>
      </w:r>
    </w:p>
    <w:p w14:paraId="394E6B33" w14:textId="724DD640" w:rsidR="00574851" w:rsidRPr="00AB7B73" w:rsidRDefault="002E0DD6" w:rsidP="00382216">
      <w:pPr>
        <w:pStyle w:val="TEQSAbodytext"/>
        <w:numPr>
          <w:ilvl w:val="0"/>
          <w:numId w:val="55"/>
        </w:numPr>
        <w:tabs>
          <w:tab w:val="left" w:pos="426"/>
          <w:tab w:val="left" w:pos="1134"/>
        </w:tabs>
        <w:spacing w:before="120" w:after="120"/>
        <w:ind w:left="144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and any conditions imposed</w:t>
      </w:r>
      <w:r w:rsidR="00CA0FD3">
        <w:rPr>
          <w:rFonts w:cs="Arial"/>
          <w:szCs w:val="22"/>
          <w:lang w:eastAsia="en-AU"/>
        </w:rPr>
        <w:t xml:space="preserve">. </w:t>
      </w:r>
    </w:p>
    <w:p w14:paraId="453045D0" w14:textId="7C4DE58C" w:rsidR="00473269" w:rsidRDefault="002A187A" w:rsidP="00382216">
      <w:pPr>
        <w:pStyle w:val="TEQSAbodytext"/>
        <w:numPr>
          <w:ilvl w:val="0"/>
          <w:numId w:val="59"/>
        </w:numPr>
        <w:tabs>
          <w:tab w:val="left" w:pos="426"/>
          <w:tab w:val="left" w:pos="1134"/>
        </w:tabs>
        <w:spacing w:before="120" w:after="120"/>
        <w:ind w:left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any </w:t>
      </w:r>
      <w:r w:rsidR="002E0DD6" w:rsidRPr="00382216">
        <w:rPr>
          <w:rFonts w:asciiTheme="minorHAnsi" w:eastAsiaTheme="minorHAnsi" w:hAnsiTheme="minorHAnsi" w:cs="Arial"/>
          <w:color w:val="000000" w:themeColor="text1"/>
          <w:szCs w:val="22"/>
          <w:u w:val="single"/>
          <w:lang w:val="en-AU" w:eastAsia="en-AU"/>
        </w:rPr>
        <w:t>observations</w:t>
      </w:r>
      <w:r w:rsidR="002E0DD6" w:rsidRPr="00473269">
        <w:rPr>
          <w:rFonts w:cs="Arial"/>
          <w:b/>
          <w:bCs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made by TEQSA </w:t>
      </w:r>
      <w:r w:rsidR="001D100A">
        <w:rPr>
          <w:rFonts w:cs="Arial"/>
          <w:szCs w:val="22"/>
          <w:lang w:eastAsia="en-AU"/>
        </w:rPr>
        <w:t xml:space="preserve">including, </w:t>
      </w:r>
      <w:r w:rsidR="002E0DD6">
        <w:rPr>
          <w:rFonts w:cs="Arial"/>
          <w:szCs w:val="22"/>
          <w:lang w:eastAsia="en-AU"/>
        </w:rPr>
        <w:t xml:space="preserve">as applicable, any concerns that TEQSA </w:t>
      </w:r>
      <w:r w:rsidR="001071DD">
        <w:rPr>
          <w:rFonts w:cs="Arial"/>
          <w:szCs w:val="22"/>
          <w:lang w:eastAsia="en-AU"/>
        </w:rPr>
        <w:t>has</w:t>
      </w:r>
      <w:r w:rsidR="002E0DD6">
        <w:rPr>
          <w:rFonts w:cs="Arial"/>
          <w:szCs w:val="22"/>
          <w:lang w:eastAsia="en-AU"/>
        </w:rPr>
        <w:t xml:space="preserve"> regarding the provider’s ability to continue to meet the Threshold Standards.</w:t>
      </w:r>
      <w:r w:rsidR="00473269">
        <w:rPr>
          <w:rFonts w:cs="Arial"/>
          <w:szCs w:val="22"/>
          <w:lang w:eastAsia="en-AU"/>
        </w:rPr>
        <w:t xml:space="preserve"> </w:t>
      </w:r>
    </w:p>
    <w:p w14:paraId="7209087B" w14:textId="5203805C" w:rsidR="00FE063C" w:rsidRPr="00473269" w:rsidRDefault="00473269" w:rsidP="00382216">
      <w:pPr>
        <w:pStyle w:val="TEQSAbodytext"/>
        <w:numPr>
          <w:ilvl w:val="0"/>
          <w:numId w:val="59"/>
        </w:numPr>
        <w:tabs>
          <w:tab w:val="left" w:pos="426"/>
          <w:tab w:val="left" w:pos="1134"/>
        </w:tabs>
        <w:spacing w:before="120" w:after="120"/>
        <w:ind w:left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l</w:t>
      </w:r>
      <w:r w:rsidRPr="00C52DEE">
        <w:rPr>
          <w:rFonts w:cs="Arial"/>
          <w:szCs w:val="22"/>
          <w:lang w:eastAsia="en-AU"/>
        </w:rPr>
        <w:t xml:space="preserve">inks to </w:t>
      </w:r>
      <w:r w:rsidRPr="00382216">
        <w:rPr>
          <w:rFonts w:asciiTheme="minorHAnsi" w:eastAsiaTheme="minorHAnsi" w:hAnsiTheme="minorHAnsi" w:cs="Arial"/>
          <w:color w:val="000000" w:themeColor="text1"/>
          <w:szCs w:val="22"/>
          <w:u w:val="single"/>
          <w:lang w:val="en-AU" w:eastAsia="en-AU"/>
        </w:rPr>
        <w:t>relevant information</w:t>
      </w:r>
      <w:r w:rsidRPr="00C52DEE">
        <w:rPr>
          <w:rFonts w:cs="Arial"/>
          <w:szCs w:val="22"/>
          <w:lang w:eastAsia="en-AU"/>
        </w:rPr>
        <w:t xml:space="preserve"> including the relevant objects of the TEQSA Acts, information about TEQSA’s role, the TEQSA Act and the Threshold Standards</w:t>
      </w:r>
      <w:r>
        <w:rPr>
          <w:rFonts w:cs="Arial"/>
          <w:szCs w:val="22"/>
          <w:lang w:eastAsia="en-AU"/>
        </w:rPr>
        <w:t>.</w:t>
      </w:r>
    </w:p>
    <w:p w14:paraId="588BC47F" w14:textId="77777777" w:rsidR="00E82D1E" w:rsidRDefault="00E82D1E" w:rsidP="00E82D1E">
      <w:pPr>
        <w:rPr>
          <w:rFonts w:cs="Arial"/>
          <w:lang w:eastAsia="en-AU"/>
        </w:rPr>
      </w:pPr>
    </w:p>
    <w:p w14:paraId="213F908F" w14:textId="2AAA1824" w:rsidR="00AF348B" w:rsidRPr="00800ECA" w:rsidRDefault="000A3EA2" w:rsidP="00382216">
      <w:pPr>
        <w:pStyle w:val="ListParagraph"/>
        <w:numPr>
          <w:ilvl w:val="0"/>
          <w:numId w:val="71"/>
        </w:numPr>
        <w:ind w:left="357" w:hanging="357"/>
        <w:contextualSpacing w:val="0"/>
        <w:rPr>
          <w:rFonts w:cs="Arial"/>
          <w:lang w:eastAsia="en-AU"/>
        </w:rPr>
      </w:pPr>
      <w:r w:rsidRPr="00AF097A">
        <w:rPr>
          <w:rFonts w:cs="Arial"/>
          <w:lang w:eastAsia="en-AU"/>
        </w:rPr>
        <w:t xml:space="preserve">The </w:t>
      </w:r>
      <w:r w:rsidRPr="00382216">
        <w:rPr>
          <w:rFonts w:cs="Arial"/>
          <w:u w:val="single"/>
          <w:lang w:eastAsia="en-AU"/>
        </w:rPr>
        <w:t>National Register</w:t>
      </w:r>
      <w:r w:rsidRPr="00AF097A">
        <w:rPr>
          <w:rFonts w:cs="Arial"/>
          <w:lang w:eastAsia="en-AU"/>
        </w:rPr>
        <w:t xml:space="preserve"> </w:t>
      </w:r>
      <w:r w:rsidR="00F7658C" w:rsidRPr="00AF097A">
        <w:rPr>
          <w:rFonts w:cs="Arial"/>
          <w:lang w:eastAsia="en-AU"/>
        </w:rPr>
        <w:t xml:space="preserve">should </w:t>
      </w:r>
      <w:r w:rsidRPr="00800ECA">
        <w:rPr>
          <w:rFonts w:cs="Arial"/>
          <w:lang w:eastAsia="en-AU"/>
        </w:rPr>
        <w:t xml:space="preserve">be updated to </w:t>
      </w:r>
      <w:r w:rsidR="00AB795C" w:rsidRPr="00800ECA">
        <w:rPr>
          <w:rFonts w:cs="Arial"/>
          <w:lang w:eastAsia="en-AU"/>
        </w:rPr>
        <w:t xml:space="preserve">reflect </w:t>
      </w:r>
      <w:r w:rsidR="00AC4289" w:rsidRPr="00800ECA">
        <w:rPr>
          <w:rFonts w:cs="Arial"/>
          <w:lang w:eastAsia="en-AU"/>
        </w:rPr>
        <w:t>the</w:t>
      </w:r>
      <w:r w:rsidR="00B81642" w:rsidRPr="00800ECA">
        <w:rPr>
          <w:rFonts w:cs="Arial"/>
          <w:lang w:eastAsia="en-AU"/>
        </w:rPr>
        <w:t>se</w:t>
      </w:r>
      <w:r w:rsidR="00AC4289" w:rsidRPr="00800ECA">
        <w:rPr>
          <w:rFonts w:cs="Arial"/>
          <w:lang w:eastAsia="en-AU"/>
        </w:rPr>
        <w:t xml:space="preserve"> regulatory decisions as soon as practicable. </w:t>
      </w:r>
      <w:r w:rsidR="00985205" w:rsidRPr="00800ECA">
        <w:rPr>
          <w:rFonts w:cs="Arial"/>
          <w:lang w:eastAsia="en-AU"/>
        </w:rPr>
        <w:t>However, where a</w:t>
      </w:r>
      <w:r w:rsidR="00AC4289" w:rsidRPr="00800ECA">
        <w:rPr>
          <w:rFonts w:cs="Arial"/>
          <w:lang w:eastAsia="en-AU"/>
        </w:rPr>
        <w:t xml:space="preserve"> decision </w:t>
      </w:r>
      <w:r w:rsidR="00526C7F" w:rsidRPr="00800ECA">
        <w:rPr>
          <w:rFonts w:cs="Arial"/>
          <w:lang w:eastAsia="en-AU"/>
        </w:rPr>
        <w:t>is</w:t>
      </w:r>
      <w:r w:rsidR="003A1E17" w:rsidRPr="00800ECA">
        <w:rPr>
          <w:rFonts w:cs="Arial"/>
          <w:lang w:eastAsia="en-AU"/>
        </w:rPr>
        <w:t xml:space="preserve"> subject to </w:t>
      </w:r>
      <w:r w:rsidR="00AC4289" w:rsidRPr="00800ECA">
        <w:rPr>
          <w:rFonts w:cs="Arial"/>
          <w:lang w:eastAsia="en-AU"/>
        </w:rPr>
        <w:t>a right of internal review (reviewable decisions made by a delegate)</w:t>
      </w:r>
      <w:r w:rsidR="00526C7F" w:rsidRPr="00800ECA">
        <w:rPr>
          <w:rFonts w:cs="Arial"/>
          <w:lang w:eastAsia="en-AU"/>
        </w:rPr>
        <w:t xml:space="preserve">, </w:t>
      </w:r>
      <w:r w:rsidR="00F400B6" w:rsidRPr="00800ECA">
        <w:rPr>
          <w:rFonts w:cs="Arial"/>
          <w:lang w:eastAsia="en-AU"/>
        </w:rPr>
        <w:t xml:space="preserve">those </w:t>
      </w:r>
      <w:r w:rsidR="00215552" w:rsidRPr="00800ECA">
        <w:rPr>
          <w:rFonts w:cs="Arial"/>
          <w:lang w:eastAsia="en-AU"/>
        </w:rPr>
        <w:t xml:space="preserve">decisions will </w:t>
      </w:r>
      <w:r w:rsidR="00F400B6" w:rsidRPr="00800ECA">
        <w:rPr>
          <w:rFonts w:cs="Arial"/>
          <w:lang w:eastAsia="en-AU"/>
        </w:rPr>
        <w:t xml:space="preserve">only </w:t>
      </w:r>
      <w:r w:rsidR="00215552" w:rsidRPr="00800ECA">
        <w:rPr>
          <w:rFonts w:cs="Arial"/>
          <w:lang w:eastAsia="en-AU"/>
        </w:rPr>
        <w:t>be published</w:t>
      </w:r>
      <w:r w:rsidR="00AF348B" w:rsidRPr="00800ECA">
        <w:rPr>
          <w:rFonts w:cs="Arial"/>
          <w:lang w:eastAsia="en-AU"/>
        </w:rPr>
        <w:t>:</w:t>
      </w:r>
      <w:r w:rsidR="00215552" w:rsidRPr="00800ECA">
        <w:rPr>
          <w:rFonts w:cs="Arial"/>
          <w:lang w:eastAsia="en-AU"/>
        </w:rPr>
        <w:t xml:space="preserve"> </w:t>
      </w:r>
    </w:p>
    <w:p w14:paraId="4CE8895D" w14:textId="1E0AAC6C" w:rsidR="00AF348B" w:rsidRPr="00800ECA" w:rsidRDefault="00215552" w:rsidP="007C667A">
      <w:pPr>
        <w:pStyle w:val="ListParagraph"/>
        <w:numPr>
          <w:ilvl w:val="0"/>
          <w:numId w:val="84"/>
        </w:numPr>
        <w:contextualSpacing w:val="0"/>
        <w:rPr>
          <w:szCs w:val="24"/>
        </w:rPr>
      </w:pPr>
      <w:r w:rsidRPr="00AF348B">
        <w:rPr>
          <w:szCs w:val="24"/>
        </w:rPr>
        <w:t xml:space="preserve">at the end of the period within which an application </w:t>
      </w:r>
      <w:r w:rsidR="00F400B6" w:rsidRPr="00AF348B">
        <w:rPr>
          <w:szCs w:val="24"/>
        </w:rPr>
        <w:t xml:space="preserve">for internal review can </w:t>
      </w:r>
      <w:r w:rsidRPr="00800ECA">
        <w:rPr>
          <w:szCs w:val="24"/>
        </w:rPr>
        <w:t>be made</w:t>
      </w:r>
      <w:r w:rsidR="00AF348B" w:rsidRPr="00800ECA">
        <w:rPr>
          <w:szCs w:val="24"/>
        </w:rPr>
        <w:t>;</w:t>
      </w:r>
      <w:r w:rsidRPr="00800ECA">
        <w:rPr>
          <w:szCs w:val="24"/>
        </w:rPr>
        <w:t xml:space="preserve"> or </w:t>
      </w:r>
    </w:p>
    <w:p w14:paraId="439401BD" w14:textId="41614D8A" w:rsidR="000A3EA2" w:rsidRPr="00AF348B" w:rsidRDefault="00215552" w:rsidP="007C667A">
      <w:pPr>
        <w:pStyle w:val="ListParagraph"/>
        <w:numPr>
          <w:ilvl w:val="0"/>
          <w:numId w:val="84"/>
        </w:numPr>
        <w:contextualSpacing w:val="0"/>
        <w:rPr>
          <w:rFonts w:cs="Arial"/>
          <w:lang w:eastAsia="en-AU"/>
        </w:rPr>
      </w:pPr>
      <w:r w:rsidRPr="00800ECA">
        <w:rPr>
          <w:szCs w:val="24"/>
        </w:rPr>
        <w:t>at the end of the internal review process, whichever is the later.</w:t>
      </w:r>
    </w:p>
    <w:p w14:paraId="7A8F0962" w14:textId="521C662D" w:rsidR="004E6CA9" w:rsidRPr="007557F0" w:rsidRDefault="004E6A76" w:rsidP="00382216">
      <w:pPr>
        <w:pStyle w:val="Heading3"/>
        <w:spacing w:before="300"/>
        <w:rPr>
          <w:lang w:eastAsia="en-AU"/>
        </w:rPr>
      </w:pPr>
      <w:bookmarkStart w:id="4" w:name="_Toc110007652"/>
      <w:r>
        <w:rPr>
          <w:lang w:eastAsia="en-AU"/>
        </w:rPr>
        <w:t xml:space="preserve">Comments on </w:t>
      </w:r>
      <w:r w:rsidR="009B7E58">
        <w:rPr>
          <w:lang w:eastAsia="en-AU"/>
        </w:rPr>
        <w:t>i</w:t>
      </w:r>
      <w:r w:rsidR="004E6CA9" w:rsidRPr="007557F0">
        <w:rPr>
          <w:lang w:eastAsia="en-AU"/>
        </w:rPr>
        <w:t xml:space="preserve">nquiries and </w:t>
      </w:r>
      <w:r w:rsidR="009B7E58">
        <w:rPr>
          <w:lang w:eastAsia="en-AU"/>
        </w:rPr>
        <w:t>i</w:t>
      </w:r>
      <w:r w:rsidR="004E6CA9" w:rsidRPr="007557F0">
        <w:rPr>
          <w:lang w:eastAsia="en-AU"/>
        </w:rPr>
        <w:t>nvestigations</w:t>
      </w:r>
      <w:bookmarkEnd w:id="4"/>
    </w:p>
    <w:p w14:paraId="22A91264" w14:textId="46B6CE97" w:rsidR="00433873" w:rsidRPr="00800ECA" w:rsidRDefault="00DC24E5" w:rsidP="00382216">
      <w:pPr>
        <w:pStyle w:val="ListParagraph"/>
        <w:numPr>
          <w:ilvl w:val="0"/>
          <w:numId w:val="71"/>
        </w:numPr>
        <w:ind w:hanging="357"/>
        <w:contextualSpacing w:val="0"/>
        <w:rPr>
          <w:rFonts w:cs="Arial"/>
          <w:lang w:eastAsia="en-AU"/>
        </w:rPr>
      </w:pPr>
      <w:r w:rsidRPr="00AF097A">
        <w:rPr>
          <w:rFonts w:cs="Arial"/>
          <w:lang w:eastAsia="en-AU"/>
        </w:rPr>
        <w:t xml:space="preserve">Comments by TEQSA about inquiries or investigations </w:t>
      </w:r>
      <w:r w:rsidRPr="00382216">
        <w:rPr>
          <w:rFonts w:cs="Arial"/>
          <w:u w:val="single"/>
          <w:lang w:eastAsia="en-AU"/>
        </w:rPr>
        <w:t>should generally be confined to confirmation that TEQSA is undertaking inquiries or an investigation</w:t>
      </w:r>
      <w:r w:rsidRPr="00AF097A">
        <w:rPr>
          <w:rFonts w:cs="Arial"/>
          <w:lang w:eastAsia="en-AU"/>
        </w:rPr>
        <w:t xml:space="preserve">. </w:t>
      </w:r>
      <w:r w:rsidR="000B5160" w:rsidRPr="0046098C">
        <w:rPr>
          <w:rFonts w:cs="Arial"/>
          <w:lang w:eastAsia="en-AU"/>
        </w:rPr>
        <w:t xml:space="preserve">Before commenting, </w:t>
      </w:r>
      <w:r w:rsidR="004E6CA9" w:rsidRPr="0046098C">
        <w:rPr>
          <w:rFonts w:cs="Arial"/>
          <w:lang w:eastAsia="en-AU"/>
        </w:rPr>
        <w:t xml:space="preserve">TEQSA </w:t>
      </w:r>
      <w:r w:rsidR="008C5C18" w:rsidRPr="00800ECA">
        <w:rPr>
          <w:rFonts w:cs="Arial"/>
          <w:lang w:eastAsia="en-AU"/>
        </w:rPr>
        <w:t xml:space="preserve">should </w:t>
      </w:r>
      <w:r w:rsidR="004E6CA9" w:rsidRPr="00800ECA">
        <w:rPr>
          <w:rFonts w:cs="Arial"/>
          <w:lang w:eastAsia="en-AU"/>
        </w:rPr>
        <w:t xml:space="preserve">carefully consider </w:t>
      </w:r>
      <w:r w:rsidR="00433873" w:rsidRPr="00800ECA">
        <w:rPr>
          <w:rFonts w:cs="Arial"/>
          <w:lang w:eastAsia="en-AU"/>
        </w:rPr>
        <w:t>the risk of</w:t>
      </w:r>
      <w:r w:rsidR="004E6CA9" w:rsidRPr="00800ECA">
        <w:rPr>
          <w:rFonts w:cs="Arial"/>
          <w:lang w:eastAsia="en-AU"/>
        </w:rPr>
        <w:t xml:space="preserve"> public comment prejudic</w:t>
      </w:r>
      <w:r w:rsidR="00433873" w:rsidRPr="00800ECA">
        <w:rPr>
          <w:rFonts w:cs="Arial"/>
          <w:lang w:eastAsia="en-AU"/>
        </w:rPr>
        <w:t>ing</w:t>
      </w:r>
      <w:r w:rsidR="002809F5" w:rsidRPr="00800ECA">
        <w:rPr>
          <w:rFonts w:cs="Arial"/>
          <w:lang w:eastAsia="en-AU"/>
        </w:rPr>
        <w:t>:</w:t>
      </w:r>
      <w:r w:rsidR="004E6CA9" w:rsidRPr="00800ECA">
        <w:rPr>
          <w:rFonts w:cs="Arial"/>
          <w:lang w:eastAsia="en-AU"/>
        </w:rPr>
        <w:t xml:space="preserve"> </w:t>
      </w:r>
    </w:p>
    <w:p w14:paraId="2346F873" w14:textId="77777777" w:rsidR="002809F5" w:rsidRPr="0097236D" w:rsidRDefault="004E6CA9" w:rsidP="007C667A">
      <w:pPr>
        <w:pStyle w:val="TEQSAbodytext"/>
        <w:numPr>
          <w:ilvl w:val="0"/>
          <w:numId w:val="85"/>
        </w:numPr>
        <w:tabs>
          <w:tab w:val="left" w:pos="426"/>
          <w:tab w:val="left" w:pos="1134"/>
        </w:tabs>
        <w:spacing w:before="120" w:after="120" w:line="240" w:lineRule="auto"/>
        <w:rPr>
          <w:rFonts w:cs="Arial"/>
          <w:lang w:eastAsia="en-AU"/>
        </w:rPr>
      </w:pPr>
      <w:r w:rsidRPr="00F7658C">
        <w:rPr>
          <w:rFonts w:cs="Arial"/>
          <w:szCs w:val="22"/>
          <w:lang w:eastAsia="en-AU"/>
        </w:rPr>
        <w:t>TEQSA’s ability to investigate a matter</w:t>
      </w:r>
      <w:r w:rsidR="00433873" w:rsidRPr="0097236D">
        <w:rPr>
          <w:rFonts w:cs="Arial"/>
          <w:szCs w:val="22"/>
          <w:lang w:eastAsia="en-AU"/>
        </w:rPr>
        <w:t>;</w:t>
      </w:r>
      <w:r w:rsidRPr="0097236D">
        <w:rPr>
          <w:rFonts w:cs="Arial"/>
          <w:szCs w:val="22"/>
          <w:lang w:eastAsia="en-AU"/>
        </w:rPr>
        <w:t xml:space="preserve"> or</w:t>
      </w:r>
    </w:p>
    <w:p w14:paraId="24B6FBC8" w14:textId="4A147281" w:rsidR="004731FE" w:rsidRPr="00800ECA" w:rsidRDefault="004E6CA9" w:rsidP="007C667A">
      <w:pPr>
        <w:pStyle w:val="TEQSAbodytext"/>
        <w:numPr>
          <w:ilvl w:val="0"/>
          <w:numId w:val="85"/>
        </w:numPr>
        <w:tabs>
          <w:tab w:val="left" w:pos="426"/>
          <w:tab w:val="left" w:pos="1134"/>
        </w:tabs>
        <w:spacing w:before="120" w:after="120" w:line="240" w:lineRule="auto"/>
        <w:rPr>
          <w:rFonts w:cs="Arial"/>
          <w:lang w:eastAsia="en-AU"/>
        </w:rPr>
      </w:pPr>
      <w:r w:rsidRPr="00AF097A">
        <w:rPr>
          <w:rFonts w:cs="Arial"/>
          <w:szCs w:val="22"/>
          <w:lang w:eastAsia="en-AU"/>
        </w:rPr>
        <w:t>the right of a pers</w:t>
      </w:r>
      <w:r w:rsidRPr="0046098C">
        <w:rPr>
          <w:rFonts w:cs="Arial"/>
          <w:szCs w:val="22"/>
          <w:lang w:eastAsia="en-AU"/>
        </w:rPr>
        <w:t xml:space="preserve">on or body to </w:t>
      </w:r>
      <w:r w:rsidR="00F530FD" w:rsidRPr="0046098C">
        <w:rPr>
          <w:rFonts w:cs="Arial"/>
          <w:szCs w:val="22"/>
          <w:lang w:eastAsia="en-AU"/>
        </w:rPr>
        <w:t xml:space="preserve">procedural fairness </w:t>
      </w:r>
      <w:r w:rsidR="004731FE" w:rsidRPr="00800ECA">
        <w:rPr>
          <w:rFonts w:cs="Arial"/>
          <w:szCs w:val="22"/>
          <w:lang w:eastAsia="en-AU"/>
        </w:rPr>
        <w:t xml:space="preserve">in the </w:t>
      </w:r>
      <w:r w:rsidRPr="00800ECA">
        <w:rPr>
          <w:rFonts w:cs="Arial"/>
          <w:szCs w:val="22"/>
          <w:lang w:eastAsia="en-AU"/>
        </w:rPr>
        <w:t xml:space="preserve">matters </w:t>
      </w:r>
      <w:r w:rsidR="004731FE" w:rsidRPr="00800ECA">
        <w:rPr>
          <w:rFonts w:cs="Arial"/>
          <w:szCs w:val="22"/>
          <w:lang w:eastAsia="en-AU"/>
        </w:rPr>
        <w:t>under</w:t>
      </w:r>
      <w:r w:rsidRPr="00800ECA">
        <w:rPr>
          <w:rFonts w:cs="Arial"/>
          <w:szCs w:val="22"/>
          <w:lang w:eastAsia="en-AU"/>
        </w:rPr>
        <w:t xml:space="preserve"> investigation. </w:t>
      </w:r>
    </w:p>
    <w:p w14:paraId="18AEF10A" w14:textId="2F2CB011" w:rsidR="004E6CA9" w:rsidRPr="0046098C" w:rsidRDefault="00AB7B73" w:rsidP="00382216">
      <w:pPr>
        <w:pStyle w:val="ListParagraph"/>
        <w:numPr>
          <w:ilvl w:val="0"/>
          <w:numId w:val="75"/>
        </w:numPr>
        <w:ind w:hanging="357"/>
        <w:contextualSpacing w:val="0"/>
        <w:rPr>
          <w:rFonts w:cs="Arial"/>
          <w:lang w:eastAsia="en-AU"/>
        </w:rPr>
      </w:pPr>
      <w:r w:rsidRPr="00800ECA">
        <w:rPr>
          <w:rFonts w:cs="Arial"/>
          <w:lang w:eastAsia="en-AU"/>
        </w:rPr>
        <w:t>This</w:t>
      </w:r>
      <w:r w:rsidR="004E6CA9" w:rsidRPr="00800ECA">
        <w:rPr>
          <w:rFonts w:cs="Arial"/>
          <w:lang w:eastAsia="en-AU"/>
        </w:rPr>
        <w:t xml:space="preserve"> may mean that TEQSA </w:t>
      </w:r>
      <w:r w:rsidR="004731FE" w:rsidRPr="00800ECA">
        <w:rPr>
          <w:rFonts w:cs="Arial"/>
          <w:lang w:eastAsia="en-AU"/>
        </w:rPr>
        <w:t>should</w:t>
      </w:r>
      <w:r w:rsidR="004E6CA9" w:rsidRPr="00800ECA">
        <w:rPr>
          <w:rFonts w:cs="Arial"/>
          <w:lang w:eastAsia="en-AU"/>
        </w:rPr>
        <w:t xml:space="preserve"> not comment until relevant facts </w:t>
      </w:r>
      <w:r w:rsidRPr="00800ECA">
        <w:rPr>
          <w:rFonts w:cs="Arial"/>
          <w:lang w:eastAsia="en-AU"/>
        </w:rPr>
        <w:t xml:space="preserve">are established </w:t>
      </w:r>
      <w:r w:rsidR="008576B0" w:rsidRPr="00800ECA">
        <w:rPr>
          <w:rFonts w:cs="Arial"/>
          <w:lang w:eastAsia="en-AU"/>
        </w:rPr>
        <w:t xml:space="preserve">and / </w:t>
      </w:r>
      <w:r w:rsidR="004E6CA9" w:rsidRPr="00800ECA">
        <w:rPr>
          <w:rFonts w:cs="Arial"/>
          <w:lang w:eastAsia="en-AU"/>
        </w:rPr>
        <w:t xml:space="preserve">or </w:t>
      </w:r>
      <w:r w:rsidR="009D08D4">
        <w:rPr>
          <w:rFonts w:cs="Arial"/>
          <w:lang w:eastAsia="en-AU"/>
        </w:rPr>
        <w:t xml:space="preserve">the </w:t>
      </w:r>
      <w:r w:rsidR="0068447A">
        <w:rPr>
          <w:rFonts w:cs="Arial"/>
          <w:lang w:eastAsia="en-AU"/>
        </w:rPr>
        <w:t xml:space="preserve">application of the </w:t>
      </w:r>
      <w:r w:rsidR="009D08D4">
        <w:rPr>
          <w:rFonts w:cs="Arial"/>
          <w:lang w:eastAsia="en-AU"/>
        </w:rPr>
        <w:t xml:space="preserve">relevant </w:t>
      </w:r>
      <w:r w:rsidR="004E6CA9" w:rsidRPr="00800ECA">
        <w:rPr>
          <w:rFonts w:cs="Arial"/>
          <w:lang w:eastAsia="en-AU"/>
        </w:rPr>
        <w:t>legislative provisions</w:t>
      </w:r>
      <w:r w:rsidR="009D08D4">
        <w:rPr>
          <w:rFonts w:cs="Arial"/>
          <w:lang w:eastAsia="en-AU"/>
        </w:rPr>
        <w:t xml:space="preserve"> </w:t>
      </w:r>
      <w:r w:rsidR="0068447A">
        <w:rPr>
          <w:rFonts w:cs="Arial"/>
          <w:lang w:eastAsia="en-AU"/>
        </w:rPr>
        <w:t>to those facts has been considered</w:t>
      </w:r>
      <w:r w:rsidR="004E6CA9" w:rsidRPr="00AF097A">
        <w:rPr>
          <w:rFonts w:cs="Arial"/>
          <w:lang w:eastAsia="en-AU"/>
        </w:rPr>
        <w:t>.</w:t>
      </w:r>
    </w:p>
    <w:p w14:paraId="1E3923B2" w14:textId="0DEE8DFA" w:rsidR="003B5073" w:rsidRPr="0046098C" w:rsidRDefault="004E6CA9" w:rsidP="00382216">
      <w:pPr>
        <w:pStyle w:val="ListParagraph"/>
        <w:numPr>
          <w:ilvl w:val="0"/>
          <w:numId w:val="76"/>
        </w:numPr>
        <w:ind w:hanging="357"/>
        <w:contextualSpacing w:val="0"/>
        <w:rPr>
          <w:rFonts w:cs="Arial"/>
          <w:lang w:eastAsia="en-AU"/>
        </w:rPr>
      </w:pPr>
      <w:r w:rsidRPr="00800ECA">
        <w:rPr>
          <w:rFonts w:cs="Arial"/>
          <w:lang w:eastAsia="en-AU"/>
        </w:rPr>
        <w:t xml:space="preserve">Where TEQSA does confirm that it is undertaking inquiries or an investigation, TEQSA </w:t>
      </w:r>
      <w:r w:rsidR="00E86AC7" w:rsidRPr="00800ECA">
        <w:rPr>
          <w:rFonts w:cs="Arial"/>
          <w:lang w:eastAsia="en-AU"/>
        </w:rPr>
        <w:t xml:space="preserve">must </w:t>
      </w:r>
      <w:r w:rsidRPr="00D26F54">
        <w:rPr>
          <w:rFonts w:cs="Arial"/>
          <w:lang w:eastAsia="en-AU"/>
        </w:rPr>
        <w:t>make clear that</w:t>
      </w:r>
      <w:r w:rsidRPr="00800ECA">
        <w:rPr>
          <w:rFonts w:cs="Arial"/>
          <w:lang w:eastAsia="en-AU"/>
        </w:rPr>
        <w:t xml:space="preserve"> this </w:t>
      </w:r>
      <w:r w:rsidRPr="00382216">
        <w:rPr>
          <w:rFonts w:cs="Arial"/>
          <w:u w:val="single"/>
          <w:lang w:eastAsia="en-AU"/>
        </w:rPr>
        <w:t xml:space="preserve">does not mean that </w:t>
      </w:r>
      <w:r w:rsidR="00F94DE4" w:rsidRPr="00382216">
        <w:rPr>
          <w:rFonts w:cs="Arial"/>
          <w:u w:val="single"/>
          <w:lang w:eastAsia="en-AU"/>
        </w:rPr>
        <w:t>the relevant higher education provider</w:t>
      </w:r>
      <w:r w:rsidR="002D7504" w:rsidRPr="00382216">
        <w:rPr>
          <w:rFonts w:cs="Arial"/>
          <w:u w:val="single"/>
          <w:lang w:eastAsia="en-AU"/>
        </w:rPr>
        <w:t xml:space="preserve">, </w:t>
      </w:r>
      <w:r w:rsidR="00F94DE4" w:rsidRPr="00382216">
        <w:rPr>
          <w:rFonts w:cs="Arial"/>
          <w:u w:val="single"/>
          <w:lang w:eastAsia="en-AU"/>
        </w:rPr>
        <w:t xml:space="preserve">person </w:t>
      </w:r>
      <w:r w:rsidR="002D7504" w:rsidRPr="00382216">
        <w:rPr>
          <w:rFonts w:cs="Arial"/>
          <w:u w:val="single"/>
          <w:lang w:eastAsia="en-AU"/>
        </w:rPr>
        <w:t xml:space="preserve">or body </w:t>
      </w:r>
      <w:r w:rsidRPr="00382216">
        <w:rPr>
          <w:rFonts w:cs="Arial"/>
          <w:u w:val="single"/>
          <w:lang w:eastAsia="en-AU"/>
        </w:rPr>
        <w:t>will necessarily be the subject of any legal or other proceedings.</w:t>
      </w:r>
    </w:p>
    <w:p w14:paraId="61F170E7" w14:textId="59412831" w:rsidR="004E6CA9" w:rsidRPr="007557F0" w:rsidRDefault="004E6A76" w:rsidP="00382216">
      <w:pPr>
        <w:pStyle w:val="Heading3"/>
        <w:spacing w:before="300"/>
        <w:rPr>
          <w:lang w:eastAsia="en-AU"/>
        </w:rPr>
      </w:pPr>
      <w:bookmarkStart w:id="5" w:name="toc-heading-3"/>
      <w:bookmarkStart w:id="6" w:name="_Toc110007653"/>
      <w:bookmarkEnd w:id="5"/>
      <w:r>
        <w:rPr>
          <w:lang w:eastAsia="en-AU"/>
        </w:rPr>
        <w:t xml:space="preserve">Comments on </w:t>
      </w:r>
      <w:r w:rsidR="009B7E58">
        <w:rPr>
          <w:lang w:eastAsia="en-AU"/>
        </w:rPr>
        <w:t>e</w:t>
      </w:r>
      <w:r w:rsidR="004E6CA9" w:rsidRPr="007557F0">
        <w:rPr>
          <w:lang w:eastAsia="en-AU"/>
        </w:rPr>
        <w:t xml:space="preserve">nforcement </w:t>
      </w:r>
      <w:r w:rsidR="009B7E58">
        <w:rPr>
          <w:lang w:eastAsia="en-AU"/>
        </w:rPr>
        <w:t>a</w:t>
      </w:r>
      <w:r w:rsidR="004E6CA9" w:rsidRPr="007557F0">
        <w:rPr>
          <w:lang w:eastAsia="en-AU"/>
        </w:rPr>
        <w:t>ction</w:t>
      </w:r>
      <w:bookmarkEnd w:id="6"/>
    </w:p>
    <w:p w14:paraId="068547E8" w14:textId="4C4FB4C6" w:rsidR="004E6CA9" w:rsidRPr="007557F0" w:rsidRDefault="004E6CA9" w:rsidP="0046098C">
      <w:pPr>
        <w:spacing w:after="240"/>
        <w:rPr>
          <w:rFonts w:cs="Arial"/>
          <w:lang w:eastAsia="en-AU"/>
        </w:rPr>
      </w:pPr>
      <w:r w:rsidRPr="007557F0">
        <w:rPr>
          <w:rFonts w:cs="Arial"/>
          <w:lang w:eastAsia="en-AU"/>
        </w:rPr>
        <w:t xml:space="preserve">Enforcement action includes prosecutions, civil </w:t>
      </w:r>
      <w:r w:rsidR="003B5073" w:rsidRPr="007557F0">
        <w:rPr>
          <w:rFonts w:cs="Arial"/>
          <w:lang w:eastAsia="en-AU"/>
        </w:rPr>
        <w:t>proceedings,</w:t>
      </w:r>
      <w:r w:rsidRPr="007557F0">
        <w:rPr>
          <w:rFonts w:cs="Arial"/>
          <w:lang w:eastAsia="en-AU"/>
        </w:rPr>
        <w:t xml:space="preserve"> and administrative actions.</w:t>
      </w:r>
    </w:p>
    <w:p w14:paraId="1A6EC37F" w14:textId="51437052" w:rsidR="008B3A0C" w:rsidRPr="009B7E58" w:rsidRDefault="008B3A0C" w:rsidP="00382216">
      <w:pPr>
        <w:pStyle w:val="IntroPara"/>
        <w:keepNext/>
        <w:rPr>
          <w:color w:val="004E7D"/>
          <w:lang w:eastAsia="en-AU"/>
        </w:rPr>
      </w:pPr>
      <w:r w:rsidRPr="009B7E58">
        <w:rPr>
          <w:b/>
          <w:bCs/>
          <w:color w:val="004E7D"/>
          <w:lang w:eastAsia="en-AU"/>
        </w:rPr>
        <w:lastRenderedPageBreak/>
        <w:t>Court or tribunal proceedings</w:t>
      </w:r>
      <w:r w:rsidRPr="009B7E58">
        <w:rPr>
          <w:color w:val="004E7D"/>
          <w:lang w:eastAsia="en-AU"/>
        </w:rPr>
        <w:t xml:space="preserve"> </w:t>
      </w:r>
    </w:p>
    <w:p w14:paraId="127A6A00" w14:textId="1F04854B" w:rsidR="00FB4C9B" w:rsidRPr="00800ECA" w:rsidRDefault="00AD0AD7" w:rsidP="00382216">
      <w:pPr>
        <w:pStyle w:val="ListParagraph"/>
        <w:numPr>
          <w:ilvl w:val="0"/>
          <w:numId w:val="77"/>
        </w:numPr>
        <w:ind w:hanging="357"/>
        <w:contextualSpacing w:val="0"/>
        <w:rPr>
          <w:rFonts w:cs="Arial"/>
          <w:lang w:eastAsia="en-AU"/>
        </w:rPr>
      </w:pPr>
      <w:r w:rsidRPr="00AF097A">
        <w:rPr>
          <w:rFonts w:cs="Arial"/>
          <w:lang w:eastAsia="en-AU"/>
        </w:rPr>
        <w:t>Any</w:t>
      </w:r>
      <w:r w:rsidRPr="00241693">
        <w:rPr>
          <w:rFonts w:cs="Arial"/>
          <w:lang w:eastAsia="en-AU"/>
        </w:rPr>
        <w:t xml:space="preserve"> </w:t>
      </w:r>
      <w:r w:rsidR="004E6CA9" w:rsidRPr="00800ECA">
        <w:rPr>
          <w:rFonts w:cs="Arial"/>
          <w:lang w:eastAsia="en-AU"/>
        </w:rPr>
        <w:t xml:space="preserve">comments on the commencement of court or tribunal proceedings </w:t>
      </w:r>
      <w:r w:rsidRPr="00800ECA">
        <w:rPr>
          <w:rFonts w:cs="Arial"/>
          <w:lang w:eastAsia="en-AU"/>
        </w:rPr>
        <w:t xml:space="preserve">should </w:t>
      </w:r>
      <w:r w:rsidR="008B3A0C" w:rsidRPr="00800ECA">
        <w:rPr>
          <w:rFonts w:cs="Arial"/>
          <w:lang w:eastAsia="en-AU"/>
        </w:rPr>
        <w:t xml:space="preserve">only be made </w:t>
      </w:r>
      <w:r w:rsidR="008B3A0C" w:rsidRPr="00382216">
        <w:rPr>
          <w:rFonts w:cs="Arial"/>
          <w:u w:val="single"/>
          <w:lang w:eastAsia="en-AU"/>
        </w:rPr>
        <w:t>once court or tribunal proceedings have commenced</w:t>
      </w:r>
      <w:r w:rsidR="003A5743" w:rsidRPr="00AF097A">
        <w:rPr>
          <w:rFonts w:cs="Arial"/>
          <w:lang w:eastAsia="en-AU"/>
        </w:rPr>
        <w:t>.</w:t>
      </w:r>
      <w:r w:rsidR="003A5743" w:rsidRPr="0046098C">
        <w:rPr>
          <w:rFonts w:cs="Arial"/>
          <w:lang w:eastAsia="en-AU"/>
        </w:rPr>
        <w:t xml:space="preserve"> T</w:t>
      </w:r>
      <w:r w:rsidR="003A5743" w:rsidRPr="00800ECA">
        <w:rPr>
          <w:rFonts w:cs="Arial"/>
          <w:lang w:eastAsia="en-AU"/>
        </w:rPr>
        <w:t xml:space="preserve">he comments should </w:t>
      </w:r>
      <w:r w:rsidRPr="00800ECA">
        <w:rPr>
          <w:rFonts w:cs="Arial"/>
          <w:lang w:eastAsia="en-AU"/>
        </w:rPr>
        <w:t>be</w:t>
      </w:r>
      <w:r w:rsidR="004E6CA9" w:rsidRPr="00800ECA">
        <w:rPr>
          <w:rFonts w:cs="Arial"/>
          <w:lang w:eastAsia="en-AU"/>
        </w:rPr>
        <w:t xml:space="preserve"> confine</w:t>
      </w:r>
      <w:r w:rsidRPr="00800ECA">
        <w:rPr>
          <w:rFonts w:cs="Arial"/>
          <w:lang w:eastAsia="en-AU"/>
        </w:rPr>
        <w:t xml:space="preserve">d to </w:t>
      </w:r>
      <w:r w:rsidR="004E6CA9" w:rsidRPr="00800ECA">
        <w:rPr>
          <w:rFonts w:cs="Arial"/>
          <w:lang w:eastAsia="en-AU"/>
        </w:rPr>
        <w:t xml:space="preserve">a description of the nature of the proceedings. </w:t>
      </w:r>
    </w:p>
    <w:p w14:paraId="3DAB5E45" w14:textId="0B7A3FB4" w:rsidR="00AC761E" w:rsidRDefault="00FB4C9B" w:rsidP="007C667A">
      <w:pPr>
        <w:pStyle w:val="ListParagraph"/>
        <w:numPr>
          <w:ilvl w:val="0"/>
          <w:numId w:val="86"/>
        </w:numPr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There should be no </w:t>
      </w:r>
      <w:r w:rsidR="004E6CA9" w:rsidRPr="00800ECA">
        <w:rPr>
          <w:rFonts w:cs="Arial"/>
          <w:lang w:eastAsia="en-AU"/>
        </w:rPr>
        <w:t>discuss</w:t>
      </w:r>
      <w:r>
        <w:rPr>
          <w:rFonts w:cs="Arial"/>
          <w:lang w:eastAsia="en-AU"/>
        </w:rPr>
        <w:t>ion of</w:t>
      </w:r>
      <w:r w:rsidR="004E6CA9" w:rsidRPr="0097236D">
        <w:rPr>
          <w:rFonts w:cs="Arial"/>
          <w:lang w:eastAsia="en-AU"/>
        </w:rPr>
        <w:t xml:space="preserve"> the arguments or evidence to be used in the proceedings</w:t>
      </w:r>
      <w:r w:rsidR="00AC761E">
        <w:rPr>
          <w:rFonts w:cs="Arial"/>
          <w:lang w:eastAsia="en-AU"/>
        </w:rPr>
        <w:t>.</w:t>
      </w:r>
    </w:p>
    <w:p w14:paraId="15DC046E" w14:textId="6BEA8B5E" w:rsidR="00B10B76" w:rsidRDefault="00AC761E" w:rsidP="007C667A">
      <w:pPr>
        <w:pStyle w:val="ListParagraph"/>
        <w:numPr>
          <w:ilvl w:val="0"/>
          <w:numId w:val="86"/>
        </w:numPr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>TEQSA</w:t>
      </w:r>
      <w:r w:rsidR="004E6CA9" w:rsidRPr="00800ECA">
        <w:rPr>
          <w:rFonts w:cs="Arial"/>
          <w:lang w:eastAsia="en-AU"/>
        </w:rPr>
        <w:t xml:space="preserve"> may refer, where appropriate, to statements made by the other party to the proceedings.</w:t>
      </w:r>
      <w:r w:rsidR="00212A4E" w:rsidRPr="00800ECA">
        <w:rPr>
          <w:rFonts w:cs="Arial"/>
          <w:lang w:eastAsia="en-AU"/>
        </w:rPr>
        <w:t xml:space="preserve"> </w:t>
      </w:r>
    </w:p>
    <w:p w14:paraId="21712890" w14:textId="52219FAA" w:rsidR="007C53DB" w:rsidRPr="00800ECA" w:rsidRDefault="007C53DB" w:rsidP="007C667A">
      <w:pPr>
        <w:pStyle w:val="ListParagraph"/>
        <w:numPr>
          <w:ilvl w:val="0"/>
          <w:numId w:val="86"/>
        </w:numPr>
        <w:contextualSpacing w:val="0"/>
        <w:rPr>
          <w:rFonts w:cs="Arial"/>
          <w:lang w:eastAsia="en-AU"/>
        </w:rPr>
      </w:pPr>
      <w:r w:rsidRPr="0097236D">
        <w:rPr>
          <w:rFonts w:cs="Arial"/>
          <w:lang w:eastAsia="en-AU"/>
        </w:rPr>
        <w:t>If TEQSA has commented on the commencement of court or tribunal proceedings</w:t>
      </w:r>
      <w:r w:rsidRPr="00AF097A">
        <w:rPr>
          <w:rFonts w:cs="Arial"/>
          <w:lang w:eastAsia="en-AU"/>
        </w:rPr>
        <w:t xml:space="preserve">, TEQSA </w:t>
      </w:r>
      <w:r w:rsidRPr="0046098C">
        <w:rPr>
          <w:rFonts w:cs="Arial"/>
          <w:lang w:eastAsia="en-AU"/>
        </w:rPr>
        <w:t>sh</w:t>
      </w:r>
      <w:r w:rsidRPr="00800ECA">
        <w:rPr>
          <w:rFonts w:cs="Arial"/>
          <w:lang w:eastAsia="en-AU"/>
        </w:rPr>
        <w:t xml:space="preserve">ould generally </w:t>
      </w:r>
      <w:r w:rsidR="00D77AEA">
        <w:rPr>
          <w:rFonts w:cs="Arial"/>
          <w:lang w:eastAsia="en-AU"/>
        </w:rPr>
        <w:t xml:space="preserve">then </w:t>
      </w:r>
      <w:r w:rsidRPr="00AF097A">
        <w:rPr>
          <w:rFonts w:cs="Arial"/>
          <w:lang w:eastAsia="en-AU"/>
        </w:rPr>
        <w:t xml:space="preserve">publicise the outcome of those proceedings </w:t>
      </w:r>
      <w:r w:rsidR="00B10B76" w:rsidRPr="0046098C">
        <w:rPr>
          <w:rFonts w:cs="Arial"/>
          <w:lang w:eastAsia="en-AU"/>
        </w:rPr>
        <w:t>an</w:t>
      </w:r>
      <w:r w:rsidR="00B10B76" w:rsidRPr="00800ECA">
        <w:rPr>
          <w:rFonts w:cs="Arial"/>
          <w:lang w:eastAsia="en-AU"/>
        </w:rPr>
        <w:t xml:space="preserve">d </w:t>
      </w:r>
      <w:r w:rsidRPr="00800ECA">
        <w:rPr>
          <w:rFonts w:cs="Arial"/>
          <w:lang w:eastAsia="en-AU"/>
        </w:rPr>
        <w:t>any appeal</w:t>
      </w:r>
      <w:r w:rsidR="00B10B76" w:rsidRPr="00800ECA">
        <w:rPr>
          <w:rFonts w:cs="Arial"/>
          <w:lang w:eastAsia="en-AU"/>
        </w:rPr>
        <w:t xml:space="preserve">s. </w:t>
      </w:r>
    </w:p>
    <w:p w14:paraId="2FCEA22E" w14:textId="721A19D2" w:rsidR="00D85B31" w:rsidRPr="00800ECA" w:rsidRDefault="00B3070A" w:rsidP="00382216">
      <w:pPr>
        <w:pStyle w:val="ListParagraph"/>
        <w:numPr>
          <w:ilvl w:val="0"/>
          <w:numId w:val="78"/>
        </w:numPr>
        <w:ind w:hanging="357"/>
        <w:contextualSpacing w:val="0"/>
        <w:rPr>
          <w:rFonts w:cs="Arial"/>
          <w:lang w:eastAsia="en-AU"/>
        </w:rPr>
      </w:pPr>
      <w:r w:rsidRPr="00800ECA">
        <w:rPr>
          <w:rFonts w:cs="Arial"/>
          <w:lang w:eastAsia="en-AU"/>
        </w:rPr>
        <w:t xml:space="preserve">TEQSA </w:t>
      </w:r>
      <w:r w:rsidR="00D85B31" w:rsidRPr="00800ECA">
        <w:rPr>
          <w:rFonts w:cs="Arial"/>
          <w:lang w:eastAsia="en-AU"/>
        </w:rPr>
        <w:t>should</w:t>
      </w:r>
      <w:r w:rsidRPr="00800ECA">
        <w:rPr>
          <w:rFonts w:cs="Arial"/>
          <w:lang w:eastAsia="en-AU"/>
        </w:rPr>
        <w:t xml:space="preserve"> not comment on whether a </w:t>
      </w:r>
      <w:r w:rsidR="007678F0" w:rsidRPr="00382216">
        <w:rPr>
          <w:rFonts w:cs="Arial"/>
          <w:u w:val="single"/>
          <w:lang w:eastAsia="en-AU"/>
        </w:rPr>
        <w:t xml:space="preserve">suspected </w:t>
      </w:r>
      <w:r w:rsidR="002C4449" w:rsidRPr="00382216">
        <w:rPr>
          <w:rFonts w:cs="Arial"/>
          <w:u w:val="single"/>
          <w:lang w:eastAsia="en-AU"/>
        </w:rPr>
        <w:t xml:space="preserve">(criminal) </w:t>
      </w:r>
      <w:r w:rsidRPr="00382216">
        <w:rPr>
          <w:rFonts w:cs="Arial"/>
          <w:u w:val="single"/>
          <w:lang w:eastAsia="en-AU"/>
        </w:rPr>
        <w:t>matter</w:t>
      </w:r>
      <w:r w:rsidRPr="00AF097A">
        <w:rPr>
          <w:rFonts w:cs="Arial"/>
          <w:lang w:eastAsia="en-AU"/>
        </w:rPr>
        <w:t xml:space="preserve"> has been referred to the Commonwealth Director of Public Prosecutions (CDPP)</w:t>
      </w:r>
      <w:r w:rsidR="000B7FA6" w:rsidRPr="0046098C">
        <w:rPr>
          <w:rFonts w:cs="Arial"/>
          <w:lang w:eastAsia="en-AU"/>
        </w:rPr>
        <w:t xml:space="preserve"> p</w:t>
      </w:r>
      <w:r w:rsidR="000B7FA6" w:rsidRPr="00800ECA">
        <w:rPr>
          <w:rFonts w:cs="Arial"/>
          <w:lang w:eastAsia="en-AU"/>
        </w:rPr>
        <w:t>rior to consulting with the CDPP</w:t>
      </w:r>
      <w:r w:rsidRPr="00800ECA">
        <w:rPr>
          <w:rFonts w:cs="Arial"/>
          <w:lang w:eastAsia="en-AU"/>
        </w:rPr>
        <w:t xml:space="preserve">. </w:t>
      </w:r>
    </w:p>
    <w:p w14:paraId="2642D642" w14:textId="7120FF78" w:rsidR="008B3A0C" w:rsidRPr="009B7E58" w:rsidRDefault="008B3A0C" w:rsidP="00382216">
      <w:pPr>
        <w:pStyle w:val="IntroPara"/>
        <w:rPr>
          <w:b/>
          <w:bCs/>
          <w:color w:val="004E7D"/>
          <w:lang w:eastAsia="en-AU"/>
        </w:rPr>
      </w:pPr>
      <w:r w:rsidRPr="009B7E58">
        <w:rPr>
          <w:b/>
          <w:bCs/>
          <w:color w:val="004E7D"/>
          <w:lang w:eastAsia="en-AU"/>
        </w:rPr>
        <w:t>Infringement notices</w:t>
      </w:r>
      <w:r w:rsidRPr="009B7E58" w:rsidDel="00AC761E">
        <w:rPr>
          <w:b/>
          <w:bCs/>
          <w:color w:val="004E7D"/>
          <w:lang w:eastAsia="en-AU"/>
        </w:rPr>
        <w:t xml:space="preserve"> </w:t>
      </w:r>
      <w:r w:rsidR="003A5743" w:rsidRPr="009B7E58">
        <w:rPr>
          <w:b/>
          <w:bCs/>
          <w:color w:val="004E7D"/>
          <w:lang w:eastAsia="en-AU"/>
        </w:rPr>
        <w:t xml:space="preserve">and administrative </w:t>
      </w:r>
      <w:r w:rsidR="002E242B" w:rsidRPr="009B7E58">
        <w:rPr>
          <w:b/>
          <w:bCs/>
          <w:color w:val="004E7D"/>
          <w:lang w:eastAsia="en-AU"/>
        </w:rPr>
        <w:t>actions</w:t>
      </w:r>
    </w:p>
    <w:p w14:paraId="5C2FCDD3" w14:textId="115796E4" w:rsidR="00EE0525" w:rsidRPr="00800ECA" w:rsidRDefault="00AC761E" w:rsidP="00382216">
      <w:pPr>
        <w:pStyle w:val="ListParagraph"/>
        <w:numPr>
          <w:ilvl w:val="0"/>
          <w:numId w:val="79"/>
        </w:numPr>
        <w:ind w:left="357" w:hanging="357"/>
        <w:contextualSpacing w:val="0"/>
        <w:rPr>
          <w:rFonts w:cs="Arial"/>
          <w:lang w:eastAsia="en-AU"/>
        </w:rPr>
      </w:pPr>
      <w:r w:rsidRPr="00AF097A">
        <w:rPr>
          <w:rFonts w:cs="Arial"/>
          <w:lang w:eastAsia="en-AU"/>
        </w:rPr>
        <w:t>C</w:t>
      </w:r>
      <w:r w:rsidR="00F530FD" w:rsidRPr="00800ECA">
        <w:rPr>
          <w:rFonts w:cs="Arial"/>
          <w:lang w:eastAsia="en-AU"/>
        </w:rPr>
        <w:t>omments about an infringement notice</w:t>
      </w:r>
      <w:r w:rsidR="003A5743" w:rsidRPr="00800ECA">
        <w:rPr>
          <w:rFonts w:cs="Arial"/>
          <w:lang w:eastAsia="en-AU"/>
        </w:rPr>
        <w:t xml:space="preserve">s and administrative </w:t>
      </w:r>
      <w:r w:rsidR="002E242B" w:rsidRPr="00800ECA">
        <w:rPr>
          <w:rFonts w:cs="Arial"/>
          <w:lang w:eastAsia="en-AU"/>
        </w:rPr>
        <w:t>actions</w:t>
      </w:r>
      <w:r w:rsidR="003A5743" w:rsidRPr="00800ECA">
        <w:rPr>
          <w:rFonts w:cs="Arial"/>
          <w:lang w:eastAsia="en-AU"/>
        </w:rPr>
        <w:t xml:space="preserve"> </w:t>
      </w:r>
      <w:r w:rsidR="003A5743" w:rsidRPr="00382216">
        <w:rPr>
          <w:rFonts w:cs="Arial"/>
          <w:u w:val="single"/>
          <w:lang w:eastAsia="en-AU"/>
        </w:rPr>
        <w:t>should only be made</w:t>
      </w:r>
      <w:r w:rsidR="00357712" w:rsidRPr="00382216">
        <w:rPr>
          <w:rFonts w:cs="Arial"/>
          <w:u w:val="single"/>
          <w:lang w:eastAsia="en-AU"/>
        </w:rPr>
        <w:t xml:space="preserve"> once </w:t>
      </w:r>
      <w:r w:rsidR="002E242B" w:rsidRPr="00382216">
        <w:rPr>
          <w:rFonts w:cs="Arial"/>
          <w:u w:val="single"/>
          <w:lang w:eastAsia="en-AU"/>
        </w:rPr>
        <w:t xml:space="preserve">the relevant decision to issue the notice or take the action </w:t>
      </w:r>
      <w:r w:rsidR="00F662B2" w:rsidRPr="00382216">
        <w:rPr>
          <w:rFonts w:cs="Arial"/>
          <w:u w:val="single"/>
          <w:lang w:eastAsia="en-AU"/>
        </w:rPr>
        <w:t>has been made</w:t>
      </w:r>
      <w:r w:rsidR="00F662B2" w:rsidRPr="0046098C">
        <w:rPr>
          <w:rFonts w:cs="Arial"/>
          <w:lang w:eastAsia="en-AU"/>
        </w:rPr>
        <w:t xml:space="preserve">. </w:t>
      </w:r>
    </w:p>
    <w:p w14:paraId="422437AB" w14:textId="5C84337B" w:rsidR="004E6CA9" w:rsidRPr="00800ECA" w:rsidRDefault="00F662B2" w:rsidP="00382216">
      <w:pPr>
        <w:pStyle w:val="ListParagraph"/>
        <w:numPr>
          <w:ilvl w:val="0"/>
          <w:numId w:val="66"/>
        </w:numPr>
        <w:ind w:hanging="357"/>
        <w:contextualSpacing w:val="0"/>
        <w:rPr>
          <w:rFonts w:cs="Arial"/>
          <w:lang w:eastAsia="en-AU"/>
        </w:rPr>
      </w:pPr>
      <w:r w:rsidRPr="0097236D">
        <w:rPr>
          <w:rFonts w:cs="Arial"/>
          <w:lang w:eastAsia="en-AU"/>
        </w:rPr>
        <w:t>The</w:t>
      </w:r>
      <w:r w:rsidRPr="00AF097A">
        <w:rPr>
          <w:rFonts w:cs="Arial"/>
          <w:lang w:eastAsia="en-AU"/>
        </w:rPr>
        <w:t xml:space="preserve"> co</w:t>
      </w:r>
      <w:r w:rsidRPr="00241693">
        <w:rPr>
          <w:rFonts w:cs="Arial"/>
          <w:lang w:eastAsia="en-AU"/>
        </w:rPr>
        <w:t>m</w:t>
      </w:r>
      <w:r w:rsidRPr="0046098C">
        <w:rPr>
          <w:rFonts w:cs="Arial"/>
          <w:lang w:eastAsia="en-AU"/>
        </w:rPr>
        <w:t>ment</w:t>
      </w:r>
      <w:r w:rsidRPr="00800ECA">
        <w:rPr>
          <w:rFonts w:cs="Arial"/>
          <w:lang w:eastAsia="en-AU"/>
        </w:rPr>
        <w:t xml:space="preserve">s </w:t>
      </w:r>
      <w:r w:rsidR="00AC761E" w:rsidRPr="00800ECA">
        <w:rPr>
          <w:rFonts w:cs="Arial"/>
          <w:lang w:eastAsia="en-AU"/>
        </w:rPr>
        <w:t>should</w:t>
      </w:r>
      <w:r w:rsidR="00F530FD" w:rsidRPr="00800ECA">
        <w:rPr>
          <w:rFonts w:cs="Arial"/>
          <w:lang w:eastAsia="en-AU"/>
        </w:rPr>
        <w:t xml:space="preserve"> state </w:t>
      </w:r>
      <w:r w:rsidR="00491CA4">
        <w:rPr>
          <w:rFonts w:cs="Arial"/>
          <w:lang w:eastAsia="en-AU"/>
        </w:rPr>
        <w:t xml:space="preserve">the name of the person(s) </w:t>
      </w:r>
      <w:r w:rsidR="00F530FD" w:rsidRPr="00800ECA">
        <w:rPr>
          <w:rFonts w:cs="Arial"/>
          <w:lang w:eastAsia="en-AU"/>
        </w:rPr>
        <w:t xml:space="preserve">who is the subject of the notice </w:t>
      </w:r>
      <w:r w:rsidRPr="00800ECA">
        <w:rPr>
          <w:rFonts w:cs="Arial"/>
          <w:lang w:eastAsia="en-AU"/>
        </w:rPr>
        <w:t xml:space="preserve">or </w:t>
      </w:r>
      <w:r w:rsidR="00B3070A" w:rsidRPr="00800ECA">
        <w:rPr>
          <w:rFonts w:cs="Arial"/>
          <w:lang w:eastAsia="en-AU"/>
        </w:rPr>
        <w:t>action</w:t>
      </w:r>
      <w:r w:rsidRPr="00800ECA">
        <w:rPr>
          <w:rFonts w:cs="Arial"/>
          <w:lang w:eastAsia="en-AU"/>
        </w:rPr>
        <w:t xml:space="preserve"> </w:t>
      </w:r>
      <w:r w:rsidR="002B4D9B" w:rsidRPr="00800ECA">
        <w:rPr>
          <w:rFonts w:cs="Arial"/>
          <w:lang w:eastAsia="en-AU"/>
        </w:rPr>
        <w:t xml:space="preserve">and </w:t>
      </w:r>
      <w:r w:rsidR="00CE0C0B">
        <w:rPr>
          <w:rFonts w:cs="Arial"/>
          <w:lang w:eastAsia="en-AU"/>
        </w:rPr>
        <w:t xml:space="preserve">(where relevant) </w:t>
      </w:r>
      <w:r w:rsidR="002B4D9B" w:rsidRPr="0097236D">
        <w:rPr>
          <w:rFonts w:cs="Arial"/>
          <w:lang w:eastAsia="en-AU"/>
        </w:rPr>
        <w:t>th</w:t>
      </w:r>
      <w:r w:rsidR="002B4D9B" w:rsidRPr="00AF097A">
        <w:rPr>
          <w:rFonts w:cs="Arial"/>
          <w:lang w:eastAsia="en-AU"/>
        </w:rPr>
        <w:t>a</w:t>
      </w:r>
      <w:r w:rsidR="002B4D9B" w:rsidRPr="0046098C">
        <w:rPr>
          <w:rFonts w:cs="Arial"/>
          <w:lang w:eastAsia="en-AU"/>
        </w:rPr>
        <w:t xml:space="preserve">t </w:t>
      </w:r>
      <w:r w:rsidR="002B4D9B" w:rsidRPr="00800ECA">
        <w:rPr>
          <w:rFonts w:cs="Arial"/>
          <w:lang w:eastAsia="en-AU"/>
        </w:rPr>
        <w:t xml:space="preserve">the person </w:t>
      </w:r>
      <w:r w:rsidR="00F530FD" w:rsidRPr="00800ECA">
        <w:rPr>
          <w:rFonts w:cs="Arial"/>
          <w:lang w:eastAsia="en-AU"/>
        </w:rPr>
        <w:t>can seek to ha</w:t>
      </w:r>
      <w:r w:rsidR="00CE0C0B">
        <w:rPr>
          <w:rFonts w:cs="Arial"/>
          <w:lang w:eastAsia="en-AU"/>
        </w:rPr>
        <w:t xml:space="preserve">ve </w:t>
      </w:r>
      <w:r w:rsidR="00491CA4">
        <w:rPr>
          <w:rFonts w:cs="Arial"/>
          <w:lang w:eastAsia="en-AU"/>
        </w:rPr>
        <w:t>the</w:t>
      </w:r>
      <w:r w:rsidR="00CE0C0B">
        <w:rPr>
          <w:rFonts w:cs="Arial"/>
          <w:lang w:eastAsia="en-AU"/>
        </w:rPr>
        <w:t xml:space="preserve"> infringement notice withdrawn</w:t>
      </w:r>
      <w:r w:rsidR="00F530FD" w:rsidRPr="00800ECA">
        <w:rPr>
          <w:rFonts w:cs="Arial"/>
          <w:lang w:eastAsia="en-AU"/>
        </w:rPr>
        <w:t>.</w:t>
      </w:r>
    </w:p>
    <w:p w14:paraId="201377BE" w14:textId="7A2396BB" w:rsidR="008F71D3" w:rsidRDefault="004E6A76" w:rsidP="00382216">
      <w:pPr>
        <w:pStyle w:val="Heading3"/>
        <w:spacing w:before="300"/>
        <w:rPr>
          <w:lang w:eastAsia="en-AU"/>
        </w:rPr>
      </w:pPr>
      <w:bookmarkStart w:id="7" w:name="_Toc110007654"/>
      <w:r>
        <w:rPr>
          <w:lang w:eastAsia="en-AU"/>
        </w:rPr>
        <w:t xml:space="preserve">Publishing </w:t>
      </w:r>
      <w:r w:rsidR="009B7E58">
        <w:rPr>
          <w:lang w:eastAsia="en-AU"/>
        </w:rPr>
        <w:t>s</w:t>
      </w:r>
      <w:r w:rsidR="008F71D3">
        <w:rPr>
          <w:lang w:eastAsia="en-AU"/>
        </w:rPr>
        <w:t xml:space="preserve">ignificant </w:t>
      </w:r>
      <w:r w:rsidR="009B7E58">
        <w:rPr>
          <w:lang w:eastAsia="en-AU"/>
        </w:rPr>
        <w:t>d</w:t>
      </w:r>
      <w:r w:rsidR="008F71D3">
        <w:rPr>
          <w:lang w:eastAsia="en-AU"/>
        </w:rPr>
        <w:t>ecisions</w:t>
      </w:r>
      <w:bookmarkEnd w:id="7"/>
    </w:p>
    <w:p w14:paraId="00D4AB0C" w14:textId="59B88A7D" w:rsidR="00782572" w:rsidRDefault="00D515A9" w:rsidP="00382216">
      <w:pPr>
        <w:pStyle w:val="ListParagraph"/>
        <w:numPr>
          <w:ilvl w:val="0"/>
          <w:numId w:val="80"/>
        </w:numPr>
        <w:ind w:left="357" w:hanging="357"/>
        <w:contextualSpacing w:val="0"/>
      </w:pPr>
      <w:r>
        <w:t>As</w:t>
      </w:r>
      <w:r w:rsidR="00BE2DB4">
        <w:t xml:space="preserve"> not all interested parties review the content of t</w:t>
      </w:r>
      <w:r w:rsidR="00782572">
        <w:t xml:space="preserve">he National Register </w:t>
      </w:r>
      <w:r w:rsidR="009A0234">
        <w:t xml:space="preserve">regularly </w:t>
      </w:r>
      <w:r w:rsidR="00A61F40">
        <w:t xml:space="preserve">or </w:t>
      </w:r>
      <w:r w:rsidR="000254E5">
        <w:t xml:space="preserve">will </w:t>
      </w:r>
      <w:r w:rsidR="00A61F40">
        <w:t xml:space="preserve">know to review </w:t>
      </w:r>
      <w:r w:rsidR="009A0234">
        <w:t>the register</w:t>
      </w:r>
      <w:r w:rsidR="00A61F40">
        <w:t xml:space="preserve"> after a significant decision is made, </w:t>
      </w:r>
      <w:r w:rsidR="00ED6577">
        <w:t>TEQSA</w:t>
      </w:r>
      <w:r w:rsidR="00D17856">
        <w:t xml:space="preserve"> </w:t>
      </w:r>
      <w:r w:rsidR="00782572">
        <w:t>publish</w:t>
      </w:r>
      <w:r w:rsidR="00D17856">
        <w:t>es</w:t>
      </w:r>
      <w:r w:rsidR="00782572">
        <w:t xml:space="preserve"> news announcements and media releases about significant decisions. </w:t>
      </w:r>
    </w:p>
    <w:p w14:paraId="3228A081" w14:textId="77777777" w:rsidR="001C62E5" w:rsidRPr="00382216" w:rsidRDefault="008E6E09" w:rsidP="00382216">
      <w:pPr>
        <w:pStyle w:val="ListParagraph"/>
        <w:numPr>
          <w:ilvl w:val="0"/>
          <w:numId w:val="81"/>
        </w:numPr>
        <w:ind w:hanging="357"/>
        <w:contextualSpacing w:val="0"/>
        <w:rPr>
          <w:rFonts w:cstheme="minorHAnsi"/>
          <w:color w:val="auto"/>
          <w:u w:val="single"/>
          <w:shd w:val="clear" w:color="auto" w:fill="FFFFFF"/>
        </w:rPr>
      </w:pPr>
      <w:r w:rsidRPr="00382216">
        <w:rPr>
          <w:rFonts w:cstheme="minorHAnsi"/>
          <w:color w:val="auto"/>
          <w:u w:val="single"/>
          <w:shd w:val="clear" w:color="auto" w:fill="FFFFFF"/>
        </w:rPr>
        <w:t xml:space="preserve">Significant decisions </w:t>
      </w:r>
      <w:r w:rsidR="003A1E17" w:rsidRPr="00382216">
        <w:rPr>
          <w:rFonts w:cstheme="minorHAnsi"/>
          <w:color w:val="auto"/>
          <w:u w:val="single"/>
          <w:shd w:val="clear" w:color="auto" w:fill="FFFFFF"/>
        </w:rPr>
        <w:t>include</w:t>
      </w:r>
      <w:r w:rsidR="001C62E5" w:rsidRPr="00382216">
        <w:rPr>
          <w:rFonts w:cstheme="minorHAnsi"/>
          <w:color w:val="auto"/>
          <w:u w:val="single"/>
          <w:shd w:val="clear" w:color="auto" w:fill="FFFFFF"/>
        </w:rPr>
        <w:t>:</w:t>
      </w:r>
    </w:p>
    <w:p w14:paraId="7373546E" w14:textId="02ABE64E" w:rsidR="001C62E5" w:rsidRDefault="008E6E09" w:rsidP="00382216">
      <w:pPr>
        <w:pStyle w:val="ListParagraph"/>
        <w:numPr>
          <w:ilvl w:val="0"/>
          <w:numId w:val="69"/>
        </w:numPr>
        <w:ind w:left="717" w:hanging="357"/>
        <w:contextualSpacing w:val="0"/>
        <w:rPr>
          <w:rFonts w:cstheme="minorHAnsi"/>
          <w:color w:val="auto"/>
          <w:shd w:val="clear" w:color="auto" w:fill="FFFFFF"/>
        </w:rPr>
      </w:pPr>
      <w:r w:rsidRPr="00382216">
        <w:rPr>
          <w:rFonts w:cstheme="minorHAnsi"/>
          <w:color w:val="auto"/>
          <w:shd w:val="clear" w:color="auto" w:fill="FFFFFF"/>
        </w:rPr>
        <w:t>decisions that will affect a large number of students</w:t>
      </w:r>
    </w:p>
    <w:p w14:paraId="318BDC7E" w14:textId="77777777" w:rsidR="001C62E5" w:rsidRDefault="008E6E09" w:rsidP="00382216">
      <w:pPr>
        <w:pStyle w:val="ListParagraph"/>
        <w:numPr>
          <w:ilvl w:val="0"/>
          <w:numId w:val="69"/>
        </w:numPr>
        <w:ind w:left="717" w:hanging="357"/>
        <w:contextualSpacing w:val="0"/>
        <w:rPr>
          <w:rFonts w:cstheme="minorHAnsi"/>
          <w:color w:val="auto"/>
          <w:shd w:val="clear" w:color="auto" w:fill="FFFFFF"/>
        </w:rPr>
      </w:pPr>
      <w:r w:rsidRPr="00382216">
        <w:rPr>
          <w:rFonts w:cstheme="minorHAnsi"/>
          <w:color w:val="auto"/>
          <w:shd w:val="clear" w:color="auto" w:fill="FFFFFF"/>
        </w:rPr>
        <w:t>involve very significant compliance concerns</w:t>
      </w:r>
      <w:r w:rsidR="006E4746" w:rsidRPr="00382216">
        <w:rPr>
          <w:rFonts w:cstheme="minorHAnsi"/>
          <w:color w:val="auto"/>
          <w:shd w:val="clear" w:color="auto" w:fill="FFFFFF"/>
        </w:rPr>
        <w:t xml:space="preserve">, </w:t>
      </w:r>
      <w:r w:rsidR="003A1E17" w:rsidRPr="00382216">
        <w:rPr>
          <w:rFonts w:cstheme="minorHAnsi"/>
          <w:color w:val="auto"/>
          <w:shd w:val="clear" w:color="auto" w:fill="FFFFFF"/>
        </w:rPr>
        <w:t xml:space="preserve">or </w:t>
      </w:r>
    </w:p>
    <w:p w14:paraId="569142CA" w14:textId="5CDCE948" w:rsidR="00600D4B" w:rsidRDefault="004D3892" w:rsidP="00F65D78">
      <w:pPr>
        <w:pStyle w:val="ListParagraph"/>
        <w:numPr>
          <w:ilvl w:val="0"/>
          <w:numId w:val="69"/>
        </w:numPr>
        <w:ind w:left="717"/>
        <w:contextualSpacing w:val="0"/>
        <w:rPr>
          <w:rFonts w:cstheme="minorHAnsi"/>
          <w:color w:val="auto"/>
          <w:shd w:val="clear" w:color="auto" w:fill="FFFFFF"/>
        </w:rPr>
      </w:pPr>
      <w:r w:rsidRPr="00382216">
        <w:rPr>
          <w:rFonts w:cstheme="minorHAnsi"/>
          <w:color w:val="auto"/>
          <w:shd w:val="clear" w:color="auto" w:fill="FFFFFF"/>
        </w:rPr>
        <w:t xml:space="preserve">involve </w:t>
      </w:r>
      <w:r w:rsidR="006E4746" w:rsidRPr="00382216">
        <w:rPr>
          <w:rFonts w:cstheme="minorHAnsi"/>
          <w:color w:val="auto"/>
          <w:shd w:val="clear" w:color="auto" w:fill="FFFFFF"/>
        </w:rPr>
        <w:t>a</w:t>
      </w:r>
      <w:r w:rsidRPr="00382216">
        <w:rPr>
          <w:rFonts w:cstheme="minorHAnsi"/>
          <w:color w:val="auto"/>
          <w:shd w:val="clear" w:color="auto" w:fill="FFFFFF"/>
        </w:rPr>
        <w:t xml:space="preserve"> great deal of public interest</w:t>
      </w:r>
      <w:r w:rsidR="008E6E09" w:rsidRPr="00382216">
        <w:rPr>
          <w:rFonts w:cstheme="minorHAnsi"/>
          <w:color w:val="auto"/>
          <w:shd w:val="clear" w:color="auto" w:fill="FFFFFF"/>
        </w:rPr>
        <w:t xml:space="preserve">. </w:t>
      </w:r>
    </w:p>
    <w:p w14:paraId="21EE5609" w14:textId="77777777" w:rsidR="00F65D78" w:rsidRPr="00382216" w:rsidRDefault="00F65D78" w:rsidP="00382216">
      <w:pPr>
        <w:pStyle w:val="ListParagraph"/>
        <w:ind w:left="717"/>
        <w:contextualSpacing w:val="0"/>
        <w:rPr>
          <w:rFonts w:cstheme="minorHAnsi"/>
          <w:color w:val="auto"/>
          <w:shd w:val="clear" w:color="auto" w:fill="FFFFFF"/>
        </w:rPr>
      </w:pPr>
    </w:p>
    <w:p w14:paraId="79B2ADD1" w14:textId="4B4711F2" w:rsidR="008E6E09" w:rsidRPr="00382216" w:rsidRDefault="000254E5" w:rsidP="00382216">
      <w:pPr>
        <w:pStyle w:val="ListParagraph"/>
        <w:numPr>
          <w:ilvl w:val="0"/>
          <w:numId w:val="80"/>
        </w:numPr>
        <w:ind w:left="357" w:hanging="357"/>
        <w:contextualSpacing w:val="0"/>
      </w:pPr>
      <w:r w:rsidRPr="00382216">
        <w:t xml:space="preserve">For example, </w:t>
      </w:r>
      <w:r w:rsidR="008E6E09" w:rsidRPr="00382216">
        <w:t>TEQSA</w:t>
      </w:r>
      <w:r w:rsidR="00D17856">
        <w:t xml:space="preserve"> published the </w:t>
      </w:r>
      <w:r w:rsidR="008E6E09" w:rsidRPr="00382216">
        <w:t>decision to cancel the registration of Australian School of Management Pty Ltd</w:t>
      </w:r>
      <w:r w:rsidRPr="00382216">
        <w:t xml:space="preserve"> </w:t>
      </w:r>
      <w:r w:rsidR="00D17856">
        <w:t xml:space="preserve">because </w:t>
      </w:r>
      <w:r w:rsidR="003A1E17" w:rsidRPr="00382216">
        <w:t xml:space="preserve">of the </w:t>
      </w:r>
      <w:r w:rsidR="00F875D6" w:rsidRPr="00382216">
        <w:t xml:space="preserve">significant compliance concerns and the </w:t>
      </w:r>
      <w:r w:rsidR="003A1E17" w:rsidRPr="00382216">
        <w:t>substantial amount of public interest in that decision</w:t>
      </w:r>
      <w:r w:rsidR="008E6E09" w:rsidRPr="00382216">
        <w:t>.</w:t>
      </w:r>
    </w:p>
    <w:p w14:paraId="720505DB" w14:textId="3F36A183" w:rsidR="00D42507" w:rsidRPr="00382216" w:rsidRDefault="004E6A76" w:rsidP="00382216">
      <w:pPr>
        <w:pStyle w:val="Heading3"/>
        <w:spacing w:before="300"/>
        <w:rPr>
          <w:lang w:eastAsia="en-AU"/>
        </w:rPr>
      </w:pPr>
      <w:bookmarkStart w:id="8" w:name="_Toc110007655"/>
      <w:r>
        <w:rPr>
          <w:lang w:eastAsia="en-AU"/>
        </w:rPr>
        <w:t xml:space="preserve">Publishing </w:t>
      </w:r>
      <w:r w:rsidR="009B7E58">
        <w:rPr>
          <w:lang w:eastAsia="en-AU"/>
        </w:rPr>
        <w:t>a</w:t>
      </w:r>
      <w:r w:rsidR="000D10E4">
        <w:rPr>
          <w:lang w:eastAsia="en-AU"/>
        </w:rPr>
        <w:t xml:space="preserve">pplications </w:t>
      </w:r>
      <w:r w:rsidR="0097236D">
        <w:rPr>
          <w:lang w:eastAsia="en-AU"/>
        </w:rPr>
        <w:t>by</w:t>
      </w:r>
      <w:r w:rsidR="000D10E4">
        <w:rPr>
          <w:lang w:eastAsia="en-AU"/>
        </w:rPr>
        <w:t xml:space="preserve"> </w:t>
      </w:r>
      <w:r w:rsidR="009B7E58">
        <w:rPr>
          <w:lang w:eastAsia="en-AU"/>
        </w:rPr>
        <w:t>u</w:t>
      </w:r>
      <w:r w:rsidR="0097236D">
        <w:rPr>
          <w:lang w:eastAsia="en-AU"/>
        </w:rPr>
        <w:t>n</w:t>
      </w:r>
      <w:r w:rsidR="000D10E4">
        <w:rPr>
          <w:lang w:eastAsia="en-AU"/>
        </w:rPr>
        <w:t>registered</w:t>
      </w:r>
      <w:r w:rsidR="0097236D">
        <w:rPr>
          <w:lang w:eastAsia="en-AU"/>
        </w:rPr>
        <w:t xml:space="preserve"> </w:t>
      </w:r>
      <w:r w:rsidR="009B7E58">
        <w:rPr>
          <w:lang w:eastAsia="en-AU"/>
        </w:rPr>
        <w:t>e</w:t>
      </w:r>
      <w:r w:rsidR="0097236D">
        <w:rPr>
          <w:lang w:eastAsia="en-AU"/>
        </w:rPr>
        <w:t>ntities</w:t>
      </w:r>
      <w:bookmarkEnd w:id="8"/>
    </w:p>
    <w:p w14:paraId="48F0F945" w14:textId="33D580DD" w:rsidR="00D42507" w:rsidRPr="00382216" w:rsidRDefault="000500BD" w:rsidP="00382216">
      <w:pPr>
        <w:pStyle w:val="ListParagraph"/>
        <w:numPr>
          <w:ilvl w:val="0"/>
          <w:numId w:val="80"/>
        </w:numPr>
        <w:contextualSpacing w:val="0"/>
        <w:rPr>
          <w:rFonts w:cstheme="minorHAnsi"/>
          <w:color w:val="auto"/>
          <w:shd w:val="clear" w:color="auto" w:fill="FFFFFF"/>
        </w:rPr>
      </w:pPr>
      <w:r w:rsidRPr="00382216">
        <w:rPr>
          <w:rFonts w:cstheme="minorHAnsi"/>
          <w:color w:val="auto"/>
          <w:shd w:val="clear" w:color="auto" w:fill="FFFFFF"/>
        </w:rPr>
        <w:t xml:space="preserve">TEQSA is unable to include </w:t>
      </w:r>
      <w:r w:rsidR="00C24427" w:rsidRPr="00382216">
        <w:rPr>
          <w:rFonts w:cstheme="minorHAnsi"/>
          <w:color w:val="auto"/>
          <w:shd w:val="clear" w:color="auto" w:fill="FFFFFF"/>
        </w:rPr>
        <w:t xml:space="preserve">information about unsuccessful applications </w:t>
      </w:r>
      <w:r w:rsidR="000F4E2B" w:rsidRPr="00382216">
        <w:rPr>
          <w:rFonts w:cstheme="minorHAnsi"/>
          <w:color w:val="auto"/>
          <w:shd w:val="clear" w:color="auto" w:fill="FFFFFF"/>
        </w:rPr>
        <w:t xml:space="preserve">by unregistered </w:t>
      </w:r>
      <w:r w:rsidR="00A65018" w:rsidRPr="00382216">
        <w:rPr>
          <w:rFonts w:cstheme="minorHAnsi"/>
          <w:color w:val="auto"/>
          <w:shd w:val="clear" w:color="auto" w:fill="FFFFFF"/>
        </w:rPr>
        <w:t>entities</w:t>
      </w:r>
      <w:r w:rsidR="00C24427" w:rsidRPr="00382216">
        <w:rPr>
          <w:rFonts w:cstheme="minorHAnsi"/>
          <w:color w:val="auto"/>
          <w:shd w:val="clear" w:color="auto" w:fill="FFFFFF"/>
        </w:rPr>
        <w:t xml:space="preserve"> in the National Register (</w:t>
      </w:r>
      <w:r w:rsidR="00BC324B">
        <w:rPr>
          <w:rFonts w:cstheme="minorHAnsi"/>
          <w:color w:val="auto"/>
          <w:shd w:val="clear" w:color="auto" w:fill="FFFFFF"/>
        </w:rPr>
        <w:t>per</w:t>
      </w:r>
      <w:r w:rsidR="00C24427" w:rsidRPr="00382216">
        <w:rPr>
          <w:rFonts w:cstheme="minorHAnsi"/>
          <w:color w:val="auto"/>
          <w:shd w:val="clear" w:color="auto" w:fill="FFFFFF"/>
        </w:rPr>
        <w:t xml:space="preserve"> s</w:t>
      </w:r>
      <w:r w:rsidR="005F12C4" w:rsidRPr="00382216">
        <w:rPr>
          <w:rFonts w:cstheme="minorHAnsi"/>
          <w:color w:val="auto"/>
          <w:shd w:val="clear" w:color="auto" w:fill="FFFFFF"/>
        </w:rPr>
        <w:t xml:space="preserve"> 198 of the TEQSA Act</w:t>
      </w:r>
      <w:r w:rsidR="00C24427" w:rsidRPr="00382216">
        <w:rPr>
          <w:rFonts w:cstheme="minorHAnsi"/>
          <w:color w:val="auto"/>
          <w:shd w:val="clear" w:color="auto" w:fill="FFFFFF"/>
        </w:rPr>
        <w:t>). Therefore,</w:t>
      </w:r>
      <w:r w:rsidR="005F12C4" w:rsidRPr="00382216">
        <w:rPr>
          <w:rFonts w:cstheme="minorHAnsi"/>
          <w:color w:val="auto"/>
          <w:shd w:val="clear" w:color="auto" w:fill="FFFFFF"/>
        </w:rPr>
        <w:t xml:space="preserve"> TEQSA publish</w:t>
      </w:r>
      <w:r w:rsidR="00C24427" w:rsidRPr="00382216">
        <w:rPr>
          <w:rFonts w:cstheme="minorHAnsi"/>
          <w:color w:val="auto"/>
          <w:shd w:val="clear" w:color="auto" w:fill="FFFFFF"/>
        </w:rPr>
        <w:t>es</w:t>
      </w:r>
      <w:r w:rsidR="005F12C4" w:rsidRPr="00382216">
        <w:rPr>
          <w:rFonts w:cstheme="minorHAnsi"/>
          <w:color w:val="auto"/>
          <w:shd w:val="clear" w:color="auto" w:fill="FFFFFF"/>
        </w:rPr>
        <w:t xml:space="preserve"> decisions to reject</w:t>
      </w:r>
      <w:r w:rsidR="00D42507" w:rsidRPr="00382216">
        <w:rPr>
          <w:rFonts w:cstheme="minorHAnsi"/>
          <w:color w:val="auto"/>
          <w:shd w:val="clear" w:color="auto" w:fill="FFFFFF"/>
        </w:rPr>
        <w:t>:</w:t>
      </w:r>
      <w:r w:rsidR="005F12C4" w:rsidRPr="00382216">
        <w:rPr>
          <w:rFonts w:cstheme="minorHAnsi"/>
          <w:color w:val="auto"/>
          <w:shd w:val="clear" w:color="auto" w:fill="FFFFFF"/>
        </w:rPr>
        <w:t xml:space="preserve"> </w:t>
      </w:r>
    </w:p>
    <w:p w14:paraId="711FCE0B" w14:textId="77777777" w:rsidR="00D42507" w:rsidRPr="00382216" w:rsidRDefault="005F12C4" w:rsidP="007C667A">
      <w:pPr>
        <w:pStyle w:val="ListParagraph"/>
        <w:numPr>
          <w:ilvl w:val="0"/>
          <w:numId w:val="87"/>
        </w:numPr>
        <w:contextualSpacing w:val="0"/>
        <w:rPr>
          <w:rFonts w:cstheme="minorHAnsi"/>
          <w:color w:val="auto"/>
          <w:shd w:val="clear" w:color="auto" w:fill="FFFFFF"/>
        </w:rPr>
      </w:pPr>
      <w:r w:rsidRPr="00382216">
        <w:rPr>
          <w:rFonts w:cstheme="minorHAnsi"/>
          <w:color w:val="auto"/>
          <w:shd w:val="clear" w:color="auto" w:fill="FFFFFF"/>
        </w:rPr>
        <w:t xml:space="preserve">applications for initial registration, and </w:t>
      </w:r>
    </w:p>
    <w:p w14:paraId="7C834242" w14:textId="1BF06F24" w:rsidR="00E862F8" w:rsidRPr="00382216" w:rsidRDefault="005F12C4" w:rsidP="007C667A">
      <w:pPr>
        <w:pStyle w:val="ListParagraph"/>
        <w:numPr>
          <w:ilvl w:val="0"/>
          <w:numId w:val="87"/>
        </w:numPr>
        <w:contextualSpacing w:val="0"/>
        <w:rPr>
          <w:rFonts w:cstheme="minorHAnsi"/>
          <w:color w:val="auto"/>
          <w:shd w:val="clear" w:color="auto" w:fill="FFFFFF"/>
        </w:rPr>
      </w:pPr>
      <w:r w:rsidRPr="00382216">
        <w:rPr>
          <w:rFonts w:cstheme="minorHAnsi"/>
          <w:color w:val="auto"/>
          <w:shd w:val="clear" w:color="auto" w:fill="FFFFFF"/>
        </w:rPr>
        <w:t>applications for course accre</w:t>
      </w:r>
      <w:r w:rsidR="008815F9" w:rsidRPr="00382216">
        <w:rPr>
          <w:rFonts w:cstheme="minorHAnsi"/>
          <w:color w:val="auto"/>
          <w:shd w:val="clear" w:color="auto" w:fill="FFFFFF"/>
        </w:rPr>
        <w:t xml:space="preserve">ditation by entities which are </w:t>
      </w:r>
      <w:r w:rsidRPr="00382216">
        <w:rPr>
          <w:rFonts w:cstheme="minorHAnsi"/>
          <w:color w:val="auto"/>
          <w:shd w:val="clear" w:color="auto" w:fill="FFFFFF"/>
        </w:rPr>
        <w:t>not registered higher education providers</w:t>
      </w:r>
    </w:p>
    <w:p w14:paraId="56C32F8D" w14:textId="23086461" w:rsidR="005F12C4" w:rsidRPr="008E6E09" w:rsidRDefault="005F12C4" w:rsidP="00382216">
      <w:pPr>
        <w:ind w:left="360"/>
        <w:rPr>
          <w:color w:val="auto"/>
          <w:lang w:eastAsia="en-AU"/>
        </w:rPr>
      </w:pPr>
      <w:r>
        <w:rPr>
          <w:rFonts w:cstheme="minorHAnsi"/>
          <w:color w:val="auto"/>
          <w:shd w:val="clear" w:color="auto" w:fill="FFFFFF"/>
        </w:rPr>
        <w:t xml:space="preserve">on </w:t>
      </w:r>
      <w:r w:rsidR="00316906">
        <w:rPr>
          <w:rFonts w:cstheme="minorHAnsi"/>
          <w:color w:val="auto"/>
          <w:shd w:val="clear" w:color="auto" w:fill="FFFFFF"/>
        </w:rPr>
        <w:t>the</w:t>
      </w:r>
      <w:r>
        <w:rPr>
          <w:rFonts w:cstheme="minorHAnsi"/>
          <w:color w:val="auto"/>
          <w:shd w:val="clear" w:color="auto" w:fill="FFFFFF"/>
        </w:rPr>
        <w:t xml:space="preserve"> </w:t>
      </w:r>
      <w:hyperlink r:id="rId13" w:history="1">
        <w:r w:rsidR="009B7E58" w:rsidRPr="007C667A">
          <w:rPr>
            <w:rStyle w:val="Hyperlink"/>
            <w:rFonts w:cstheme="minorHAnsi"/>
            <w:color w:val="004E7D"/>
            <w:shd w:val="clear" w:color="auto" w:fill="FFFFFF"/>
          </w:rPr>
          <w:t xml:space="preserve">Unsuccessful </w:t>
        </w:r>
        <w:r w:rsidR="009B7E58" w:rsidRPr="007C667A">
          <w:rPr>
            <w:rStyle w:val="Hyperlink"/>
            <w:rFonts w:cstheme="minorHAnsi"/>
            <w:color w:val="004E7D"/>
            <w:shd w:val="clear" w:color="auto" w:fill="FFFFFF"/>
          </w:rPr>
          <w:t>A</w:t>
        </w:r>
        <w:r w:rsidR="009B7E58" w:rsidRPr="007C667A">
          <w:rPr>
            <w:rStyle w:val="Hyperlink"/>
            <w:rFonts w:cstheme="minorHAnsi"/>
            <w:color w:val="004E7D"/>
            <w:shd w:val="clear" w:color="auto" w:fill="FFFFFF"/>
          </w:rPr>
          <w:t>pplications</w:t>
        </w:r>
        <w:r w:rsidR="009B7E58" w:rsidRPr="007C667A">
          <w:rPr>
            <w:rStyle w:val="Hyperlink"/>
            <w:rFonts w:cstheme="minorHAnsi"/>
            <w:color w:val="004E7D"/>
            <w:shd w:val="clear" w:color="auto" w:fill="FFFFFF"/>
          </w:rPr>
          <w:t xml:space="preserve"> </w:t>
        </w:r>
        <w:r w:rsidR="00E862F8" w:rsidRPr="007C667A">
          <w:rPr>
            <w:rStyle w:val="Hyperlink"/>
            <w:rFonts w:cstheme="minorHAnsi"/>
            <w:color w:val="004E7D"/>
            <w:shd w:val="clear" w:color="auto" w:fill="FFFFFF"/>
          </w:rPr>
          <w:t>page</w:t>
        </w:r>
      </w:hyperlink>
      <w:r w:rsidR="00E862F8">
        <w:rPr>
          <w:rFonts w:cstheme="minorHAnsi"/>
          <w:color w:val="auto"/>
          <w:shd w:val="clear" w:color="auto" w:fill="FFFFFF"/>
        </w:rPr>
        <w:t xml:space="preserve"> of the TEQSA website </w:t>
      </w:r>
      <w:r w:rsidR="00D42507">
        <w:rPr>
          <w:rFonts w:cstheme="minorHAnsi"/>
          <w:color w:val="auto"/>
          <w:shd w:val="clear" w:color="auto" w:fill="FFFFFF"/>
        </w:rPr>
        <w:t>to bring attention to the</w:t>
      </w:r>
      <w:r w:rsidR="00E862F8">
        <w:rPr>
          <w:rFonts w:cstheme="minorHAnsi"/>
          <w:color w:val="auto"/>
          <w:shd w:val="clear" w:color="auto" w:fill="FFFFFF"/>
        </w:rPr>
        <w:t xml:space="preserve"> decisions</w:t>
      </w:r>
      <w:r>
        <w:rPr>
          <w:rFonts w:cstheme="minorHAnsi"/>
          <w:color w:val="auto"/>
          <w:shd w:val="clear" w:color="auto" w:fill="FFFFFF"/>
        </w:rPr>
        <w:t>.</w:t>
      </w:r>
    </w:p>
    <w:p w14:paraId="19040692" w14:textId="51653F9D" w:rsidR="002E0DD6" w:rsidRDefault="002E0DD6" w:rsidP="00382216">
      <w:pPr>
        <w:pStyle w:val="Heading2"/>
        <w:spacing w:before="300"/>
        <w:rPr>
          <w:noProof/>
          <w:lang w:eastAsia="en-AU"/>
        </w:rPr>
      </w:pPr>
      <w:bookmarkStart w:id="9" w:name="_Toc110007656"/>
      <w:r>
        <w:rPr>
          <w:noProof/>
          <w:lang w:eastAsia="en-AU"/>
        </w:rPr>
        <w:lastRenderedPageBreak/>
        <w:t>Further information</w:t>
      </w:r>
      <w:bookmarkEnd w:id="9"/>
    </w:p>
    <w:p w14:paraId="32D40A5F" w14:textId="0B09DD09" w:rsidR="002E0DD6" w:rsidRPr="008E6967" w:rsidRDefault="002E0DD6" w:rsidP="008E6967">
      <w:r>
        <w:rPr>
          <w:rFonts w:eastAsia="Arial" w:cs="Times New Roman"/>
          <w:lang w:val="en-US"/>
        </w:rPr>
        <w:t xml:space="preserve">Further information about </w:t>
      </w:r>
      <w:r w:rsidR="00AB795C">
        <w:rPr>
          <w:rFonts w:eastAsia="Arial" w:cs="Times New Roman"/>
          <w:lang w:val="en-US"/>
        </w:rPr>
        <w:t>the Agency</w:t>
      </w:r>
      <w:r w:rsidRPr="00996F40">
        <w:rPr>
          <w:rFonts w:eastAsia="Arial" w:cs="Times New Roman"/>
          <w:lang w:val="en-US"/>
        </w:rPr>
        <w:t xml:space="preserve">’s </w:t>
      </w:r>
      <w:r>
        <w:rPr>
          <w:rFonts w:eastAsia="Arial" w:cs="Times New Roman"/>
          <w:lang w:val="en-US"/>
        </w:rPr>
        <w:t xml:space="preserve">approach to public reporting can be obtained by directing an email enquiry to:  </w:t>
      </w:r>
      <w:hyperlink r:id="rId14" w:history="1">
        <w:r w:rsidRPr="007C667A">
          <w:rPr>
            <w:rStyle w:val="Hyperlink"/>
            <w:rFonts w:eastAsia="Arial" w:cs="Times New Roman"/>
            <w:color w:val="004E7D"/>
            <w:lang w:val="en-US"/>
          </w:rPr>
          <w:t>enquiries@teqsa.gov.au</w:t>
        </w:r>
      </w:hyperlink>
    </w:p>
    <w:sectPr w:rsidR="002E0DD6" w:rsidRPr="008E6967" w:rsidSect="002E0D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47" w:right="1247" w:bottom="124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2D05" w14:textId="77777777" w:rsidR="00517884" w:rsidRDefault="00517884" w:rsidP="008E21DE">
      <w:pPr>
        <w:spacing w:before="0" w:after="0"/>
      </w:pPr>
      <w:r>
        <w:separator/>
      </w:r>
    </w:p>
  </w:endnote>
  <w:endnote w:type="continuationSeparator" w:id="0">
    <w:p w14:paraId="751D3897" w14:textId="77777777" w:rsidR="00517884" w:rsidRDefault="00517884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ED9D" w14:textId="77777777" w:rsidR="003F27D8" w:rsidRDefault="003F27D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7456" behindDoc="0" locked="1" layoutInCell="1" allowOverlap="1" wp14:anchorId="45F35DF8" wp14:editId="247FE4E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07760" cy="11113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39508" b="-136574"/>
                  <a:stretch/>
                </pic:blipFill>
                <pic:spPr bwMode="auto">
                  <a:xfrm>
                    <a:off x="0" y="0"/>
                    <a:ext cx="2507760" cy="1111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EF39" w14:textId="77777777" w:rsidR="003F27D8" w:rsidRDefault="003F27D8">
    <w:pPr>
      <w:pStyle w:val="Footer"/>
    </w:pPr>
    <w:r w:rsidRPr="000E648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5C3E4E3" wp14:editId="2730CDE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9160" cy="466920"/>
              <wp:effectExtent l="0" t="0" r="508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160" cy="466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67CC9" w14:textId="77777777" w:rsidR="003F27D8" w:rsidRDefault="003F27D8" w:rsidP="000E648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7011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92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3E4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0;width:151.1pt;height:36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" filled="f" stroked="f" strokeweight=".5pt">
              <v:textbox inset="22mm,0,0,0">
                <w:txbxContent>
                  <w:p w14:paraId="7A667CC9" w14:textId="77777777" w:rsidR="003F27D8" w:rsidRDefault="003F27D8" w:rsidP="000E648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7011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3879" w14:textId="74787F86" w:rsidR="003F27D8" w:rsidRPr="000E6484" w:rsidRDefault="003F27D8" w:rsidP="00080615">
    <w:pPr>
      <w:pStyle w:val="Footer"/>
    </w:pPr>
    <w:r w:rsidRPr="000E648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56FC6B" wp14:editId="221E59E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9160" cy="466920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160" cy="466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381FAB" w14:textId="77777777" w:rsidR="003F27D8" w:rsidRDefault="003F27D8" w:rsidP="008E21DE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7011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9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6FC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9.9pt;margin-top:0;width:151.1pt;height:36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" filled="f" stroked="f" strokeweight=".5pt">
              <v:textbox inset="0,0,22mm,0">
                <w:txbxContent>
                  <w:p w14:paraId="25381FAB" w14:textId="77777777" w:rsidR="003F27D8" w:rsidRDefault="003F27D8" w:rsidP="008E21DE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7011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E266E">
      <w:fldChar w:fldCharType="begin"/>
    </w:r>
    <w:r w:rsidR="000E266E">
      <w:instrText xml:space="preserve"> STYLEREF  Title  \* MERGEFORMAT </w:instrText>
    </w:r>
    <w:r w:rsidR="000E266E">
      <w:fldChar w:fldCharType="separate"/>
    </w:r>
    <w:r w:rsidR="000E266E" w:rsidRPr="000E266E">
      <w:rPr>
        <w:bCs/>
        <w:noProof/>
        <w:lang w:val="en-US"/>
      </w:rPr>
      <w:t>Policy</w:t>
    </w:r>
    <w:r w:rsidR="000E266E">
      <w:rPr>
        <w:noProof/>
      </w:rPr>
      <w:t xml:space="preserve"> on public statements on TEQSA’s regulatory decisions and processes</w:t>
    </w:r>
    <w:r w:rsidR="000E266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F4E0" w14:textId="77777777" w:rsidR="003F27D8" w:rsidRPr="00080615" w:rsidRDefault="003F27D8" w:rsidP="00080615">
    <w:pPr>
      <w:pStyle w:val="Footer"/>
    </w:pPr>
    <w:r w:rsidRPr="000806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16AF1BF" wp14:editId="7EC8DA2A">
              <wp:simplePos x="0" y="0"/>
              <wp:positionH relativeFrom="page">
                <wp:posOffset>6070600</wp:posOffset>
              </wp:positionH>
              <wp:positionV relativeFrom="page">
                <wp:posOffset>10083800</wp:posOffset>
              </wp:positionV>
              <wp:extent cx="1490345" cy="60071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24CD4" w14:textId="77777777" w:rsidR="003F27D8" w:rsidRDefault="003F27D8" w:rsidP="008E21DE">
                          <w:pPr>
                            <w:pStyle w:val="Footer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010B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AF1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78pt;margin-top:794pt;width:117.35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" filled="f" stroked="f" strokeweight=".5pt">
              <v:textbox inset="0,0,20mm,0">
                <w:txbxContent>
                  <w:p w14:paraId="72C24CD4" w14:textId="77777777" w:rsidR="003F27D8" w:rsidRDefault="003F27D8" w:rsidP="008E21DE">
                    <w:pPr>
                      <w:pStyle w:val="Footer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10B9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E266E">
      <w:fldChar w:fldCharType="begin"/>
    </w:r>
    <w:r w:rsidR="000E266E">
      <w:instrText xml:space="preserve"> STYLEREF  Title  \* MERGEFORMAT </w:instrText>
    </w:r>
    <w:r w:rsidR="000E266E">
      <w:fldChar w:fldCharType="separate"/>
    </w:r>
    <w:r w:rsidR="00E010B9" w:rsidRPr="00E010B9">
      <w:rPr>
        <w:b/>
        <w:bCs/>
        <w:noProof/>
        <w:lang w:val="en-US"/>
      </w:rPr>
      <w:t>Policy</w:t>
    </w:r>
    <w:r w:rsidR="00E010B9">
      <w:rPr>
        <w:noProof/>
      </w:rPr>
      <w:t xml:space="preserve"> on public reporting of TEQSA’s decisions</w:t>
    </w:r>
    <w:r w:rsidR="000E26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9B86" w14:textId="77777777" w:rsidR="00517884" w:rsidRDefault="00517884" w:rsidP="008E21DE">
      <w:pPr>
        <w:spacing w:before="0" w:after="0"/>
      </w:pPr>
      <w:r>
        <w:separator/>
      </w:r>
    </w:p>
  </w:footnote>
  <w:footnote w:type="continuationSeparator" w:id="0">
    <w:p w14:paraId="470A03E3" w14:textId="77777777" w:rsidR="00517884" w:rsidRDefault="00517884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B1D4" w14:textId="48158553" w:rsidR="003F27D8" w:rsidRDefault="009B7E58" w:rsidP="009B7E58">
    <w:pPr>
      <w:pStyle w:val="Header"/>
      <w:ind w:hanging="1247"/>
    </w:pPr>
    <w:r>
      <w:rPr>
        <w:noProof/>
        <w:lang w:eastAsia="en-AU"/>
      </w:rPr>
      <w:drawing>
        <wp:inline distT="0" distB="0" distL="0" distR="0" wp14:anchorId="7CA89F42" wp14:editId="5ACB09EA">
          <wp:extent cx="4527550" cy="673646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440" cy="6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27D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54A576EB" wp14:editId="44A97861">
              <wp:simplePos x="0" y="0"/>
              <wp:positionH relativeFrom="page">
                <wp:posOffset>501015</wp:posOffset>
              </wp:positionH>
              <wp:positionV relativeFrom="page">
                <wp:posOffset>3637915</wp:posOffset>
              </wp:positionV>
              <wp:extent cx="7054215" cy="7055485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4215" cy="7055485"/>
                        <a:chOff x="254000" y="241300"/>
                        <a:chExt cx="7055640" cy="7055640"/>
                      </a:xfrm>
                    </wpg:grpSpPr>
                    <wps:wsp>
                      <wps:cNvPr id="7" name="Right Triangle 7"/>
                      <wps:cNvSpPr/>
                      <wps:spPr>
                        <a:xfrm rot="16200000">
                          <a:off x="254000" y="241300"/>
                          <a:ext cx="7055640" cy="705564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ight Triangle 6"/>
                      <wps:cNvSpPr/>
                      <wps:spPr>
                        <a:xfrm rot="16200000">
                          <a:off x="2565862" y="2565860"/>
                          <a:ext cx="4489370" cy="4489646"/>
                        </a:xfrm>
                        <a:prstGeom prst="rtTriangle">
                          <a:avLst/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13DBF" id="Group 8" o:spid="_x0000_s1026" style="position:absolute;margin-left:39.45pt;margin-top:286.45pt;width:555.45pt;height:555.55pt;z-index:-251650048;mso-position-horizontal-relative:page;mso-position-vertical-relative:page;mso-width-relative:margin;mso-height-relative:margin" coordorigin="2540,2413" coordsize="70556,70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7" type="#_x0000_t6" style="position:absolute;left:2540;top:2413;width:70556;height:7055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" fillcolor="white [3212]" stroked="f" strokeweight="1pt"/>
              <v:shape id="Right Triangle 6" o:spid="_x0000_s1028" type="#_x0000_t6" style="position:absolute;left:25658;top:25658;width:44894;height:448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" fillcolor="#f7941d" stroked="f" strokeweight="1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7935" w14:textId="77777777" w:rsidR="003F27D8" w:rsidRDefault="003F2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CB27" w14:textId="77777777" w:rsidR="003F27D8" w:rsidRPr="000E6484" w:rsidRDefault="003F27D8" w:rsidP="000E64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A6C5" w14:textId="77777777" w:rsidR="003F27D8" w:rsidRPr="00080615" w:rsidRDefault="003F27D8" w:rsidP="00080615">
    <w:pPr>
      <w:pStyle w:val="Header"/>
    </w:pPr>
    <w:r w:rsidRPr="00080615">
      <w:t>Client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1in;height:36pt" o:bullet="t">
        <v:imagedata r:id="rId3" o:title="Yellow-Triangles"/>
      </v:shape>
    </w:pict>
  </w:numPicBullet>
  <w:abstractNum w:abstractNumId="0" w15:restartNumberingAfterBreak="0">
    <w:nsid w:val="FFFFFF1D"/>
    <w:multiLevelType w:val="multilevel"/>
    <w:tmpl w:val="9326A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321DD"/>
    <w:multiLevelType w:val="multilevel"/>
    <w:tmpl w:val="9A9CEED8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082218A"/>
    <w:multiLevelType w:val="hybridMultilevel"/>
    <w:tmpl w:val="B83C72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6E9E"/>
    <w:multiLevelType w:val="multilevel"/>
    <w:tmpl w:val="CC9AB0EE"/>
    <w:numStyleLink w:val="AppendixNumbers"/>
  </w:abstractNum>
  <w:abstractNum w:abstractNumId="4" w15:restartNumberingAfterBreak="0">
    <w:nsid w:val="04B307D3"/>
    <w:multiLevelType w:val="hybridMultilevel"/>
    <w:tmpl w:val="A42236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05E7"/>
    <w:multiLevelType w:val="hybridMultilevel"/>
    <w:tmpl w:val="E1B6B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847E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60DAA"/>
    <w:multiLevelType w:val="multilevel"/>
    <w:tmpl w:val="36C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C14BAC"/>
    <w:multiLevelType w:val="multilevel"/>
    <w:tmpl w:val="35DA75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3B45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3B45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3C94626"/>
    <w:multiLevelType w:val="multilevel"/>
    <w:tmpl w:val="CF16FE5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4A11BB"/>
    <w:multiLevelType w:val="hybridMultilevel"/>
    <w:tmpl w:val="B448A048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DD0C1C"/>
    <w:multiLevelType w:val="hybridMultilevel"/>
    <w:tmpl w:val="5D2E03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E103A"/>
    <w:multiLevelType w:val="hybridMultilevel"/>
    <w:tmpl w:val="729C5A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1CC862E1"/>
    <w:multiLevelType w:val="multilevel"/>
    <w:tmpl w:val="B29223F6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6C751A"/>
    <w:multiLevelType w:val="hybridMultilevel"/>
    <w:tmpl w:val="6862E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F954B2"/>
    <w:multiLevelType w:val="multilevel"/>
    <w:tmpl w:val="B61861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864D66"/>
    <w:multiLevelType w:val="hybridMultilevel"/>
    <w:tmpl w:val="C64CF7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945E4"/>
    <w:multiLevelType w:val="multilevel"/>
    <w:tmpl w:val="E160B7D0"/>
    <w:lvl w:ilvl="0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C4439"/>
    <w:multiLevelType w:val="multilevel"/>
    <w:tmpl w:val="85988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BA632A9"/>
    <w:multiLevelType w:val="multilevel"/>
    <w:tmpl w:val="CC9AB0EE"/>
    <w:numStyleLink w:val="AppendixNumbers"/>
  </w:abstractNum>
  <w:abstractNum w:abstractNumId="26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761EE"/>
    <w:multiLevelType w:val="multilevel"/>
    <w:tmpl w:val="131EEC6C"/>
    <w:numStyleLink w:val="TableNumbers"/>
  </w:abstractNum>
  <w:abstractNum w:abstractNumId="28" w15:restartNumberingAfterBreak="0">
    <w:nsid w:val="335A332E"/>
    <w:multiLevelType w:val="multilevel"/>
    <w:tmpl w:val="EDDCBB3C"/>
    <w:numStyleLink w:val="DefaultBullets"/>
  </w:abstractNum>
  <w:abstractNum w:abstractNumId="29" w15:restartNumberingAfterBreak="0">
    <w:nsid w:val="365528E2"/>
    <w:multiLevelType w:val="hybridMultilevel"/>
    <w:tmpl w:val="D848C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40641D"/>
    <w:multiLevelType w:val="multilevel"/>
    <w:tmpl w:val="CFA0D6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3A9653EA"/>
    <w:multiLevelType w:val="multilevel"/>
    <w:tmpl w:val="06F05D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7D5DBB"/>
    <w:multiLevelType w:val="multilevel"/>
    <w:tmpl w:val="85988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5" w15:restartNumberingAfterBreak="0">
    <w:nsid w:val="42A46290"/>
    <w:multiLevelType w:val="multilevel"/>
    <w:tmpl w:val="92AC61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9587F78"/>
    <w:multiLevelType w:val="multilevel"/>
    <w:tmpl w:val="07629034"/>
    <w:numStyleLink w:val="KCBullets"/>
  </w:abstractNum>
  <w:abstractNum w:abstractNumId="37" w15:restartNumberingAfterBreak="0">
    <w:nsid w:val="49C305E3"/>
    <w:multiLevelType w:val="hybridMultilevel"/>
    <w:tmpl w:val="20A476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34433"/>
    <w:multiLevelType w:val="multilevel"/>
    <w:tmpl w:val="21A4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DD826B4"/>
    <w:multiLevelType w:val="hybridMultilevel"/>
    <w:tmpl w:val="3C9CA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560737"/>
    <w:multiLevelType w:val="hybridMultilevel"/>
    <w:tmpl w:val="E9A2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517343"/>
    <w:multiLevelType w:val="multilevel"/>
    <w:tmpl w:val="131EEC6C"/>
    <w:numStyleLink w:val="TableNumbers"/>
  </w:abstractNum>
  <w:abstractNum w:abstractNumId="42" w15:restartNumberingAfterBreak="0">
    <w:nsid w:val="50E12008"/>
    <w:multiLevelType w:val="multilevel"/>
    <w:tmpl w:val="07629034"/>
    <w:numStyleLink w:val="KCBullets"/>
  </w:abstractNum>
  <w:abstractNum w:abstractNumId="43" w15:restartNumberingAfterBreak="0">
    <w:nsid w:val="51BF6119"/>
    <w:multiLevelType w:val="multilevel"/>
    <w:tmpl w:val="85988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35249AF"/>
    <w:multiLevelType w:val="multilevel"/>
    <w:tmpl w:val="CC9AB0EE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563048B"/>
    <w:multiLevelType w:val="multilevel"/>
    <w:tmpl w:val="B29223F6"/>
    <w:numStyleLink w:val="FigureNumbers"/>
  </w:abstractNum>
  <w:abstractNum w:abstractNumId="46" w15:restartNumberingAfterBreak="0">
    <w:nsid w:val="5613633B"/>
    <w:multiLevelType w:val="multilevel"/>
    <w:tmpl w:val="B29223F6"/>
    <w:numStyleLink w:val="FigureNumbers"/>
  </w:abstractNum>
  <w:abstractNum w:abstractNumId="47" w15:restartNumberingAfterBreak="0">
    <w:nsid w:val="56DB5F4C"/>
    <w:multiLevelType w:val="multilevel"/>
    <w:tmpl w:val="BA4CA9E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74F3ACC"/>
    <w:multiLevelType w:val="hybridMultilevel"/>
    <w:tmpl w:val="AA46C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615703"/>
    <w:multiLevelType w:val="multilevel"/>
    <w:tmpl w:val="803CF862"/>
    <w:numStyleLink w:val="List1Numbered"/>
  </w:abstractNum>
  <w:abstractNum w:abstractNumId="50" w15:restartNumberingAfterBreak="0">
    <w:nsid w:val="58EC175A"/>
    <w:multiLevelType w:val="hybridMultilevel"/>
    <w:tmpl w:val="391062A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A94549"/>
    <w:multiLevelType w:val="hybridMultilevel"/>
    <w:tmpl w:val="A074F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E7629"/>
    <w:multiLevelType w:val="multilevel"/>
    <w:tmpl w:val="36C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BF51665"/>
    <w:multiLevelType w:val="multilevel"/>
    <w:tmpl w:val="BA4CA9E6"/>
    <w:numStyleLink w:val="NumberedHeadings"/>
  </w:abstractNum>
  <w:abstractNum w:abstractNumId="55" w15:restartNumberingAfterBreak="0">
    <w:nsid w:val="5C283B55"/>
    <w:multiLevelType w:val="multilevel"/>
    <w:tmpl w:val="B29223F6"/>
    <w:numStyleLink w:val="FigureNumbers"/>
  </w:abstractNum>
  <w:abstractNum w:abstractNumId="56" w15:restartNumberingAfterBreak="0">
    <w:nsid w:val="5D0B299A"/>
    <w:multiLevelType w:val="multilevel"/>
    <w:tmpl w:val="9A9CEED8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7" w15:restartNumberingAfterBreak="0">
    <w:nsid w:val="5FCE3A52"/>
    <w:multiLevelType w:val="multilevel"/>
    <w:tmpl w:val="5B320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0DB6E5E"/>
    <w:multiLevelType w:val="multilevel"/>
    <w:tmpl w:val="8A08C7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62397869"/>
    <w:multiLevelType w:val="multilevel"/>
    <w:tmpl w:val="BA4CA9E6"/>
    <w:numStyleLink w:val="NumberedHeadings"/>
  </w:abstractNum>
  <w:abstractNum w:abstractNumId="60" w15:restartNumberingAfterBreak="0">
    <w:nsid w:val="63B90725"/>
    <w:multiLevelType w:val="hybridMultilevel"/>
    <w:tmpl w:val="4AD40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6FB00B5"/>
    <w:multiLevelType w:val="multilevel"/>
    <w:tmpl w:val="859886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68FB3694"/>
    <w:multiLevelType w:val="hybridMultilevel"/>
    <w:tmpl w:val="63A29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6D1491"/>
    <w:multiLevelType w:val="hybridMultilevel"/>
    <w:tmpl w:val="7890C19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D4F423B"/>
    <w:multiLevelType w:val="multilevel"/>
    <w:tmpl w:val="EDDCBB3C"/>
    <w:numStyleLink w:val="DefaultBullets"/>
  </w:abstractNum>
  <w:abstractNum w:abstractNumId="65" w15:restartNumberingAfterBreak="0">
    <w:nsid w:val="70B64940"/>
    <w:multiLevelType w:val="hybridMultilevel"/>
    <w:tmpl w:val="22384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2334D1D"/>
    <w:multiLevelType w:val="hybridMultilevel"/>
    <w:tmpl w:val="45C05CB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72EF7A3A"/>
    <w:multiLevelType w:val="hybridMultilevel"/>
    <w:tmpl w:val="94F60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8A4D83"/>
    <w:multiLevelType w:val="multilevel"/>
    <w:tmpl w:val="EDDCBB3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9" w15:restartNumberingAfterBreak="0">
    <w:nsid w:val="76C70C97"/>
    <w:multiLevelType w:val="hybridMultilevel"/>
    <w:tmpl w:val="821CF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7D58A5"/>
    <w:multiLevelType w:val="hybridMultilevel"/>
    <w:tmpl w:val="E09C4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90B67C4"/>
    <w:multiLevelType w:val="multilevel"/>
    <w:tmpl w:val="FE688822"/>
    <w:numStyleLink w:val="BoxedBullets"/>
  </w:abstractNum>
  <w:abstractNum w:abstractNumId="72" w15:restartNumberingAfterBreak="0">
    <w:nsid w:val="79F614DE"/>
    <w:multiLevelType w:val="hybridMultilevel"/>
    <w:tmpl w:val="5512F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E14295B"/>
    <w:multiLevelType w:val="hybridMultilevel"/>
    <w:tmpl w:val="68F4B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E44065"/>
    <w:multiLevelType w:val="multilevel"/>
    <w:tmpl w:val="CC9AB0EE"/>
    <w:numStyleLink w:val="AppendixNumbers"/>
  </w:abstractNum>
  <w:num w:numId="1" w16cid:durableId="1784231514">
    <w:abstractNumId w:val="10"/>
  </w:num>
  <w:num w:numId="2" w16cid:durableId="721945881">
    <w:abstractNumId w:val="74"/>
  </w:num>
  <w:num w:numId="3" w16cid:durableId="210120084">
    <w:abstractNumId w:val="44"/>
  </w:num>
  <w:num w:numId="4" w16cid:durableId="251937943">
    <w:abstractNumId w:val="71"/>
  </w:num>
  <w:num w:numId="5" w16cid:durableId="1416435629">
    <w:abstractNumId w:val="71"/>
  </w:num>
  <w:num w:numId="6" w16cid:durableId="1257980748">
    <w:abstractNumId w:val="34"/>
  </w:num>
  <w:num w:numId="7" w16cid:durableId="1456025918">
    <w:abstractNumId w:val="42"/>
  </w:num>
  <w:num w:numId="8" w16cid:durableId="1869027637">
    <w:abstractNumId w:val="42"/>
  </w:num>
  <w:num w:numId="9" w16cid:durableId="1913346150">
    <w:abstractNumId w:val="42"/>
  </w:num>
  <w:num w:numId="10" w16cid:durableId="1150368814">
    <w:abstractNumId w:val="16"/>
  </w:num>
  <w:num w:numId="11" w16cid:durableId="1510562945">
    <w:abstractNumId w:val="45"/>
  </w:num>
  <w:num w:numId="12" w16cid:durableId="27730076">
    <w:abstractNumId w:val="54"/>
  </w:num>
  <w:num w:numId="13" w16cid:durableId="1752386464">
    <w:abstractNumId w:val="54"/>
  </w:num>
  <w:num w:numId="14" w16cid:durableId="395783991">
    <w:abstractNumId w:val="54"/>
  </w:num>
  <w:num w:numId="15" w16cid:durableId="1783723039">
    <w:abstractNumId w:val="54"/>
  </w:num>
  <w:num w:numId="16" w16cid:durableId="175074082">
    <w:abstractNumId w:val="54"/>
  </w:num>
  <w:num w:numId="17" w16cid:durableId="638459728">
    <w:abstractNumId w:val="54"/>
  </w:num>
  <w:num w:numId="18" w16cid:durableId="852762673">
    <w:abstractNumId w:val="54"/>
  </w:num>
  <w:num w:numId="19" w16cid:durableId="259605659">
    <w:abstractNumId w:val="15"/>
  </w:num>
  <w:num w:numId="20" w16cid:durableId="523979718">
    <w:abstractNumId w:val="49"/>
  </w:num>
  <w:num w:numId="21" w16cid:durableId="1863281824">
    <w:abstractNumId w:val="49"/>
  </w:num>
  <w:num w:numId="22" w16cid:durableId="839613724">
    <w:abstractNumId w:val="49"/>
  </w:num>
  <w:num w:numId="23" w16cid:durableId="222570873">
    <w:abstractNumId w:val="47"/>
  </w:num>
  <w:num w:numId="24" w16cid:durableId="348145775">
    <w:abstractNumId w:val="26"/>
  </w:num>
  <w:num w:numId="25" w16cid:durableId="86578054">
    <w:abstractNumId w:val="19"/>
  </w:num>
  <w:num w:numId="26" w16cid:durableId="627128448">
    <w:abstractNumId w:val="41"/>
  </w:num>
  <w:num w:numId="27" w16cid:durableId="2086881182">
    <w:abstractNumId w:val="3"/>
  </w:num>
  <w:num w:numId="28" w16cid:durableId="1747143494">
    <w:abstractNumId w:val="68"/>
  </w:num>
  <w:num w:numId="29" w16cid:durableId="1238125590">
    <w:abstractNumId w:val="8"/>
  </w:num>
  <w:num w:numId="30" w16cid:durableId="1782921292">
    <w:abstractNumId w:val="6"/>
  </w:num>
  <w:num w:numId="31" w16cid:durableId="2022585684">
    <w:abstractNumId w:val="22"/>
  </w:num>
  <w:num w:numId="32" w16cid:durableId="547692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1614779">
    <w:abstractNumId w:val="59"/>
  </w:num>
  <w:num w:numId="34" w16cid:durableId="1749500665">
    <w:abstractNumId w:val="64"/>
  </w:num>
  <w:num w:numId="35" w16cid:durableId="1847206286">
    <w:abstractNumId w:val="25"/>
  </w:num>
  <w:num w:numId="36" w16cid:durableId="818808314">
    <w:abstractNumId w:val="36"/>
  </w:num>
  <w:num w:numId="37" w16cid:durableId="1340617124">
    <w:abstractNumId w:val="28"/>
  </w:num>
  <w:num w:numId="38" w16cid:durableId="569921144">
    <w:abstractNumId w:val="23"/>
  </w:num>
  <w:num w:numId="39" w16cid:durableId="336227430">
    <w:abstractNumId w:val="51"/>
  </w:num>
  <w:num w:numId="40" w16cid:durableId="838888639">
    <w:abstractNumId w:val="32"/>
  </w:num>
  <w:num w:numId="41" w16cid:durableId="2060518311">
    <w:abstractNumId w:val="46"/>
  </w:num>
  <w:num w:numId="42" w16cid:durableId="1206790674">
    <w:abstractNumId w:val="55"/>
  </w:num>
  <w:num w:numId="43" w16cid:durableId="815730615">
    <w:abstractNumId w:val="27"/>
  </w:num>
  <w:num w:numId="44" w16cid:durableId="846988343">
    <w:abstractNumId w:val="0"/>
  </w:num>
  <w:num w:numId="45" w16cid:durableId="1951663518">
    <w:abstractNumId w:val="37"/>
  </w:num>
  <w:num w:numId="46" w16cid:durableId="1343512107">
    <w:abstractNumId w:val="63"/>
  </w:num>
  <w:num w:numId="47" w16cid:durableId="215361377">
    <w:abstractNumId w:val="50"/>
  </w:num>
  <w:num w:numId="48" w16cid:durableId="936399461">
    <w:abstractNumId w:val="11"/>
  </w:num>
  <w:num w:numId="49" w16cid:durableId="2083991531">
    <w:abstractNumId w:val="66"/>
  </w:num>
  <w:num w:numId="50" w16cid:durableId="718895578">
    <w:abstractNumId w:val="14"/>
  </w:num>
  <w:num w:numId="51" w16cid:durableId="1047990627">
    <w:abstractNumId w:val="13"/>
  </w:num>
  <w:num w:numId="52" w16cid:durableId="1838492852">
    <w:abstractNumId w:val="69"/>
  </w:num>
  <w:num w:numId="53" w16cid:durableId="416901264">
    <w:abstractNumId w:val="52"/>
  </w:num>
  <w:num w:numId="54" w16cid:durableId="1703482624">
    <w:abstractNumId w:val="21"/>
  </w:num>
  <w:num w:numId="55" w16cid:durableId="1427115408">
    <w:abstractNumId w:val="1"/>
  </w:num>
  <w:num w:numId="56" w16cid:durableId="603612036">
    <w:abstractNumId w:val="67"/>
  </w:num>
  <w:num w:numId="57" w16cid:durableId="78602973">
    <w:abstractNumId w:val="56"/>
  </w:num>
  <w:num w:numId="58" w16cid:durableId="688024691">
    <w:abstractNumId w:val="30"/>
  </w:num>
  <w:num w:numId="59" w16cid:durableId="1033505511">
    <w:abstractNumId w:val="57"/>
  </w:num>
  <w:num w:numId="60" w16cid:durableId="1166245295">
    <w:abstractNumId w:val="38"/>
  </w:num>
  <w:num w:numId="61" w16cid:durableId="2017682244">
    <w:abstractNumId w:val="4"/>
  </w:num>
  <w:num w:numId="62" w16cid:durableId="1733649518">
    <w:abstractNumId w:val="2"/>
  </w:num>
  <w:num w:numId="63" w16cid:durableId="2145611688">
    <w:abstractNumId w:val="53"/>
  </w:num>
  <w:num w:numId="64" w16cid:durableId="1740008953">
    <w:abstractNumId w:val="40"/>
  </w:num>
  <w:num w:numId="65" w16cid:durableId="557590991">
    <w:abstractNumId w:val="43"/>
  </w:num>
  <w:num w:numId="66" w16cid:durableId="1600869718">
    <w:abstractNumId w:val="18"/>
  </w:num>
  <w:num w:numId="67" w16cid:durableId="218707963">
    <w:abstractNumId w:val="61"/>
  </w:num>
  <w:num w:numId="68" w16cid:durableId="237717544">
    <w:abstractNumId w:val="33"/>
  </w:num>
  <w:num w:numId="69" w16cid:durableId="1652441584">
    <w:abstractNumId w:val="7"/>
  </w:num>
  <w:num w:numId="70" w16cid:durableId="1781414127">
    <w:abstractNumId w:val="24"/>
  </w:num>
  <w:num w:numId="71" w16cid:durableId="1176771117">
    <w:abstractNumId w:val="48"/>
  </w:num>
  <w:num w:numId="72" w16cid:durableId="901252507">
    <w:abstractNumId w:val="5"/>
  </w:num>
  <w:num w:numId="73" w16cid:durableId="18439000">
    <w:abstractNumId w:val="70"/>
  </w:num>
  <w:num w:numId="74" w16cid:durableId="1435319918">
    <w:abstractNumId w:val="72"/>
  </w:num>
  <w:num w:numId="75" w16cid:durableId="471868636">
    <w:abstractNumId w:val="29"/>
  </w:num>
  <w:num w:numId="76" w16cid:durableId="1863744363">
    <w:abstractNumId w:val="73"/>
  </w:num>
  <w:num w:numId="77" w16cid:durableId="1973973198">
    <w:abstractNumId w:val="60"/>
  </w:num>
  <w:num w:numId="78" w16cid:durableId="1796486186">
    <w:abstractNumId w:val="62"/>
  </w:num>
  <w:num w:numId="79" w16cid:durableId="1938367695">
    <w:abstractNumId w:val="39"/>
  </w:num>
  <w:num w:numId="80" w16cid:durableId="497615009">
    <w:abstractNumId w:val="17"/>
  </w:num>
  <w:num w:numId="81" w16cid:durableId="151485248">
    <w:abstractNumId w:val="65"/>
  </w:num>
  <w:num w:numId="82" w16cid:durableId="2093893271">
    <w:abstractNumId w:val="35"/>
  </w:num>
  <w:num w:numId="83" w16cid:durableId="2029138021">
    <w:abstractNumId w:val="12"/>
  </w:num>
  <w:num w:numId="84" w16cid:durableId="343216808">
    <w:abstractNumId w:val="20"/>
  </w:num>
  <w:num w:numId="85" w16cid:durableId="1913808892">
    <w:abstractNumId w:val="31"/>
  </w:num>
  <w:num w:numId="86" w16cid:durableId="1451897984">
    <w:abstractNumId w:val="58"/>
  </w:num>
  <w:num w:numId="87" w16cid:durableId="1259564566">
    <w:abstractNumId w:val="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5C"/>
    <w:rsid w:val="00010918"/>
    <w:rsid w:val="000117C9"/>
    <w:rsid w:val="00016670"/>
    <w:rsid w:val="000254E5"/>
    <w:rsid w:val="000468B5"/>
    <w:rsid w:val="000500BD"/>
    <w:rsid w:val="00060ADA"/>
    <w:rsid w:val="000635B8"/>
    <w:rsid w:val="0006509A"/>
    <w:rsid w:val="00080615"/>
    <w:rsid w:val="000A3EA2"/>
    <w:rsid w:val="000A756A"/>
    <w:rsid w:val="000B5160"/>
    <w:rsid w:val="000B7FA6"/>
    <w:rsid w:val="000D10E4"/>
    <w:rsid w:val="000D499C"/>
    <w:rsid w:val="000E266E"/>
    <w:rsid w:val="000E6484"/>
    <w:rsid w:val="000F4E2B"/>
    <w:rsid w:val="001071DD"/>
    <w:rsid w:val="00116DF2"/>
    <w:rsid w:val="00121007"/>
    <w:rsid w:val="00153B02"/>
    <w:rsid w:val="00163B4D"/>
    <w:rsid w:val="001643FA"/>
    <w:rsid w:val="001A2D02"/>
    <w:rsid w:val="001B01F9"/>
    <w:rsid w:val="001C62E5"/>
    <w:rsid w:val="001D100A"/>
    <w:rsid w:val="001E7E2A"/>
    <w:rsid w:val="00212A4E"/>
    <w:rsid w:val="00214015"/>
    <w:rsid w:val="00215552"/>
    <w:rsid w:val="00222F38"/>
    <w:rsid w:val="00226D28"/>
    <w:rsid w:val="00241693"/>
    <w:rsid w:val="002541EE"/>
    <w:rsid w:val="00254833"/>
    <w:rsid w:val="00254FC8"/>
    <w:rsid w:val="002777FE"/>
    <w:rsid w:val="002804D3"/>
    <w:rsid w:val="002809F5"/>
    <w:rsid w:val="002A15BA"/>
    <w:rsid w:val="002A187A"/>
    <w:rsid w:val="002B4D9B"/>
    <w:rsid w:val="002C4449"/>
    <w:rsid w:val="002D42A1"/>
    <w:rsid w:val="002D7504"/>
    <w:rsid w:val="002E0DD6"/>
    <w:rsid w:val="002E242B"/>
    <w:rsid w:val="002E53F2"/>
    <w:rsid w:val="00316906"/>
    <w:rsid w:val="003224D4"/>
    <w:rsid w:val="00336FEE"/>
    <w:rsid w:val="00357712"/>
    <w:rsid w:val="00370156"/>
    <w:rsid w:val="00382216"/>
    <w:rsid w:val="00382FFF"/>
    <w:rsid w:val="003917CF"/>
    <w:rsid w:val="003A1E17"/>
    <w:rsid w:val="003A1F36"/>
    <w:rsid w:val="003A5743"/>
    <w:rsid w:val="003B5073"/>
    <w:rsid w:val="003E6BA3"/>
    <w:rsid w:val="003F27D8"/>
    <w:rsid w:val="00400926"/>
    <w:rsid w:val="004154E2"/>
    <w:rsid w:val="00433873"/>
    <w:rsid w:val="004453A3"/>
    <w:rsid w:val="00451CBF"/>
    <w:rsid w:val="0046098C"/>
    <w:rsid w:val="00472E44"/>
    <w:rsid w:val="004731FE"/>
    <w:rsid w:val="00473269"/>
    <w:rsid w:val="00482E9C"/>
    <w:rsid w:val="004879D1"/>
    <w:rsid w:val="00490634"/>
    <w:rsid w:val="00491CA4"/>
    <w:rsid w:val="004B1B34"/>
    <w:rsid w:val="004D1103"/>
    <w:rsid w:val="004D3892"/>
    <w:rsid w:val="004E6A76"/>
    <w:rsid w:val="004E6CA9"/>
    <w:rsid w:val="004F4C04"/>
    <w:rsid w:val="004F6524"/>
    <w:rsid w:val="004F72CA"/>
    <w:rsid w:val="00502C06"/>
    <w:rsid w:val="00507FB1"/>
    <w:rsid w:val="00517884"/>
    <w:rsid w:val="00526C7F"/>
    <w:rsid w:val="00534D53"/>
    <w:rsid w:val="00552AA5"/>
    <w:rsid w:val="0056291F"/>
    <w:rsid w:val="00574851"/>
    <w:rsid w:val="005753C8"/>
    <w:rsid w:val="005847F3"/>
    <w:rsid w:val="005928E0"/>
    <w:rsid w:val="005A1183"/>
    <w:rsid w:val="005A773A"/>
    <w:rsid w:val="005C2F3D"/>
    <w:rsid w:val="005C7F16"/>
    <w:rsid w:val="005E1E60"/>
    <w:rsid w:val="005E3A4D"/>
    <w:rsid w:val="005F12C4"/>
    <w:rsid w:val="005F6704"/>
    <w:rsid w:val="00600D4B"/>
    <w:rsid w:val="00621707"/>
    <w:rsid w:val="00627092"/>
    <w:rsid w:val="00646647"/>
    <w:rsid w:val="00653BF8"/>
    <w:rsid w:val="0068447A"/>
    <w:rsid w:val="006B42C9"/>
    <w:rsid w:val="006B4FAD"/>
    <w:rsid w:val="006E4746"/>
    <w:rsid w:val="00711C7C"/>
    <w:rsid w:val="007138F9"/>
    <w:rsid w:val="00723882"/>
    <w:rsid w:val="0073420A"/>
    <w:rsid w:val="00741370"/>
    <w:rsid w:val="007557F0"/>
    <w:rsid w:val="00760FF7"/>
    <w:rsid w:val="007678F0"/>
    <w:rsid w:val="007776B9"/>
    <w:rsid w:val="00782572"/>
    <w:rsid w:val="007854EE"/>
    <w:rsid w:val="007B2E7B"/>
    <w:rsid w:val="007B4F60"/>
    <w:rsid w:val="007C53DB"/>
    <w:rsid w:val="007C667A"/>
    <w:rsid w:val="007E5B48"/>
    <w:rsid w:val="00800ECA"/>
    <w:rsid w:val="008071DF"/>
    <w:rsid w:val="00807A95"/>
    <w:rsid w:val="00812D9B"/>
    <w:rsid w:val="008318B0"/>
    <w:rsid w:val="008576B0"/>
    <w:rsid w:val="00857C1E"/>
    <w:rsid w:val="00880543"/>
    <w:rsid w:val="008815F9"/>
    <w:rsid w:val="008831C3"/>
    <w:rsid w:val="008964C6"/>
    <w:rsid w:val="008A5CFE"/>
    <w:rsid w:val="008B3A0C"/>
    <w:rsid w:val="008B5A83"/>
    <w:rsid w:val="008C5C18"/>
    <w:rsid w:val="008E21DE"/>
    <w:rsid w:val="008E6967"/>
    <w:rsid w:val="008E6E09"/>
    <w:rsid w:val="008F396E"/>
    <w:rsid w:val="008F71D3"/>
    <w:rsid w:val="00934732"/>
    <w:rsid w:val="00945775"/>
    <w:rsid w:val="00946816"/>
    <w:rsid w:val="0096035C"/>
    <w:rsid w:val="0097236D"/>
    <w:rsid w:val="00974398"/>
    <w:rsid w:val="00977718"/>
    <w:rsid w:val="00977969"/>
    <w:rsid w:val="009840B5"/>
    <w:rsid w:val="00985205"/>
    <w:rsid w:val="009A0234"/>
    <w:rsid w:val="009A57B3"/>
    <w:rsid w:val="009B2F2C"/>
    <w:rsid w:val="009B3038"/>
    <w:rsid w:val="009B7E58"/>
    <w:rsid w:val="009D08D4"/>
    <w:rsid w:val="009E0E19"/>
    <w:rsid w:val="00A02509"/>
    <w:rsid w:val="00A06A0A"/>
    <w:rsid w:val="00A07E4A"/>
    <w:rsid w:val="00A24B87"/>
    <w:rsid w:val="00A54790"/>
    <w:rsid w:val="00A61F40"/>
    <w:rsid w:val="00A65018"/>
    <w:rsid w:val="00AB12D5"/>
    <w:rsid w:val="00AB1A8F"/>
    <w:rsid w:val="00AB795C"/>
    <w:rsid w:val="00AB7B73"/>
    <w:rsid w:val="00AC1BA5"/>
    <w:rsid w:val="00AC4289"/>
    <w:rsid w:val="00AC761E"/>
    <w:rsid w:val="00AD0AD7"/>
    <w:rsid w:val="00AD7D1A"/>
    <w:rsid w:val="00AE773D"/>
    <w:rsid w:val="00AF0899"/>
    <w:rsid w:val="00AF097A"/>
    <w:rsid w:val="00AF348B"/>
    <w:rsid w:val="00AF435C"/>
    <w:rsid w:val="00AF68C0"/>
    <w:rsid w:val="00B10B76"/>
    <w:rsid w:val="00B13A13"/>
    <w:rsid w:val="00B3070A"/>
    <w:rsid w:val="00B572A5"/>
    <w:rsid w:val="00B603C0"/>
    <w:rsid w:val="00B672F6"/>
    <w:rsid w:val="00B709EC"/>
    <w:rsid w:val="00B81642"/>
    <w:rsid w:val="00B863C0"/>
    <w:rsid w:val="00B94FF8"/>
    <w:rsid w:val="00BC324B"/>
    <w:rsid w:val="00BE265A"/>
    <w:rsid w:val="00BE2DB4"/>
    <w:rsid w:val="00BF48A5"/>
    <w:rsid w:val="00C0421C"/>
    <w:rsid w:val="00C1757D"/>
    <w:rsid w:val="00C214EC"/>
    <w:rsid w:val="00C24427"/>
    <w:rsid w:val="00C509FA"/>
    <w:rsid w:val="00C510F3"/>
    <w:rsid w:val="00C52DEE"/>
    <w:rsid w:val="00C73D42"/>
    <w:rsid w:val="00C90136"/>
    <w:rsid w:val="00C90CF3"/>
    <w:rsid w:val="00C94E37"/>
    <w:rsid w:val="00CA0FD3"/>
    <w:rsid w:val="00CA6F5F"/>
    <w:rsid w:val="00CE0C0B"/>
    <w:rsid w:val="00CF2246"/>
    <w:rsid w:val="00D03512"/>
    <w:rsid w:val="00D05134"/>
    <w:rsid w:val="00D125CB"/>
    <w:rsid w:val="00D17856"/>
    <w:rsid w:val="00D26F54"/>
    <w:rsid w:val="00D42507"/>
    <w:rsid w:val="00D515A9"/>
    <w:rsid w:val="00D55DF9"/>
    <w:rsid w:val="00D6474A"/>
    <w:rsid w:val="00D6641D"/>
    <w:rsid w:val="00D77AEA"/>
    <w:rsid w:val="00D85B31"/>
    <w:rsid w:val="00D93179"/>
    <w:rsid w:val="00DC24E5"/>
    <w:rsid w:val="00DD0FE5"/>
    <w:rsid w:val="00DD2DAF"/>
    <w:rsid w:val="00DF5927"/>
    <w:rsid w:val="00DF74BA"/>
    <w:rsid w:val="00E010B9"/>
    <w:rsid w:val="00E115EA"/>
    <w:rsid w:val="00E16037"/>
    <w:rsid w:val="00E22BF3"/>
    <w:rsid w:val="00E247F2"/>
    <w:rsid w:val="00E27B6E"/>
    <w:rsid w:val="00E63839"/>
    <w:rsid w:val="00E70113"/>
    <w:rsid w:val="00E82D1E"/>
    <w:rsid w:val="00E862F8"/>
    <w:rsid w:val="00E86AC7"/>
    <w:rsid w:val="00EB4CA8"/>
    <w:rsid w:val="00ED6577"/>
    <w:rsid w:val="00EE0525"/>
    <w:rsid w:val="00EF7FF2"/>
    <w:rsid w:val="00F400B6"/>
    <w:rsid w:val="00F530FD"/>
    <w:rsid w:val="00F65D78"/>
    <w:rsid w:val="00F662B2"/>
    <w:rsid w:val="00F66826"/>
    <w:rsid w:val="00F73EA2"/>
    <w:rsid w:val="00F7658C"/>
    <w:rsid w:val="00F81E4F"/>
    <w:rsid w:val="00F83708"/>
    <w:rsid w:val="00F875D6"/>
    <w:rsid w:val="00F902D3"/>
    <w:rsid w:val="00F9318C"/>
    <w:rsid w:val="00F94DE4"/>
    <w:rsid w:val="00FA2F0E"/>
    <w:rsid w:val="00FB4C9B"/>
    <w:rsid w:val="00FC72F7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2A7DD"/>
  <w15:docId w15:val="{EE69B27F-EB4B-46E0-97AC-E389A2F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67"/>
  </w:style>
  <w:style w:type="paragraph" w:styleId="Heading1">
    <w:name w:val="heading 1"/>
    <w:basedOn w:val="Normal"/>
    <w:next w:val="Normal"/>
    <w:link w:val="Heading1Char"/>
    <w:uiPriority w:val="9"/>
    <w:qFormat/>
    <w:rsid w:val="00880543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E58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4E7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7E58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4E7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7FB1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74BA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0899"/>
    <w:rPr>
      <w:rFonts w:asciiTheme="majorHAnsi" w:hAnsiTheme="majorHAnsi"/>
      <w:color w:val="000000" w:themeColor="text1"/>
      <w:sz w:val="16"/>
      <w:szCs w:val="20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B7E58"/>
    <w:rPr>
      <w:rFonts w:asciiTheme="majorHAnsi" w:eastAsiaTheme="majorEastAsia" w:hAnsiTheme="majorHAnsi" w:cstheme="majorBidi"/>
      <w:color w:val="004E7D"/>
      <w:sz w:val="44"/>
      <w:szCs w:val="26"/>
    </w:rPr>
  </w:style>
  <w:style w:type="paragraph" w:customStyle="1" w:styleId="AppendixNumbered">
    <w:name w:val="Appendix Numbered"/>
    <w:basedOn w:val="Heading2"/>
    <w:uiPriority w:val="11"/>
    <w:qFormat/>
    <w:rsid w:val="008E6967"/>
    <w:pPr>
      <w:pageBreakBefore/>
      <w:numPr>
        <w:numId w:val="2"/>
      </w:numPr>
    </w:pPr>
    <w:rPr>
      <w:b/>
    </w:rPr>
  </w:style>
  <w:style w:type="numbering" w:customStyle="1" w:styleId="AppendixNumbers">
    <w:name w:val="Appendix Numbers"/>
    <w:uiPriority w:val="99"/>
    <w:rsid w:val="00400926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AF0899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AF0899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507FB1"/>
    <w:pPr>
      <w:numPr>
        <w:numId w:val="37"/>
      </w:numPr>
    </w:pPr>
  </w:style>
  <w:style w:type="paragraph" w:customStyle="1" w:styleId="Bullet2">
    <w:name w:val="Bullet 2"/>
    <w:basedOn w:val="Normal"/>
    <w:uiPriority w:val="2"/>
    <w:qFormat/>
    <w:rsid w:val="00507FB1"/>
    <w:pPr>
      <w:numPr>
        <w:ilvl w:val="1"/>
        <w:numId w:val="37"/>
      </w:numPr>
    </w:pPr>
  </w:style>
  <w:style w:type="paragraph" w:customStyle="1" w:styleId="Bullet3">
    <w:name w:val="Bullet 3"/>
    <w:basedOn w:val="Normal"/>
    <w:uiPriority w:val="2"/>
    <w:qFormat/>
    <w:rsid w:val="00507FB1"/>
    <w:pPr>
      <w:numPr>
        <w:ilvl w:val="2"/>
        <w:numId w:val="37"/>
      </w:numPr>
    </w:pPr>
  </w:style>
  <w:style w:type="paragraph" w:styleId="Caption">
    <w:name w:val="caption"/>
    <w:basedOn w:val="Normal"/>
    <w:next w:val="Normal"/>
    <w:uiPriority w:val="19"/>
    <w:qFormat/>
    <w:rsid w:val="003917CF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table" w:customStyle="1" w:styleId="GridTable5Dark-Accent11">
    <w:name w:val="Grid Table 5 Dark - Accent 1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7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7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7E" w:themeFill="accent1"/>
      </w:tcPr>
    </w:tblStylePr>
    <w:tblStylePr w:type="band1Vert">
      <w:tblPr/>
      <w:tcPr>
        <w:shd w:val="clear" w:color="auto" w:fill="67FFF7" w:themeFill="accent1" w:themeFillTint="66"/>
      </w:tcPr>
    </w:tblStylePr>
    <w:tblStylePr w:type="band1Horz">
      <w:tblPr/>
      <w:tcPr>
        <w:shd w:val="clear" w:color="auto" w:fill="67FFF7" w:themeFill="accent1" w:themeFillTint="66"/>
      </w:tcPr>
    </w:tblStylePr>
  </w:style>
  <w:style w:type="table" w:customStyle="1" w:styleId="DefaultTable1">
    <w:name w:val="Default Table 1"/>
    <w:basedOn w:val="GridTable5Dark-Accent1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47E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7E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B3FFFB" w:themeFill="accent1" w:themeFillTint="33"/>
      </w:tcPr>
    </w:tblStylePr>
    <w:tblStylePr w:type="band2Vert">
      <w:tblPr/>
      <w:tcPr>
        <w:shd w:val="clear" w:color="auto" w:fill="67FFF7" w:themeFill="accent1" w:themeFillTint="66"/>
      </w:tcPr>
    </w:tblStylePr>
    <w:tblStylePr w:type="band1Horz">
      <w:tblPr/>
      <w:tcPr>
        <w:shd w:val="clear" w:color="auto" w:fill="B3FFFB" w:themeFill="accent1" w:themeFillTint="33"/>
      </w:tcPr>
    </w:tblStylePr>
    <w:tblStylePr w:type="band2Horz">
      <w:tblPr/>
      <w:tcPr>
        <w:shd w:val="clear" w:color="auto" w:fill="67FFF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8E6967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8E6967"/>
    <w:pPr>
      <w:keepNext/>
      <w:numPr>
        <w:numId w:val="42"/>
      </w:numPr>
      <w:spacing w:before="240"/>
    </w:pPr>
    <w:rPr>
      <w:rFonts w:asciiTheme="majorHAnsi" w:hAnsiTheme="majorHAnsi"/>
      <w:color w:val="00847E" w:themeColor="accent1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0543"/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customStyle="1" w:styleId="Heading1Numbered">
    <w:name w:val="Heading 1 Numbered"/>
    <w:basedOn w:val="Heading1"/>
    <w:uiPriority w:val="10"/>
    <w:qFormat/>
    <w:rsid w:val="00400926"/>
    <w:pPr>
      <w:numPr>
        <w:numId w:val="12"/>
      </w:numPr>
      <w:ind w:left="0" w:firstLine="0"/>
    </w:pPr>
  </w:style>
  <w:style w:type="paragraph" w:customStyle="1" w:styleId="Heading2Numbered">
    <w:name w:val="Heading 2 Numbered"/>
    <w:basedOn w:val="Heading2"/>
    <w:uiPriority w:val="10"/>
    <w:qFormat/>
    <w:rsid w:val="00400926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B7E58"/>
    <w:rPr>
      <w:rFonts w:asciiTheme="majorHAnsi" w:eastAsiaTheme="majorEastAsia" w:hAnsiTheme="majorHAnsi" w:cstheme="majorBidi"/>
      <w:color w:val="004E7D"/>
      <w:sz w:val="32"/>
      <w:szCs w:val="24"/>
    </w:rPr>
  </w:style>
  <w:style w:type="paragraph" w:customStyle="1" w:styleId="Heading3Numbered">
    <w:name w:val="Heading 3 Numbered"/>
    <w:basedOn w:val="Heading3"/>
    <w:uiPriority w:val="10"/>
    <w:qFormat/>
    <w:rsid w:val="00400926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07FB1"/>
    <w:rPr>
      <w:rFonts w:eastAsiaTheme="majorEastAsia" w:cstheme="majorBidi"/>
      <w:b/>
      <w:iCs/>
      <w:color w:val="auto"/>
      <w:sz w:val="24"/>
    </w:rPr>
  </w:style>
  <w:style w:type="paragraph" w:customStyle="1" w:styleId="Heading4Numbered">
    <w:name w:val="Heading 4 Numbered"/>
    <w:basedOn w:val="Heading4"/>
    <w:uiPriority w:val="10"/>
    <w:qFormat/>
    <w:rsid w:val="00400926"/>
    <w:pPr>
      <w:numPr>
        <w:ilvl w:val="3"/>
        <w:numId w:val="12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DF74BA"/>
    <w:rPr>
      <w:rFonts w:eastAsiaTheme="majorEastAsia" w:cstheme="majorBidi"/>
      <w:b/>
      <w:i/>
      <w:color w:val="auto"/>
      <w:sz w:val="22"/>
    </w:rPr>
  </w:style>
  <w:style w:type="paragraph" w:customStyle="1" w:styleId="Heading5Numbered">
    <w:name w:val="Heading 5 Numbered"/>
    <w:basedOn w:val="Heading5"/>
    <w:uiPriority w:val="10"/>
    <w:qFormat/>
    <w:rsid w:val="00400926"/>
    <w:pPr>
      <w:keepNext w:val="0"/>
      <w:numPr>
        <w:ilvl w:val="4"/>
        <w:numId w:val="12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F0899"/>
    <w:rPr>
      <w:rFonts w:eastAsiaTheme="majorEastAsia" w:cstheme="majorBidi"/>
      <w:b/>
      <w:i/>
      <w:color w:val="000000" w:themeColor="text1"/>
      <w:sz w:val="20"/>
      <w:szCs w:val="20"/>
    </w:rPr>
  </w:style>
  <w:style w:type="paragraph" w:customStyle="1" w:styleId="Heading6Numbered">
    <w:name w:val="Heading 6 Numbered"/>
    <w:basedOn w:val="Heading6"/>
    <w:uiPriority w:val="10"/>
    <w:qFormat/>
    <w:rsid w:val="00400926"/>
    <w:pPr>
      <w:keepNext w:val="0"/>
      <w:numPr>
        <w:ilvl w:val="5"/>
        <w:numId w:val="1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AF0899"/>
    <w:rPr>
      <w:rFonts w:eastAsiaTheme="majorEastAsia" w:cstheme="majorBidi"/>
      <w:i/>
      <w:iCs/>
      <w:color w:val="000000" w:themeColor="text1"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400926"/>
    <w:pPr>
      <w:numPr>
        <w:ilvl w:val="6"/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880543"/>
    <w:pPr>
      <w:spacing w:before="240" w:after="240"/>
      <w:contextualSpacing/>
    </w:pPr>
    <w:rPr>
      <w:rFonts w:asciiTheme="majorHAnsi" w:hAnsiTheme="majorHAnsi"/>
      <w:color w:val="00A398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400926"/>
    <w:pPr>
      <w:numPr>
        <w:numId w:val="23"/>
      </w:numPr>
    </w:pPr>
  </w:style>
  <w:style w:type="paragraph" w:customStyle="1" w:styleId="PullOut-Teal">
    <w:name w:val="Pull Out - Teal"/>
    <w:basedOn w:val="Normal"/>
    <w:uiPriority w:val="22"/>
    <w:qFormat/>
    <w:rsid w:val="00400926"/>
    <w:pPr>
      <w:numPr>
        <w:numId w:val="38"/>
      </w:numPr>
      <w:spacing w:before="480" w:after="480" w:line="340" w:lineRule="atLeast"/>
      <w:ind w:left="1247" w:hanging="1247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8E6967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880543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A398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880543"/>
    <w:rPr>
      <w:rFonts w:eastAsiaTheme="minorEastAsia"/>
      <w:color w:val="00A398"/>
      <w:sz w:val="24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43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880543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A398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880543"/>
    <w:rPr>
      <w:rFonts w:asciiTheme="majorHAnsi" w:eastAsiaTheme="majorEastAsia" w:hAnsiTheme="majorHAnsi" w:cstheme="majorBidi"/>
      <w:color w:val="00A398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880543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00A398"/>
      <w:sz w:val="26"/>
    </w:rPr>
  </w:style>
  <w:style w:type="paragraph" w:styleId="TOC2">
    <w:name w:val="toc 2"/>
    <w:basedOn w:val="Normal"/>
    <w:next w:val="Normal"/>
    <w:autoRedefine/>
    <w:uiPriority w:val="39"/>
    <w:rsid w:val="003917CF"/>
    <w:pPr>
      <w:pBdr>
        <w:between w:val="single" w:sz="8" w:space="1" w:color="00847E" w:themeColor="accent1"/>
      </w:pBdr>
      <w:tabs>
        <w:tab w:val="right" w:pos="9628"/>
      </w:tabs>
      <w:spacing w:after="60"/>
      <w:ind w:left="851" w:hanging="851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3917CF"/>
    <w:pPr>
      <w:tabs>
        <w:tab w:val="right" w:pos="9628"/>
      </w:tabs>
      <w:spacing w:before="60" w:after="60"/>
      <w:ind w:left="851" w:hanging="851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507FB1"/>
    <w:pPr>
      <w:numPr>
        <w:numId w:val="28"/>
      </w:numPr>
    </w:pPr>
  </w:style>
  <w:style w:type="paragraph" w:customStyle="1" w:styleId="PullOut-Pink">
    <w:name w:val="Pull Out - Pink"/>
    <w:basedOn w:val="PullOut-Teal"/>
    <w:uiPriority w:val="22"/>
    <w:qFormat/>
    <w:rsid w:val="00400926"/>
    <w:pPr>
      <w:numPr>
        <w:numId w:val="39"/>
      </w:numPr>
      <w:ind w:left="1247" w:hanging="1247"/>
    </w:pPr>
  </w:style>
  <w:style w:type="paragraph" w:customStyle="1" w:styleId="PullOut-Yellow">
    <w:name w:val="Pull Out - Yellow"/>
    <w:basedOn w:val="PullOut-Teal"/>
    <w:qFormat/>
    <w:rsid w:val="00400926"/>
    <w:pPr>
      <w:numPr>
        <w:numId w:val="40"/>
      </w:numPr>
      <w:ind w:left="1247" w:hanging="1247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543"/>
    <w:pPr>
      <w:pBdr>
        <w:top w:val="single" w:sz="4" w:space="10" w:color="00847E" w:themeColor="accent1"/>
        <w:bottom w:val="single" w:sz="4" w:space="10" w:color="00847E" w:themeColor="accent1"/>
      </w:pBdr>
      <w:spacing w:before="360" w:after="360"/>
      <w:ind w:left="864" w:right="864"/>
      <w:jc w:val="center"/>
    </w:pPr>
    <w:rPr>
      <w:i/>
      <w:iCs/>
      <w:color w:val="00A39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543"/>
    <w:rPr>
      <w:i/>
      <w:iCs/>
      <w:color w:val="00A398"/>
    </w:rPr>
  </w:style>
  <w:style w:type="character" w:styleId="IntenseReference">
    <w:name w:val="Intense Reference"/>
    <w:basedOn w:val="DefaultParagraphFont"/>
    <w:uiPriority w:val="32"/>
    <w:qFormat/>
    <w:rsid w:val="00880543"/>
    <w:rPr>
      <w:b/>
      <w:bCs/>
      <w:smallCaps/>
      <w:color w:val="00A398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3"/>
    <w:rPr>
      <w:rFonts w:ascii="Tahoma" w:hAnsi="Tahoma" w:cs="Tahoma"/>
      <w:sz w:val="16"/>
      <w:szCs w:val="16"/>
    </w:rPr>
  </w:style>
  <w:style w:type="paragraph" w:customStyle="1" w:styleId="TEQSAbodytext">
    <w:name w:val="TEQSA_body text"/>
    <w:basedOn w:val="Normal"/>
    <w:link w:val="TEQSAbodytextChar"/>
    <w:rsid w:val="004F6524"/>
    <w:pPr>
      <w:suppressAutoHyphens/>
      <w:autoSpaceDE w:val="0"/>
      <w:autoSpaceDN w:val="0"/>
      <w:adjustRightInd w:val="0"/>
      <w:spacing w:before="0" w:after="150" w:line="280" w:lineRule="atLeast"/>
      <w:textAlignment w:val="center"/>
    </w:pPr>
    <w:rPr>
      <w:rFonts w:ascii="Arial" w:eastAsia="MS Mincho" w:hAnsi="Arial" w:cs="Times New Roman"/>
      <w:color w:val="000000"/>
      <w:szCs w:val="24"/>
      <w:lang w:val="en-GB"/>
    </w:rPr>
  </w:style>
  <w:style w:type="character" w:customStyle="1" w:styleId="TEQSAbodytextChar">
    <w:name w:val="TEQSA_body text Char"/>
    <w:link w:val="TEQSAbodytext"/>
    <w:locked/>
    <w:rsid w:val="004F6524"/>
    <w:rPr>
      <w:rFonts w:ascii="Arial" w:eastAsia="MS Mincho" w:hAnsi="Arial" w:cs="Times New Roman"/>
      <w:color w:val="00000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F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60A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qsa.gov.au/Unsuccessful-application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teqsa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2017-07-04.dotx" TargetMode="External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8B12DBA0513E054CBBB1E0A6BA75A4240300D297527A5029E444B0C317D38D273153" ma:contentTypeVersion="4" ma:contentTypeDescription="" ma:contentTypeScope="" ma:versionID="2e25f12e526be21e8e57d9281c7f5faa">
  <xsd:schema xmlns:xsd="http://www.w3.org/2001/XMLSchema" xmlns:xs="http://www.w3.org/2001/XMLSchema" xmlns:p="http://schemas.microsoft.com/office/2006/metadata/properties" xmlns:ns2="c7dac4e8-3feb-44f4-96ca-b86e7c14d0f6" targetNamespace="http://schemas.microsoft.com/office/2006/metadata/properties" ma:root="true" ma:fieldsID="73f842c38cd15afe6ce6e7cf45703cde" ns2:_="">
    <xsd:import namespace="c7dac4e8-3feb-44f4-96ca-b86e7c14d0f6"/>
    <xsd:element name="properties">
      <xsd:complexType>
        <xsd:sequence>
          <xsd:element name="documentManagement">
            <xsd:complexType>
              <xsd:all>
                <xsd:element ref="ns2:e6aacab2b3734039bc8633068afcfbf5" minOccurs="0"/>
                <xsd:element ref="ns2:TaxCatchAll" minOccurs="0"/>
                <xsd:element ref="ns2:TaxCatchAllLabel" minOccurs="0"/>
                <xsd:element ref="ns2:DocumentOwner"/>
                <xsd:element ref="ns2:DatePublished"/>
                <xsd:element ref="ns2:FormOrTempl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c4e8-3feb-44f4-96ca-b86e7c14d0f6" elementFormDefault="qualified">
    <xsd:import namespace="http://schemas.microsoft.com/office/2006/documentManagement/types"/>
    <xsd:import namespace="http://schemas.microsoft.com/office/infopath/2007/PartnerControls"/>
    <xsd:element name="e6aacab2b3734039bc8633068afcfbf5" ma:index="8" nillable="true" ma:taxonomy="true" ma:internalName="e6aacab2b3734039bc8633068afcfbf5" ma:taxonomyFieldName="Team" ma:displayName="Team" ma:default="" ma:fieldId="{e6aacab2-b373-4039-bc86-33068afcfbf5}" ma:taxonomyMulti="true" ma:sspId="be8905b2-f52b-44de-a206-1b32cf4e62f6" ma:termSetId="106e9e8c-657b-438c-9955-5d7da1bc38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f939d1-56bc-40c0-957d-36b9f39c0f6e}" ma:internalName="TaxCatchAll" ma:showField="CatchAllData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f939d1-56bc-40c0-957d-36b9f39c0f6e}" ma:internalName="TaxCatchAllLabel" ma:readOnly="true" ma:showField="CatchAllDataLabel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ma:displayName="Document 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3" ma:displayName="Date Published" ma:default="[today]" ma:format="DateOnly" ma:internalName="DatePublished" ma:readOnly="false">
      <xsd:simpleType>
        <xsd:restriction base="dms:DateTime"/>
      </xsd:simpleType>
    </xsd:element>
    <xsd:element name="FormOrTemplate" ma:index="14" ma:displayName="Form/Template" ma:format="Dropdown" ma:internalName="FormOrTemplate" ma:readOnly="false">
      <xsd:simpleType>
        <xsd:restriction base="dms:Choice">
          <xsd:enumeration value="Form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ac4e8-3feb-44f4-96ca-b86e7c14d0f6">
      <Value>45</Value>
    </TaxCatchAll>
    <DocumentOwner xmlns="c7dac4e8-3feb-44f4-96ca-b86e7c14d0f6">
      <UserInfo>
        <DisplayName>Treloar, Karen</DisplayName>
        <AccountId>397</AccountId>
        <AccountType/>
      </UserInfo>
    </DocumentOwner>
    <DatePublished xmlns="c7dac4e8-3feb-44f4-96ca-b86e7c14d0f6">2017-08-06T14:00:00+00:00</DatePublished>
    <FormOrTemplate xmlns="c7dac4e8-3feb-44f4-96ca-b86e7c14d0f6">Template</FormOrTemplate>
    <e6aacab2b3734039bc8633068afcfbf5 xmlns="c7dac4e8-3feb-44f4-96ca-b86e7c14d0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and International</TermName>
          <TermId xmlns="http://schemas.microsoft.com/office/infopath/2007/PartnerControls">f1db5572-7306-443e-a442-d56c9f2c52d1</TermId>
        </TermInfo>
      </Terms>
    </e6aacab2b3734039bc8633068afcfbf5>
  </documentManagement>
</p:properties>
</file>

<file path=customXml/itemProps1.xml><?xml version="1.0" encoding="utf-8"?>
<ds:datastoreItem xmlns:ds="http://schemas.openxmlformats.org/officeDocument/2006/customXml" ds:itemID="{F7B51475-82ED-4D65-98D4-8E85B1AEC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09665-42C1-46F9-9567-DE77E788F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c4e8-3feb-44f4-96ca-b86e7c1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02E6D-9297-4B71-AE50-00071DF6B0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4F7F5-F729-406E-94C0-BA3232646C99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c7dac4e8-3feb-44f4-96ca-b86e7c14d0f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2017-07-04</Template>
  <TotalTime>6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Tertiary Education Quality and Standards Agency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public statements on TEQSA’s regulatory decisions and processes</dc:title>
  <dc:creator>Ben Fulford</dc:creator>
  <cp:lastModifiedBy>Tom Hewitt-McManus</cp:lastModifiedBy>
  <cp:revision>4</cp:revision>
  <cp:lastPrinted>2017-11-01T00:09:00Z</cp:lastPrinted>
  <dcterms:created xsi:type="dcterms:W3CDTF">2022-08-04T00:48:00Z</dcterms:created>
  <dcterms:modified xsi:type="dcterms:W3CDTF">2022-08-04T00:51:00Z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0x0101008B12DBA0513E054CBBB1E0A6BA75A4240300D297527A5029E444B0C317D38D273153</vt:lpwstr>
  </property>
  <property fmtid="{D5CDD505-2E9C-101B-9397-08002B2CF9AE}" pid="3" name="Team">
    <vt:lpwstr>45;#Comms and International|f1db5572-7306-443e-a442-d56c9f2c52d1</vt:lpwstr>
  </property>
</Properties>
</file>