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7E303" w14:textId="4E340591" w:rsidR="005E3659" w:rsidRPr="005E3659" w:rsidRDefault="005E3659" w:rsidP="005E3659">
      <w:pPr>
        <w:keepNext/>
        <w:keepLines/>
        <w:pageBreakBefore/>
        <w:spacing w:before="480" w:after="480" w:line="540" w:lineRule="atLeast"/>
        <w:outlineLvl w:val="0"/>
        <w:rPr>
          <w:rFonts w:asciiTheme="majorHAnsi" w:eastAsiaTheme="majorEastAsia" w:hAnsiTheme="majorHAnsi" w:cstheme="majorBidi"/>
          <w:b/>
          <w:color w:val="004E7D"/>
          <w:sz w:val="48"/>
          <w:szCs w:val="32"/>
          <w:lang w:eastAsia="en-AU"/>
        </w:rPr>
      </w:pPr>
      <w:bookmarkStart w:id="0" w:name="OLE_LINK9"/>
      <w:bookmarkStart w:id="1" w:name="OLE_LINK10"/>
      <w:bookmarkStart w:id="2" w:name="_Hlk85016473"/>
      <w:r w:rsidRPr="005E3659">
        <w:rPr>
          <w:rFonts w:asciiTheme="majorHAnsi" w:eastAsiaTheme="majorEastAsia" w:hAnsiTheme="majorHAnsi" w:cstheme="majorBidi"/>
          <w:b/>
          <w:color w:val="004E7D"/>
          <w:sz w:val="48"/>
          <w:szCs w:val="32"/>
          <w:lang w:eastAsia="en-AU"/>
        </w:rPr>
        <w:t xml:space="preserve">Material </w:t>
      </w:r>
      <w:r w:rsidR="00A72715">
        <w:rPr>
          <w:rFonts w:asciiTheme="majorHAnsi" w:eastAsiaTheme="majorEastAsia" w:hAnsiTheme="majorHAnsi" w:cstheme="majorBidi"/>
          <w:b/>
          <w:color w:val="004E7D"/>
          <w:sz w:val="48"/>
          <w:szCs w:val="32"/>
          <w:lang w:eastAsia="en-AU"/>
        </w:rPr>
        <w:t>C</w:t>
      </w:r>
      <w:r w:rsidRPr="005E3659">
        <w:rPr>
          <w:rFonts w:asciiTheme="majorHAnsi" w:eastAsiaTheme="majorEastAsia" w:hAnsiTheme="majorHAnsi" w:cstheme="majorBidi"/>
          <w:b/>
          <w:color w:val="004E7D"/>
          <w:sz w:val="48"/>
          <w:szCs w:val="32"/>
          <w:lang w:eastAsia="en-AU"/>
        </w:rPr>
        <w:t xml:space="preserve">hange </w:t>
      </w:r>
      <w:r w:rsidR="00A72715">
        <w:rPr>
          <w:rFonts w:asciiTheme="majorHAnsi" w:eastAsiaTheme="majorEastAsia" w:hAnsiTheme="majorHAnsi" w:cstheme="majorBidi"/>
          <w:b/>
          <w:color w:val="004E7D"/>
          <w:sz w:val="48"/>
          <w:szCs w:val="32"/>
          <w:lang w:eastAsia="en-AU"/>
        </w:rPr>
        <w:t>N</w:t>
      </w:r>
      <w:r w:rsidRPr="005E3659">
        <w:rPr>
          <w:rFonts w:asciiTheme="majorHAnsi" w:eastAsiaTheme="majorEastAsia" w:hAnsiTheme="majorHAnsi" w:cstheme="majorBidi"/>
          <w:b/>
          <w:color w:val="004E7D"/>
          <w:sz w:val="48"/>
          <w:szCs w:val="32"/>
          <w:lang w:eastAsia="en-AU"/>
        </w:rPr>
        <w:t xml:space="preserve">otification </w:t>
      </w:r>
      <w:r w:rsidR="00A72715">
        <w:rPr>
          <w:rFonts w:asciiTheme="majorHAnsi" w:eastAsiaTheme="majorEastAsia" w:hAnsiTheme="majorHAnsi" w:cstheme="majorBidi"/>
          <w:b/>
          <w:color w:val="004E7D"/>
          <w:sz w:val="48"/>
          <w:szCs w:val="32"/>
          <w:lang w:eastAsia="en-AU"/>
        </w:rPr>
        <w:t>P</w:t>
      </w:r>
      <w:r w:rsidRPr="005E3659">
        <w:rPr>
          <w:rFonts w:asciiTheme="majorHAnsi" w:eastAsiaTheme="majorEastAsia" w:hAnsiTheme="majorHAnsi" w:cstheme="majorBidi"/>
          <w:b/>
          <w:color w:val="004E7D"/>
          <w:sz w:val="48"/>
          <w:szCs w:val="32"/>
          <w:lang w:eastAsia="en-AU"/>
        </w:rPr>
        <w:t>olicy</w:t>
      </w:r>
      <w:bookmarkEnd w:id="0"/>
      <w:bookmarkEnd w:id="1"/>
      <w:bookmarkEnd w:id="2"/>
    </w:p>
    <w:p w14:paraId="18A2E192" w14:textId="528B980C" w:rsidR="005E3659" w:rsidRPr="005E3659" w:rsidRDefault="005E3659" w:rsidP="005E3659">
      <w:pPr>
        <w:keepNext/>
        <w:keepLines/>
        <w:spacing w:before="360" w:after="120" w:line="240" w:lineRule="auto"/>
        <w:outlineLvl w:val="1"/>
        <w:rPr>
          <w:rFonts w:asciiTheme="majorHAnsi" w:eastAsiaTheme="majorEastAsia" w:hAnsiTheme="majorHAnsi" w:cstheme="majorBidi"/>
          <w:color w:val="004E7D"/>
          <w:sz w:val="44"/>
          <w:szCs w:val="26"/>
        </w:rPr>
      </w:pPr>
      <w:r w:rsidRPr="005E3659">
        <w:rPr>
          <w:rFonts w:asciiTheme="majorHAnsi" w:eastAsiaTheme="majorEastAsia" w:hAnsiTheme="majorHAnsi" w:cstheme="majorBidi"/>
          <w:color w:val="004E7D"/>
          <w:sz w:val="44"/>
          <w:szCs w:val="26"/>
        </w:rPr>
        <w:t xml:space="preserve">Purpose </w:t>
      </w:r>
    </w:p>
    <w:p w14:paraId="32C6D090" w14:textId="5A4D9B87" w:rsidR="00E155BE" w:rsidRDefault="00E155BE" w:rsidP="00E155BE">
      <w:pPr>
        <w:autoSpaceDE w:val="0"/>
        <w:autoSpaceDN w:val="0"/>
        <w:adjustRightInd w:val="0"/>
        <w:spacing w:before="0"/>
        <w:rPr>
          <w:rFonts w:cs="Arial"/>
          <w:color w:val="000000"/>
          <w:sz w:val="22"/>
        </w:rPr>
      </w:pPr>
      <w:bookmarkStart w:id="3" w:name="_Toc358719067"/>
      <w:r w:rsidRPr="001134F2">
        <w:rPr>
          <w:rFonts w:cs="Arial"/>
          <w:color w:val="000000"/>
          <w:sz w:val="22"/>
        </w:rPr>
        <w:t xml:space="preserve">The policy outlines the circumstances in which providers are required to notify TEQSA of material changes and the method for notification. </w:t>
      </w:r>
    </w:p>
    <w:p w14:paraId="6E547A22" w14:textId="77777777" w:rsidR="001134F2" w:rsidRPr="001134F2" w:rsidRDefault="001134F2" w:rsidP="00E155BE">
      <w:pPr>
        <w:autoSpaceDE w:val="0"/>
        <w:autoSpaceDN w:val="0"/>
        <w:adjustRightInd w:val="0"/>
        <w:spacing w:before="0"/>
        <w:rPr>
          <w:sz w:val="22"/>
        </w:rPr>
      </w:pPr>
    </w:p>
    <w:p w14:paraId="103BF71D" w14:textId="77777777" w:rsidR="00E155BE" w:rsidRPr="007F7E0E" w:rsidRDefault="00E155BE" w:rsidP="007F7E0E">
      <w:pPr>
        <w:keepNext/>
        <w:keepLines/>
        <w:spacing w:before="360" w:after="120" w:line="240" w:lineRule="auto"/>
        <w:outlineLvl w:val="1"/>
        <w:rPr>
          <w:rFonts w:asciiTheme="majorHAnsi" w:eastAsiaTheme="majorEastAsia" w:hAnsiTheme="majorHAnsi" w:cstheme="majorBidi"/>
          <w:color w:val="004E7D"/>
          <w:sz w:val="44"/>
          <w:szCs w:val="26"/>
        </w:rPr>
      </w:pPr>
      <w:r w:rsidRPr="007F7E0E">
        <w:rPr>
          <w:rFonts w:asciiTheme="majorHAnsi" w:eastAsiaTheme="majorEastAsia" w:hAnsiTheme="majorHAnsi" w:cstheme="majorBidi"/>
          <w:color w:val="004E7D"/>
          <w:sz w:val="44"/>
          <w:szCs w:val="26"/>
        </w:rPr>
        <w:t>Scope</w:t>
      </w:r>
      <w:r w:rsidRPr="007F7E0E">
        <w:rPr>
          <w:rFonts w:asciiTheme="majorHAnsi" w:eastAsiaTheme="majorEastAsia" w:hAnsiTheme="majorHAnsi" w:cstheme="majorBidi"/>
          <w:color w:val="004E7D"/>
          <w:sz w:val="44"/>
          <w:szCs w:val="26"/>
        </w:rPr>
        <w:tab/>
      </w:r>
    </w:p>
    <w:p w14:paraId="6783BBFF" w14:textId="47493862" w:rsidR="00E155BE" w:rsidRDefault="00E155BE" w:rsidP="00123BE8">
      <w:pPr>
        <w:spacing w:before="0"/>
        <w:rPr>
          <w:sz w:val="22"/>
        </w:rPr>
      </w:pPr>
      <w:r w:rsidRPr="001134F2">
        <w:rPr>
          <w:sz w:val="22"/>
        </w:rPr>
        <w:t>This policy applies to all higher education providers.</w:t>
      </w:r>
    </w:p>
    <w:p w14:paraId="5F04F5AB" w14:textId="77777777" w:rsidR="00123BE8" w:rsidRPr="001134F2" w:rsidRDefault="00123BE8" w:rsidP="00123BE8">
      <w:pPr>
        <w:spacing w:before="0"/>
        <w:rPr>
          <w:sz w:val="22"/>
        </w:rPr>
      </w:pPr>
    </w:p>
    <w:bookmarkEnd w:id="3"/>
    <w:p w14:paraId="43D002C6" w14:textId="77777777" w:rsidR="00E155BE" w:rsidRPr="007F7E0E" w:rsidRDefault="00E155BE" w:rsidP="007F7E0E">
      <w:pPr>
        <w:keepNext/>
        <w:keepLines/>
        <w:spacing w:before="360" w:after="120" w:line="240" w:lineRule="auto"/>
        <w:outlineLvl w:val="1"/>
        <w:rPr>
          <w:rFonts w:asciiTheme="majorHAnsi" w:eastAsiaTheme="majorEastAsia" w:hAnsiTheme="majorHAnsi" w:cstheme="majorBidi"/>
          <w:color w:val="004E7D"/>
          <w:sz w:val="44"/>
          <w:szCs w:val="26"/>
        </w:rPr>
      </w:pPr>
      <w:r w:rsidRPr="007F7E0E">
        <w:rPr>
          <w:rFonts w:asciiTheme="majorHAnsi" w:eastAsiaTheme="majorEastAsia" w:hAnsiTheme="majorHAnsi" w:cstheme="majorBidi"/>
          <w:color w:val="004E7D"/>
          <w:sz w:val="44"/>
          <w:szCs w:val="26"/>
        </w:rPr>
        <w:t>Principles</w:t>
      </w:r>
    </w:p>
    <w:p w14:paraId="1E07374E" w14:textId="58206791" w:rsidR="00E155BE" w:rsidRPr="008937CD" w:rsidRDefault="00E155BE" w:rsidP="00E155BE">
      <w:pPr>
        <w:pStyle w:val="ListParagraph"/>
        <w:numPr>
          <w:ilvl w:val="0"/>
          <w:numId w:val="13"/>
        </w:numPr>
        <w:contextualSpacing w:val="0"/>
      </w:pPr>
      <w:r>
        <w:t xml:space="preserve">The purpose of material change notifications is to ensure timely disclosure by providers on changes that </w:t>
      </w:r>
      <w:r w:rsidR="00043C73">
        <w:t>will</w:t>
      </w:r>
      <w:r>
        <w:t xml:space="preserve"> significantly impact their compliance with the </w:t>
      </w:r>
      <w:r w:rsidRPr="00343450">
        <w:rPr>
          <w:i/>
          <w:iCs/>
        </w:rPr>
        <w:t>Higher Education Standards Framework (Threshold Standards) 2021</w:t>
      </w:r>
      <w:r w:rsidRPr="008937CD">
        <w:t xml:space="preserve"> </w:t>
      </w:r>
      <w:r>
        <w:t>(HES Framework)</w:t>
      </w:r>
      <w:r w:rsidRPr="008937CD">
        <w:t>.</w:t>
      </w:r>
    </w:p>
    <w:p w14:paraId="15E168DB" w14:textId="77777777" w:rsidR="00E155BE" w:rsidRPr="008937CD" w:rsidRDefault="00E155BE" w:rsidP="00E155BE">
      <w:pPr>
        <w:pStyle w:val="ListParagraph"/>
        <w:numPr>
          <w:ilvl w:val="0"/>
          <w:numId w:val="13"/>
        </w:numPr>
        <w:contextualSpacing w:val="0"/>
        <w:rPr>
          <w:rFonts w:ascii="Arial" w:hAnsi="Arial" w:cs="Arial"/>
          <w:bCs/>
        </w:rPr>
      </w:pPr>
      <w:r w:rsidRPr="008937CD">
        <w:t xml:space="preserve">The obligation to notify TEQSA of material changes is specified in the </w:t>
      </w:r>
      <w:r w:rsidRPr="008B76C4">
        <w:rPr>
          <w:i/>
          <w:iCs/>
        </w:rPr>
        <w:t>Tertiary Education Quality and</w:t>
      </w:r>
      <w:r w:rsidRPr="005A4E19">
        <w:rPr>
          <w:rFonts w:ascii="Arial" w:hAnsi="Arial" w:cs="Arial"/>
          <w:bCs/>
          <w:i/>
          <w:iCs/>
        </w:rPr>
        <w:t xml:space="preserve"> </w:t>
      </w:r>
      <w:r w:rsidRPr="008937CD">
        <w:rPr>
          <w:rFonts w:ascii="Arial" w:hAnsi="Arial" w:cs="Arial"/>
          <w:bCs/>
          <w:i/>
        </w:rPr>
        <w:t>Standards Agency Act 2011</w:t>
      </w:r>
      <w:r w:rsidRPr="008937CD">
        <w:rPr>
          <w:rFonts w:ascii="Arial" w:hAnsi="Arial" w:cs="Arial"/>
          <w:bCs/>
        </w:rPr>
        <w:t xml:space="preserve"> (TEQSA Act):</w:t>
      </w:r>
    </w:p>
    <w:p w14:paraId="038051E9" w14:textId="77777777" w:rsidR="00E155BE" w:rsidRPr="00D5734D" w:rsidRDefault="00E155BE" w:rsidP="00E155BE">
      <w:pPr>
        <w:pStyle w:val="Bullet2"/>
        <w:numPr>
          <w:ilvl w:val="0"/>
          <w:numId w:val="12"/>
        </w:numPr>
      </w:pPr>
      <w:r w:rsidRPr="003C5BB2">
        <w:t xml:space="preserve">Section 29(1)(a) of the TEQSA Act requires that a registered higher education provider must notify TEQSA if an event happens or is likely to happen </w:t>
      </w:r>
      <w:r w:rsidRPr="007201DD">
        <w:t xml:space="preserve">that will </w:t>
      </w:r>
      <w:r w:rsidRPr="008937CD">
        <w:t>significantly affect</w:t>
      </w:r>
      <w:r w:rsidRPr="007201DD">
        <w:t xml:space="preserve"> the provider’s ability to meet the </w:t>
      </w:r>
      <w:r w:rsidRPr="00D5734D">
        <w:t xml:space="preserve">HES </w:t>
      </w:r>
      <w:r w:rsidRPr="008937CD">
        <w:rPr>
          <w:rFonts w:ascii="Arial" w:hAnsi="Arial" w:cs="Arial"/>
        </w:rPr>
        <w:t>Framework</w:t>
      </w:r>
      <w:r w:rsidRPr="007201DD">
        <w:t xml:space="preserve">. </w:t>
      </w:r>
    </w:p>
    <w:p w14:paraId="6CD2FB88" w14:textId="77777777" w:rsidR="00E155BE" w:rsidRDefault="00E155BE" w:rsidP="00E155BE">
      <w:pPr>
        <w:pStyle w:val="Bullet2"/>
        <w:numPr>
          <w:ilvl w:val="0"/>
          <w:numId w:val="12"/>
        </w:numPr>
        <w:rPr>
          <w:rFonts w:ascii="Arial" w:hAnsi="Arial" w:cs="Arial"/>
        </w:rPr>
      </w:pPr>
      <w:r w:rsidRPr="00D5734D">
        <w:rPr>
          <w:rFonts w:ascii="Arial" w:hAnsi="Arial" w:cs="Arial"/>
        </w:rPr>
        <w:t xml:space="preserve">Section 29(1)(b) of the TEQSA Act requires that a registered higher education provider must notify </w:t>
      </w:r>
      <w:r w:rsidRPr="008937CD">
        <w:t>TEQSA</w:t>
      </w:r>
      <w:r w:rsidRPr="007201DD">
        <w:rPr>
          <w:rFonts w:ascii="Arial" w:hAnsi="Arial" w:cs="Arial"/>
        </w:rPr>
        <w:t xml:space="preserve"> an event that will </w:t>
      </w:r>
      <w:r w:rsidRPr="008937CD">
        <w:rPr>
          <w:rFonts w:ascii="Arial" w:hAnsi="Arial" w:cs="Arial"/>
        </w:rPr>
        <w:t xml:space="preserve">require the </w:t>
      </w:r>
      <w:r>
        <w:rPr>
          <w:rFonts w:ascii="Arial" w:hAnsi="Arial" w:cs="Arial"/>
        </w:rPr>
        <w:t xml:space="preserve">National </w:t>
      </w:r>
      <w:r w:rsidRPr="008937CD">
        <w:rPr>
          <w:rFonts w:ascii="Arial" w:hAnsi="Arial" w:cs="Arial"/>
        </w:rPr>
        <w:t>Register to be updated</w:t>
      </w:r>
      <w:r w:rsidRPr="007201DD">
        <w:rPr>
          <w:rFonts w:ascii="Arial" w:hAnsi="Arial" w:cs="Arial"/>
        </w:rPr>
        <w:t xml:space="preserve"> in respect of the provider. </w:t>
      </w:r>
      <w:r>
        <w:rPr>
          <w:rFonts w:ascii="Arial" w:hAnsi="Arial" w:cs="Arial"/>
        </w:rPr>
        <w:t>This includes changes to:</w:t>
      </w:r>
    </w:p>
    <w:p w14:paraId="750890D5" w14:textId="77777777" w:rsidR="00E155BE" w:rsidRPr="008937CD" w:rsidRDefault="00E155BE" w:rsidP="00E155BE">
      <w:pPr>
        <w:pStyle w:val="BulletsL1"/>
        <w:numPr>
          <w:ilvl w:val="1"/>
          <w:numId w:val="12"/>
        </w:numPr>
        <w:rPr>
          <w:bCs/>
        </w:rPr>
      </w:pPr>
      <w:r w:rsidRPr="008937CD">
        <w:rPr>
          <w:bCs/>
        </w:rPr>
        <w:t>name of the legal entity</w:t>
      </w:r>
    </w:p>
    <w:p w14:paraId="64A9221B" w14:textId="77777777" w:rsidR="00E155BE" w:rsidRPr="008937CD" w:rsidRDefault="00E155BE" w:rsidP="00E155BE">
      <w:pPr>
        <w:pStyle w:val="BulletsL1"/>
        <w:numPr>
          <w:ilvl w:val="1"/>
          <w:numId w:val="12"/>
        </w:numPr>
        <w:rPr>
          <w:bCs/>
        </w:rPr>
      </w:pPr>
      <w:r w:rsidRPr="008937CD">
        <w:rPr>
          <w:bCs/>
        </w:rPr>
        <w:t>ABN</w:t>
      </w:r>
    </w:p>
    <w:p w14:paraId="478E40D9" w14:textId="77777777" w:rsidR="00E155BE" w:rsidRPr="008937CD" w:rsidRDefault="00E155BE" w:rsidP="00E155BE">
      <w:pPr>
        <w:pStyle w:val="BulletsL1"/>
        <w:numPr>
          <w:ilvl w:val="1"/>
          <w:numId w:val="12"/>
        </w:numPr>
        <w:rPr>
          <w:bCs/>
        </w:rPr>
      </w:pPr>
      <w:r w:rsidRPr="008937CD">
        <w:rPr>
          <w:bCs/>
        </w:rPr>
        <w:t>business name</w:t>
      </w:r>
    </w:p>
    <w:p w14:paraId="375A92E8" w14:textId="77777777" w:rsidR="00E155BE" w:rsidRPr="0067482A" w:rsidRDefault="00E155BE" w:rsidP="00E155BE">
      <w:pPr>
        <w:pStyle w:val="BulletsL1"/>
        <w:numPr>
          <w:ilvl w:val="1"/>
          <w:numId w:val="12"/>
        </w:numPr>
        <w:rPr>
          <w:bCs/>
        </w:rPr>
      </w:pPr>
      <w:r w:rsidRPr="008937CD">
        <w:rPr>
          <w:bCs/>
        </w:rPr>
        <w:t>head office</w:t>
      </w:r>
      <w:r w:rsidRPr="007201DD">
        <w:rPr>
          <w:bCs/>
        </w:rPr>
        <w:t xml:space="preserve">, and </w:t>
      </w:r>
    </w:p>
    <w:p w14:paraId="28C2B276" w14:textId="77777777" w:rsidR="00E155BE" w:rsidRPr="0067482A" w:rsidRDefault="00E155BE" w:rsidP="00E155BE">
      <w:pPr>
        <w:pStyle w:val="BulletsL1"/>
        <w:numPr>
          <w:ilvl w:val="1"/>
          <w:numId w:val="12"/>
        </w:numPr>
        <w:rPr>
          <w:bCs/>
        </w:rPr>
      </w:pPr>
      <w:r w:rsidRPr="008937CD">
        <w:rPr>
          <w:bCs/>
        </w:rPr>
        <w:t>website address</w:t>
      </w:r>
      <w:r w:rsidRPr="007201DD">
        <w:rPr>
          <w:bCs/>
        </w:rPr>
        <w:t>, as well as the</w:t>
      </w:r>
    </w:p>
    <w:p w14:paraId="08DF8521" w14:textId="7D4955E6" w:rsidR="00E155BE" w:rsidRPr="007F7E0E" w:rsidRDefault="00E155BE" w:rsidP="00E155BE">
      <w:pPr>
        <w:pStyle w:val="BulletsL1"/>
        <w:numPr>
          <w:ilvl w:val="1"/>
          <w:numId w:val="12"/>
        </w:numPr>
        <w:rPr>
          <w:rFonts w:cs="Arial"/>
          <w:bCs/>
        </w:rPr>
      </w:pPr>
      <w:r w:rsidRPr="007F7E0E">
        <w:rPr>
          <w:bCs/>
        </w:rPr>
        <w:t>titles of courses accredited by TEQSA, or discontinuation of those courses.</w:t>
      </w:r>
    </w:p>
    <w:p w14:paraId="5CAB2900" w14:textId="429E84CE" w:rsidR="006A3DC6" w:rsidRDefault="00537291" w:rsidP="003601DE">
      <w:pPr>
        <w:pStyle w:val="ListParagraph"/>
        <w:numPr>
          <w:ilvl w:val="0"/>
          <w:numId w:val="13"/>
        </w:numPr>
        <w:contextualSpacing w:val="0"/>
      </w:pPr>
      <w:r w:rsidRPr="007F7E0E">
        <w:rPr>
          <w:color w:val="auto"/>
        </w:rPr>
        <w:t>Under the TEQSA Act,</w:t>
      </w:r>
      <w:r w:rsidR="00E155BE" w:rsidRPr="007F7E0E">
        <w:rPr>
          <w:color w:val="auto"/>
        </w:rPr>
        <w:t xml:space="preserve"> notification must be given no later than 14 days after the day that the provider would reasonably </w:t>
      </w:r>
      <w:r w:rsidR="00E155BE" w:rsidRPr="003C5BB2">
        <w:t>be expected to have become aware of the event.</w:t>
      </w:r>
      <w:r w:rsidR="00E155BE">
        <w:t xml:space="preserve"> </w:t>
      </w:r>
    </w:p>
    <w:p w14:paraId="46F821ED" w14:textId="77777777" w:rsidR="00E155BE" w:rsidRPr="003C5BB2" w:rsidRDefault="00E155BE" w:rsidP="00E155BE">
      <w:pPr>
        <w:pStyle w:val="ListParagraph"/>
        <w:numPr>
          <w:ilvl w:val="0"/>
          <w:numId w:val="13"/>
        </w:numPr>
        <w:contextualSpacing w:val="0"/>
      </w:pPr>
      <w:r>
        <w:t xml:space="preserve">Notifications do not constitute an application for </w:t>
      </w:r>
      <w:r w:rsidRPr="008937CD">
        <w:t>approval</w:t>
      </w:r>
      <w:r>
        <w:t xml:space="preserve"> to implement changes, as approval is not required. However, TEQSA will follow up if it considers there is a risk that Standards in the HES Framework have been or will be breached.</w:t>
      </w:r>
    </w:p>
    <w:p w14:paraId="299D9C91" w14:textId="06FDCD03" w:rsidR="003601DE" w:rsidRPr="00B2652A" w:rsidRDefault="00E155BE" w:rsidP="00E155BE">
      <w:pPr>
        <w:pStyle w:val="ListParagraph"/>
        <w:numPr>
          <w:ilvl w:val="0"/>
          <w:numId w:val="13"/>
        </w:numPr>
        <w:contextualSpacing w:val="0"/>
        <w:rPr>
          <w:color w:val="auto"/>
        </w:rPr>
      </w:pPr>
      <w:r w:rsidRPr="00B2652A">
        <w:rPr>
          <w:color w:val="auto"/>
        </w:rPr>
        <w:lastRenderedPageBreak/>
        <w:t xml:space="preserve">Providers subject to the </w:t>
      </w:r>
      <w:r w:rsidRPr="00B2652A">
        <w:rPr>
          <w:i/>
          <w:iCs/>
          <w:color w:val="auto"/>
        </w:rPr>
        <w:t>Education Services for Overseas Students Act 2000</w:t>
      </w:r>
      <w:r w:rsidRPr="00B2652A">
        <w:rPr>
          <w:color w:val="auto"/>
        </w:rPr>
        <w:t xml:space="preserve"> (ESOS Act) and </w:t>
      </w:r>
      <w:r w:rsidRPr="00B2652A">
        <w:rPr>
          <w:i/>
          <w:iCs/>
          <w:color w:val="auto"/>
        </w:rPr>
        <w:t>National Code of Practice for Providers of Education and Training to Overseas Students 2017</w:t>
      </w:r>
      <w:r w:rsidRPr="00B2652A">
        <w:rPr>
          <w:color w:val="auto"/>
        </w:rPr>
        <w:t xml:space="preserve"> (National Code) </w:t>
      </w:r>
      <w:r w:rsidR="00FC52E9" w:rsidRPr="003C5BB2">
        <w:t>should be mindful</w:t>
      </w:r>
      <w:r w:rsidR="00FC52E9" w:rsidRPr="00222BCD">
        <w:t xml:space="preserve"> of</w:t>
      </w:r>
      <w:r w:rsidR="00FC52E9">
        <w:t xml:space="preserve"> any notification </w:t>
      </w:r>
      <w:r w:rsidR="00FC52E9" w:rsidRPr="00222BCD">
        <w:t>req</w:t>
      </w:r>
      <w:r w:rsidR="00FC52E9">
        <w:t xml:space="preserve">uirements arising from changes in circumstances under the ESOS Act. </w:t>
      </w:r>
      <w:r w:rsidR="00FC52E9" w:rsidRPr="00D5734D">
        <w:t xml:space="preserve">Approval </w:t>
      </w:r>
      <w:r w:rsidR="00FC52E9" w:rsidRPr="008937CD">
        <w:t>is</w:t>
      </w:r>
      <w:r w:rsidR="00FC52E9" w:rsidRPr="007201DD">
        <w:t xml:space="preserve"> required for some changes under the ESOS</w:t>
      </w:r>
      <w:r w:rsidR="00FC52E9" w:rsidRPr="00D5734D">
        <w:t xml:space="preserve"> Act</w:t>
      </w:r>
      <w:r w:rsidR="009D0DB7" w:rsidRPr="00B2652A">
        <w:rPr>
          <w:color w:val="auto"/>
        </w:rPr>
        <w:t xml:space="preserve">. </w:t>
      </w:r>
    </w:p>
    <w:p w14:paraId="34B94F98" w14:textId="48DEE254" w:rsidR="00E155BE" w:rsidRPr="008937CD" w:rsidRDefault="00E155BE" w:rsidP="00E155BE">
      <w:pPr>
        <w:pStyle w:val="ListParagraph"/>
        <w:numPr>
          <w:ilvl w:val="0"/>
          <w:numId w:val="13"/>
        </w:numPr>
        <w:contextualSpacing w:val="0"/>
      </w:pPr>
      <w:r w:rsidRPr="009230EA">
        <w:rPr>
          <w:rFonts w:ascii="Arial" w:hAnsi="Arial" w:cs="Arial"/>
        </w:rPr>
        <w:t xml:space="preserve">What </w:t>
      </w:r>
      <w:r w:rsidRPr="008937CD">
        <w:t>constitutes ‘significant’ will depend on the individual circumstances of the provider. It is the responsibility of each provider to decide whether an incident significantly affects its ability to comply with the HES Framework.</w:t>
      </w:r>
    </w:p>
    <w:p w14:paraId="442F38A2" w14:textId="77777777" w:rsidR="00E155BE" w:rsidRDefault="00E155BE" w:rsidP="00E155BE">
      <w:pPr>
        <w:pStyle w:val="ListParagraph"/>
        <w:numPr>
          <w:ilvl w:val="0"/>
          <w:numId w:val="13"/>
        </w:numPr>
        <w:contextualSpacing w:val="0"/>
        <w:rPr>
          <w:rFonts w:ascii="Arial" w:hAnsi="Arial" w:cs="Arial"/>
        </w:rPr>
      </w:pPr>
      <w:r w:rsidRPr="008937CD">
        <w:t>Notwithstanding</w:t>
      </w:r>
      <w:r>
        <w:rPr>
          <w:rFonts w:ascii="Arial" w:hAnsi="Arial" w:cs="Arial"/>
        </w:rPr>
        <w:t>, TEQSA would expect providers to notify TEQSA of the following changes:</w:t>
      </w:r>
    </w:p>
    <w:p w14:paraId="629C8474" w14:textId="73D1CBDA" w:rsidR="00E155BE" w:rsidRPr="008937CD" w:rsidRDefault="00E155BE" w:rsidP="00E155BE">
      <w:pPr>
        <w:pStyle w:val="Bullet2"/>
        <w:numPr>
          <w:ilvl w:val="0"/>
          <w:numId w:val="12"/>
        </w:numPr>
        <w:rPr>
          <w:i/>
        </w:rPr>
      </w:pPr>
      <w:r w:rsidRPr="008937CD">
        <w:rPr>
          <w:i/>
        </w:rPr>
        <w:t>changes that may significantly impact governance and status, such as changes to ownership or major shareholdings or changes of Chief Executive Officer, Principal Executive Officer or principal academic leader</w:t>
      </w:r>
    </w:p>
    <w:p w14:paraId="29923BAC" w14:textId="52866334" w:rsidR="00E155BE" w:rsidRPr="008937CD" w:rsidRDefault="00E155BE" w:rsidP="00E155BE">
      <w:pPr>
        <w:pStyle w:val="Bullet2"/>
        <w:numPr>
          <w:ilvl w:val="0"/>
          <w:numId w:val="12"/>
        </w:numPr>
        <w:rPr>
          <w:i/>
        </w:rPr>
      </w:pPr>
      <w:r w:rsidRPr="008937CD">
        <w:rPr>
          <w:i/>
        </w:rPr>
        <w:t>incidents that significantly impact the safety and well-being of students, such as recurring incidents of sexual assault or sexual harassment or critical incidents and other material breaches in safety</w:t>
      </w:r>
    </w:p>
    <w:p w14:paraId="6A07EDAE" w14:textId="60BB9ABA" w:rsidR="00E155BE" w:rsidRPr="008937CD" w:rsidRDefault="00E155BE" w:rsidP="00E155BE">
      <w:pPr>
        <w:pStyle w:val="Bullet2"/>
        <w:numPr>
          <w:ilvl w:val="0"/>
          <w:numId w:val="12"/>
        </w:numPr>
        <w:rPr>
          <w:i/>
        </w:rPr>
      </w:pPr>
      <w:r w:rsidRPr="008937CD">
        <w:rPr>
          <w:i/>
        </w:rPr>
        <w:t xml:space="preserve">changes that impact on good standing, such as allegations of research misconduct under the Australian Code for the Responsible Conduct of Research or unscheduled compliance audits by another regulator or government department </w:t>
      </w:r>
    </w:p>
    <w:p w14:paraId="4D360EE4" w14:textId="63A08F53" w:rsidR="00E155BE" w:rsidRPr="008937CD" w:rsidRDefault="00E155BE" w:rsidP="00E155BE">
      <w:pPr>
        <w:pStyle w:val="Bullet2"/>
        <w:numPr>
          <w:ilvl w:val="0"/>
          <w:numId w:val="12"/>
        </w:numPr>
        <w:rPr>
          <w:i/>
        </w:rPr>
      </w:pPr>
      <w:r w:rsidRPr="008937CD">
        <w:rPr>
          <w:i/>
        </w:rPr>
        <w:t>changes that may impact on financial viability, such as significant changes to the provider’s existing, new or anticipated revenue sources or the appointment of an external administrator, liquidator or receiver</w:t>
      </w:r>
    </w:p>
    <w:p w14:paraId="58535EB1" w14:textId="2B9BC2C1" w:rsidR="0078547A" w:rsidRPr="00D46374" w:rsidRDefault="0078547A" w:rsidP="00D46374">
      <w:pPr>
        <w:pStyle w:val="Bullet2"/>
        <w:numPr>
          <w:ilvl w:val="0"/>
          <w:numId w:val="12"/>
        </w:numPr>
        <w:rPr>
          <w:i/>
        </w:rPr>
      </w:pPr>
      <w:r w:rsidRPr="00D46374">
        <w:rPr>
          <w:i/>
        </w:rPr>
        <w:t>new arrangements to deliver a course of study in whole, or in part, through a third party</w:t>
      </w:r>
      <w:r w:rsidR="00B43A0B">
        <w:rPr>
          <w:i/>
        </w:rPr>
        <w:t xml:space="preserve"> (onshore and offshore)</w:t>
      </w:r>
    </w:p>
    <w:p w14:paraId="2DE62323" w14:textId="2102804A" w:rsidR="00E155BE" w:rsidRPr="008937CD" w:rsidRDefault="00E155BE" w:rsidP="00E155BE">
      <w:pPr>
        <w:pStyle w:val="Bullet2"/>
        <w:numPr>
          <w:ilvl w:val="0"/>
          <w:numId w:val="12"/>
        </w:numPr>
        <w:rPr>
          <w:i/>
        </w:rPr>
      </w:pPr>
      <w:r w:rsidRPr="008937CD">
        <w:rPr>
          <w:i/>
        </w:rPr>
        <w:t>significant issues that arise with the delivery by other parties (onshore and offshore) such as failures of the control and reporting systems put in place by the primary provider to monitor third party delivery or failures on the part of the third party to ensure that course delivery meets the HES Framework</w:t>
      </w:r>
    </w:p>
    <w:p w14:paraId="70DEB52D" w14:textId="72F76E0D" w:rsidR="00E155BE" w:rsidRDefault="00E155BE" w:rsidP="00E155BE">
      <w:pPr>
        <w:pStyle w:val="Bullet2"/>
        <w:numPr>
          <w:ilvl w:val="0"/>
          <w:numId w:val="12"/>
        </w:numPr>
      </w:pPr>
      <w:r w:rsidRPr="008937CD">
        <w:rPr>
          <w:i/>
        </w:rPr>
        <w:t>major course changes (for providers without self-accrediting authority) such as changes to the titles of courses, a notable reduction in course duration or the introduction of</w:t>
      </w:r>
      <w:r w:rsidRPr="008937CD">
        <w:rPr>
          <w:color w:val="auto"/>
        </w:rPr>
        <w:t xml:space="preserve"> new majors or specialisations</w:t>
      </w:r>
      <w:r w:rsidR="00BE0B01">
        <w:rPr>
          <w:rStyle w:val="FootnoteReference"/>
          <w:color w:val="auto"/>
        </w:rPr>
        <w:footnoteReference w:id="1"/>
      </w:r>
      <w:r w:rsidRPr="008937CD">
        <w:rPr>
          <w:color w:val="auto"/>
        </w:rPr>
        <w:t>.</w:t>
      </w:r>
    </w:p>
    <w:p w14:paraId="7421C000" w14:textId="755C9BF1" w:rsidR="00E155BE" w:rsidRPr="00DA15B9" w:rsidRDefault="00E155BE" w:rsidP="00E155BE">
      <w:pPr>
        <w:pStyle w:val="ListParagraph"/>
        <w:numPr>
          <w:ilvl w:val="0"/>
          <w:numId w:val="13"/>
        </w:numPr>
        <w:contextualSpacing w:val="0"/>
        <w:rPr>
          <w:rStyle w:val="Hyperlink"/>
          <w:color w:val="000000" w:themeColor="text1"/>
          <w:sz w:val="24"/>
          <w:szCs w:val="24"/>
          <w:u w:val="none"/>
        </w:rPr>
      </w:pPr>
      <w:r w:rsidRPr="0067482A">
        <w:t>Notifications</w:t>
      </w:r>
      <w:r w:rsidR="00DA15B9">
        <w:t>, including notifications under the ESOS Act,</w:t>
      </w:r>
      <w:r w:rsidRPr="008D7866">
        <w:rPr>
          <w:rFonts w:cs="Arial"/>
        </w:rPr>
        <w:t xml:space="preserve"> </w:t>
      </w:r>
      <w:r>
        <w:rPr>
          <w:rFonts w:cs="Arial"/>
        </w:rPr>
        <w:t>must be</w:t>
      </w:r>
      <w:r w:rsidRPr="008D7866">
        <w:rPr>
          <w:rFonts w:cs="Arial"/>
        </w:rPr>
        <w:t xml:space="preserve"> submitted via email to </w:t>
      </w:r>
      <w:hyperlink r:id="rId11" w:history="1">
        <w:r w:rsidRPr="00DA15B9">
          <w:rPr>
            <w:rStyle w:val="Hyperlink"/>
            <w:rFonts w:cs="Arial"/>
            <w:sz w:val="22"/>
            <w:szCs w:val="24"/>
          </w:rPr>
          <w:t>materialchanges@teqsa.gov.au</w:t>
        </w:r>
      </w:hyperlink>
      <w:r w:rsidRPr="00DA15B9">
        <w:rPr>
          <w:rStyle w:val="Hyperlink"/>
          <w:rFonts w:cs="Arial"/>
          <w:sz w:val="22"/>
          <w:szCs w:val="24"/>
        </w:rPr>
        <w:t>.</w:t>
      </w:r>
    </w:p>
    <w:p w14:paraId="4DCFB1BE" w14:textId="77777777" w:rsidR="00E155BE" w:rsidRPr="00DD7602" w:rsidRDefault="00E155BE" w:rsidP="00E155BE">
      <w:pPr>
        <w:pStyle w:val="ListParagraph"/>
        <w:numPr>
          <w:ilvl w:val="0"/>
          <w:numId w:val="13"/>
        </w:numPr>
        <w:contextualSpacing w:val="0"/>
      </w:pPr>
      <w:r w:rsidRPr="00DD7602">
        <w:t>In the event of multiple changes</w:t>
      </w:r>
      <w:r>
        <w:t xml:space="preserve"> taking place at the same time,</w:t>
      </w:r>
      <w:r w:rsidRPr="00DD7602">
        <w:t xml:space="preserve"> only one consolidated notification is required</w:t>
      </w:r>
      <w:r>
        <w:t xml:space="preserve">. </w:t>
      </w:r>
    </w:p>
    <w:p w14:paraId="33E295AC" w14:textId="0272103A" w:rsidR="00E155BE" w:rsidRPr="007F7E0E" w:rsidRDefault="00E155BE" w:rsidP="007F7E0E">
      <w:pPr>
        <w:keepNext/>
        <w:keepLines/>
        <w:spacing w:before="360" w:after="120" w:line="240" w:lineRule="auto"/>
        <w:outlineLvl w:val="1"/>
        <w:rPr>
          <w:rFonts w:asciiTheme="majorHAnsi" w:eastAsiaTheme="majorEastAsia" w:hAnsiTheme="majorHAnsi" w:cstheme="majorBidi"/>
          <w:color w:val="004E7D"/>
          <w:sz w:val="44"/>
          <w:szCs w:val="26"/>
        </w:rPr>
      </w:pPr>
      <w:r w:rsidRPr="007F7E0E">
        <w:rPr>
          <w:rFonts w:asciiTheme="majorHAnsi" w:eastAsiaTheme="majorEastAsia" w:hAnsiTheme="majorHAnsi" w:cstheme="majorBidi"/>
          <w:color w:val="004E7D"/>
          <w:sz w:val="44"/>
          <w:szCs w:val="26"/>
        </w:rPr>
        <w:t>Contact</w:t>
      </w:r>
    </w:p>
    <w:p w14:paraId="18A011DC" w14:textId="2138BF41" w:rsidR="00DC36AC" w:rsidRDefault="009968E2" w:rsidP="00EE5F5A">
      <w:pPr>
        <w:rPr>
          <w:sz w:val="22"/>
          <w:szCs w:val="32"/>
          <w:lang w:val="en-US"/>
        </w:rPr>
      </w:pPr>
      <w:r w:rsidRPr="00EE5F5A">
        <w:rPr>
          <w:sz w:val="22"/>
          <w:lang w:val="en-US"/>
        </w:rPr>
        <w:t>Providers can</w:t>
      </w:r>
      <w:r w:rsidR="00EE5F5A">
        <w:rPr>
          <w:sz w:val="22"/>
          <w:lang w:val="en-US"/>
        </w:rPr>
        <w:t xml:space="preserve"> contact the </w:t>
      </w:r>
      <w:r w:rsidR="00105B41" w:rsidRPr="00EE5F5A">
        <w:rPr>
          <w:sz w:val="22"/>
          <w:lang w:val="en-US"/>
        </w:rPr>
        <w:t>Compliance and Investigations Team</w:t>
      </w:r>
      <w:r w:rsidR="00EE5F5A">
        <w:rPr>
          <w:sz w:val="22"/>
          <w:lang w:val="en-US"/>
        </w:rPr>
        <w:t xml:space="preserve">, via </w:t>
      </w:r>
      <w:hyperlink r:id="rId12" w:history="1">
        <w:r w:rsidR="00DC36AC" w:rsidRPr="00EE5F5A">
          <w:rPr>
            <w:rStyle w:val="Hyperlink"/>
            <w:rFonts w:cs="Arial"/>
            <w:sz w:val="22"/>
          </w:rPr>
          <w:t>materialchanges@teqsa.gov.au</w:t>
        </w:r>
      </w:hyperlink>
      <w:r w:rsidR="00EE5F5A">
        <w:rPr>
          <w:rStyle w:val="Hyperlink"/>
          <w:rFonts w:cs="Arial"/>
          <w:sz w:val="22"/>
        </w:rPr>
        <w:t xml:space="preserve"> </w:t>
      </w:r>
      <w:r w:rsidR="00EE5F5A" w:rsidRPr="006A4D38">
        <w:rPr>
          <w:sz w:val="22"/>
          <w:szCs w:val="32"/>
          <w:lang w:val="en-US"/>
        </w:rPr>
        <w:t xml:space="preserve">to discuss </w:t>
      </w:r>
      <w:r w:rsidR="006A4D38" w:rsidRPr="006A4D38">
        <w:rPr>
          <w:sz w:val="22"/>
          <w:szCs w:val="32"/>
          <w:lang w:val="en-US"/>
        </w:rPr>
        <w:t>questions about material change notifications.</w:t>
      </w:r>
    </w:p>
    <w:p w14:paraId="05570387" w14:textId="77777777" w:rsidR="00E37B23" w:rsidRPr="00E37B23" w:rsidRDefault="00E37B23" w:rsidP="00E37B23">
      <w:pPr>
        <w:keepNext/>
        <w:keepLines/>
        <w:spacing w:before="360" w:after="120" w:line="240" w:lineRule="auto"/>
        <w:outlineLvl w:val="1"/>
        <w:rPr>
          <w:rFonts w:asciiTheme="majorHAnsi" w:eastAsiaTheme="majorEastAsia" w:hAnsiTheme="majorHAnsi" w:cstheme="majorBidi"/>
          <w:color w:val="004E7D"/>
          <w:sz w:val="44"/>
          <w:szCs w:val="26"/>
        </w:rPr>
      </w:pPr>
      <w:r w:rsidRPr="00E37B23">
        <w:rPr>
          <w:rFonts w:asciiTheme="majorHAnsi" w:eastAsiaTheme="majorEastAsia" w:hAnsiTheme="majorHAnsi" w:cstheme="majorBidi"/>
          <w:color w:val="004E7D"/>
          <w:sz w:val="44"/>
          <w:szCs w:val="26"/>
        </w:rPr>
        <w:lastRenderedPageBreak/>
        <w:t>Document information</w:t>
      </w:r>
    </w:p>
    <w:tbl>
      <w:tblPr>
        <w:tblStyle w:val="TEQSAtables"/>
        <w:tblW w:w="5000" w:type="pct"/>
        <w:tblInd w:w="0" w:type="dxa"/>
        <w:tblLook w:val="04A0" w:firstRow="1" w:lastRow="0" w:firstColumn="1" w:lastColumn="0" w:noHBand="0" w:noVBand="1"/>
      </w:tblPr>
      <w:tblGrid>
        <w:gridCol w:w="2490"/>
        <w:gridCol w:w="6912"/>
      </w:tblGrid>
      <w:tr w:rsidR="00E37B23" w14:paraId="20E6C685" w14:textId="77777777" w:rsidTr="00E37B23">
        <w:trPr>
          <w:cnfStyle w:val="100000000000" w:firstRow="1" w:lastRow="0" w:firstColumn="0" w:lastColumn="0" w:oddVBand="0" w:evenVBand="0" w:oddHBand="0" w:evenHBand="0" w:firstRowFirstColumn="0" w:firstRowLastColumn="0" w:lastRowFirstColumn="0" w:lastRowLastColumn="0"/>
        </w:trPr>
        <w:tc>
          <w:tcPr>
            <w:tcW w:w="1324" w:type="pct"/>
            <w:tcBorders>
              <w:top w:val="single" w:sz="4" w:space="0" w:color="004855"/>
              <w:left w:val="single" w:sz="4" w:space="0" w:color="004855"/>
              <w:bottom w:val="single" w:sz="4" w:space="0" w:color="004855"/>
              <w:right w:val="single" w:sz="4" w:space="0" w:color="004855"/>
            </w:tcBorders>
            <w:shd w:val="clear" w:color="auto" w:fill="FBE4D5" w:themeFill="accent6" w:themeFillTint="33"/>
            <w:tcMar>
              <w:top w:w="57" w:type="dxa"/>
              <w:left w:w="142" w:type="dxa"/>
              <w:bottom w:w="57" w:type="dxa"/>
              <w:right w:w="142" w:type="dxa"/>
            </w:tcMar>
            <w:hideMark/>
          </w:tcPr>
          <w:p w14:paraId="762F0092" w14:textId="77777777" w:rsidR="00E37B23" w:rsidRDefault="00E37B23">
            <w:pPr>
              <w:spacing w:before="0"/>
              <w:jc w:val="left"/>
              <w:rPr>
                <w:rFonts w:cstheme="minorBidi"/>
              </w:rPr>
            </w:pPr>
            <w:r>
              <w:rPr>
                <w:rFonts w:cstheme="minorBidi"/>
                <w:color w:val="auto"/>
              </w:rPr>
              <w:t>Title</w:t>
            </w:r>
          </w:p>
        </w:tc>
        <w:tc>
          <w:tcPr>
            <w:tcW w:w="3676" w:type="pct"/>
            <w:tcBorders>
              <w:top w:val="single" w:sz="4" w:space="0" w:color="004855"/>
              <w:left w:val="single" w:sz="4" w:space="0" w:color="004855"/>
              <w:bottom w:val="single" w:sz="4" w:space="0" w:color="004855"/>
              <w:right w:val="single" w:sz="4" w:space="0" w:color="004855"/>
            </w:tcBorders>
            <w:shd w:val="clear" w:color="auto" w:fill="FBE4D5" w:themeFill="accent6" w:themeFillTint="33"/>
            <w:tcMar>
              <w:top w:w="57" w:type="dxa"/>
              <w:left w:w="142" w:type="dxa"/>
              <w:bottom w:w="57" w:type="dxa"/>
              <w:right w:w="142" w:type="dxa"/>
            </w:tcMar>
            <w:hideMark/>
          </w:tcPr>
          <w:p w14:paraId="0435D987" w14:textId="1FD5127A" w:rsidR="00E37B23" w:rsidRDefault="00E37B23">
            <w:pPr>
              <w:spacing w:before="0"/>
              <w:jc w:val="left"/>
              <w:rPr>
                <w:rFonts w:cstheme="minorBidi"/>
                <w:b w:val="0"/>
                <w:color w:val="auto"/>
              </w:rPr>
            </w:pPr>
            <w:r w:rsidRPr="00E37B23">
              <w:rPr>
                <w:rFonts w:cstheme="minorBidi"/>
                <w:b w:val="0"/>
                <w:color w:val="auto"/>
              </w:rPr>
              <w:t xml:space="preserve">Material </w:t>
            </w:r>
            <w:r w:rsidR="00A72715">
              <w:rPr>
                <w:rFonts w:cstheme="minorBidi"/>
                <w:b w:val="0"/>
                <w:color w:val="auto"/>
              </w:rPr>
              <w:t>C</w:t>
            </w:r>
            <w:r w:rsidRPr="00E37B23">
              <w:rPr>
                <w:rFonts w:cstheme="minorBidi"/>
                <w:b w:val="0"/>
                <w:color w:val="auto"/>
              </w:rPr>
              <w:t xml:space="preserve">hange </w:t>
            </w:r>
            <w:r w:rsidR="00A72715">
              <w:rPr>
                <w:rFonts w:cstheme="minorBidi"/>
                <w:b w:val="0"/>
                <w:color w:val="auto"/>
              </w:rPr>
              <w:t>N</w:t>
            </w:r>
            <w:r w:rsidRPr="00E37B23">
              <w:rPr>
                <w:rFonts w:cstheme="minorBidi"/>
                <w:b w:val="0"/>
                <w:color w:val="auto"/>
              </w:rPr>
              <w:t xml:space="preserve">otification </w:t>
            </w:r>
            <w:r w:rsidR="00A72715">
              <w:rPr>
                <w:rFonts w:cstheme="minorBidi"/>
                <w:b w:val="0"/>
                <w:color w:val="auto"/>
              </w:rPr>
              <w:t>P</w:t>
            </w:r>
            <w:r w:rsidRPr="00E37B23">
              <w:rPr>
                <w:rFonts w:cstheme="minorBidi"/>
                <w:b w:val="0"/>
                <w:color w:val="auto"/>
              </w:rPr>
              <w:t>olicy</w:t>
            </w:r>
          </w:p>
        </w:tc>
      </w:tr>
      <w:tr w:rsidR="00E37B23" w14:paraId="29FA7D4F" w14:textId="77777777" w:rsidTr="00E37B23">
        <w:tc>
          <w:tcPr>
            <w:tcW w:w="13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42" w:type="dxa"/>
              <w:bottom w:w="57" w:type="dxa"/>
              <w:right w:w="142" w:type="dxa"/>
            </w:tcMar>
            <w:hideMark/>
          </w:tcPr>
          <w:p w14:paraId="505A91D1" w14:textId="77777777" w:rsidR="00E37B23" w:rsidRDefault="00E37B23">
            <w:pPr>
              <w:spacing w:before="0"/>
              <w:jc w:val="left"/>
              <w:rPr>
                <w:b/>
                <w:color w:val="auto"/>
              </w:rPr>
            </w:pPr>
            <w:r>
              <w:rPr>
                <w:b/>
                <w:color w:val="auto"/>
              </w:rPr>
              <w:t>Category</w:t>
            </w:r>
          </w:p>
        </w:tc>
        <w:tc>
          <w:tcPr>
            <w:tcW w:w="367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42" w:type="dxa"/>
              <w:bottom w:w="57" w:type="dxa"/>
              <w:right w:w="142" w:type="dxa"/>
            </w:tcMar>
            <w:hideMark/>
          </w:tcPr>
          <w:p w14:paraId="3D98CCED" w14:textId="77777777" w:rsidR="00E37B23" w:rsidRDefault="00E37B23">
            <w:pPr>
              <w:spacing w:before="0"/>
              <w:jc w:val="left"/>
              <w:rPr>
                <w:color w:val="auto"/>
              </w:rPr>
            </w:pPr>
            <w:r>
              <w:rPr>
                <w:color w:val="auto"/>
              </w:rPr>
              <w:t>Operational policy</w:t>
            </w:r>
          </w:p>
        </w:tc>
      </w:tr>
      <w:tr w:rsidR="00E37B23" w14:paraId="2C8F366A" w14:textId="77777777" w:rsidTr="00E37B23">
        <w:trPr>
          <w:cnfStyle w:val="000000010000" w:firstRow="0" w:lastRow="0" w:firstColumn="0" w:lastColumn="0" w:oddVBand="0" w:evenVBand="0" w:oddHBand="0" w:evenHBand="1" w:firstRowFirstColumn="0" w:firstRowLastColumn="0" w:lastRowFirstColumn="0" w:lastRowLastColumn="0"/>
        </w:trPr>
        <w:tc>
          <w:tcPr>
            <w:tcW w:w="13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42" w:type="dxa"/>
              <w:bottom w:w="57" w:type="dxa"/>
              <w:right w:w="142" w:type="dxa"/>
            </w:tcMar>
            <w:hideMark/>
          </w:tcPr>
          <w:p w14:paraId="09A6180B" w14:textId="77777777" w:rsidR="00E37B23" w:rsidRDefault="00E37B23">
            <w:pPr>
              <w:spacing w:before="0"/>
              <w:jc w:val="left"/>
              <w:rPr>
                <w:b/>
                <w:color w:val="auto"/>
              </w:rPr>
            </w:pPr>
            <w:r>
              <w:rPr>
                <w:b/>
                <w:color w:val="auto"/>
              </w:rPr>
              <w:t>Audience</w:t>
            </w:r>
          </w:p>
        </w:tc>
        <w:tc>
          <w:tcPr>
            <w:tcW w:w="367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42" w:type="dxa"/>
              <w:bottom w:w="57" w:type="dxa"/>
              <w:right w:w="142" w:type="dxa"/>
            </w:tcMar>
            <w:hideMark/>
          </w:tcPr>
          <w:p w14:paraId="43F51764" w14:textId="77777777" w:rsidR="00E37B23" w:rsidRDefault="00E37B23">
            <w:pPr>
              <w:spacing w:before="0"/>
              <w:jc w:val="left"/>
              <w:rPr>
                <w:color w:val="auto"/>
              </w:rPr>
            </w:pPr>
            <w:r>
              <w:rPr>
                <w:color w:val="auto"/>
              </w:rPr>
              <w:t>Staff and public</w:t>
            </w:r>
          </w:p>
        </w:tc>
      </w:tr>
      <w:tr w:rsidR="00E37B23" w14:paraId="04B1B7A3" w14:textId="77777777" w:rsidTr="00E37B23">
        <w:tc>
          <w:tcPr>
            <w:tcW w:w="13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42" w:type="dxa"/>
              <w:bottom w:w="57" w:type="dxa"/>
              <w:right w:w="142" w:type="dxa"/>
            </w:tcMar>
            <w:hideMark/>
          </w:tcPr>
          <w:p w14:paraId="0D27473E" w14:textId="77777777" w:rsidR="00E37B23" w:rsidRDefault="00E37B23">
            <w:pPr>
              <w:spacing w:before="0"/>
              <w:jc w:val="left"/>
              <w:rPr>
                <w:b/>
                <w:color w:val="auto"/>
              </w:rPr>
            </w:pPr>
            <w:r>
              <w:rPr>
                <w:b/>
                <w:color w:val="auto"/>
              </w:rPr>
              <w:t>Policy owner</w:t>
            </w:r>
          </w:p>
        </w:tc>
        <w:tc>
          <w:tcPr>
            <w:tcW w:w="367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42" w:type="dxa"/>
              <w:bottom w:w="57" w:type="dxa"/>
              <w:right w:w="142" w:type="dxa"/>
            </w:tcMar>
            <w:hideMark/>
          </w:tcPr>
          <w:p w14:paraId="36E4DAFC" w14:textId="77777777" w:rsidR="00E37B23" w:rsidRDefault="00E37B23">
            <w:pPr>
              <w:spacing w:before="0"/>
              <w:jc w:val="left"/>
              <w:rPr>
                <w:color w:val="auto"/>
              </w:rPr>
            </w:pPr>
            <w:r>
              <w:rPr>
                <w:color w:val="auto"/>
              </w:rPr>
              <w:t xml:space="preserve">Director, Risk and Compliance </w:t>
            </w:r>
          </w:p>
        </w:tc>
      </w:tr>
      <w:tr w:rsidR="00E37B23" w14:paraId="54C55041" w14:textId="77777777" w:rsidTr="00E37B23">
        <w:trPr>
          <w:cnfStyle w:val="000000010000" w:firstRow="0" w:lastRow="0" w:firstColumn="0" w:lastColumn="0" w:oddVBand="0" w:evenVBand="0" w:oddHBand="0" w:evenHBand="1" w:firstRowFirstColumn="0" w:firstRowLastColumn="0" w:lastRowFirstColumn="0" w:lastRowLastColumn="0"/>
        </w:trPr>
        <w:tc>
          <w:tcPr>
            <w:tcW w:w="13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42" w:type="dxa"/>
              <w:bottom w:w="57" w:type="dxa"/>
              <w:right w:w="142" w:type="dxa"/>
            </w:tcMar>
            <w:hideMark/>
          </w:tcPr>
          <w:p w14:paraId="30DEA3A2" w14:textId="77777777" w:rsidR="00E37B23" w:rsidRDefault="00E37B23">
            <w:pPr>
              <w:spacing w:before="0"/>
              <w:jc w:val="left"/>
              <w:rPr>
                <w:b/>
                <w:color w:val="auto"/>
              </w:rPr>
            </w:pPr>
            <w:r>
              <w:rPr>
                <w:b/>
                <w:color w:val="auto"/>
              </w:rPr>
              <w:t>Version</w:t>
            </w:r>
          </w:p>
        </w:tc>
        <w:tc>
          <w:tcPr>
            <w:tcW w:w="367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42" w:type="dxa"/>
              <w:bottom w:w="57" w:type="dxa"/>
              <w:right w:w="142" w:type="dxa"/>
            </w:tcMar>
            <w:hideMark/>
          </w:tcPr>
          <w:p w14:paraId="68385943" w14:textId="2B8D5A8D" w:rsidR="00E37B23" w:rsidRDefault="000415A3">
            <w:pPr>
              <w:spacing w:before="0"/>
              <w:jc w:val="left"/>
              <w:rPr>
                <w:color w:val="auto"/>
              </w:rPr>
            </w:pPr>
            <w:r>
              <w:rPr>
                <w:color w:val="auto"/>
              </w:rPr>
              <w:t>5</w:t>
            </w:r>
            <w:r w:rsidR="00E37B23">
              <w:rPr>
                <w:color w:val="auto"/>
              </w:rPr>
              <w:t>.0</w:t>
            </w:r>
          </w:p>
        </w:tc>
      </w:tr>
      <w:tr w:rsidR="00E37B23" w14:paraId="536DC7F3" w14:textId="77777777" w:rsidTr="00E37B23">
        <w:tc>
          <w:tcPr>
            <w:tcW w:w="13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42" w:type="dxa"/>
              <w:bottom w:w="57" w:type="dxa"/>
              <w:right w:w="142" w:type="dxa"/>
            </w:tcMar>
            <w:hideMark/>
          </w:tcPr>
          <w:p w14:paraId="30A4C38D" w14:textId="77777777" w:rsidR="00E37B23" w:rsidRDefault="00E37B23">
            <w:pPr>
              <w:spacing w:before="0"/>
              <w:jc w:val="left"/>
              <w:rPr>
                <w:b/>
                <w:color w:val="auto"/>
              </w:rPr>
            </w:pPr>
            <w:r>
              <w:rPr>
                <w:b/>
                <w:color w:val="auto"/>
              </w:rPr>
              <w:t>Effective date</w:t>
            </w:r>
          </w:p>
        </w:tc>
        <w:tc>
          <w:tcPr>
            <w:tcW w:w="367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42" w:type="dxa"/>
              <w:bottom w:w="57" w:type="dxa"/>
              <w:right w:w="142" w:type="dxa"/>
            </w:tcMar>
            <w:hideMark/>
          </w:tcPr>
          <w:p w14:paraId="3BEECE51" w14:textId="70CECCEE" w:rsidR="00E37B23" w:rsidRDefault="008E1E2F">
            <w:pPr>
              <w:spacing w:before="0"/>
              <w:jc w:val="left"/>
              <w:rPr>
                <w:color w:val="auto"/>
              </w:rPr>
            </w:pPr>
            <w:r>
              <w:rPr>
                <w:color w:val="auto"/>
              </w:rPr>
              <w:t>2</w:t>
            </w:r>
            <w:r>
              <w:t>8 September 2022</w:t>
            </w:r>
          </w:p>
        </w:tc>
      </w:tr>
      <w:tr w:rsidR="00E37B23" w14:paraId="23682D50" w14:textId="77777777" w:rsidTr="00E37B23">
        <w:trPr>
          <w:cnfStyle w:val="000000010000" w:firstRow="0" w:lastRow="0" w:firstColumn="0" w:lastColumn="0" w:oddVBand="0" w:evenVBand="0" w:oddHBand="0" w:evenHBand="1" w:firstRowFirstColumn="0" w:firstRowLastColumn="0" w:lastRowFirstColumn="0" w:lastRowLastColumn="0"/>
        </w:trPr>
        <w:tc>
          <w:tcPr>
            <w:tcW w:w="13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42" w:type="dxa"/>
              <w:bottom w:w="57" w:type="dxa"/>
              <w:right w:w="142" w:type="dxa"/>
            </w:tcMar>
            <w:hideMark/>
          </w:tcPr>
          <w:p w14:paraId="359C9CE7" w14:textId="77777777" w:rsidR="00E37B23" w:rsidRDefault="00E37B23">
            <w:pPr>
              <w:spacing w:before="0"/>
              <w:jc w:val="left"/>
              <w:rPr>
                <w:b/>
                <w:color w:val="auto"/>
              </w:rPr>
            </w:pPr>
            <w:r>
              <w:rPr>
                <w:b/>
                <w:color w:val="auto"/>
              </w:rPr>
              <w:t>Review date</w:t>
            </w:r>
          </w:p>
        </w:tc>
        <w:tc>
          <w:tcPr>
            <w:tcW w:w="367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42" w:type="dxa"/>
              <w:bottom w:w="57" w:type="dxa"/>
              <w:right w:w="142" w:type="dxa"/>
            </w:tcMar>
            <w:hideMark/>
          </w:tcPr>
          <w:p w14:paraId="543C2BC6" w14:textId="2C36577D" w:rsidR="00E37B23" w:rsidRDefault="008E1E2F">
            <w:pPr>
              <w:spacing w:before="0"/>
              <w:jc w:val="left"/>
              <w:rPr>
                <w:color w:val="auto"/>
              </w:rPr>
            </w:pPr>
            <w:r>
              <w:rPr>
                <w:color w:val="auto"/>
              </w:rPr>
              <w:t>28 September 2025</w:t>
            </w:r>
          </w:p>
        </w:tc>
      </w:tr>
      <w:tr w:rsidR="00E37B23" w14:paraId="664A92A3" w14:textId="77777777" w:rsidTr="00E37B23">
        <w:tc>
          <w:tcPr>
            <w:tcW w:w="13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42" w:type="dxa"/>
              <w:bottom w:w="57" w:type="dxa"/>
              <w:right w:w="142" w:type="dxa"/>
            </w:tcMar>
            <w:hideMark/>
          </w:tcPr>
          <w:p w14:paraId="6E9F1C7E" w14:textId="77777777" w:rsidR="00E37B23" w:rsidRDefault="00E37B23">
            <w:pPr>
              <w:spacing w:before="0"/>
              <w:jc w:val="left"/>
              <w:rPr>
                <w:b/>
                <w:color w:val="auto"/>
              </w:rPr>
            </w:pPr>
            <w:r>
              <w:rPr>
                <w:b/>
                <w:color w:val="auto"/>
              </w:rPr>
              <w:t>Approval</w:t>
            </w:r>
          </w:p>
        </w:tc>
        <w:tc>
          <w:tcPr>
            <w:tcW w:w="367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42" w:type="dxa"/>
              <w:bottom w:w="57" w:type="dxa"/>
              <w:right w:w="142" w:type="dxa"/>
            </w:tcMar>
            <w:hideMark/>
          </w:tcPr>
          <w:p w14:paraId="69150415" w14:textId="0BD0F390" w:rsidR="00E37B23" w:rsidRDefault="00E37B23">
            <w:pPr>
              <w:spacing w:before="0"/>
              <w:jc w:val="left"/>
              <w:rPr>
                <w:color w:val="auto"/>
              </w:rPr>
            </w:pPr>
            <w:r>
              <w:rPr>
                <w:color w:val="auto"/>
              </w:rPr>
              <w:t xml:space="preserve">Approved by </w:t>
            </w:r>
            <w:r w:rsidR="008E1E2F">
              <w:rPr>
                <w:color w:val="auto"/>
              </w:rPr>
              <w:t xml:space="preserve">Commission </w:t>
            </w:r>
            <w:r>
              <w:rPr>
                <w:color w:val="auto"/>
              </w:rPr>
              <w:t xml:space="preserve">on </w:t>
            </w:r>
            <w:r w:rsidR="008E1E2F">
              <w:rPr>
                <w:color w:val="auto"/>
              </w:rPr>
              <w:t>28 September 2022</w:t>
            </w:r>
          </w:p>
        </w:tc>
      </w:tr>
    </w:tbl>
    <w:p w14:paraId="55E85E77" w14:textId="77777777" w:rsidR="00E37B23" w:rsidRDefault="00E37B23" w:rsidP="00E37B23">
      <w:pPr>
        <w:rPr>
          <w:color w:val="000000" w:themeColor="text1"/>
          <w:sz w:val="22"/>
        </w:rPr>
      </w:pPr>
    </w:p>
    <w:p w14:paraId="190DEF4A" w14:textId="77777777" w:rsidR="00E37B23" w:rsidRPr="00EE5F5A" w:rsidRDefault="00E37B23" w:rsidP="00EE5F5A">
      <w:pPr>
        <w:rPr>
          <w:rStyle w:val="Hyperlink"/>
          <w:color w:val="000000" w:themeColor="text1"/>
          <w:sz w:val="22"/>
          <w:u w:val="none"/>
        </w:rPr>
      </w:pPr>
    </w:p>
    <w:sectPr w:rsidR="00E37B23" w:rsidRPr="00EE5F5A" w:rsidSect="00926717">
      <w:headerReference w:type="even" r:id="rId13"/>
      <w:headerReference w:type="default" r:id="rId14"/>
      <w:footerReference w:type="even" r:id="rId15"/>
      <w:footerReference w:type="default" r:id="rId16"/>
      <w:headerReference w:type="first" r:id="rId17"/>
      <w:footerReference w:type="first" r:id="rId18"/>
      <w:pgSz w:w="11906" w:h="16838" w:code="9"/>
      <w:pgMar w:top="2041" w:right="1247" w:bottom="2041" w:left="1247"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262C9" w14:textId="77777777" w:rsidR="00113253" w:rsidRDefault="00113253" w:rsidP="00926717">
      <w:pPr>
        <w:spacing w:before="0" w:line="240" w:lineRule="auto"/>
      </w:pPr>
      <w:r>
        <w:separator/>
      </w:r>
    </w:p>
  </w:endnote>
  <w:endnote w:type="continuationSeparator" w:id="0">
    <w:p w14:paraId="567F3B48" w14:textId="77777777" w:rsidR="00113253" w:rsidRDefault="00113253" w:rsidP="0092671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6FA80" w14:textId="77777777" w:rsidR="007F7E0E" w:rsidRDefault="007F7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2D8A" w14:textId="77777777" w:rsidR="007F7E0E" w:rsidRDefault="007F7E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50014" w14:textId="6F2723B8" w:rsidR="00926717" w:rsidRDefault="00B910AE">
    <w:pPr>
      <w:pStyle w:val="Footer"/>
    </w:pPr>
    <w:r>
      <w:rPr>
        <w:noProof/>
        <w:lang w:eastAsia="en-AU"/>
      </w:rPr>
      <w:drawing>
        <wp:anchor distT="0" distB="0" distL="114300" distR="114300" simplePos="0" relativeHeight="251657728" behindDoc="0" locked="0" layoutInCell="1" allowOverlap="1" wp14:anchorId="3BF2FB78" wp14:editId="499962F6">
          <wp:simplePos x="0" y="0"/>
          <wp:positionH relativeFrom="page">
            <wp:posOffset>6428740</wp:posOffset>
          </wp:positionH>
          <wp:positionV relativeFrom="page">
            <wp:posOffset>10182225</wp:posOffset>
          </wp:positionV>
          <wp:extent cx="991235" cy="245799"/>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991235" cy="245799"/>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6704" behindDoc="1" locked="0" layoutInCell="1" allowOverlap="1" wp14:anchorId="79B91759" wp14:editId="09717419">
              <wp:simplePos x="0" y="0"/>
              <wp:positionH relativeFrom="page">
                <wp:posOffset>3645535</wp:posOffset>
              </wp:positionH>
              <wp:positionV relativeFrom="page">
                <wp:posOffset>8720455</wp:posOffset>
              </wp:positionV>
              <wp:extent cx="4089240" cy="4089240"/>
              <wp:effectExtent l="76200" t="76200" r="45085" b="45085"/>
              <wp:wrapNone/>
              <wp:docPr id="5" name="Right Triangle 5"/>
              <wp:cNvGraphicFramePr/>
              <a:graphic xmlns:a="http://schemas.openxmlformats.org/drawingml/2006/main">
                <a:graphicData uri="http://schemas.microsoft.com/office/word/2010/wordprocessingShape">
                  <wps:wsp>
                    <wps:cNvSpPr/>
                    <wps:spPr>
                      <a:xfrm rot="16200000">
                        <a:off x="0" y="0"/>
                        <a:ext cx="4089240" cy="4089240"/>
                      </a:xfrm>
                      <a:prstGeom prst="rtTriangle">
                        <a:avLst/>
                      </a:prstGeom>
                      <a:solidFill>
                        <a:srgbClr val="004E7D"/>
                      </a:solidFill>
                      <a:ln w="63500">
                        <a:solidFill>
                          <a:srgbClr val="F7941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E38DD7" id="_x0000_t6" coordsize="21600,21600" o:spt="6" path="m,l,21600r21600,xe">
              <v:stroke joinstyle="miter"/>
              <v:path gradientshapeok="t" o:connecttype="custom" o:connectlocs="0,0;0,10800;0,21600;10800,21600;21600,21600;10800,10800" textboxrect="1800,12600,12600,19800"/>
            </v:shapetype>
            <v:shape id="Right Triangle 5" o:spid="_x0000_s1026" type="#_x0000_t6" style="position:absolute;margin-left:287.05pt;margin-top:686.65pt;width:322pt;height:322pt;rotation:-9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" fillcolor="#004e7d" strokecolor="#f7941d"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BB8DC" w14:textId="77777777" w:rsidR="00113253" w:rsidRDefault="00113253" w:rsidP="00926717">
      <w:pPr>
        <w:spacing w:before="0" w:line="240" w:lineRule="auto"/>
      </w:pPr>
      <w:r>
        <w:separator/>
      </w:r>
    </w:p>
  </w:footnote>
  <w:footnote w:type="continuationSeparator" w:id="0">
    <w:p w14:paraId="4979708C" w14:textId="77777777" w:rsidR="00113253" w:rsidRDefault="00113253" w:rsidP="00926717">
      <w:pPr>
        <w:spacing w:before="0" w:line="240" w:lineRule="auto"/>
      </w:pPr>
      <w:r>
        <w:continuationSeparator/>
      </w:r>
    </w:p>
  </w:footnote>
  <w:footnote w:id="1">
    <w:p w14:paraId="1945D8AB" w14:textId="7184ABA0" w:rsidR="00BE0B01" w:rsidRDefault="00BE0B01">
      <w:pPr>
        <w:pStyle w:val="FootnoteText"/>
      </w:pPr>
      <w:r>
        <w:rPr>
          <w:rStyle w:val="FootnoteReference"/>
        </w:rPr>
        <w:footnoteRef/>
      </w:r>
      <w:r>
        <w:t xml:space="preserve"> Changes that </w:t>
      </w:r>
      <w:r w:rsidRPr="004F771A">
        <w:t>fundamentally change the nature of the course of study</w:t>
      </w:r>
      <w:r w:rsidR="00AD7F8E">
        <w:t xml:space="preserve"> may</w:t>
      </w:r>
      <w:r w:rsidR="00595E2F">
        <w:t xml:space="preserve"> require </w:t>
      </w:r>
      <w:r w:rsidRPr="004F771A">
        <w:t>accreditation of a new course</w:t>
      </w:r>
      <w:r w:rsidR="00D21299">
        <w:t>. P</w:t>
      </w:r>
      <w:r w:rsidR="00D21299" w:rsidRPr="004F771A">
        <w:t xml:space="preserve">roviders are advised to refer to </w:t>
      </w:r>
      <w:hyperlink r:id="rId1" w:history="1">
        <w:r w:rsidR="003D45E1">
          <w:rPr>
            <w:rStyle w:val="Hyperlink"/>
          </w:rPr>
          <w:t>Guidance Note: Changes in a Course of Study that may lead to Accreditation as a New Course | Tertiary Education Quality and Standards Agency (teqsa.gov.au)</w:t>
        </w:r>
      </w:hyperlink>
      <w:r w:rsidR="00AD7F8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00A16" w14:textId="77777777" w:rsidR="007F7E0E" w:rsidRDefault="007F7E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E6D4" w14:textId="77777777" w:rsidR="007F7E0E" w:rsidRDefault="007F7E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9EF6F" w14:textId="0FA2C6B3" w:rsidR="005E3659" w:rsidRPr="006C328D" w:rsidRDefault="005E3659" w:rsidP="005E3659">
    <w:pPr>
      <w:pStyle w:val="Header"/>
      <w:spacing w:after="240"/>
      <w:jc w:val="right"/>
      <w:rPr>
        <w:rFonts w:ascii="Georgia" w:hAnsi="Georgia" w:cs="Arial"/>
        <w:b/>
        <w:noProof/>
        <w:color w:val="004855"/>
        <w:sz w:val="28"/>
        <w:szCs w:val="28"/>
        <w:lang w:eastAsia="en-AU"/>
      </w:rPr>
    </w:pPr>
    <w:r>
      <w:rPr>
        <w:rFonts w:ascii="Georgia" w:hAnsi="Georgia" w:cs="Arial"/>
        <w:b/>
        <w:noProof/>
        <w:color w:val="004855"/>
        <w:sz w:val="28"/>
        <w:szCs w:val="28"/>
        <w:lang w:eastAsia="en-AU"/>
      </w:rPr>
      <w:drawing>
        <wp:inline distT="0" distB="0" distL="0" distR="0" wp14:anchorId="451360FF" wp14:editId="137CF127">
          <wp:extent cx="3205353" cy="476804"/>
          <wp:effectExtent l="0" t="0" r="0" b="0"/>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05353" cy="476804"/>
                  </a:xfrm>
                  <a:prstGeom prst="rect">
                    <a:avLst/>
                  </a:prstGeom>
                  <a:noFill/>
                  <a:ln>
                    <a:noFill/>
                  </a:ln>
                </pic:spPr>
              </pic:pic>
            </a:graphicData>
          </a:graphic>
        </wp:inline>
      </w:drawing>
    </w:r>
    <w:r>
      <w:rPr>
        <w:rFonts w:ascii="Georgia" w:hAnsi="Georgia" w:cs="Arial"/>
        <w:b/>
        <w:noProof/>
        <w:color w:val="004855"/>
        <w:sz w:val="28"/>
        <w:szCs w:val="28"/>
        <w:lang w:eastAsia="en-AU"/>
      </w:rPr>
      <w:tab/>
    </w:r>
    <w:r>
      <w:rPr>
        <w:rFonts w:ascii="Georgia" w:hAnsi="Georgia" w:cs="Arial"/>
        <w:b/>
        <w:noProof/>
        <w:color w:val="004855"/>
        <w:sz w:val="28"/>
        <w:szCs w:val="28"/>
        <w:lang w:eastAsia="en-AU"/>
      </w:rPr>
      <w:drawing>
        <wp:inline distT="0" distB="0" distL="0" distR="0" wp14:anchorId="3B3C28D4" wp14:editId="0DF727AF">
          <wp:extent cx="1425274" cy="353261"/>
          <wp:effectExtent l="0" t="0" r="3810" b="8890"/>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25274" cy="353261"/>
                  </a:xfrm>
                  <a:prstGeom prst="rect">
                    <a:avLst/>
                  </a:prstGeom>
                  <a:noFill/>
                  <a:ln>
                    <a:noFill/>
                  </a:ln>
                </pic:spPr>
              </pic:pic>
            </a:graphicData>
          </a:graphic>
        </wp:inline>
      </w:drawing>
    </w:r>
  </w:p>
  <w:p w14:paraId="685E7D27" w14:textId="751A05C5" w:rsidR="00926717" w:rsidRPr="005E3659" w:rsidRDefault="00926717" w:rsidP="005E36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EE2E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047E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F81A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B80E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E0FD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8CEB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C613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2A3D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C432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BA8B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E63B2"/>
    <w:multiLevelType w:val="hybridMultilevel"/>
    <w:tmpl w:val="5032000C"/>
    <w:lvl w:ilvl="0" w:tplc="17DA7ADA">
      <w:start w:val="1"/>
      <w:numFmt w:val="bullet"/>
      <w:pStyle w:val="BulletsL1"/>
      <w:lvlText w:val="4"/>
      <w:lvlJc w:val="left"/>
      <w:pPr>
        <w:ind w:left="720" w:hanging="360"/>
      </w:pPr>
      <w:rPr>
        <w:rFonts w:ascii="Webdings" w:hAnsi="Webdings" w:hint="default"/>
        <w:color w:val="00485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4400B5"/>
    <w:multiLevelType w:val="hybridMultilevel"/>
    <w:tmpl w:val="BAC245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27B7324"/>
    <w:multiLevelType w:val="hybridMultilevel"/>
    <w:tmpl w:val="00F05F96"/>
    <w:lvl w:ilvl="0" w:tplc="BB6498F0">
      <w:start w:val="1"/>
      <w:numFmt w:val="bullet"/>
      <w:lvlText w:val=""/>
      <w:lvlJc w:val="left"/>
      <w:pPr>
        <w:ind w:left="1080" w:hanging="360"/>
      </w:pPr>
      <w:rPr>
        <w:rFonts w:ascii="Symbol" w:hAnsi="Symbol" w:hint="default"/>
        <w:color w:val="00847E" w:themeColor="accent1"/>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77972BBA"/>
    <w:multiLevelType w:val="hybridMultilevel"/>
    <w:tmpl w:val="D5CA4C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B891533"/>
    <w:multiLevelType w:val="hybridMultilevel"/>
    <w:tmpl w:val="D5CA4C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9573951">
    <w:abstractNumId w:val="9"/>
  </w:num>
  <w:num w:numId="2" w16cid:durableId="110101740">
    <w:abstractNumId w:val="7"/>
  </w:num>
  <w:num w:numId="3" w16cid:durableId="161160633">
    <w:abstractNumId w:val="6"/>
  </w:num>
  <w:num w:numId="4" w16cid:durableId="1969508545">
    <w:abstractNumId w:val="5"/>
  </w:num>
  <w:num w:numId="5" w16cid:durableId="1274172791">
    <w:abstractNumId w:val="4"/>
  </w:num>
  <w:num w:numId="6" w16cid:durableId="894662135">
    <w:abstractNumId w:val="8"/>
  </w:num>
  <w:num w:numId="7" w16cid:durableId="1004436693">
    <w:abstractNumId w:val="3"/>
  </w:num>
  <w:num w:numId="8" w16cid:durableId="665670756">
    <w:abstractNumId w:val="2"/>
  </w:num>
  <w:num w:numId="9" w16cid:durableId="1666322524">
    <w:abstractNumId w:val="1"/>
  </w:num>
  <w:num w:numId="10" w16cid:durableId="15158959">
    <w:abstractNumId w:val="0"/>
  </w:num>
  <w:num w:numId="11" w16cid:durableId="1571965232">
    <w:abstractNumId w:val="10"/>
  </w:num>
  <w:num w:numId="12" w16cid:durableId="1780836435">
    <w:abstractNumId w:val="12"/>
  </w:num>
  <w:num w:numId="13" w16cid:durableId="58331260">
    <w:abstractNumId w:val="14"/>
  </w:num>
  <w:num w:numId="14" w16cid:durableId="1274826744">
    <w:abstractNumId w:val="13"/>
  </w:num>
  <w:num w:numId="15" w16cid:durableId="19542905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717"/>
    <w:rsid w:val="000415A3"/>
    <w:rsid w:val="00043C73"/>
    <w:rsid w:val="000B6042"/>
    <w:rsid w:val="001048B9"/>
    <w:rsid w:val="00105B41"/>
    <w:rsid w:val="00113253"/>
    <w:rsid w:val="001134F2"/>
    <w:rsid w:val="00123BE8"/>
    <w:rsid w:val="001300FC"/>
    <w:rsid w:val="00170AFF"/>
    <w:rsid w:val="001C07FE"/>
    <w:rsid w:val="001D662C"/>
    <w:rsid w:val="001F5391"/>
    <w:rsid w:val="00241509"/>
    <w:rsid w:val="00274B31"/>
    <w:rsid w:val="002804D3"/>
    <w:rsid w:val="002A0FA1"/>
    <w:rsid w:val="002B41DC"/>
    <w:rsid w:val="002B69C3"/>
    <w:rsid w:val="003601DE"/>
    <w:rsid w:val="003618BB"/>
    <w:rsid w:val="00380CBA"/>
    <w:rsid w:val="00381103"/>
    <w:rsid w:val="003A3BE4"/>
    <w:rsid w:val="003D45E1"/>
    <w:rsid w:val="00414342"/>
    <w:rsid w:val="004154E2"/>
    <w:rsid w:val="00453CB2"/>
    <w:rsid w:val="00465AC7"/>
    <w:rsid w:val="004B6821"/>
    <w:rsid w:val="00537291"/>
    <w:rsid w:val="00537780"/>
    <w:rsid w:val="00542AAF"/>
    <w:rsid w:val="00595E2F"/>
    <w:rsid w:val="005E3659"/>
    <w:rsid w:val="005F7686"/>
    <w:rsid w:val="00636F56"/>
    <w:rsid w:val="006605BC"/>
    <w:rsid w:val="006A3DC6"/>
    <w:rsid w:val="006A4D38"/>
    <w:rsid w:val="00717056"/>
    <w:rsid w:val="007348B6"/>
    <w:rsid w:val="0078547A"/>
    <w:rsid w:val="00791C85"/>
    <w:rsid w:val="007C1EFD"/>
    <w:rsid w:val="007F20D9"/>
    <w:rsid w:val="007F6FF3"/>
    <w:rsid w:val="007F7E0E"/>
    <w:rsid w:val="00822E96"/>
    <w:rsid w:val="00831113"/>
    <w:rsid w:val="008376A8"/>
    <w:rsid w:val="008505F5"/>
    <w:rsid w:val="008A437D"/>
    <w:rsid w:val="008D1CC3"/>
    <w:rsid w:val="008E1E2F"/>
    <w:rsid w:val="009028A7"/>
    <w:rsid w:val="00926717"/>
    <w:rsid w:val="009322D8"/>
    <w:rsid w:val="00932C54"/>
    <w:rsid w:val="00932F98"/>
    <w:rsid w:val="00935D1E"/>
    <w:rsid w:val="00951A19"/>
    <w:rsid w:val="00983C80"/>
    <w:rsid w:val="009968E2"/>
    <w:rsid w:val="009A2F39"/>
    <w:rsid w:val="009B6FD3"/>
    <w:rsid w:val="009D0DB7"/>
    <w:rsid w:val="009E26B9"/>
    <w:rsid w:val="00A02A87"/>
    <w:rsid w:val="00A07E4A"/>
    <w:rsid w:val="00A3762E"/>
    <w:rsid w:val="00A4651A"/>
    <w:rsid w:val="00A64BB0"/>
    <w:rsid w:val="00A651C0"/>
    <w:rsid w:val="00A72715"/>
    <w:rsid w:val="00A90823"/>
    <w:rsid w:val="00A9223C"/>
    <w:rsid w:val="00A92632"/>
    <w:rsid w:val="00AD7F8E"/>
    <w:rsid w:val="00B0259A"/>
    <w:rsid w:val="00B2311E"/>
    <w:rsid w:val="00B2652A"/>
    <w:rsid w:val="00B43A0B"/>
    <w:rsid w:val="00B603C0"/>
    <w:rsid w:val="00B85CDB"/>
    <w:rsid w:val="00B910AE"/>
    <w:rsid w:val="00B95722"/>
    <w:rsid w:val="00BA7CBC"/>
    <w:rsid w:val="00BC1909"/>
    <w:rsid w:val="00BE0B01"/>
    <w:rsid w:val="00C0421C"/>
    <w:rsid w:val="00C94F1B"/>
    <w:rsid w:val="00CB7861"/>
    <w:rsid w:val="00CD3187"/>
    <w:rsid w:val="00D05782"/>
    <w:rsid w:val="00D21299"/>
    <w:rsid w:val="00D22CE6"/>
    <w:rsid w:val="00D403D4"/>
    <w:rsid w:val="00D46374"/>
    <w:rsid w:val="00D84421"/>
    <w:rsid w:val="00DA15B9"/>
    <w:rsid w:val="00DB5576"/>
    <w:rsid w:val="00DC36AC"/>
    <w:rsid w:val="00DD1F51"/>
    <w:rsid w:val="00E155BE"/>
    <w:rsid w:val="00E37B23"/>
    <w:rsid w:val="00E512FA"/>
    <w:rsid w:val="00EE5F5A"/>
    <w:rsid w:val="00F065CD"/>
    <w:rsid w:val="00F141F4"/>
    <w:rsid w:val="00F27B4A"/>
    <w:rsid w:val="00FC52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DF9AE"/>
  <w15:docId w15:val="{577D0614-4107-4F21-BC31-022BA4DA7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CB2"/>
    <w:pPr>
      <w:spacing w:before="160" w:after="0" w:line="220" w:lineRule="atLeast"/>
    </w:pPr>
    <w:rPr>
      <w:sz w:val="17"/>
    </w:rPr>
  </w:style>
  <w:style w:type="paragraph" w:styleId="Heading1">
    <w:name w:val="heading 1"/>
    <w:basedOn w:val="Normal"/>
    <w:next w:val="Normal"/>
    <w:link w:val="Heading1Char"/>
    <w:uiPriority w:val="9"/>
    <w:qFormat/>
    <w:rsid w:val="00932F98"/>
    <w:pPr>
      <w:keepNext/>
      <w:keepLines/>
      <w:spacing w:before="240"/>
      <w:outlineLvl w:val="0"/>
    </w:pPr>
    <w:rPr>
      <w:rFonts w:asciiTheme="majorHAnsi" w:eastAsiaTheme="majorEastAsia" w:hAnsiTheme="majorHAnsi" w:cstheme="majorBidi"/>
      <w:color w:val="004E7D"/>
      <w:sz w:val="32"/>
      <w:szCs w:val="32"/>
    </w:rPr>
  </w:style>
  <w:style w:type="paragraph" w:styleId="Heading2">
    <w:name w:val="heading 2"/>
    <w:basedOn w:val="Normal"/>
    <w:next w:val="Normal"/>
    <w:link w:val="Heading2Char"/>
    <w:uiPriority w:val="9"/>
    <w:semiHidden/>
    <w:unhideWhenUsed/>
    <w:qFormat/>
    <w:rsid w:val="00932F98"/>
    <w:pPr>
      <w:keepNext/>
      <w:keepLines/>
      <w:spacing w:before="40"/>
      <w:outlineLvl w:val="1"/>
    </w:pPr>
    <w:rPr>
      <w:rFonts w:asciiTheme="majorHAnsi" w:eastAsiaTheme="majorEastAsia" w:hAnsiTheme="majorHAnsi" w:cstheme="majorBidi"/>
      <w:color w:val="004E7D"/>
      <w:sz w:val="26"/>
      <w:szCs w:val="26"/>
    </w:rPr>
  </w:style>
  <w:style w:type="paragraph" w:styleId="Heading3">
    <w:name w:val="heading 3"/>
    <w:basedOn w:val="Normal"/>
    <w:next w:val="Normal"/>
    <w:link w:val="Heading3Char"/>
    <w:uiPriority w:val="9"/>
    <w:semiHidden/>
    <w:unhideWhenUsed/>
    <w:qFormat/>
    <w:rsid w:val="00E155BE"/>
    <w:pPr>
      <w:keepNext/>
      <w:keepLines/>
      <w:spacing w:before="40"/>
      <w:outlineLvl w:val="2"/>
    </w:pPr>
    <w:rPr>
      <w:rFonts w:asciiTheme="majorHAnsi" w:eastAsiaTheme="majorEastAsia" w:hAnsiTheme="majorHAnsi" w:cstheme="majorBidi"/>
      <w:color w:val="00413E"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F98"/>
    <w:rPr>
      <w:rFonts w:asciiTheme="majorHAnsi" w:eastAsiaTheme="majorEastAsia" w:hAnsiTheme="majorHAnsi" w:cstheme="majorBidi"/>
      <w:color w:val="004E7D"/>
      <w:sz w:val="32"/>
      <w:szCs w:val="32"/>
    </w:rPr>
  </w:style>
  <w:style w:type="paragraph" w:styleId="Header">
    <w:name w:val="header"/>
    <w:basedOn w:val="Normal"/>
    <w:link w:val="HeaderChar"/>
    <w:uiPriority w:val="99"/>
    <w:unhideWhenUsed/>
    <w:rsid w:val="0092671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926717"/>
    <w:rPr>
      <w:sz w:val="17"/>
    </w:rPr>
  </w:style>
  <w:style w:type="paragraph" w:styleId="Footer">
    <w:name w:val="footer"/>
    <w:basedOn w:val="Normal"/>
    <w:link w:val="FooterChar"/>
    <w:uiPriority w:val="99"/>
    <w:unhideWhenUsed/>
    <w:rsid w:val="00926717"/>
    <w:pPr>
      <w:tabs>
        <w:tab w:val="center" w:pos="4513"/>
        <w:tab w:val="right" w:pos="9026"/>
      </w:tabs>
      <w:spacing w:before="0" w:line="240" w:lineRule="auto"/>
    </w:pPr>
  </w:style>
  <w:style w:type="character" w:customStyle="1" w:styleId="FooterChar">
    <w:name w:val="Footer Char"/>
    <w:basedOn w:val="DefaultParagraphFont"/>
    <w:link w:val="Footer"/>
    <w:uiPriority w:val="99"/>
    <w:rsid w:val="00926717"/>
    <w:rPr>
      <w:sz w:val="17"/>
    </w:rPr>
  </w:style>
  <w:style w:type="paragraph" w:customStyle="1" w:styleId="Address">
    <w:name w:val="Address"/>
    <w:basedOn w:val="Normal"/>
    <w:qFormat/>
    <w:rsid w:val="00926717"/>
    <w:pPr>
      <w:spacing w:before="0" w:line="200" w:lineRule="atLeast"/>
    </w:pPr>
    <w:rPr>
      <w:sz w:val="15"/>
    </w:rPr>
  </w:style>
  <w:style w:type="character" w:styleId="Strong">
    <w:name w:val="Strong"/>
    <w:basedOn w:val="DefaultParagraphFont"/>
    <w:uiPriority w:val="22"/>
    <w:qFormat/>
    <w:rsid w:val="008505F5"/>
    <w:rPr>
      <w:rFonts w:ascii="Arial" w:hAnsi="Arial"/>
      <w:b/>
      <w:bCs/>
    </w:rPr>
  </w:style>
  <w:style w:type="paragraph" w:styleId="BalloonText">
    <w:name w:val="Balloon Text"/>
    <w:basedOn w:val="Normal"/>
    <w:link w:val="BalloonTextChar"/>
    <w:uiPriority w:val="99"/>
    <w:semiHidden/>
    <w:unhideWhenUsed/>
    <w:rsid w:val="006605B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5BC"/>
    <w:rPr>
      <w:rFonts w:ascii="Tahoma" w:hAnsi="Tahoma" w:cs="Tahoma"/>
      <w:sz w:val="16"/>
      <w:szCs w:val="16"/>
    </w:rPr>
  </w:style>
  <w:style w:type="character" w:styleId="Hyperlink">
    <w:name w:val="Hyperlink"/>
    <w:basedOn w:val="DefaultParagraphFont"/>
    <w:uiPriority w:val="99"/>
    <w:unhideWhenUsed/>
    <w:rsid w:val="00E512FA"/>
    <w:rPr>
      <w:rFonts w:asciiTheme="minorHAnsi" w:hAnsiTheme="minorHAnsi"/>
      <w:color w:val="004E7D"/>
      <w:sz w:val="20"/>
      <w:u w:val="single"/>
    </w:rPr>
  </w:style>
  <w:style w:type="character" w:styleId="FollowedHyperlink">
    <w:name w:val="FollowedHyperlink"/>
    <w:basedOn w:val="DefaultParagraphFont"/>
    <w:uiPriority w:val="99"/>
    <w:semiHidden/>
    <w:unhideWhenUsed/>
    <w:rsid w:val="00453CB2"/>
    <w:rPr>
      <w:rFonts w:asciiTheme="minorHAnsi" w:hAnsiTheme="minorHAnsi"/>
      <w:color w:val="00A398"/>
      <w:sz w:val="20"/>
      <w:u w:val="single"/>
    </w:rPr>
  </w:style>
  <w:style w:type="character" w:customStyle="1" w:styleId="Heading2Char">
    <w:name w:val="Heading 2 Char"/>
    <w:basedOn w:val="DefaultParagraphFont"/>
    <w:link w:val="Heading2"/>
    <w:uiPriority w:val="9"/>
    <w:semiHidden/>
    <w:rsid w:val="00932F98"/>
    <w:rPr>
      <w:rFonts w:asciiTheme="majorHAnsi" w:eastAsiaTheme="majorEastAsia" w:hAnsiTheme="majorHAnsi" w:cstheme="majorBidi"/>
      <w:color w:val="004E7D"/>
      <w:sz w:val="26"/>
      <w:szCs w:val="26"/>
    </w:rPr>
  </w:style>
  <w:style w:type="character" w:styleId="IntenseEmphasis">
    <w:name w:val="Intense Emphasis"/>
    <w:basedOn w:val="DefaultParagraphFont"/>
    <w:uiPriority w:val="21"/>
    <w:qFormat/>
    <w:rsid w:val="00932F98"/>
    <w:rPr>
      <w:i/>
      <w:iCs/>
      <w:color w:val="004E7D"/>
    </w:rPr>
  </w:style>
  <w:style w:type="paragraph" w:styleId="IntenseQuote">
    <w:name w:val="Intense Quote"/>
    <w:basedOn w:val="Normal"/>
    <w:next w:val="Normal"/>
    <w:link w:val="IntenseQuoteChar"/>
    <w:uiPriority w:val="30"/>
    <w:qFormat/>
    <w:rsid w:val="00932F98"/>
    <w:pPr>
      <w:pBdr>
        <w:top w:val="single" w:sz="4" w:space="10" w:color="00847E" w:themeColor="accent1"/>
        <w:bottom w:val="single" w:sz="4" w:space="10" w:color="00847E" w:themeColor="accent1"/>
      </w:pBdr>
      <w:spacing w:before="360" w:after="360"/>
      <w:ind w:left="864" w:right="864"/>
      <w:jc w:val="center"/>
    </w:pPr>
    <w:rPr>
      <w:i/>
      <w:iCs/>
      <w:color w:val="004E7D"/>
    </w:rPr>
  </w:style>
  <w:style w:type="character" w:customStyle="1" w:styleId="IntenseQuoteChar">
    <w:name w:val="Intense Quote Char"/>
    <w:basedOn w:val="DefaultParagraphFont"/>
    <w:link w:val="IntenseQuote"/>
    <w:uiPriority w:val="30"/>
    <w:rsid w:val="00932F98"/>
    <w:rPr>
      <w:i/>
      <w:iCs/>
      <w:color w:val="004E7D"/>
      <w:sz w:val="17"/>
    </w:rPr>
  </w:style>
  <w:style w:type="character" w:styleId="IntenseReference">
    <w:name w:val="Intense Reference"/>
    <w:basedOn w:val="DefaultParagraphFont"/>
    <w:uiPriority w:val="32"/>
    <w:qFormat/>
    <w:rsid w:val="00932F98"/>
    <w:rPr>
      <w:b/>
      <w:bCs/>
      <w:smallCaps/>
      <w:color w:val="004E7D"/>
      <w:spacing w:val="5"/>
    </w:rPr>
  </w:style>
  <w:style w:type="character" w:customStyle="1" w:styleId="Heading3Char">
    <w:name w:val="Heading 3 Char"/>
    <w:basedOn w:val="DefaultParagraphFont"/>
    <w:link w:val="Heading3"/>
    <w:uiPriority w:val="9"/>
    <w:semiHidden/>
    <w:rsid w:val="00E155BE"/>
    <w:rPr>
      <w:rFonts w:asciiTheme="majorHAnsi" w:eastAsiaTheme="majorEastAsia" w:hAnsiTheme="majorHAnsi" w:cstheme="majorBidi"/>
      <w:color w:val="00413E" w:themeColor="accent1" w:themeShade="7F"/>
      <w:sz w:val="24"/>
      <w:szCs w:val="24"/>
    </w:rPr>
  </w:style>
  <w:style w:type="paragraph" w:customStyle="1" w:styleId="Bullet2">
    <w:name w:val="Bullet 2"/>
    <w:basedOn w:val="Normal"/>
    <w:uiPriority w:val="2"/>
    <w:qFormat/>
    <w:rsid w:val="00E155BE"/>
    <w:pPr>
      <w:spacing w:before="120" w:after="120" w:line="240" w:lineRule="auto"/>
    </w:pPr>
    <w:rPr>
      <w:color w:val="000000" w:themeColor="text1"/>
      <w:sz w:val="22"/>
    </w:rPr>
  </w:style>
  <w:style w:type="paragraph" w:styleId="Subtitle">
    <w:name w:val="Subtitle"/>
    <w:basedOn w:val="Normal"/>
    <w:next w:val="Normal"/>
    <w:link w:val="SubtitleChar"/>
    <w:uiPriority w:val="11"/>
    <w:qFormat/>
    <w:rsid w:val="00E155B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11"/>
    <w:rsid w:val="00E155BE"/>
    <w:rPr>
      <w:rFonts w:eastAsiaTheme="minorEastAsia"/>
      <w:color w:val="00847E" w:themeColor="accent1"/>
      <w:sz w:val="24"/>
    </w:rPr>
  </w:style>
  <w:style w:type="character" w:styleId="SubtleEmphasis">
    <w:name w:val="Subtle Emphasis"/>
    <w:basedOn w:val="DefaultParagraphFont"/>
    <w:uiPriority w:val="19"/>
    <w:qFormat/>
    <w:rsid w:val="00E155BE"/>
    <w:rPr>
      <w:i/>
      <w:iCs/>
      <w:color w:val="808080" w:themeColor="text1" w:themeTint="7F"/>
    </w:rPr>
  </w:style>
  <w:style w:type="paragraph" w:styleId="ListParagraph">
    <w:name w:val="List Paragraph"/>
    <w:aliases w:val="L"/>
    <w:basedOn w:val="Normal"/>
    <w:link w:val="ListParagraphChar"/>
    <w:uiPriority w:val="34"/>
    <w:qFormat/>
    <w:rsid w:val="00E155BE"/>
    <w:pPr>
      <w:spacing w:before="120" w:after="120" w:line="240" w:lineRule="auto"/>
      <w:ind w:left="720"/>
      <w:contextualSpacing/>
    </w:pPr>
    <w:rPr>
      <w:color w:val="000000" w:themeColor="text1"/>
      <w:sz w:val="22"/>
    </w:rPr>
  </w:style>
  <w:style w:type="character" w:customStyle="1" w:styleId="ListParagraphChar">
    <w:name w:val="List Paragraph Char"/>
    <w:aliases w:val="L Char"/>
    <w:basedOn w:val="DefaultParagraphFont"/>
    <w:link w:val="ListParagraph"/>
    <w:uiPriority w:val="34"/>
    <w:rsid w:val="00E155BE"/>
    <w:rPr>
      <w:color w:val="000000" w:themeColor="text1"/>
    </w:rPr>
  </w:style>
  <w:style w:type="paragraph" w:customStyle="1" w:styleId="BulletsL1">
    <w:name w:val="Bullets L1"/>
    <w:basedOn w:val="ListParagraph"/>
    <w:link w:val="BulletsL1Char"/>
    <w:qFormat/>
    <w:rsid w:val="00E155BE"/>
    <w:pPr>
      <w:numPr>
        <w:numId w:val="11"/>
      </w:numPr>
      <w:spacing w:before="40" w:line="280" w:lineRule="exact"/>
      <w:contextualSpacing w:val="0"/>
    </w:pPr>
    <w:rPr>
      <w:rFonts w:ascii="Arial" w:hAnsi="Arial"/>
      <w:color w:val="auto"/>
      <w:lang w:val="en-US"/>
    </w:rPr>
  </w:style>
  <w:style w:type="character" w:customStyle="1" w:styleId="BulletsL1Char">
    <w:name w:val="Bullets L1 Char"/>
    <w:basedOn w:val="DefaultParagraphFont"/>
    <w:link w:val="BulletsL1"/>
    <w:rsid w:val="00E155BE"/>
    <w:rPr>
      <w:rFonts w:ascii="Arial" w:hAnsi="Arial"/>
      <w:lang w:val="en-US"/>
    </w:rPr>
  </w:style>
  <w:style w:type="paragraph" w:styleId="FootnoteText">
    <w:name w:val="footnote text"/>
    <w:basedOn w:val="Normal"/>
    <w:link w:val="FootnoteTextChar"/>
    <w:uiPriority w:val="99"/>
    <w:semiHidden/>
    <w:unhideWhenUsed/>
    <w:rsid w:val="00E155BE"/>
    <w:pPr>
      <w:spacing w:before="0" w:line="240" w:lineRule="auto"/>
    </w:pPr>
    <w:rPr>
      <w:color w:val="000000" w:themeColor="text1"/>
      <w:sz w:val="20"/>
      <w:szCs w:val="20"/>
    </w:rPr>
  </w:style>
  <w:style w:type="character" w:customStyle="1" w:styleId="FootnoteTextChar">
    <w:name w:val="Footnote Text Char"/>
    <w:basedOn w:val="DefaultParagraphFont"/>
    <w:link w:val="FootnoteText"/>
    <w:uiPriority w:val="99"/>
    <w:semiHidden/>
    <w:rsid w:val="00E155BE"/>
    <w:rPr>
      <w:color w:val="000000" w:themeColor="text1"/>
      <w:sz w:val="20"/>
      <w:szCs w:val="20"/>
    </w:rPr>
  </w:style>
  <w:style w:type="character" w:styleId="FootnoteReference">
    <w:name w:val="footnote reference"/>
    <w:basedOn w:val="DefaultParagraphFont"/>
    <w:uiPriority w:val="99"/>
    <w:semiHidden/>
    <w:unhideWhenUsed/>
    <w:rsid w:val="00E155BE"/>
    <w:rPr>
      <w:vertAlign w:val="superscript"/>
    </w:rPr>
  </w:style>
  <w:style w:type="character" w:styleId="UnresolvedMention">
    <w:name w:val="Unresolved Mention"/>
    <w:basedOn w:val="DefaultParagraphFont"/>
    <w:uiPriority w:val="99"/>
    <w:semiHidden/>
    <w:unhideWhenUsed/>
    <w:rsid w:val="00A3762E"/>
    <w:rPr>
      <w:color w:val="605E5C"/>
      <w:shd w:val="clear" w:color="auto" w:fill="E1DFDD"/>
    </w:rPr>
  </w:style>
  <w:style w:type="character" w:styleId="CommentReference">
    <w:name w:val="annotation reference"/>
    <w:basedOn w:val="DefaultParagraphFont"/>
    <w:uiPriority w:val="99"/>
    <w:semiHidden/>
    <w:unhideWhenUsed/>
    <w:rsid w:val="00B43A0B"/>
    <w:rPr>
      <w:sz w:val="16"/>
      <w:szCs w:val="16"/>
    </w:rPr>
  </w:style>
  <w:style w:type="paragraph" w:styleId="CommentText">
    <w:name w:val="annotation text"/>
    <w:basedOn w:val="Normal"/>
    <w:link w:val="CommentTextChar"/>
    <w:uiPriority w:val="99"/>
    <w:unhideWhenUsed/>
    <w:rsid w:val="00B43A0B"/>
    <w:pPr>
      <w:spacing w:line="240" w:lineRule="auto"/>
    </w:pPr>
    <w:rPr>
      <w:sz w:val="20"/>
      <w:szCs w:val="20"/>
    </w:rPr>
  </w:style>
  <w:style w:type="character" w:customStyle="1" w:styleId="CommentTextChar">
    <w:name w:val="Comment Text Char"/>
    <w:basedOn w:val="DefaultParagraphFont"/>
    <w:link w:val="CommentText"/>
    <w:uiPriority w:val="99"/>
    <w:rsid w:val="00B43A0B"/>
    <w:rPr>
      <w:sz w:val="20"/>
      <w:szCs w:val="20"/>
    </w:rPr>
  </w:style>
  <w:style w:type="paragraph" w:styleId="CommentSubject">
    <w:name w:val="annotation subject"/>
    <w:basedOn w:val="CommentText"/>
    <w:next w:val="CommentText"/>
    <w:link w:val="CommentSubjectChar"/>
    <w:uiPriority w:val="99"/>
    <w:semiHidden/>
    <w:unhideWhenUsed/>
    <w:rsid w:val="00B43A0B"/>
    <w:rPr>
      <w:b/>
      <w:bCs/>
    </w:rPr>
  </w:style>
  <w:style w:type="character" w:customStyle="1" w:styleId="CommentSubjectChar">
    <w:name w:val="Comment Subject Char"/>
    <w:basedOn w:val="CommentTextChar"/>
    <w:link w:val="CommentSubject"/>
    <w:uiPriority w:val="99"/>
    <w:semiHidden/>
    <w:rsid w:val="00B43A0B"/>
    <w:rPr>
      <w:b/>
      <w:bCs/>
      <w:sz w:val="20"/>
      <w:szCs w:val="20"/>
    </w:rPr>
  </w:style>
  <w:style w:type="table" w:customStyle="1" w:styleId="TEQSAtables">
    <w:name w:val="TEQSA tables"/>
    <w:basedOn w:val="TableNormal"/>
    <w:uiPriority w:val="99"/>
    <w:rsid w:val="00E37B23"/>
    <w:pPr>
      <w:spacing w:after="0" w:line="240" w:lineRule="auto"/>
      <w:jc w:val="center"/>
    </w:pPr>
    <w:rPr>
      <w:color w:val="000000" w:themeColor="text1"/>
    </w:rPr>
    <w:tblPr>
      <w:tblStyleRow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cs="Arial" w:hint="default"/>
        <w:b/>
        <w:color w:val="E7E6E6" w:themeColor="background2"/>
        <w:sz w:val="21"/>
        <w:szCs w:val="2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single" w:sz="4" w:space="0" w:color="000000" w:themeColor="text1"/>
          <w:tl2br w:val="nil"/>
          <w:tr2bl w:val="nil"/>
        </w:tcBorders>
        <w:shd w:val="clear" w:color="auto" w:fill="004855"/>
      </w:tcPr>
    </w:tblStylePr>
    <w:tblStylePr w:type="band2Horz">
      <w:tblPr/>
      <w:tcPr>
        <w:shd w:val="clear" w:color="auto" w:fill="FBE4D5"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033513">
      <w:bodyDiv w:val="1"/>
      <w:marLeft w:val="0"/>
      <w:marRight w:val="0"/>
      <w:marTop w:val="0"/>
      <w:marBottom w:val="0"/>
      <w:divBdr>
        <w:top w:val="none" w:sz="0" w:space="0" w:color="auto"/>
        <w:left w:val="none" w:sz="0" w:space="0" w:color="auto"/>
        <w:bottom w:val="none" w:sz="0" w:space="0" w:color="auto"/>
        <w:right w:val="none" w:sz="0" w:space="0" w:color="auto"/>
      </w:divBdr>
    </w:div>
    <w:div w:id="101438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terialchanges@teqsa.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erialchanges@teqsa.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teqsa.gov.au/latest-news/publications/guidance-note-changes-course-study-may-lead-accreditation-new-cours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eqsaDocumentType xmlns="28b94040-26a8-469a-8038-0c82e6a14f19">
      <Value>Template</Value>
    </TeqsaDocumentType>
    <TeqsaTeam xmlns="28b94040-26a8-469a-8038-0c82e6a14f19">
      <Value>Brand</Value>
      <Value>Communications</Value>
      <Value>Engagement</Value>
    </TeqsaTeam>
    <Owner xmlns="979ab06a-6535-4638-b59f-980faa50cb4b">
      <UserInfo>
        <DisplayName>Tom Hewitt-McManus</DisplayName>
        <AccountId>20</AccountId>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Resource Item" ma:contentTypeID="0x01010037581DFBB9924576A005A4A1995DD10D001BC120C84BAF1049BC9567D96DB3AF79" ma:contentTypeVersion="12" ma:contentTypeDescription="Resource Item" ma:contentTypeScope="" ma:versionID="fb9ddc587373c7381d7d2aac4b480ccd">
  <xsd:schema xmlns:xsd="http://www.w3.org/2001/XMLSchema" xmlns:xs="http://www.w3.org/2001/XMLSchema" xmlns:p="http://schemas.microsoft.com/office/2006/metadata/properties" xmlns:ns2="28b94040-26a8-469a-8038-0c82e6a14f19" xmlns:ns3="979ab06a-6535-4638-b59f-980faa50cb4b" targetNamespace="http://schemas.microsoft.com/office/2006/metadata/properties" ma:root="true" ma:fieldsID="261ad8be543d6a8f4df0b667c1d79f67" ns2:_="" ns3:_="">
    <xsd:import namespace="28b94040-26a8-469a-8038-0c82e6a14f19"/>
    <xsd:import namespace="979ab06a-6535-4638-b59f-980faa50cb4b"/>
    <xsd:element name="properties">
      <xsd:complexType>
        <xsd:sequence>
          <xsd:element name="documentManagement">
            <xsd:complexType>
              <xsd:all>
                <xsd:element ref="ns2:TeqsaDocumentType" minOccurs="0"/>
                <xsd:element ref="ns2:TeqsaTeam" minOccurs="0"/>
                <xsd:element ref="ns3: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94040-26a8-469a-8038-0c82e6a14f19" elementFormDefault="qualified">
    <xsd:import namespace="http://schemas.microsoft.com/office/2006/documentManagement/types"/>
    <xsd:import namespace="http://schemas.microsoft.com/office/infopath/2007/PartnerControls"/>
    <xsd:element name="TeqsaDocumentType" ma:index="1" nillable="true" ma:displayName="Type" ma:format="Dropdown" ma:internalName="TeqsaDocumentType" ma:requiredMultiChoice="true">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ommunique"/>
                    <xsd:enumeration value="Knowledge Article"/>
                    <xsd:enumeration value="Other"/>
                  </xsd:restriction>
                </xsd:simpleType>
              </xsd:element>
            </xsd:sequence>
          </xsd:extension>
        </xsd:complexContent>
      </xsd:complexType>
    </xsd:element>
    <xsd:element name="TeqsaTeam" ma:index="2" nillable="true" ma:displayName="Team" ma:format="Dropdown" ma:internalName="TeqsaTeam" ma:requiredMultiChoice="true">
      <xsd:complexType>
        <xsd:complexContent>
          <xsd:extension base="dms:MultiChoice">
            <xsd:sequence>
              <xsd:element name="Value" maxOccurs="unbounded" minOccurs="0" nillable="true">
                <xsd:simpleType>
                  <xsd:restriction base="dms:Choice">
                    <xsd:enumeration value="Acknowledgement of Country"/>
                    <xsd:enumeration value="Annual Report"/>
                    <xsd:enumeration value="APS Employee Census"/>
                    <xsd:enumeration value="Assessment and Investigations"/>
                    <xsd:enumeration value="Assurance"/>
                    <xsd:enumeration value="Brand"/>
                    <xsd:enumeration value="Business Solutions"/>
                    <xsd:enumeration value="Case Management Handbook"/>
                    <xsd:enumeration value="Commission"/>
                    <xsd:enumeration value="Communications"/>
                    <xsd:enumeration value="Compliance and Investigations"/>
                    <xsd:enumeration value="Corporate"/>
                    <xsd:enumeration value="COVIDSafe"/>
                    <xsd:enumeration value="CRIS"/>
                    <xsd:enumeration value="CRM"/>
                    <xsd:enumeration value="Culture and Values"/>
                    <xsd:enumeration value="ELT"/>
                    <xsd:enumeration value="Emergency"/>
                    <xsd:enumeration value="Engagement"/>
                    <xsd:enumeration value="Enterprise Agreement"/>
                    <xsd:enumeration value="Executive Office"/>
                    <xsd:enumeration value="Experts and Events"/>
                    <xsd:enumeration value="Finance"/>
                    <xsd:enumeration value="Governance"/>
                    <xsd:enumeration value="Harassment Contact Officers"/>
                    <xsd:enumeration value="Higher Education Integrity Unit"/>
                    <xsd:enumeration value="HR Policies and Procedures"/>
                    <xsd:enumeration value="ICT"/>
                    <xsd:enumeration value="Inclusion and Diversity"/>
                    <xsd:enumeration value="IT"/>
                    <xsd:enumeration value="Learning Committee"/>
                    <xsd:enumeration value="Learning Development"/>
                    <xsd:enumeration value="Legal"/>
                    <xsd:enumeration value="Library"/>
                    <xsd:enumeration value="Mental Health"/>
                    <xsd:enumeration value="Orientation"/>
                    <xsd:enumeration value="Parliamentary Liaison"/>
                    <xsd:enumeration value="People and Capability"/>
                    <xsd:enumeration value="Policy and Analysis"/>
                    <xsd:enumeration value="Policy and Research"/>
                    <xsd:enumeration value="Provider Category Standards"/>
                    <xsd:enumeration value="Provider Management Solution"/>
                    <xsd:enumeration value="Quality Assurance"/>
                    <xsd:enumeration value="Reception"/>
                    <xsd:enumeration value="Recognition and Awards"/>
                    <xsd:enumeration value="Records Management"/>
                    <xsd:enumeration value="Records Management Project"/>
                    <xsd:enumeration value="Regulatory Operations"/>
                    <xsd:enumeration value="RUOK"/>
                    <xsd:enumeration value="Secretariat"/>
                    <xsd:enumeration value="Security"/>
                    <xsd:enumeration value="SMT"/>
                    <xsd:enumeration value="Social club"/>
                    <xsd:enumeration value="Social media"/>
                    <xsd:enumeration value="Specialisation"/>
                    <xsd:enumeration value="Staff Consultative Committee"/>
                    <xsd:enumeration value="Thematic Analysis"/>
                    <xsd:enumeration value="TRAC"/>
                    <xsd:enumeration value="Updates for Staff"/>
                    <xsd:enumeration value="Work Health and Safety Committe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9ab06a-6535-4638-b59f-980faa50cb4b" elementFormDefault="qualified">
    <xsd:import namespace="http://schemas.microsoft.com/office/2006/documentManagement/types"/>
    <xsd:import namespace="http://schemas.microsoft.com/office/infopath/2007/PartnerControls"/>
    <xsd:element name="Owner" ma:index="10" nillable="true"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F9FA74-CBF0-44CF-B8C7-CBEE296BAD08}">
  <ds:schemaRefs>
    <ds:schemaRef ds:uri="http://schemas.openxmlformats.org/officeDocument/2006/bibliography"/>
  </ds:schemaRefs>
</ds:datastoreItem>
</file>

<file path=customXml/itemProps2.xml><?xml version="1.0" encoding="utf-8"?>
<ds:datastoreItem xmlns:ds="http://schemas.openxmlformats.org/officeDocument/2006/customXml" ds:itemID="{862E961B-DD80-478A-A609-0F8B9FEA51ED}">
  <ds:schemaRefs>
    <ds:schemaRef ds:uri="http://purl.org/dc/elements/1.1/"/>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979ab06a-6535-4638-b59f-980faa50cb4b"/>
    <ds:schemaRef ds:uri="28b94040-26a8-469a-8038-0c82e6a14f19"/>
    <ds:schemaRef ds:uri="http://schemas.microsoft.com/office/2006/metadata/properties"/>
  </ds:schemaRefs>
</ds:datastoreItem>
</file>

<file path=customXml/itemProps3.xml><?xml version="1.0" encoding="utf-8"?>
<ds:datastoreItem xmlns:ds="http://schemas.openxmlformats.org/officeDocument/2006/customXml" ds:itemID="{59706B43-02F4-46EF-9C97-5F2EE736C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94040-26a8-469a-8038-0c82e6a14f19"/>
    <ds:schemaRef ds:uri="979ab06a-6535-4638-b59f-980faa50c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132089-D679-4E0B-A0E2-FE284955B4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3927</Characters>
  <Application>Microsoft Office Word</Application>
  <DocSecurity>0</DocSecurity>
  <Lines>89</Lines>
  <Paragraphs>58</Paragraphs>
  <ScaleCrop>false</ScaleCrop>
  <HeadingPairs>
    <vt:vector size="2" baseType="variant">
      <vt:variant>
        <vt:lpstr>Title</vt:lpstr>
      </vt:variant>
      <vt:variant>
        <vt:i4>1</vt:i4>
      </vt:variant>
    </vt:vector>
  </HeadingPairs>
  <TitlesOfParts>
    <vt:vector size="1" baseType="lpstr">
      <vt:lpstr>Letterhead Template</vt:lpstr>
    </vt:vector>
  </TitlesOfParts>
  <Company>Tertiary Education Quality and Standards Agency</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Change Notification Policy</dc:title>
  <dc:creator>Tom Hewitt-McManus</dc:creator>
  <cp:lastModifiedBy>Tom Hewitt-McManus</cp:lastModifiedBy>
  <cp:revision>5</cp:revision>
  <dcterms:created xsi:type="dcterms:W3CDTF">2022-10-14T05:09:00Z</dcterms:created>
  <dcterms:modified xsi:type="dcterms:W3CDTF">2022-10-14T05:10:00Z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0x01010037581DFBB9924576A005A4A1995DD10D001BC120C84BAF1049BC9567D96DB3AF79</vt:lpwstr>
  </property>
  <property fmtid="{D5CDD505-2E9C-101B-9397-08002B2CF9AE}" pid="3" name="Team">
    <vt:lpwstr>45;#Comms and International|f1db5572-7306-443e-a442-d56c9f2c52d1</vt:lpwstr>
  </property>
</Properties>
</file>