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904B9" w14:textId="3E226277" w:rsidR="003160FA" w:rsidRPr="00365B3E" w:rsidRDefault="00C95962" w:rsidP="003160FA">
      <w:pPr>
        <w:pStyle w:val="Heading1"/>
        <w:spacing w:after="480"/>
        <w:rPr>
          <w:lang w:eastAsia="en-AU"/>
        </w:rPr>
      </w:pPr>
      <w:r w:rsidRPr="00365B3E">
        <w:rPr>
          <w:lang w:eastAsia="en-AU"/>
        </w:rPr>
        <w:t>L</w:t>
      </w:r>
      <w:r w:rsidR="00C235BF" w:rsidRPr="00365B3E">
        <w:rPr>
          <w:lang w:eastAsia="en-AU"/>
        </w:rPr>
        <w:t xml:space="preserve">awful disruption of access to </w:t>
      </w:r>
      <w:r w:rsidR="00542112" w:rsidRPr="00365B3E">
        <w:rPr>
          <w:lang w:eastAsia="en-AU"/>
        </w:rPr>
        <w:t xml:space="preserve">online </w:t>
      </w:r>
      <w:r w:rsidR="00F26349" w:rsidRPr="00365B3E">
        <w:rPr>
          <w:lang w:eastAsia="en-AU"/>
        </w:rPr>
        <w:t>services</w:t>
      </w:r>
      <w:r w:rsidR="00C235BF" w:rsidRPr="00365B3E">
        <w:rPr>
          <w:lang w:eastAsia="en-AU"/>
        </w:rPr>
        <w:t xml:space="preserve"> policy </w:t>
      </w:r>
    </w:p>
    <w:p w14:paraId="16971343" w14:textId="77777777" w:rsidR="004A4AE6" w:rsidRPr="002F4CC1" w:rsidRDefault="004A4AE6" w:rsidP="002F4CC1">
      <w:pPr>
        <w:pStyle w:val="Heading2"/>
      </w:pPr>
      <w:r w:rsidRPr="002F4CC1">
        <w:t>Purpose</w:t>
      </w:r>
    </w:p>
    <w:p w14:paraId="19A9A3AB" w14:textId="6CD75CFB" w:rsidR="004A4AE6" w:rsidRDefault="00C235BF" w:rsidP="004A4AE6">
      <w:r>
        <w:t xml:space="preserve">This document sets out </w:t>
      </w:r>
      <w:r w:rsidR="003B6AEB" w:rsidRPr="007F3F16">
        <w:t>TEQSA</w:t>
      </w:r>
      <w:r>
        <w:t xml:space="preserve">’s policy </w:t>
      </w:r>
      <w:r w:rsidR="003F165A">
        <w:t xml:space="preserve">regarding </w:t>
      </w:r>
      <w:r>
        <w:t>requests by TEQSA</w:t>
      </w:r>
      <w:r w:rsidR="003B6AEB" w:rsidRPr="007F3F16">
        <w:t xml:space="preserve"> </w:t>
      </w:r>
      <w:r>
        <w:t xml:space="preserve">for the lawful disruption of access to </w:t>
      </w:r>
      <w:r w:rsidR="00542112">
        <w:t>online locations</w:t>
      </w:r>
      <w:r>
        <w:t xml:space="preserve"> under s313(3) of the </w:t>
      </w:r>
      <w:r>
        <w:rPr>
          <w:i/>
          <w:iCs/>
        </w:rPr>
        <w:t xml:space="preserve">Telecommunications Act 1997 </w:t>
      </w:r>
      <w:r>
        <w:t>(Telecommunications Act)</w:t>
      </w:r>
      <w:bookmarkStart w:id="0" w:name="_Hlk71297705"/>
      <w:r w:rsidR="00F26349">
        <w:t xml:space="preserve"> </w:t>
      </w:r>
      <w:r w:rsidR="00277DCE">
        <w:t>that appear to</w:t>
      </w:r>
      <w:r w:rsidR="00542112">
        <w:t xml:space="preserve"> show content that</w:t>
      </w:r>
      <w:r w:rsidR="00277DCE">
        <w:t xml:space="preserve"> amount</w:t>
      </w:r>
      <w:r w:rsidR="00542112">
        <w:t>s</w:t>
      </w:r>
      <w:r w:rsidR="00277DCE">
        <w:t xml:space="preserve"> to, or involve</w:t>
      </w:r>
      <w:r w:rsidR="00542112">
        <w:t>s</w:t>
      </w:r>
      <w:r w:rsidR="00277DCE">
        <w:t xml:space="preserve">, contraventions of </w:t>
      </w:r>
      <w:r w:rsidR="00C62113">
        <w:t xml:space="preserve">relevant </w:t>
      </w:r>
      <w:r w:rsidR="0097337A">
        <w:t xml:space="preserve">serious </w:t>
      </w:r>
      <w:r w:rsidR="00277DCE">
        <w:t>offence or civil penalty provisions</w:t>
      </w:r>
      <w:bookmarkEnd w:id="0"/>
      <w:r w:rsidR="00277DCE">
        <w:t xml:space="preserve"> in the </w:t>
      </w:r>
      <w:r w:rsidR="00277DCE">
        <w:rPr>
          <w:i/>
          <w:iCs/>
        </w:rPr>
        <w:t xml:space="preserve">Tertiary Education Quality Standards Agency Act 2011 </w:t>
      </w:r>
      <w:r w:rsidR="00277DCE" w:rsidRPr="00277DCE">
        <w:t>(</w:t>
      </w:r>
      <w:proofErr w:type="spellStart"/>
      <w:r w:rsidR="00277DCE" w:rsidRPr="00277DCE">
        <w:t>Cth</w:t>
      </w:r>
      <w:proofErr w:type="spellEnd"/>
      <w:r w:rsidR="00277DCE" w:rsidRPr="00277DCE">
        <w:t>)</w:t>
      </w:r>
      <w:r w:rsidR="00277DCE">
        <w:t xml:space="preserve"> (TEQSA Act)</w:t>
      </w:r>
      <w:r w:rsidR="003704FC" w:rsidRPr="007F3F16">
        <w:t>.</w:t>
      </w:r>
    </w:p>
    <w:p w14:paraId="2DBEEEE2" w14:textId="0C728886" w:rsidR="00B46938" w:rsidRDefault="00B46938" w:rsidP="002F4CC1">
      <w:pPr>
        <w:pStyle w:val="Heading2"/>
      </w:pPr>
      <w:r>
        <w:t>TEQSA’s role and responsibilities</w:t>
      </w:r>
    </w:p>
    <w:p w14:paraId="26841E5D" w14:textId="77777777" w:rsidR="00C95962" w:rsidRDefault="00B46938" w:rsidP="00C62113">
      <w:r>
        <w:t>Please refer to</w:t>
      </w:r>
      <w:r w:rsidR="00525BD6">
        <w:t xml:space="preserve"> TEQSA’s website</w:t>
      </w:r>
      <w:r w:rsidR="0097337A">
        <w:t xml:space="preserve"> (</w:t>
      </w:r>
      <w:hyperlink r:id="rId11" w:history="1">
        <w:r w:rsidR="0097337A" w:rsidRPr="0082174E">
          <w:rPr>
            <w:rStyle w:val="Hyperlink"/>
          </w:rPr>
          <w:t>https://www.teqsa.gov.au</w:t>
        </w:r>
      </w:hyperlink>
      <w:r w:rsidR="0097337A">
        <w:t xml:space="preserve">) </w:t>
      </w:r>
      <w:r w:rsidR="00525BD6">
        <w:t>for information about TEQSA’s role and responsibilities.</w:t>
      </w:r>
    </w:p>
    <w:p w14:paraId="20EC44D6" w14:textId="54C6EB71" w:rsidR="00B46938" w:rsidRPr="00B46938" w:rsidRDefault="00C95962" w:rsidP="00C62113">
      <w:proofErr w:type="gramStart"/>
      <w:r>
        <w:t>In particular, TEQSA</w:t>
      </w:r>
      <w:proofErr w:type="gramEnd"/>
      <w:r>
        <w:t xml:space="preserve"> will apply this policy as part of its efforts to protect academic integrity. For more information</w:t>
      </w:r>
      <w:r w:rsidR="0016003B">
        <w:t xml:space="preserve"> about TEQSA’s efforts in this regard</w:t>
      </w:r>
      <w:r>
        <w:t>, please refer to the relevant page on TEQSA’s website (</w:t>
      </w:r>
      <w:hyperlink r:id="rId12" w:history="1">
        <w:r w:rsidRPr="00654D95">
          <w:rPr>
            <w:rStyle w:val="Hyperlink"/>
          </w:rPr>
          <w:t>https://teqsa.gov.au/protecting-academic-integrity</w:t>
        </w:r>
      </w:hyperlink>
      <w:r>
        <w:t>).</w:t>
      </w:r>
    </w:p>
    <w:p w14:paraId="52FD7F45" w14:textId="03A35178" w:rsidR="00B46938" w:rsidRDefault="00B46938" w:rsidP="00B46938">
      <w:pPr>
        <w:pStyle w:val="Heading2"/>
      </w:pPr>
      <w:r>
        <w:t xml:space="preserve">The power to disrupt online </w:t>
      </w:r>
      <w:r w:rsidR="00542112">
        <w:t>locations</w:t>
      </w:r>
    </w:p>
    <w:p w14:paraId="53864E50" w14:textId="4661E4F4" w:rsidR="00C62113" w:rsidRDefault="00C62113" w:rsidP="00A305B3">
      <w:pPr>
        <w:pStyle w:val="Heading2"/>
        <w:spacing w:before="120" w:after="120" w:line="240" w:lineRule="auto"/>
        <w:rPr>
          <w:rFonts w:asciiTheme="minorHAnsi" w:eastAsiaTheme="minorHAnsi" w:hAnsiTheme="minorHAnsi" w:cstheme="minorBidi"/>
          <w:color w:val="000000" w:themeColor="text1"/>
          <w:sz w:val="22"/>
          <w:szCs w:val="22"/>
        </w:rPr>
      </w:pPr>
      <w:r w:rsidRPr="00C62113">
        <w:rPr>
          <w:rFonts w:asciiTheme="minorHAnsi" w:eastAsiaTheme="minorHAnsi" w:hAnsiTheme="minorHAnsi" w:cstheme="minorBidi"/>
          <w:color w:val="000000" w:themeColor="text1"/>
          <w:sz w:val="22"/>
          <w:szCs w:val="22"/>
        </w:rPr>
        <w:t>Section 313(3) of the Telecommunications Act requires that carriage service</w:t>
      </w:r>
      <w:r>
        <w:rPr>
          <w:rFonts w:asciiTheme="minorHAnsi" w:eastAsiaTheme="minorHAnsi" w:hAnsiTheme="minorHAnsi" w:cstheme="minorBidi"/>
          <w:color w:val="000000" w:themeColor="text1"/>
          <w:sz w:val="22"/>
          <w:szCs w:val="22"/>
        </w:rPr>
        <w:t xml:space="preserve"> </w:t>
      </w:r>
      <w:r w:rsidRPr="00C62113">
        <w:rPr>
          <w:rFonts w:asciiTheme="minorHAnsi" w:eastAsiaTheme="minorHAnsi" w:hAnsiTheme="minorHAnsi" w:cstheme="minorBidi"/>
          <w:color w:val="000000" w:themeColor="text1"/>
          <w:sz w:val="22"/>
          <w:szCs w:val="22"/>
        </w:rPr>
        <w:t>providers, in connection with their operation of telecommunications</w:t>
      </w:r>
      <w:r>
        <w:rPr>
          <w:rFonts w:asciiTheme="minorHAnsi" w:eastAsiaTheme="minorHAnsi" w:hAnsiTheme="minorHAnsi" w:cstheme="minorBidi"/>
          <w:color w:val="000000" w:themeColor="text1"/>
          <w:sz w:val="22"/>
          <w:szCs w:val="22"/>
        </w:rPr>
        <w:t xml:space="preserve"> </w:t>
      </w:r>
      <w:r w:rsidRPr="00C62113">
        <w:rPr>
          <w:rFonts w:asciiTheme="minorHAnsi" w:eastAsiaTheme="minorHAnsi" w:hAnsiTheme="minorHAnsi" w:cstheme="minorBidi"/>
          <w:color w:val="000000" w:themeColor="text1"/>
          <w:sz w:val="22"/>
          <w:szCs w:val="22"/>
        </w:rPr>
        <w:t>networks and facilities or the supply of carriage services, give officers and</w:t>
      </w:r>
      <w:r>
        <w:rPr>
          <w:rFonts w:asciiTheme="minorHAnsi" w:eastAsiaTheme="minorHAnsi" w:hAnsiTheme="minorHAnsi" w:cstheme="minorBidi"/>
          <w:color w:val="000000" w:themeColor="text1"/>
          <w:sz w:val="22"/>
          <w:szCs w:val="22"/>
        </w:rPr>
        <w:t xml:space="preserve"> </w:t>
      </w:r>
      <w:r w:rsidRPr="00C62113">
        <w:rPr>
          <w:rFonts w:asciiTheme="minorHAnsi" w:eastAsiaTheme="minorHAnsi" w:hAnsiTheme="minorHAnsi" w:cstheme="minorBidi"/>
          <w:color w:val="000000" w:themeColor="text1"/>
          <w:sz w:val="22"/>
          <w:szCs w:val="22"/>
        </w:rPr>
        <w:t>authorities of the Commonwealth, states and territories any help reasonably</w:t>
      </w:r>
      <w:r>
        <w:rPr>
          <w:rFonts w:asciiTheme="minorHAnsi" w:eastAsiaTheme="minorHAnsi" w:hAnsiTheme="minorHAnsi" w:cstheme="minorBidi"/>
          <w:color w:val="000000" w:themeColor="text1"/>
          <w:sz w:val="22"/>
          <w:szCs w:val="22"/>
        </w:rPr>
        <w:t xml:space="preserve"> </w:t>
      </w:r>
      <w:r w:rsidRPr="00C62113">
        <w:rPr>
          <w:rFonts w:asciiTheme="minorHAnsi" w:eastAsiaTheme="minorHAnsi" w:hAnsiTheme="minorHAnsi" w:cstheme="minorBidi"/>
          <w:color w:val="000000" w:themeColor="text1"/>
          <w:sz w:val="22"/>
          <w:szCs w:val="22"/>
        </w:rPr>
        <w:t>necessary to</w:t>
      </w:r>
      <w:r w:rsidR="000739A5">
        <w:rPr>
          <w:rFonts w:asciiTheme="minorHAnsi" w:eastAsiaTheme="minorHAnsi" w:hAnsiTheme="minorHAnsi" w:cstheme="minorBidi"/>
          <w:color w:val="000000" w:themeColor="text1"/>
          <w:sz w:val="22"/>
          <w:szCs w:val="22"/>
        </w:rPr>
        <w:t>,</w:t>
      </w:r>
      <w:r>
        <w:rPr>
          <w:rFonts w:asciiTheme="minorHAnsi" w:eastAsiaTheme="minorHAnsi" w:hAnsiTheme="minorHAnsi" w:cstheme="minorBidi"/>
          <w:color w:val="000000" w:themeColor="text1"/>
          <w:sz w:val="22"/>
          <w:szCs w:val="22"/>
        </w:rPr>
        <w:t xml:space="preserve"> amongst other things</w:t>
      </w:r>
      <w:r w:rsidR="000739A5">
        <w:rPr>
          <w:rFonts w:asciiTheme="minorHAnsi" w:eastAsiaTheme="minorHAnsi" w:hAnsiTheme="minorHAnsi" w:cstheme="minorBidi"/>
          <w:color w:val="000000" w:themeColor="text1"/>
          <w:sz w:val="22"/>
          <w:szCs w:val="22"/>
        </w:rPr>
        <w:t xml:space="preserve">, </w:t>
      </w:r>
      <w:r w:rsidRPr="00C62113">
        <w:rPr>
          <w:rFonts w:asciiTheme="minorHAnsi" w:eastAsiaTheme="minorHAnsi" w:hAnsiTheme="minorHAnsi" w:cstheme="minorBidi"/>
          <w:color w:val="000000" w:themeColor="text1"/>
          <w:sz w:val="22"/>
          <w:szCs w:val="22"/>
        </w:rPr>
        <w:t>enforce the criminal law and laws imposing pecuniary penalties</w:t>
      </w:r>
      <w:r w:rsidR="00C95962">
        <w:rPr>
          <w:rFonts w:asciiTheme="minorHAnsi" w:eastAsiaTheme="minorHAnsi" w:hAnsiTheme="minorHAnsi" w:cstheme="minorBidi"/>
          <w:color w:val="000000" w:themeColor="text1"/>
          <w:sz w:val="22"/>
          <w:szCs w:val="22"/>
        </w:rPr>
        <w:t>.</w:t>
      </w:r>
    </w:p>
    <w:p w14:paraId="692608EE" w14:textId="4094CCD1" w:rsidR="00C62113" w:rsidRDefault="00C62113" w:rsidP="00C62113">
      <w:pPr>
        <w:pStyle w:val="Heading2"/>
        <w:spacing w:before="120" w:after="120" w:line="240" w:lineRule="auto"/>
        <w:rPr>
          <w:rFonts w:asciiTheme="minorHAnsi" w:eastAsiaTheme="minorHAnsi" w:hAnsiTheme="minorHAnsi" w:cstheme="minorBidi"/>
          <w:color w:val="000000" w:themeColor="text1"/>
          <w:sz w:val="22"/>
          <w:szCs w:val="22"/>
        </w:rPr>
      </w:pPr>
      <w:r>
        <w:rPr>
          <w:rFonts w:asciiTheme="minorHAnsi" w:eastAsiaTheme="minorHAnsi" w:hAnsiTheme="minorHAnsi" w:cstheme="minorBidi"/>
          <w:color w:val="000000" w:themeColor="text1"/>
          <w:sz w:val="22"/>
          <w:szCs w:val="22"/>
        </w:rPr>
        <w:t>I</w:t>
      </w:r>
      <w:r w:rsidRPr="00C62113">
        <w:rPr>
          <w:rFonts w:asciiTheme="minorHAnsi" w:eastAsiaTheme="minorHAnsi" w:hAnsiTheme="minorHAnsi" w:cstheme="minorBidi"/>
          <w:color w:val="000000" w:themeColor="text1"/>
          <w:sz w:val="22"/>
          <w:szCs w:val="22"/>
        </w:rPr>
        <w:t>t enables government agencies to request internet</w:t>
      </w:r>
      <w:r>
        <w:rPr>
          <w:rFonts w:asciiTheme="minorHAnsi" w:eastAsiaTheme="minorHAnsi" w:hAnsiTheme="minorHAnsi" w:cstheme="minorBidi"/>
          <w:color w:val="000000" w:themeColor="text1"/>
          <w:sz w:val="22"/>
          <w:szCs w:val="22"/>
        </w:rPr>
        <w:t xml:space="preserve"> </w:t>
      </w:r>
      <w:r w:rsidRPr="00C62113">
        <w:rPr>
          <w:rFonts w:asciiTheme="minorHAnsi" w:eastAsiaTheme="minorHAnsi" w:hAnsiTheme="minorHAnsi" w:cstheme="minorBidi"/>
          <w:color w:val="000000" w:themeColor="text1"/>
          <w:sz w:val="22"/>
          <w:szCs w:val="22"/>
        </w:rPr>
        <w:t>service providers (ISPs)</w:t>
      </w:r>
      <w:r w:rsidR="00C95962">
        <w:rPr>
          <w:rFonts w:asciiTheme="minorHAnsi" w:eastAsiaTheme="minorHAnsi" w:hAnsiTheme="minorHAnsi" w:cstheme="minorBidi"/>
          <w:color w:val="000000" w:themeColor="text1"/>
          <w:sz w:val="22"/>
          <w:szCs w:val="22"/>
        </w:rPr>
        <w:t>, as carriage service providers,</w:t>
      </w:r>
      <w:r w:rsidRPr="00C62113">
        <w:rPr>
          <w:rFonts w:asciiTheme="minorHAnsi" w:eastAsiaTheme="minorHAnsi" w:hAnsiTheme="minorHAnsi" w:cstheme="minorBidi"/>
          <w:color w:val="000000" w:themeColor="text1"/>
          <w:sz w:val="22"/>
          <w:szCs w:val="22"/>
        </w:rPr>
        <w:t xml:space="preserve"> to provide such assistance as is reasonably</w:t>
      </w:r>
      <w:r>
        <w:rPr>
          <w:rFonts w:asciiTheme="minorHAnsi" w:eastAsiaTheme="minorHAnsi" w:hAnsiTheme="minorHAnsi" w:cstheme="minorBidi"/>
          <w:color w:val="000000" w:themeColor="text1"/>
          <w:sz w:val="22"/>
          <w:szCs w:val="22"/>
        </w:rPr>
        <w:t xml:space="preserve"> </w:t>
      </w:r>
      <w:r w:rsidRPr="00C62113">
        <w:rPr>
          <w:rFonts w:asciiTheme="minorHAnsi" w:eastAsiaTheme="minorHAnsi" w:hAnsiTheme="minorHAnsi" w:cstheme="minorBidi"/>
          <w:color w:val="000000" w:themeColor="text1"/>
          <w:sz w:val="22"/>
          <w:szCs w:val="22"/>
        </w:rPr>
        <w:t>necessary to disrupt the operation of online services by blocking access to</w:t>
      </w:r>
      <w:r>
        <w:rPr>
          <w:rFonts w:asciiTheme="minorHAnsi" w:eastAsiaTheme="minorHAnsi" w:hAnsiTheme="minorHAnsi" w:cstheme="minorBidi"/>
          <w:color w:val="000000" w:themeColor="text1"/>
          <w:sz w:val="22"/>
          <w:szCs w:val="22"/>
        </w:rPr>
        <w:t xml:space="preserve"> online</w:t>
      </w:r>
      <w:r w:rsidR="001970EF">
        <w:rPr>
          <w:rFonts w:asciiTheme="minorHAnsi" w:eastAsiaTheme="minorHAnsi" w:hAnsiTheme="minorHAnsi" w:cstheme="minorBidi"/>
          <w:color w:val="000000" w:themeColor="text1"/>
          <w:sz w:val="22"/>
          <w:szCs w:val="22"/>
        </w:rPr>
        <w:t xml:space="preserve"> services and</w:t>
      </w:r>
      <w:r>
        <w:rPr>
          <w:rFonts w:asciiTheme="minorHAnsi" w:eastAsiaTheme="minorHAnsi" w:hAnsiTheme="minorHAnsi" w:cstheme="minorBidi"/>
          <w:color w:val="000000" w:themeColor="text1"/>
          <w:sz w:val="22"/>
          <w:szCs w:val="22"/>
        </w:rPr>
        <w:t xml:space="preserve"> locations (including </w:t>
      </w:r>
      <w:r w:rsidRPr="00C62113">
        <w:rPr>
          <w:rFonts w:asciiTheme="minorHAnsi" w:eastAsiaTheme="minorHAnsi" w:hAnsiTheme="minorHAnsi" w:cstheme="minorBidi"/>
          <w:color w:val="000000" w:themeColor="text1"/>
          <w:sz w:val="22"/>
          <w:szCs w:val="22"/>
        </w:rPr>
        <w:t>websites</w:t>
      </w:r>
      <w:r>
        <w:rPr>
          <w:rFonts w:asciiTheme="minorHAnsi" w:eastAsiaTheme="minorHAnsi" w:hAnsiTheme="minorHAnsi" w:cstheme="minorBidi"/>
          <w:color w:val="000000" w:themeColor="text1"/>
          <w:sz w:val="22"/>
          <w:szCs w:val="22"/>
        </w:rPr>
        <w:t>)</w:t>
      </w:r>
      <w:r w:rsidRPr="00C62113">
        <w:rPr>
          <w:rFonts w:asciiTheme="minorHAnsi" w:eastAsiaTheme="minorHAnsi" w:hAnsiTheme="minorHAnsi" w:cstheme="minorBidi"/>
          <w:color w:val="000000" w:themeColor="text1"/>
          <w:sz w:val="22"/>
          <w:szCs w:val="22"/>
        </w:rPr>
        <w:t>.</w:t>
      </w:r>
    </w:p>
    <w:p w14:paraId="62E3C440" w14:textId="161BA616" w:rsidR="00C62113" w:rsidRDefault="00C62113" w:rsidP="00C62113">
      <w:r>
        <w:t>In line with the Commonwealth’s relevant guidelines</w:t>
      </w:r>
      <w:r w:rsidR="00A044E2">
        <w:rPr>
          <w:rStyle w:val="EndnoteReference"/>
        </w:rPr>
        <w:endnoteReference w:id="2"/>
      </w:r>
      <w:r>
        <w:t xml:space="preserve">, the following serious offence or civil penalty provisions in the TEQSA Act may form the basis of a request </w:t>
      </w:r>
      <w:r w:rsidR="00632D95">
        <w:t xml:space="preserve">by </w:t>
      </w:r>
      <w:r>
        <w:t>TEQSA under s313(3) of the Telecommunications Act:</w:t>
      </w:r>
    </w:p>
    <w:p w14:paraId="56ECAB3B" w14:textId="3A982FE1" w:rsidR="00C62113" w:rsidRDefault="00C62113" w:rsidP="00C14F6A">
      <w:pPr>
        <w:pStyle w:val="ListParagraph"/>
        <w:numPr>
          <w:ilvl w:val="0"/>
          <w:numId w:val="22"/>
        </w:numPr>
        <w:spacing w:before="0" w:after="0"/>
      </w:pPr>
      <w:r>
        <w:t>offence provisions that impose a maximum prison term of at least two years</w:t>
      </w:r>
    </w:p>
    <w:p w14:paraId="3D3B11F8" w14:textId="75061CD2" w:rsidR="00C62113" w:rsidRPr="007F3F16" w:rsidRDefault="00C62113" w:rsidP="00C14F6A">
      <w:pPr>
        <w:pStyle w:val="ListParagraph"/>
        <w:numPr>
          <w:ilvl w:val="0"/>
          <w:numId w:val="22"/>
        </w:numPr>
        <w:spacing w:before="0" w:after="0"/>
      </w:pPr>
      <w:r>
        <w:t>civil penalty of at least 120 Commonwealth penalty units</w:t>
      </w:r>
      <w:r w:rsidR="00632D95">
        <w:t>.</w:t>
      </w:r>
      <w:r>
        <w:t xml:space="preserve"> </w:t>
      </w:r>
    </w:p>
    <w:p w14:paraId="1BF8A50D" w14:textId="0070241C" w:rsidR="004A4AE6" w:rsidRDefault="004A4AE6" w:rsidP="00C62113">
      <w:pPr>
        <w:pStyle w:val="Heading2"/>
      </w:pPr>
      <w:r w:rsidRPr="007F3F16">
        <w:lastRenderedPageBreak/>
        <w:t>Principles</w:t>
      </w:r>
    </w:p>
    <w:p w14:paraId="6E38C92C" w14:textId="44D1BB31" w:rsidR="00B46938" w:rsidRDefault="00B46938" w:rsidP="00C14F6A">
      <w:r>
        <w:t>When considering whether to make a disrupt</w:t>
      </w:r>
      <w:r w:rsidR="00F26349">
        <w:t>ion request</w:t>
      </w:r>
      <w:r>
        <w:t>, TEQSA will</w:t>
      </w:r>
      <w:r w:rsidR="00C14F6A">
        <w:t xml:space="preserve"> </w:t>
      </w:r>
      <w:r>
        <w:t>determine whether a disruption is warranted and necessary</w:t>
      </w:r>
      <w:r w:rsidR="0087200D">
        <w:t xml:space="preserve"> by reference to the factors for consideration that are relevant (see below)</w:t>
      </w:r>
      <w:r>
        <w:t>;</w:t>
      </w:r>
      <w:r w:rsidR="00CE5E97">
        <w:t xml:space="preserve"> and</w:t>
      </w:r>
    </w:p>
    <w:p w14:paraId="638E67DE" w14:textId="4289AC8B" w:rsidR="00CE5E97" w:rsidRDefault="004A1ED9" w:rsidP="004A1ED9">
      <w:r>
        <w:t>I</w:t>
      </w:r>
      <w:r w:rsidR="00CE5E97">
        <w:t xml:space="preserve">f </w:t>
      </w:r>
      <w:r>
        <w:t xml:space="preserve">TEQSA </w:t>
      </w:r>
      <w:proofErr w:type="gramStart"/>
      <w:r w:rsidR="000951EF">
        <w:t xml:space="preserve">makes a </w:t>
      </w:r>
      <w:r w:rsidR="00CE5E97">
        <w:t>decision</w:t>
      </w:r>
      <w:proofErr w:type="gramEnd"/>
      <w:r w:rsidR="000739A5">
        <w:t xml:space="preserve"> to</w:t>
      </w:r>
      <w:r w:rsidR="00CE5E97">
        <w:t xml:space="preserve"> </w:t>
      </w:r>
      <w:r w:rsidR="008923FC">
        <w:t xml:space="preserve">send </w:t>
      </w:r>
      <w:r w:rsidR="00CE5E97">
        <w:t>a disruption</w:t>
      </w:r>
      <w:r>
        <w:t>, the agency will</w:t>
      </w:r>
      <w:r w:rsidR="00CE5E97">
        <w:t>:</w:t>
      </w:r>
    </w:p>
    <w:p w14:paraId="71EC94E1" w14:textId="27462FFF" w:rsidR="00B46938" w:rsidRDefault="00B46938" w:rsidP="00A305B3">
      <w:pPr>
        <w:pStyle w:val="ListParagraph"/>
        <w:numPr>
          <w:ilvl w:val="1"/>
          <w:numId w:val="24"/>
        </w:numPr>
      </w:pPr>
      <w:r>
        <w:t>obtain the necessary approval</w:t>
      </w:r>
      <w:r w:rsidR="008923FC">
        <w:t xml:space="preserve"> at TEQSA</w:t>
      </w:r>
    </w:p>
    <w:p w14:paraId="564626FE" w14:textId="261EA15D" w:rsidR="00B46938" w:rsidRDefault="00CE5E97" w:rsidP="00A305B3">
      <w:pPr>
        <w:pStyle w:val="ListParagraph"/>
        <w:numPr>
          <w:ilvl w:val="1"/>
          <w:numId w:val="24"/>
        </w:numPr>
      </w:pPr>
      <w:r>
        <w:t xml:space="preserve">once the </w:t>
      </w:r>
      <w:r w:rsidR="00B46938">
        <w:t>disruption request is made and implemented, monitor, evaluate and report on the outcome of the disruption.</w:t>
      </w:r>
    </w:p>
    <w:p w14:paraId="413F98D1" w14:textId="399F4DA7" w:rsidR="00B46938" w:rsidRDefault="00B46938" w:rsidP="00BE2BD9">
      <w:r>
        <w:t>When making a disruption request, TEQSA will take steps to ensure that the request is as targeted as possible (by reference to the relevant offence or civil penalty provision in the TEQSA Act), effective and executed appropriately.</w:t>
      </w:r>
    </w:p>
    <w:p w14:paraId="31612C52" w14:textId="10E95911" w:rsidR="00882E3A" w:rsidRDefault="00882E3A" w:rsidP="00A305B3">
      <w:pPr>
        <w:pStyle w:val="Heading3"/>
      </w:pPr>
      <w:r>
        <w:t xml:space="preserve">Factors </w:t>
      </w:r>
      <w:r w:rsidR="008B42D8">
        <w:t>for TEQSA to consider</w:t>
      </w:r>
    </w:p>
    <w:p w14:paraId="2A3CE2A0" w14:textId="55525626" w:rsidR="00461DB7" w:rsidRDefault="00542112" w:rsidP="00542112">
      <w:r>
        <w:t>Before making a disruption request, TEQSA will consider a range of factors to determine whether the request is warranted and necessary, including:</w:t>
      </w:r>
    </w:p>
    <w:p w14:paraId="0658A9CD" w14:textId="4AAC1AB5" w:rsidR="00542112" w:rsidRDefault="00542112" w:rsidP="00542112">
      <w:pPr>
        <w:pStyle w:val="ListParagraph"/>
        <w:numPr>
          <w:ilvl w:val="0"/>
          <w:numId w:val="19"/>
        </w:numPr>
      </w:pPr>
      <w:r>
        <w:t xml:space="preserve">whether TEQSA or any other agency is </w:t>
      </w:r>
      <w:proofErr w:type="gramStart"/>
      <w:r>
        <w:t>conducting an investigation into</w:t>
      </w:r>
      <w:proofErr w:type="gramEnd"/>
      <w:r>
        <w:t xml:space="preserve"> a possible breach of an offence or civil penalty provision in the TEQSA Act covered by this policy</w:t>
      </w:r>
    </w:p>
    <w:p w14:paraId="63594762" w14:textId="47898020" w:rsidR="00542112" w:rsidRDefault="00542112" w:rsidP="00542112">
      <w:pPr>
        <w:pStyle w:val="ListParagraph"/>
        <w:numPr>
          <w:ilvl w:val="0"/>
          <w:numId w:val="19"/>
        </w:numPr>
      </w:pPr>
      <w:r>
        <w:t xml:space="preserve">the availability of other enforcement tools, such as injunctions (and the </w:t>
      </w:r>
      <w:r w:rsidR="0070691D">
        <w:t xml:space="preserve">legal </w:t>
      </w:r>
      <w:r>
        <w:t>costs and time involved in using those tools</w:t>
      </w:r>
      <w:r w:rsidR="00B12176">
        <w:t xml:space="preserve"> by reference to the benefit(s) TEQSA would secure by using them</w:t>
      </w:r>
      <w:r>
        <w:t>)</w:t>
      </w:r>
    </w:p>
    <w:p w14:paraId="48301801" w14:textId="01051476" w:rsidR="00542112" w:rsidRDefault="00542112" w:rsidP="00542112">
      <w:pPr>
        <w:pStyle w:val="ListParagraph"/>
        <w:numPr>
          <w:ilvl w:val="0"/>
          <w:numId w:val="19"/>
        </w:numPr>
      </w:pPr>
      <w:r>
        <w:t>the range of services on the site that may be the subject of a disruption request</w:t>
      </w:r>
      <w:r w:rsidR="00214CA2">
        <w:t xml:space="preserve">, </w:t>
      </w:r>
      <w:r w:rsidR="0088363F">
        <w:t>including</w:t>
      </w:r>
      <w:r w:rsidR="00214CA2">
        <w:t xml:space="preserve"> whether there is a risk that the disruption request would affect </w:t>
      </w:r>
      <w:r w:rsidR="00AD2A9F">
        <w:t xml:space="preserve">services made available on the site that do not involve </w:t>
      </w:r>
      <w:r w:rsidR="0088363F">
        <w:t>contraventions of a relevant offence or civil penalty provision in the TEQSA Act</w:t>
      </w:r>
    </w:p>
    <w:p w14:paraId="562EC997" w14:textId="3AEE9543" w:rsidR="00542112" w:rsidRDefault="00542112" w:rsidP="00542112">
      <w:pPr>
        <w:pStyle w:val="ListParagraph"/>
        <w:numPr>
          <w:ilvl w:val="0"/>
          <w:numId w:val="19"/>
        </w:numPr>
      </w:pPr>
      <w:r>
        <w:t>the harm being done by the online location</w:t>
      </w:r>
    </w:p>
    <w:p w14:paraId="358B0D0A" w14:textId="6DE0ED20" w:rsidR="00542112" w:rsidRDefault="00542112" w:rsidP="00542112">
      <w:pPr>
        <w:pStyle w:val="ListParagraph"/>
        <w:numPr>
          <w:ilvl w:val="0"/>
          <w:numId w:val="19"/>
        </w:numPr>
      </w:pPr>
      <w:r>
        <w:t>the likely effectiveness of the proposed disruption</w:t>
      </w:r>
    </w:p>
    <w:p w14:paraId="315476F1" w14:textId="68F5DC5C" w:rsidR="00542112" w:rsidRDefault="00542112" w:rsidP="00542112">
      <w:pPr>
        <w:pStyle w:val="ListParagraph"/>
        <w:numPr>
          <w:ilvl w:val="0"/>
          <w:numId w:val="19"/>
        </w:numPr>
      </w:pPr>
      <w:r>
        <w:t xml:space="preserve">the view(s) of the relevant internet service provider(s) who </w:t>
      </w:r>
      <w:r w:rsidR="00BE2BD9">
        <w:t>TEQSA intends to send the request(s) to</w:t>
      </w:r>
    </w:p>
    <w:p w14:paraId="02AF7A8C" w14:textId="3B139974" w:rsidR="00BE2BD9" w:rsidRDefault="00BE2BD9" w:rsidP="00542112">
      <w:pPr>
        <w:pStyle w:val="ListParagraph"/>
        <w:numPr>
          <w:ilvl w:val="0"/>
          <w:numId w:val="19"/>
        </w:numPr>
      </w:pPr>
      <w:r>
        <w:t>technical feasibility and costs involved in the proposed disruption</w:t>
      </w:r>
    </w:p>
    <w:p w14:paraId="68018E9F" w14:textId="79F2BD6C" w:rsidR="00BE2BD9" w:rsidRDefault="00BE2BD9" w:rsidP="00542112">
      <w:pPr>
        <w:pStyle w:val="ListParagraph"/>
        <w:numPr>
          <w:ilvl w:val="0"/>
          <w:numId w:val="19"/>
        </w:numPr>
      </w:pPr>
      <w:r>
        <w:t xml:space="preserve">potential consequences </w:t>
      </w:r>
      <w:r w:rsidR="00036B94">
        <w:t xml:space="preserve">for, </w:t>
      </w:r>
      <w:r>
        <w:t>or damage to</w:t>
      </w:r>
      <w:r w:rsidR="00036B94">
        <w:t>, the work of other Commonwealth or State government agencies or institutions in their pursuit of their respective objectives</w:t>
      </w:r>
    </w:p>
    <w:p w14:paraId="17F8C05B" w14:textId="7059C09B" w:rsidR="00BE2BD9" w:rsidRDefault="00BE2BD9" w:rsidP="00542112">
      <w:pPr>
        <w:pStyle w:val="ListParagraph"/>
        <w:numPr>
          <w:ilvl w:val="0"/>
          <w:numId w:val="19"/>
        </w:numPr>
      </w:pPr>
      <w:r>
        <w:t>potential consequences or damage to a higher education provider</w:t>
      </w:r>
    </w:p>
    <w:p w14:paraId="3212C6F5" w14:textId="0281A005" w:rsidR="00BE2BD9" w:rsidRDefault="00BE2BD9" w:rsidP="00542112">
      <w:pPr>
        <w:pStyle w:val="ListParagraph"/>
        <w:numPr>
          <w:ilvl w:val="0"/>
          <w:numId w:val="19"/>
        </w:numPr>
      </w:pPr>
      <w:r>
        <w:t>the nature and seriousness of the offence or contravention</w:t>
      </w:r>
    </w:p>
    <w:p w14:paraId="72E0FF5F" w14:textId="456A62D9" w:rsidR="00BE2BD9" w:rsidRPr="0011085E" w:rsidRDefault="00BE2BD9" w:rsidP="00542112">
      <w:pPr>
        <w:pStyle w:val="ListParagraph"/>
        <w:numPr>
          <w:ilvl w:val="0"/>
          <w:numId w:val="19"/>
        </w:numPr>
      </w:pPr>
      <w:r>
        <w:t>whether there is a public interest in disrupting access.</w:t>
      </w:r>
    </w:p>
    <w:p w14:paraId="0748E666" w14:textId="12BB95D9" w:rsidR="00BE2BD9" w:rsidRDefault="00BE2BD9" w:rsidP="002F4CC1">
      <w:pPr>
        <w:pStyle w:val="Heading3"/>
      </w:pPr>
      <w:r>
        <w:t>Consultation</w:t>
      </w:r>
    </w:p>
    <w:p w14:paraId="4170618D" w14:textId="6B90BECC" w:rsidR="00BE2BD9" w:rsidRDefault="00BE2BD9" w:rsidP="00BE2BD9">
      <w:r>
        <w:t xml:space="preserve">TEQSA will consult with the relevant </w:t>
      </w:r>
      <w:r w:rsidR="002D12E9">
        <w:t xml:space="preserve">ISPs, as </w:t>
      </w:r>
      <w:r>
        <w:t>carriage service providers</w:t>
      </w:r>
      <w:r w:rsidR="00CA0BB0">
        <w:t>,</w:t>
      </w:r>
      <w:r>
        <w:t xml:space="preserve"> at an early stage about the proposed disruption, unless there is a material risk that doing so will compromise any relevant investigation. TEQSA will consult to obtain their views on the proposed disruption, the best means of complying with requests for assistance and the management of associated costs</w:t>
      </w:r>
      <w:r w:rsidR="00EF3C9F">
        <w:t xml:space="preserve"> in respect of ISPs</w:t>
      </w:r>
      <w:r w:rsidR="00490DE3">
        <w:t>’</w:t>
      </w:r>
      <w:r w:rsidR="00EF3C9F">
        <w:t xml:space="preserve"> compliance with requests</w:t>
      </w:r>
      <w:r>
        <w:t>.</w:t>
      </w:r>
    </w:p>
    <w:p w14:paraId="069E9506" w14:textId="0CC7CDC4" w:rsidR="009E03ED" w:rsidRDefault="009E03ED" w:rsidP="00BE2BD9"/>
    <w:p w14:paraId="36EF9CE6" w14:textId="3521E7F4" w:rsidR="009E03ED" w:rsidRPr="007F3F16" w:rsidRDefault="003B21A4" w:rsidP="009E03ED">
      <w:pPr>
        <w:pStyle w:val="Heading3"/>
      </w:pPr>
      <w:r>
        <w:lastRenderedPageBreak/>
        <w:t>Complaints or concerns about the disruption of access to an online location</w:t>
      </w:r>
    </w:p>
    <w:p w14:paraId="21630497" w14:textId="6CC32898" w:rsidR="009E03ED" w:rsidRDefault="009E03ED" w:rsidP="009E03ED">
      <w:r>
        <w:t xml:space="preserve">The owner of an affected online location can complain about the disruption </w:t>
      </w:r>
      <w:r w:rsidR="00403598">
        <w:t xml:space="preserve">by following the instructions here: </w:t>
      </w:r>
      <w:hyperlink r:id="rId13" w:history="1">
        <w:r w:rsidR="00403598">
          <w:rPr>
            <w:rStyle w:val="Hyperlink"/>
          </w:rPr>
          <w:t>Protect yourself from illegal commercial cheating services | Tertiary Education Quality and Standards Agency (teqsa.gov.au)</w:t>
        </w:r>
      </w:hyperlink>
      <w:r w:rsidR="00403598">
        <w:t xml:space="preserve"> (under the heading “</w:t>
      </w:r>
      <w:r w:rsidR="003B21A4" w:rsidRPr="003B21A4">
        <w:t>Complain or raise concerns about the blocking of a website</w:t>
      </w:r>
      <w:r w:rsidR="00403598">
        <w:t>”)</w:t>
      </w:r>
      <w:r>
        <w:t>.</w:t>
      </w:r>
      <w:r w:rsidR="003B21A4">
        <w:t xml:space="preserve"> </w:t>
      </w:r>
      <w:r w:rsidR="003B21A4" w:rsidRPr="003B21A4">
        <w:t xml:space="preserve">Concerns about the disruption that impact upon any person other than the owner of the affected online location can be raised </w:t>
      </w:r>
      <w:r w:rsidR="003B21A4">
        <w:t>in the same way.</w:t>
      </w:r>
      <w:r w:rsidR="003B21A4" w:rsidRPr="003B21A4">
        <w:t xml:space="preserve"> </w:t>
      </w:r>
    </w:p>
    <w:p w14:paraId="2E8121D3" w14:textId="2AFDAAD7" w:rsidR="00403598" w:rsidRDefault="002C0794" w:rsidP="009E03ED">
      <w:r>
        <w:t xml:space="preserve">If TEQSA receives a complaint about a disruption, it will initially determine whether the disruption should remain in place and respond to the </w:t>
      </w:r>
      <w:proofErr w:type="gramStart"/>
      <w:r w:rsidR="00A30FD0">
        <w:t>complaint</w:t>
      </w:r>
      <w:proofErr w:type="gramEnd"/>
      <w:r>
        <w:t xml:space="preserve"> accordingly, including by informing the complainant of the outcome of its determination (if the complainant provided contact details when lodging the complaint).</w:t>
      </w:r>
      <w:r w:rsidR="003B21A4">
        <w:t xml:space="preserve"> Any concerns raised with TEQSA will be dealt with by reference to the concerns raised.</w:t>
      </w:r>
    </w:p>
    <w:p w14:paraId="2FFC0F26" w14:textId="049ECC7C" w:rsidR="00A30FD0" w:rsidRPr="007F3F16" w:rsidRDefault="001628C2" w:rsidP="009E03ED">
      <w:r w:rsidRPr="001628C2">
        <w:t>TEQSA may use any information it receives from any person who contacts it about the disruption of access to an online location in taking enforcement action (including in the pursuit of civil penalty or criminal penalty proceedings pursuant to sections 114A and 114B of the Tertiary Education Quality and Standards Act 2011), either independently or in conjunction with other agencies.</w:t>
      </w:r>
    </w:p>
    <w:p w14:paraId="5D10B413" w14:textId="71B2EE82" w:rsidR="00CF6D64" w:rsidRPr="007F3F16" w:rsidRDefault="00BE2BD9" w:rsidP="002F4CC1">
      <w:pPr>
        <w:pStyle w:val="Heading3"/>
      </w:pPr>
      <w:r>
        <w:t>Review and monitoring following request</w:t>
      </w:r>
    </w:p>
    <w:p w14:paraId="364503E3" w14:textId="0E265FA8" w:rsidR="009B65C4" w:rsidRDefault="00BE2BD9" w:rsidP="00BE2BD9">
      <w:r>
        <w:t>TEQSA will monitor and evaluate each disruption request. If TEQSA becomes aware that a disruption is inappropriate (or no longer appropriate) or has unintended consequences, then TEQSA will consider taking appropriate</w:t>
      </w:r>
      <w:r w:rsidR="00A91812">
        <w:t xml:space="preserve"> remedial</w:t>
      </w:r>
      <w:r>
        <w:t xml:space="preserve"> action.</w:t>
      </w:r>
    </w:p>
    <w:p w14:paraId="0FEE2937" w14:textId="530F23C8" w:rsidR="00BE2BD9" w:rsidRDefault="00BE2BD9" w:rsidP="00BE2BD9">
      <w:r>
        <w:t xml:space="preserve">TEQSA will note contact from any person regarding any disruption. </w:t>
      </w:r>
    </w:p>
    <w:p w14:paraId="6A4DB4CB" w14:textId="7D0BF511" w:rsidR="001628C2" w:rsidRPr="007F3F16" w:rsidRDefault="001628C2" w:rsidP="00BE2BD9">
      <w:r w:rsidRPr="001628C2">
        <w:t>TEQSA may use any information it receives from any person who contacts it about the disruption of access to an online location in taking enforcement action (including in the pursuit of civil penalty or criminal penalty proceedings pursuant to sections 114A and 114B of the Tertiary Education Quality and Standards Act 2011), either independently or in conjunction with other agencies.</w:t>
      </w:r>
    </w:p>
    <w:p w14:paraId="60F33C1E" w14:textId="05051DC1" w:rsidR="00865E85" w:rsidRDefault="00A91812" w:rsidP="00A91812">
      <w:pPr>
        <w:pStyle w:val="Heading2"/>
      </w:pPr>
      <w:r>
        <w:t>Informing the public</w:t>
      </w:r>
      <w:r w:rsidR="00C62113">
        <w:t xml:space="preserve"> about requests</w:t>
      </w:r>
    </w:p>
    <w:p w14:paraId="70ED7103" w14:textId="5528CE75" w:rsidR="00C62113" w:rsidRDefault="00C62113" w:rsidP="00C62113">
      <w:r>
        <w:t>TEQSA will take reasonable steps to notify the owner of an online location covered by a request</w:t>
      </w:r>
      <w:r w:rsidR="009E03ED">
        <w:t xml:space="preserve"> under s313(3) of the Telecommunications Act</w:t>
      </w:r>
      <w:r>
        <w:t xml:space="preserve">, unless doing so could compromise an investigation either TEQSA or any </w:t>
      </w:r>
      <w:r w:rsidR="007254FF">
        <w:t xml:space="preserve">other </w:t>
      </w:r>
      <w:r>
        <w:t xml:space="preserve">agency is conducting. </w:t>
      </w:r>
    </w:p>
    <w:p w14:paraId="291C66EB" w14:textId="2AF4868E" w:rsidR="00C62113" w:rsidRDefault="00C62113" w:rsidP="00C62113">
      <w:r>
        <w:t>The</w:t>
      </w:r>
      <w:r w:rsidR="009E03ED" w:rsidRPr="009E03ED">
        <w:t xml:space="preserve"> </w:t>
      </w:r>
      <w:r w:rsidR="009E03ED">
        <w:t>Commonwealth’s relevant guidelines</w:t>
      </w:r>
      <w:r>
        <w:t xml:space="preserve"> state that agencies should publish each disruption request and</w:t>
      </w:r>
      <w:r w:rsidR="009E03ED">
        <w:t xml:space="preserve"> </w:t>
      </w:r>
      <w:r>
        <w:t>include why the request has been made</w:t>
      </w:r>
      <w:r w:rsidR="0088363F">
        <w:t xml:space="preserve"> to promote </w:t>
      </w:r>
      <w:r w:rsidR="001E619A">
        <w:t>transparency</w:t>
      </w:r>
      <w:r w:rsidR="006E46A1">
        <w:t xml:space="preserve"> and public awareness about requests made under s313(3) of the Telecommunications Act</w:t>
      </w:r>
      <w:r>
        <w:t>. The guidelines, however, also state</w:t>
      </w:r>
      <w:r w:rsidR="009E03ED">
        <w:t xml:space="preserve"> </w:t>
      </w:r>
      <w:r>
        <w:t>that agencies are not required to publish requests if the report may jeopardise</w:t>
      </w:r>
      <w:r w:rsidR="009E03ED">
        <w:t xml:space="preserve"> </w:t>
      </w:r>
      <w:r>
        <w:t>ongoing or planned investigations, interfere with operational activities, or</w:t>
      </w:r>
      <w:r w:rsidR="009E03ED">
        <w:t xml:space="preserve"> </w:t>
      </w:r>
      <w:r>
        <w:t>give rise to other law enforcement or national security concerns.</w:t>
      </w:r>
    </w:p>
    <w:p w14:paraId="72473EDA" w14:textId="01DAC58A" w:rsidR="00C62113" w:rsidRDefault="00C62113" w:rsidP="00C62113">
      <w:r>
        <w:t xml:space="preserve">Wherever practical and reasonable in the circumstances, </w:t>
      </w:r>
      <w:r w:rsidR="009E03ED">
        <w:t xml:space="preserve">TEQSA </w:t>
      </w:r>
      <w:r>
        <w:t>will inform the public each time it makes a disruption request by:</w:t>
      </w:r>
    </w:p>
    <w:p w14:paraId="57B034E1" w14:textId="5D05C230" w:rsidR="009E03ED" w:rsidRDefault="00C62113" w:rsidP="009E03ED">
      <w:pPr>
        <w:pStyle w:val="ListParagraph"/>
        <w:numPr>
          <w:ilvl w:val="0"/>
          <w:numId w:val="21"/>
        </w:numPr>
      </w:pPr>
      <w:r>
        <w:lastRenderedPageBreak/>
        <w:t>publishing a notice on the disrupted website advising that access to a</w:t>
      </w:r>
      <w:r w:rsidR="009E03ED">
        <w:t xml:space="preserve"> </w:t>
      </w:r>
      <w:r>
        <w:t>particular site has been stopped (a ‘stop page’). The stop page will</w:t>
      </w:r>
      <w:r w:rsidR="009E03ED">
        <w:t xml:space="preserve"> </w:t>
      </w:r>
      <w:r>
        <w:t xml:space="preserve">advise that </w:t>
      </w:r>
      <w:r w:rsidR="009E03ED">
        <w:t>TEQSA</w:t>
      </w:r>
      <w:r>
        <w:t xml:space="preserve"> has requested the disruption and the reason</w:t>
      </w:r>
      <w:r w:rsidR="009E03ED">
        <w:t>(s)</w:t>
      </w:r>
    </w:p>
    <w:p w14:paraId="50C3CE80" w14:textId="5CC948E4" w:rsidR="009E03ED" w:rsidRDefault="00BB00E2" w:rsidP="00C62113">
      <w:pPr>
        <w:pStyle w:val="ListParagraph"/>
        <w:numPr>
          <w:ilvl w:val="0"/>
          <w:numId w:val="21"/>
        </w:numPr>
      </w:pPr>
      <w:r>
        <w:t>notifying the public of the fact that</w:t>
      </w:r>
      <w:r w:rsidR="00C62113">
        <w:t xml:space="preserve"> the power has been used and why</w:t>
      </w:r>
      <w:r>
        <w:t xml:space="preserve"> on TEQSA’s website</w:t>
      </w:r>
      <w:r w:rsidR="00C62113">
        <w:t>.</w:t>
      </w:r>
    </w:p>
    <w:p w14:paraId="47E8803F" w14:textId="580E85B2" w:rsidR="00C62113" w:rsidRDefault="00C67F45" w:rsidP="00C62113">
      <w:r>
        <w:t>T</w:t>
      </w:r>
      <w:r w:rsidR="00C62113">
        <w:t>he stop page will include details of how</w:t>
      </w:r>
      <w:r w:rsidR="009E03ED">
        <w:t xml:space="preserve"> </w:t>
      </w:r>
      <w:r w:rsidR="00C62113">
        <w:t xml:space="preserve">adversely affected parties may complain to </w:t>
      </w:r>
      <w:r w:rsidR="009E03ED">
        <w:t>TEQSA</w:t>
      </w:r>
      <w:r w:rsidR="00C62113">
        <w:t xml:space="preserve"> if they feel aggrieved by</w:t>
      </w:r>
      <w:r w:rsidR="009E03ED">
        <w:t xml:space="preserve"> </w:t>
      </w:r>
      <w:r w:rsidR="00C62113">
        <w:t>the disruption.</w:t>
      </w:r>
    </w:p>
    <w:p w14:paraId="0ADDA2C8" w14:textId="7132F0C7" w:rsidR="009E03ED" w:rsidRDefault="00C62113" w:rsidP="00C62113">
      <w:r>
        <w:t xml:space="preserve">In accordance with the guidelines, </w:t>
      </w:r>
      <w:r w:rsidR="00806FCF">
        <w:t xml:space="preserve">TEQSA </w:t>
      </w:r>
      <w:r>
        <w:t>will report annually to the</w:t>
      </w:r>
      <w:r w:rsidR="009E03ED">
        <w:t xml:space="preserve"> </w:t>
      </w:r>
      <w:r>
        <w:t>Australian Communications and Media Authority (ACMA) on the number of</w:t>
      </w:r>
      <w:r w:rsidR="009E03ED">
        <w:t xml:space="preserve"> </w:t>
      </w:r>
      <w:proofErr w:type="gramStart"/>
      <w:r>
        <w:t>disruption</w:t>
      </w:r>
      <w:proofErr w:type="gramEnd"/>
      <w:r>
        <w:t xml:space="preserve"> requests </w:t>
      </w:r>
      <w:r w:rsidR="005F3C93">
        <w:t>the agency has</w:t>
      </w:r>
      <w:r>
        <w:t xml:space="preserve"> made during the year: see p. 6 of the guidelines.</w:t>
      </w:r>
      <w:r w:rsidR="009E03ED">
        <w:t xml:space="preserve"> </w:t>
      </w:r>
    </w:p>
    <w:p w14:paraId="5D69781E" w14:textId="4A4BEEF0" w:rsidR="00A91812" w:rsidRPr="00A91812" w:rsidRDefault="00C62113" w:rsidP="00C62113">
      <w:r>
        <w:t>ACMA is responsible for reporting annually to Parliament on all requests</w:t>
      </w:r>
      <w:r w:rsidR="009E03ED">
        <w:t xml:space="preserve"> </w:t>
      </w:r>
      <w:r>
        <w:t xml:space="preserve">made by government agencies during the year. Further, </w:t>
      </w:r>
      <w:r w:rsidR="005F3C93">
        <w:t xml:space="preserve">TEQSA </w:t>
      </w:r>
      <w:r>
        <w:t>will provide</w:t>
      </w:r>
      <w:r w:rsidR="009E03ED">
        <w:t xml:space="preserve"> </w:t>
      </w:r>
      <w:r>
        <w:t>information about the number of requests for assistance we made each year</w:t>
      </w:r>
      <w:r w:rsidR="009E03ED">
        <w:t xml:space="preserve"> </w:t>
      </w:r>
      <w:r>
        <w:t xml:space="preserve">in </w:t>
      </w:r>
      <w:r w:rsidR="009E03ED">
        <w:t>TEQSA</w:t>
      </w:r>
      <w:r>
        <w:t>’s annual report.</w:t>
      </w:r>
    </w:p>
    <w:p w14:paraId="6E562B1B" w14:textId="71307556" w:rsidR="004A4AE6" w:rsidRPr="007F3F16" w:rsidRDefault="0076348F" w:rsidP="002F4CC1">
      <w:pPr>
        <w:pStyle w:val="Heading2"/>
      </w:pPr>
      <w:r>
        <w:t>Contact</w:t>
      </w:r>
    </w:p>
    <w:p w14:paraId="7AC08D56" w14:textId="5756AE32" w:rsidR="004A4AE6" w:rsidRPr="007F3F16" w:rsidRDefault="0076348F" w:rsidP="004A4AE6">
      <w:r>
        <w:t>Any enquiries</w:t>
      </w:r>
      <w:r w:rsidR="004A4AE6" w:rsidRPr="007F3F16">
        <w:t xml:space="preserve"> about TEQSA’s approach to </w:t>
      </w:r>
      <w:r w:rsidR="00A91812">
        <w:t>the lawful disruption of access to online locations</w:t>
      </w:r>
      <w:r w:rsidR="003160FA" w:rsidRPr="007F3F16">
        <w:t xml:space="preserve"> </w:t>
      </w:r>
      <w:r w:rsidR="004A4AE6" w:rsidRPr="007F3F16">
        <w:t xml:space="preserve">can be </w:t>
      </w:r>
      <w:r>
        <w:t>directed to</w:t>
      </w:r>
      <w:r w:rsidR="004A4AE6" w:rsidRPr="007F3F16">
        <w:t xml:space="preserve">: </w:t>
      </w:r>
      <w:hyperlink r:id="rId14" w:history="1">
        <w:r w:rsidR="004A4AE6" w:rsidRPr="007F3F16">
          <w:rPr>
            <w:rStyle w:val="Hyperlink"/>
          </w:rPr>
          <w:t>enquiries@teqsa.gov.au</w:t>
        </w:r>
      </w:hyperlink>
    </w:p>
    <w:p w14:paraId="2633B05A" w14:textId="77777777" w:rsidR="004A4AE6" w:rsidRPr="007F3F16" w:rsidRDefault="004A4AE6" w:rsidP="004A4AE6"/>
    <w:p w14:paraId="2801299D" w14:textId="77777777" w:rsidR="004A4AE6" w:rsidRPr="007F3F16" w:rsidRDefault="004A4AE6" w:rsidP="007B01C8"/>
    <w:sectPr w:rsidR="004A4AE6" w:rsidRPr="007F3F16" w:rsidSect="000C60CD">
      <w:headerReference w:type="default" r:id="rId15"/>
      <w:footerReference w:type="default" r:id="rId16"/>
      <w:headerReference w:type="first" r:id="rId17"/>
      <w:footerReference w:type="first" r:id="rId18"/>
      <w:pgSz w:w="11906" w:h="16838"/>
      <w:pgMar w:top="1440" w:right="1440" w:bottom="1440" w:left="1440" w:header="85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675D5" w14:textId="77777777" w:rsidR="00082C43" w:rsidRDefault="00082C43" w:rsidP="006C328D">
      <w:pPr>
        <w:spacing w:before="0" w:after="0"/>
      </w:pPr>
      <w:r>
        <w:separator/>
      </w:r>
    </w:p>
  </w:endnote>
  <w:endnote w:type="continuationSeparator" w:id="0">
    <w:p w14:paraId="3D6CD6A8" w14:textId="77777777" w:rsidR="00082C43" w:rsidRDefault="00082C43" w:rsidP="006C328D">
      <w:pPr>
        <w:spacing w:before="0" w:after="0"/>
      </w:pPr>
      <w:r>
        <w:continuationSeparator/>
      </w:r>
    </w:p>
  </w:endnote>
  <w:endnote w:type="continuationNotice" w:id="1">
    <w:p w14:paraId="59352920" w14:textId="77777777" w:rsidR="00082C43" w:rsidRDefault="00082C43">
      <w:pPr>
        <w:spacing w:before="0" w:after="0"/>
      </w:pPr>
    </w:p>
  </w:endnote>
  <w:endnote w:id="2">
    <w:p w14:paraId="3DBF61C6" w14:textId="3C48A8A4" w:rsidR="00A044E2" w:rsidRDefault="00A044E2">
      <w:pPr>
        <w:pStyle w:val="EndnoteText"/>
      </w:pPr>
      <w:r>
        <w:rPr>
          <w:rStyle w:val="EndnoteReference"/>
        </w:rPr>
        <w:endnoteRef/>
      </w:r>
      <w:r>
        <w:t xml:space="preserve"> See </w:t>
      </w:r>
      <w:hyperlink r:id="rId1" w:history="1">
        <w:r>
          <w:rPr>
            <w:rStyle w:val="Hyperlink"/>
          </w:rPr>
          <w:t>Guidelines for the use of section 313(3) of the Telecommunications Act 1997 by government agencies for the lawful disruption of access to online services | Department of Infrastructure, Transport, Regional Development and Communications</w:t>
        </w:r>
      </w:hyperlink>
      <w:r w:rsidR="000739A5">
        <w:t xml:space="preserve"> (‘the guidelines’)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4E7D"/>
        <w:sz w:val="20"/>
        <w:szCs w:val="20"/>
      </w:rPr>
      <w:id w:val="-385334316"/>
      <w:docPartObj>
        <w:docPartGallery w:val="Page Numbers (Bottom of Page)"/>
        <w:docPartUnique/>
      </w:docPartObj>
    </w:sdtPr>
    <w:sdtEndPr/>
    <w:sdtContent>
      <w:sdt>
        <w:sdtPr>
          <w:rPr>
            <w:color w:val="004E7D"/>
            <w:sz w:val="20"/>
            <w:szCs w:val="20"/>
          </w:rPr>
          <w:id w:val="265895531"/>
          <w:docPartObj>
            <w:docPartGallery w:val="Page Numbers (Top of Page)"/>
            <w:docPartUnique/>
          </w:docPartObj>
        </w:sdtPr>
        <w:sdtEndPr/>
        <w:sdtContent>
          <w:p w14:paraId="3BDB471D" w14:textId="4E95B22B" w:rsidR="003160FA" w:rsidRPr="00953A1E" w:rsidRDefault="00953A1E">
            <w:pPr>
              <w:pStyle w:val="Footer"/>
              <w:jc w:val="right"/>
              <w:rPr>
                <w:color w:val="004E7D"/>
                <w:sz w:val="20"/>
                <w:szCs w:val="20"/>
              </w:rPr>
            </w:pPr>
            <w:r>
              <w:rPr>
                <w:noProof/>
              </w:rPr>
              <mc:AlternateContent>
                <mc:Choice Requires="wps">
                  <w:drawing>
                    <wp:anchor distT="0" distB="0" distL="114300" distR="114300" simplePos="0" relativeHeight="251661312" behindDoc="0" locked="0" layoutInCell="1" allowOverlap="1" wp14:anchorId="41E191E5" wp14:editId="1538CF99">
                      <wp:simplePos x="0" y="0"/>
                      <wp:positionH relativeFrom="rightMargin">
                        <wp:align>left</wp:align>
                      </wp:positionH>
                      <wp:positionV relativeFrom="paragraph">
                        <wp:posOffset>-292100</wp:posOffset>
                      </wp:positionV>
                      <wp:extent cx="920750" cy="920750"/>
                      <wp:effectExtent l="57150" t="57150" r="12700" b="12700"/>
                      <wp:wrapNone/>
                      <wp:docPr id="4" name="Right Triangle 4"/>
                      <wp:cNvGraphicFramePr/>
                      <a:graphic xmlns:a="http://schemas.openxmlformats.org/drawingml/2006/main">
                        <a:graphicData uri="http://schemas.microsoft.com/office/word/2010/wordprocessingShape">
                          <wps:wsp>
                            <wps:cNvSpPr/>
                            <wps:spPr>
                              <a:xfrm rot="16200000">
                                <a:off x="0" y="0"/>
                                <a:ext cx="920750" cy="920750"/>
                              </a:xfrm>
                              <a:prstGeom prst="rtTriangle">
                                <a:avLst/>
                              </a:prstGeom>
                              <a:solidFill>
                                <a:srgbClr val="F7941D"/>
                              </a:solidFill>
                              <a:ln w="41275">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64A870" id="_x0000_t6" coordsize="21600,21600" o:spt="6" path="m,l,21600r21600,xe">
                      <v:stroke joinstyle="miter"/>
                      <v:path gradientshapeok="t" o:connecttype="custom" o:connectlocs="0,0;0,10800;0,21600;10800,21600;21600,21600;10800,10800" textboxrect="1800,12600,12600,19800"/>
                    </v:shapetype>
                    <v:shape id="Right Triangle 4" o:spid="_x0000_s1026" type="#_x0000_t6" style="position:absolute;margin-left:0;margin-top:-23pt;width:72.5pt;height:72.5pt;rotation:-90;z-index:251661312;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" fillcolor="#f7941d" strokecolor="#f7caac [1305]" strokeweight="3.25pt">
                      <w10:wrap anchorx="margin"/>
                    </v:shape>
                  </w:pict>
                </mc:Fallback>
              </mc:AlternateContent>
            </w:r>
            <w:r w:rsidR="003160FA" w:rsidRPr="00953A1E">
              <w:rPr>
                <w:color w:val="004E7D"/>
                <w:sz w:val="20"/>
                <w:szCs w:val="20"/>
              </w:rPr>
              <w:t xml:space="preserve">Page </w:t>
            </w:r>
            <w:r w:rsidR="003160FA" w:rsidRPr="00953A1E">
              <w:rPr>
                <w:b/>
                <w:bCs/>
                <w:color w:val="004E7D"/>
                <w:sz w:val="20"/>
                <w:szCs w:val="20"/>
              </w:rPr>
              <w:fldChar w:fldCharType="begin"/>
            </w:r>
            <w:r w:rsidR="003160FA" w:rsidRPr="00953A1E">
              <w:rPr>
                <w:b/>
                <w:bCs/>
                <w:color w:val="004E7D"/>
                <w:sz w:val="20"/>
                <w:szCs w:val="20"/>
              </w:rPr>
              <w:instrText xml:space="preserve"> PAGE </w:instrText>
            </w:r>
            <w:r w:rsidR="003160FA" w:rsidRPr="00953A1E">
              <w:rPr>
                <w:b/>
                <w:bCs/>
                <w:color w:val="004E7D"/>
                <w:sz w:val="20"/>
                <w:szCs w:val="20"/>
              </w:rPr>
              <w:fldChar w:fldCharType="separate"/>
            </w:r>
            <w:r w:rsidR="00E50FB1" w:rsidRPr="00953A1E">
              <w:rPr>
                <w:b/>
                <w:bCs/>
                <w:noProof/>
                <w:color w:val="004E7D"/>
                <w:sz w:val="20"/>
                <w:szCs w:val="20"/>
              </w:rPr>
              <w:t>4</w:t>
            </w:r>
            <w:r w:rsidR="003160FA" w:rsidRPr="00953A1E">
              <w:rPr>
                <w:b/>
                <w:bCs/>
                <w:color w:val="004E7D"/>
                <w:sz w:val="20"/>
                <w:szCs w:val="20"/>
              </w:rPr>
              <w:fldChar w:fldCharType="end"/>
            </w:r>
            <w:r w:rsidR="003160FA" w:rsidRPr="00953A1E">
              <w:rPr>
                <w:color w:val="004E7D"/>
                <w:sz w:val="20"/>
                <w:szCs w:val="20"/>
              </w:rPr>
              <w:t xml:space="preserve"> of </w:t>
            </w:r>
            <w:r w:rsidR="003160FA" w:rsidRPr="00953A1E">
              <w:rPr>
                <w:b/>
                <w:bCs/>
                <w:color w:val="004E7D"/>
                <w:sz w:val="20"/>
                <w:szCs w:val="20"/>
              </w:rPr>
              <w:fldChar w:fldCharType="begin"/>
            </w:r>
            <w:r w:rsidR="003160FA" w:rsidRPr="00953A1E">
              <w:rPr>
                <w:b/>
                <w:bCs/>
                <w:color w:val="004E7D"/>
                <w:sz w:val="20"/>
                <w:szCs w:val="20"/>
              </w:rPr>
              <w:instrText xml:space="preserve"> NUMPAGES  </w:instrText>
            </w:r>
            <w:r w:rsidR="003160FA" w:rsidRPr="00953A1E">
              <w:rPr>
                <w:b/>
                <w:bCs/>
                <w:color w:val="004E7D"/>
                <w:sz w:val="20"/>
                <w:szCs w:val="20"/>
              </w:rPr>
              <w:fldChar w:fldCharType="separate"/>
            </w:r>
            <w:r w:rsidR="00E50FB1" w:rsidRPr="00953A1E">
              <w:rPr>
                <w:b/>
                <w:bCs/>
                <w:noProof/>
                <w:color w:val="004E7D"/>
                <w:sz w:val="20"/>
                <w:szCs w:val="20"/>
              </w:rPr>
              <w:t>4</w:t>
            </w:r>
            <w:r w:rsidR="003160FA" w:rsidRPr="00953A1E">
              <w:rPr>
                <w:b/>
                <w:bCs/>
                <w:color w:val="004E7D"/>
                <w:sz w:val="20"/>
                <w:szCs w:val="20"/>
              </w:rPr>
              <w:fldChar w:fldCharType="end"/>
            </w:r>
          </w:p>
        </w:sdtContent>
      </w:sdt>
    </w:sdtContent>
  </w:sdt>
  <w:p w14:paraId="6643FBF3" w14:textId="0245E603" w:rsidR="003160FA" w:rsidRDefault="003160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4E7D"/>
        <w:sz w:val="20"/>
        <w:szCs w:val="20"/>
      </w:rPr>
      <w:id w:val="1467631289"/>
      <w:docPartObj>
        <w:docPartGallery w:val="Page Numbers (Bottom of Page)"/>
        <w:docPartUnique/>
      </w:docPartObj>
    </w:sdtPr>
    <w:sdtEndPr/>
    <w:sdtContent>
      <w:sdt>
        <w:sdtPr>
          <w:rPr>
            <w:color w:val="004E7D"/>
            <w:sz w:val="20"/>
            <w:szCs w:val="20"/>
          </w:rPr>
          <w:id w:val="860082579"/>
          <w:docPartObj>
            <w:docPartGallery w:val="Page Numbers (Top of Page)"/>
            <w:docPartUnique/>
          </w:docPartObj>
        </w:sdtPr>
        <w:sdtEndPr/>
        <w:sdtContent>
          <w:p w14:paraId="04110FA5" w14:textId="2B17913D" w:rsidR="000C60CD" w:rsidRPr="00F50968" w:rsidRDefault="00953A1E">
            <w:pPr>
              <w:pStyle w:val="Footer"/>
              <w:jc w:val="right"/>
              <w:rPr>
                <w:color w:val="004E7D"/>
                <w:sz w:val="20"/>
                <w:szCs w:val="20"/>
              </w:rPr>
            </w:pPr>
            <w:r>
              <w:rPr>
                <w:noProof/>
              </w:rPr>
              <mc:AlternateContent>
                <mc:Choice Requires="wps">
                  <w:drawing>
                    <wp:anchor distT="0" distB="0" distL="114300" distR="114300" simplePos="0" relativeHeight="251659264" behindDoc="0" locked="0" layoutInCell="1" allowOverlap="1" wp14:anchorId="4A308B95" wp14:editId="2106536D">
                      <wp:simplePos x="0" y="0"/>
                      <wp:positionH relativeFrom="page">
                        <wp:align>right</wp:align>
                      </wp:positionH>
                      <wp:positionV relativeFrom="paragraph">
                        <wp:posOffset>-228600</wp:posOffset>
                      </wp:positionV>
                      <wp:extent cx="920750" cy="920750"/>
                      <wp:effectExtent l="57150" t="57150" r="12700" b="12700"/>
                      <wp:wrapNone/>
                      <wp:docPr id="2" name="Right Triangle 2"/>
                      <wp:cNvGraphicFramePr/>
                      <a:graphic xmlns:a="http://schemas.openxmlformats.org/drawingml/2006/main">
                        <a:graphicData uri="http://schemas.microsoft.com/office/word/2010/wordprocessingShape">
                          <wps:wsp>
                            <wps:cNvSpPr/>
                            <wps:spPr>
                              <a:xfrm rot="16200000">
                                <a:off x="0" y="0"/>
                                <a:ext cx="920750" cy="920750"/>
                              </a:xfrm>
                              <a:prstGeom prst="rtTriangle">
                                <a:avLst/>
                              </a:prstGeom>
                              <a:solidFill>
                                <a:srgbClr val="F7941D"/>
                              </a:solidFill>
                              <a:ln w="41275">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25678A" id="_x0000_t6" coordsize="21600,21600" o:spt="6" path="m,l,21600r21600,xe">
                      <v:stroke joinstyle="miter"/>
                      <v:path gradientshapeok="t" o:connecttype="custom" o:connectlocs="0,0;0,10800;0,21600;10800,21600;21600,21600;10800,10800" textboxrect="1800,12600,12600,19800"/>
                    </v:shapetype>
                    <v:shape id="Right Triangle 2" o:spid="_x0000_s1026" type="#_x0000_t6" style="position:absolute;margin-left:21.3pt;margin-top:-18pt;width:72.5pt;height:72.5pt;rotation:-90;z-index:251659264;visibility:visible;mso-wrap-style:square;mso-wrap-distance-left:9pt;mso-wrap-distance-top:0;mso-wrap-distance-right:9pt;mso-wrap-distance-bottom:0;mso-position-horizontal:righ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" fillcolor="#f7941d" strokecolor="#f7caac [1305]" strokeweight="3.25pt">
                      <w10:wrap anchorx="page"/>
                    </v:shape>
                  </w:pict>
                </mc:Fallback>
              </mc:AlternateContent>
            </w:r>
            <w:r w:rsidR="000C60CD" w:rsidRPr="00F50968">
              <w:rPr>
                <w:color w:val="004E7D"/>
                <w:sz w:val="20"/>
                <w:szCs w:val="20"/>
              </w:rPr>
              <w:t xml:space="preserve">Page </w:t>
            </w:r>
            <w:r w:rsidR="000C60CD" w:rsidRPr="00F50968">
              <w:rPr>
                <w:b/>
                <w:bCs/>
                <w:color w:val="004E7D"/>
                <w:sz w:val="20"/>
                <w:szCs w:val="20"/>
              </w:rPr>
              <w:fldChar w:fldCharType="begin"/>
            </w:r>
            <w:r w:rsidR="000C60CD" w:rsidRPr="00F50968">
              <w:rPr>
                <w:b/>
                <w:bCs/>
                <w:color w:val="004E7D"/>
                <w:sz w:val="20"/>
                <w:szCs w:val="20"/>
              </w:rPr>
              <w:instrText xml:space="preserve"> PAGE </w:instrText>
            </w:r>
            <w:r w:rsidR="000C60CD" w:rsidRPr="00F50968">
              <w:rPr>
                <w:b/>
                <w:bCs/>
                <w:color w:val="004E7D"/>
                <w:sz w:val="20"/>
                <w:szCs w:val="20"/>
              </w:rPr>
              <w:fldChar w:fldCharType="separate"/>
            </w:r>
            <w:r w:rsidR="00E50FB1" w:rsidRPr="00F50968">
              <w:rPr>
                <w:b/>
                <w:bCs/>
                <w:noProof/>
                <w:color w:val="004E7D"/>
                <w:sz w:val="20"/>
                <w:szCs w:val="20"/>
              </w:rPr>
              <w:t>1</w:t>
            </w:r>
            <w:r w:rsidR="000C60CD" w:rsidRPr="00F50968">
              <w:rPr>
                <w:b/>
                <w:bCs/>
                <w:color w:val="004E7D"/>
                <w:sz w:val="20"/>
                <w:szCs w:val="20"/>
              </w:rPr>
              <w:fldChar w:fldCharType="end"/>
            </w:r>
            <w:r w:rsidR="000C60CD" w:rsidRPr="00F50968">
              <w:rPr>
                <w:color w:val="004E7D"/>
                <w:sz w:val="20"/>
                <w:szCs w:val="20"/>
              </w:rPr>
              <w:t xml:space="preserve"> of </w:t>
            </w:r>
            <w:r w:rsidR="000C60CD" w:rsidRPr="00F50968">
              <w:rPr>
                <w:b/>
                <w:bCs/>
                <w:color w:val="004E7D"/>
                <w:sz w:val="20"/>
                <w:szCs w:val="20"/>
              </w:rPr>
              <w:fldChar w:fldCharType="begin"/>
            </w:r>
            <w:r w:rsidR="000C60CD" w:rsidRPr="00F50968">
              <w:rPr>
                <w:b/>
                <w:bCs/>
                <w:color w:val="004E7D"/>
                <w:sz w:val="20"/>
                <w:szCs w:val="20"/>
              </w:rPr>
              <w:instrText xml:space="preserve"> NUMPAGES  </w:instrText>
            </w:r>
            <w:r w:rsidR="000C60CD" w:rsidRPr="00F50968">
              <w:rPr>
                <w:b/>
                <w:bCs/>
                <w:color w:val="004E7D"/>
                <w:sz w:val="20"/>
                <w:szCs w:val="20"/>
              </w:rPr>
              <w:fldChar w:fldCharType="separate"/>
            </w:r>
            <w:r w:rsidR="00E50FB1" w:rsidRPr="00F50968">
              <w:rPr>
                <w:b/>
                <w:bCs/>
                <w:noProof/>
                <w:color w:val="004E7D"/>
                <w:sz w:val="20"/>
                <w:szCs w:val="20"/>
              </w:rPr>
              <w:t>4</w:t>
            </w:r>
            <w:r w:rsidR="000C60CD" w:rsidRPr="00F50968">
              <w:rPr>
                <w:b/>
                <w:bCs/>
                <w:color w:val="004E7D"/>
                <w:sz w:val="20"/>
                <w:szCs w:val="20"/>
              </w:rPr>
              <w:fldChar w:fldCharType="end"/>
            </w:r>
          </w:p>
        </w:sdtContent>
      </w:sdt>
    </w:sdtContent>
  </w:sdt>
  <w:p w14:paraId="1D91DF85" w14:textId="7517BF6C" w:rsidR="000C60CD" w:rsidRDefault="000C60CD" w:rsidP="00953A1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2C7C4" w14:textId="77777777" w:rsidR="00082C43" w:rsidRDefault="00082C43" w:rsidP="006C328D">
      <w:pPr>
        <w:spacing w:before="0" w:after="0"/>
      </w:pPr>
      <w:r>
        <w:separator/>
      </w:r>
    </w:p>
  </w:footnote>
  <w:footnote w:type="continuationSeparator" w:id="0">
    <w:p w14:paraId="7BB76CA5" w14:textId="77777777" w:rsidR="00082C43" w:rsidRDefault="00082C43" w:rsidP="006C328D">
      <w:pPr>
        <w:spacing w:before="0" w:after="0"/>
      </w:pPr>
      <w:r>
        <w:continuationSeparator/>
      </w:r>
    </w:p>
  </w:footnote>
  <w:footnote w:type="continuationNotice" w:id="1">
    <w:p w14:paraId="2F938443" w14:textId="77777777" w:rsidR="00082C43" w:rsidRDefault="00082C4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369A5" w14:textId="6510D7F9" w:rsidR="006C328D" w:rsidRPr="006C328D" w:rsidRDefault="006C328D" w:rsidP="006C328D">
    <w:pPr>
      <w:pStyle w:val="Header"/>
      <w:spacing w:after="240"/>
      <w:jc w:val="right"/>
      <w:rPr>
        <w:rFonts w:ascii="Georgia" w:hAnsi="Georgia" w:cs="Arial"/>
        <w:b/>
        <w:noProof/>
        <w:color w:val="004855"/>
        <w:sz w:val="28"/>
        <w:szCs w:val="28"/>
        <w:lang w:eastAsia="en-AU"/>
      </w:rPr>
    </w:pPr>
    <w:r>
      <w:rPr>
        <w:rFonts w:ascii="Georgia" w:hAnsi="Georgia" w:cs="Arial"/>
        <w:b/>
        <w:noProof/>
        <w:color w:val="004855"/>
        <w:sz w:val="28"/>
        <w:szCs w:val="28"/>
        <w:lang w:eastAsia="en-AU"/>
      </w:rPr>
      <w:t xml:space="preserve"> </w:t>
    </w:r>
    <w:r>
      <w:rPr>
        <w:rFonts w:ascii="Georgia" w:hAnsi="Georgia" w:cs="Arial"/>
        <w:b/>
        <w:noProof/>
        <w:color w:val="004855"/>
        <w:sz w:val="28"/>
        <w:szCs w:val="28"/>
        <w:lang w:eastAsia="en-AU"/>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8154" w14:textId="13ED68B5" w:rsidR="004A4AE6" w:rsidRDefault="004A4AE6">
    <w:pPr>
      <w:pStyle w:val="Header"/>
    </w:pPr>
    <w:r>
      <w:rPr>
        <w:rFonts w:ascii="Georgia" w:hAnsi="Georgia" w:cs="Arial"/>
        <w:b/>
        <w:noProof/>
        <w:color w:val="004855"/>
        <w:sz w:val="28"/>
        <w:szCs w:val="28"/>
        <w:lang w:eastAsia="en-AU"/>
      </w:rPr>
      <w:drawing>
        <wp:inline distT="0" distB="0" distL="0" distR="0" wp14:anchorId="64C23789" wp14:editId="685E550D">
          <wp:extent cx="3205353" cy="4768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05353" cy="476804"/>
                  </a:xfrm>
                  <a:prstGeom prst="rect">
                    <a:avLst/>
                  </a:prstGeom>
                  <a:noFill/>
                  <a:ln>
                    <a:noFill/>
                  </a:ln>
                </pic:spPr>
              </pic:pic>
            </a:graphicData>
          </a:graphic>
        </wp:inline>
      </w:drawing>
    </w:r>
    <w:r>
      <w:rPr>
        <w:rFonts w:ascii="Georgia" w:hAnsi="Georgia" w:cs="Arial"/>
        <w:b/>
        <w:noProof/>
        <w:color w:val="004855"/>
        <w:sz w:val="28"/>
        <w:szCs w:val="28"/>
        <w:lang w:eastAsia="en-AU"/>
      </w:rPr>
      <w:tab/>
    </w:r>
    <w:r>
      <w:t xml:space="preserve"> </w:t>
    </w:r>
    <w:r>
      <w:rPr>
        <w:rFonts w:ascii="Georgia" w:hAnsi="Georgia" w:cs="Arial"/>
        <w:b/>
        <w:noProof/>
        <w:color w:val="004855"/>
        <w:sz w:val="28"/>
        <w:szCs w:val="28"/>
        <w:lang w:eastAsia="en-AU"/>
      </w:rPr>
      <w:drawing>
        <wp:inline distT="0" distB="0" distL="0" distR="0" wp14:anchorId="75FE7918" wp14:editId="6718C24D">
          <wp:extent cx="1425274" cy="353262"/>
          <wp:effectExtent l="0" t="0" r="381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25274" cy="353262"/>
                  </a:xfrm>
                  <a:prstGeom prst="rect">
                    <a:avLst/>
                  </a:prstGeom>
                  <a:noFill/>
                  <a:ln>
                    <a:noFill/>
                  </a:ln>
                </pic:spPr>
              </pic:pic>
            </a:graphicData>
          </a:graphic>
        </wp:inline>
      </w:drawing>
    </w:r>
  </w:p>
  <w:p w14:paraId="0AEA3AA0" w14:textId="77777777" w:rsidR="004A4AE6" w:rsidRDefault="004A4AE6">
    <w:pPr>
      <w:pStyle w:val="Header"/>
    </w:pPr>
  </w:p>
  <w:p w14:paraId="56D7CE10" w14:textId="77777777" w:rsidR="004A4AE6" w:rsidRDefault="004A4AE6">
    <w:pPr>
      <w:pStyle w:val="Header"/>
    </w:pPr>
  </w:p>
  <w:p w14:paraId="30090FA9" w14:textId="77777777" w:rsidR="004A4AE6" w:rsidRDefault="004A4AE6">
    <w:pPr>
      <w:pStyle w:val="Header"/>
    </w:pPr>
  </w:p>
  <w:p w14:paraId="66AA83AF" w14:textId="77777777" w:rsidR="004A4AE6" w:rsidRDefault="004A4A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in;height:36pt" o:bullet="t">
        <v:imagedata r:id="rId1" o:title="Teal-Triangles"/>
      </v:shape>
    </w:pict>
  </w:numPicBullet>
  <w:numPicBullet w:numPicBulletId="1">
    <w:pict>
      <v:shape id="_x0000_i1027" type="#_x0000_t75" style="width:1in;height:36pt" o:bullet="t">
        <v:imagedata r:id="rId2" o:title="Pink-Triangles"/>
      </v:shape>
    </w:pict>
  </w:numPicBullet>
  <w:numPicBullet w:numPicBulletId="2">
    <w:pict>
      <v:shape id="_x0000_i1028" type="#_x0000_t75" style="width:1in;height:36pt" o:bullet="t">
        <v:imagedata r:id="rId3" o:title="Yellow-Triangles"/>
      </v:shape>
    </w:pict>
  </w:numPicBullet>
  <w:abstractNum w:abstractNumId="0" w15:restartNumberingAfterBreak="0">
    <w:nsid w:val="FFFFFF7C"/>
    <w:multiLevelType w:val="singleLevel"/>
    <w:tmpl w:val="24E600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44A19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04DC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7C2F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84E2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220F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B408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6A76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D8B6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1850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313261"/>
    <w:multiLevelType w:val="hybridMultilevel"/>
    <w:tmpl w:val="1B3E741E"/>
    <w:lvl w:ilvl="0" w:tplc="687CD5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20469A6"/>
    <w:multiLevelType w:val="hybridMultilevel"/>
    <w:tmpl w:val="F4F4ED8C"/>
    <w:lvl w:ilvl="0" w:tplc="553E96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56756D5"/>
    <w:multiLevelType w:val="hybridMultilevel"/>
    <w:tmpl w:val="0AF6FC6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B31C9C"/>
    <w:multiLevelType w:val="hybridMultilevel"/>
    <w:tmpl w:val="7DEC29D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ED7640"/>
    <w:multiLevelType w:val="hybridMultilevel"/>
    <w:tmpl w:val="C5B4128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515568"/>
    <w:multiLevelType w:val="hybridMultilevel"/>
    <w:tmpl w:val="7EF4DF3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35A332E"/>
    <w:multiLevelType w:val="multilevel"/>
    <w:tmpl w:val="EDDCBB3C"/>
    <w:lvl w:ilvl="0">
      <w:start w:val="1"/>
      <w:numFmt w:val="bullet"/>
      <w:pStyle w:val="Bullet1"/>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3AA057DC"/>
    <w:multiLevelType w:val="hybridMultilevel"/>
    <w:tmpl w:val="D5CA4C2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9C0D78"/>
    <w:multiLevelType w:val="hybridMultilevel"/>
    <w:tmpl w:val="B5029A2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3" w15:restartNumberingAfterBreak="0">
    <w:nsid w:val="4F972002"/>
    <w:multiLevelType w:val="hybridMultilevel"/>
    <w:tmpl w:val="7DEC29D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54BD139A"/>
    <w:multiLevelType w:val="hybridMultilevel"/>
    <w:tmpl w:val="7DEC29D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E7B51ED"/>
    <w:multiLevelType w:val="hybridMultilevel"/>
    <w:tmpl w:val="A3C06DF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5ED59A6"/>
    <w:multiLevelType w:val="hybridMultilevel"/>
    <w:tmpl w:val="0DA6D5D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32" w15:restartNumberingAfterBreak="0">
    <w:nsid w:val="7B891533"/>
    <w:multiLevelType w:val="hybridMultilevel"/>
    <w:tmpl w:val="D5CA4C2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175732881">
    <w:abstractNumId w:val="33"/>
  </w:num>
  <w:num w:numId="2" w16cid:durableId="1178732361">
    <w:abstractNumId w:val="31"/>
  </w:num>
  <w:num w:numId="3" w16cid:durableId="897857904">
    <w:abstractNumId w:val="19"/>
  </w:num>
  <w:num w:numId="4" w16cid:durableId="1482503650">
    <w:abstractNumId w:val="28"/>
  </w:num>
  <w:num w:numId="5" w16cid:durableId="656884198">
    <w:abstractNumId w:val="27"/>
  </w:num>
  <w:num w:numId="6" w16cid:durableId="757023354">
    <w:abstractNumId w:val="25"/>
  </w:num>
  <w:num w:numId="7" w16cid:durableId="225771552">
    <w:abstractNumId w:val="14"/>
  </w:num>
  <w:num w:numId="8" w16cid:durableId="1044215718">
    <w:abstractNumId w:val="16"/>
  </w:num>
  <w:num w:numId="9" w16cid:durableId="502821707">
    <w:abstractNumId w:val="17"/>
  </w:num>
  <w:num w:numId="10" w16cid:durableId="796333354">
    <w:abstractNumId w:val="26"/>
  </w:num>
  <w:num w:numId="11" w16cid:durableId="305361196">
    <w:abstractNumId w:val="21"/>
  </w:num>
  <w:num w:numId="12" w16cid:durableId="1937901626">
    <w:abstractNumId w:val="32"/>
  </w:num>
  <w:num w:numId="13" w16cid:durableId="879168468">
    <w:abstractNumId w:val="20"/>
  </w:num>
  <w:num w:numId="14" w16cid:durableId="2039432340">
    <w:abstractNumId w:val="13"/>
  </w:num>
  <w:num w:numId="15" w16cid:durableId="768815613">
    <w:abstractNumId w:val="24"/>
  </w:num>
  <w:num w:numId="16" w16cid:durableId="2036610169">
    <w:abstractNumId w:val="23"/>
  </w:num>
  <w:num w:numId="17" w16cid:durableId="1766876585">
    <w:abstractNumId w:val="15"/>
  </w:num>
  <w:num w:numId="18" w16cid:durableId="1426804982">
    <w:abstractNumId w:val="12"/>
  </w:num>
  <w:num w:numId="19" w16cid:durableId="1769042950">
    <w:abstractNumId w:val="29"/>
  </w:num>
  <w:num w:numId="20" w16cid:durableId="442502372">
    <w:abstractNumId w:val="11"/>
  </w:num>
  <w:num w:numId="21" w16cid:durableId="1916668028">
    <w:abstractNumId w:val="30"/>
  </w:num>
  <w:num w:numId="22" w16cid:durableId="671419054">
    <w:abstractNumId w:val="10"/>
  </w:num>
  <w:num w:numId="23" w16cid:durableId="17826094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74918491">
    <w:abstractNumId w:val="18"/>
  </w:num>
  <w:num w:numId="25" w16cid:durableId="947810622">
    <w:abstractNumId w:val="9"/>
  </w:num>
  <w:num w:numId="26" w16cid:durableId="776218082">
    <w:abstractNumId w:val="7"/>
  </w:num>
  <w:num w:numId="27" w16cid:durableId="901133440">
    <w:abstractNumId w:val="6"/>
  </w:num>
  <w:num w:numId="28" w16cid:durableId="1435437174">
    <w:abstractNumId w:val="5"/>
  </w:num>
  <w:num w:numId="29" w16cid:durableId="137919986">
    <w:abstractNumId w:val="4"/>
  </w:num>
  <w:num w:numId="30" w16cid:durableId="1806775842">
    <w:abstractNumId w:val="8"/>
  </w:num>
  <w:num w:numId="31" w16cid:durableId="938177594">
    <w:abstractNumId w:val="3"/>
  </w:num>
  <w:num w:numId="32" w16cid:durableId="481504841">
    <w:abstractNumId w:val="2"/>
  </w:num>
  <w:num w:numId="33" w16cid:durableId="1982421270">
    <w:abstractNumId w:val="1"/>
  </w:num>
  <w:num w:numId="34" w16cid:durableId="113267848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28D"/>
    <w:rsid w:val="00006900"/>
    <w:rsid w:val="00036B94"/>
    <w:rsid w:val="00066832"/>
    <w:rsid w:val="000671C9"/>
    <w:rsid w:val="0007264F"/>
    <w:rsid w:val="000739A5"/>
    <w:rsid w:val="00080C07"/>
    <w:rsid w:val="00082C43"/>
    <w:rsid w:val="00084C43"/>
    <w:rsid w:val="000924FF"/>
    <w:rsid w:val="000951EF"/>
    <w:rsid w:val="000A6472"/>
    <w:rsid w:val="000B4AA3"/>
    <w:rsid w:val="000C60CD"/>
    <w:rsid w:val="000D2146"/>
    <w:rsid w:val="000F479B"/>
    <w:rsid w:val="000F5782"/>
    <w:rsid w:val="001004B7"/>
    <w:rsid w:val="001020D1"/>
    <w:rsid w:val="0010527F"/>
    <w:rsid w:val="0011085E"/>
    <w:rsid w:val="001266A2"/>
    <w:rsid w:val="00127B54"/>
    <w:rsid w:val="001406B1"/>
    <w:rsid w:val="00150259"/>
    <w:rsid w:val="001520B9"/>
    <w:rsid w:val="00152DCB"/>
    <w:rsid w:val="00155B7B"/>
    <w:rsid w:val="0016003B"/>
    <w:rsid w:val="001628C2"/>
    <w:rsid w:val="0016307B"/>
    <w:rsid w:val="001970EF"/>
    <w:rsid w:val="001A27A4"/>
    <w:rsid w:val="001B7ADD"/>
    <w:rsid w:val="001E619A"/>
    <w:rsid w:val="001F2028"/>
    <w:rsid w:val="001F39F5"/>
    <w:rsid w:val="00203EF0"/>
    <w:rsid w:val="00204F3B"/>
    <w:rsid w:val="00204F66"/>
    <w:rsid w:val="00205A58"/>
    <w:rsid w:val="00214CA2"/>
    <w:rsid w:val="002160E7"/>
    <w:rsid w:val="00216B9C"/>
    <w:rsid w:val="002233DE"/>
    <w:rsid w:val="00226940"/>
    <w:rsid w:val="00226AA0"/>
    <w:rsid w:val="00237F6A"/>
    <w:rsid w:val="00242ECC"/>
    <w:rsid w:val="00243D22"/>
    <w:rsid w:val="00247890"/>
    <w:rsid w:val="00250545"/>
    <w:rsid w:val="002579E4"/>
    <w:rsid w:val="002623DD"/>
    <w:rsid w:val="00277DCE"/>
    <w:rsid w:val="00295A08"/>
    <w:rsid w:val="002A0621"/>
    <w:rsid w:val="002C0794"/>
    <w:rsid w:val="002D12E9"/>
    <w:rsid w:val="002F3E3C"/>
    <w:rsid w:val="002F4197"/>
    <w:rsid w:val="002F4CC1"/>
    <w:rsid w:val="0030694E"/>
    <w:rsid w:val="003160FA"/>
    <w:rsid w:val="003225FA"/>
    <w:rsid w:val="00336515"/>
    <w:rsid w:val="00337047"/>
    <w:rsid w:val="00344EAD"/>
    <w:rsid w:val="00352AFB"/>
    <w:rsid w:val="00352E02"/>
    <w:rsid w:val="00354C60"/>
    <w:rsid w:val="003579E1"/>
    <w:rsid w:val="00365972"/>
    <w:rsid w:val="00365B3E"/>
    <w:rsid w:val="003704FC"/>
    <w:rsid w:val="003A043D"/>
    <w:rsid w:val="003A09D0"/>
    <w:rsid w:val="003A1DEB"/>
    <w:rsid w:val="003B21A4"/>
    <w:rsid w:val="003B6AEB"/>
    <w:rsid w:val="003E7AAD"/>
    <w:rsid w:val="003F089C"/>
    <w:rsid w:val="003F165A"/>
    <w:rsid w:val="00403598"/>
    <w:rsid w:val="00421B72"/>
    <w:rsid w:val="00461DB7"/>
    <w:rsid w:val="004878F4"/>
    <w:rsid w:val="00490DE3"/>
    <w:rsid w:val="004A1ED9"/>
    <w:rsid w:val="004A4AE6"/>
    <w:rsid w:val="004A4C9D"/>
    <w:rsid w:val="004C2A35"/>
    <w:rsid w:val="004C32C1"/>
    <w:rsid w:val="004D0BAA"/>
    <w:rsid w:val="004D709B"/>
    <w:rsid w:val="004E23E1"/>
    <w:rsid w:val="004E5504"/>
    <w:rsid w:val="00521F2D"/>
    <w:rsid w:val="00525BD6"/>
    <w:rsid w:val="00527DC6"/>
    <w:rsid w:val="00530CDE"/>
    <w:rsid w:val="00537756"/>
    <w:rsid w:val="00542112"/>
    <w:rsid w:val="00542FEB"/>
    <w:rsid w:val="0054461B"/>
    <w:rsid w:val="00570AFE"/>
    <w:rsid w:val="005755AC"/>
    <w:rsid w:val="00576142"/>
    <w:rsid w:val="00592FAA"/>
    <w:rsid w:val="005A284A"/>
    <w:rsid w:val="005A42F8"/>
    <w:rsid w:val="005A5F9A"/>
    <w:rsid w:val="005B458E"/>
    <w:rsid w:val="005C0628"/>
    <w:rsid w:val="005C28DC"/>
    <w:rsid w:val="005E074E"/>
    <w:rsid w:val="005F3C93"/>
    <w:rsid w:val="005F7EE0"/>
    <w:rsid w:val="0061111B"/>
    <w:rsid w:val="006211E1"/>
    <w:rsid w:val="006228DE"/>
    <w:rsid w:val="006272B2"/>
    <w:rsid w:val="00632D95"/>
    <w:rsid w:val="00637A44"/>
    <w:rsid w:val="0067425D"/>
    <w:rsid w:val="00690ED4"/>
    <w:rsid w:val="006C328D"/>
    <w:rsid w:val="006D64F1"/>
    <w:rsid w:val="006E46A1"/>
    <w:rsid w:val="006E73AB"/>
    <w:rsid w:val="006F70C6"/>
    <w:rsid w:val="0070384B"/>
    <w:rsid w:val="0070691D"/>
    <w:rsid w:val="007144AB"/>
    <w:rsid w:val="007254FF"/>
    <w:rsid w:val="00754BCC"/>
    <w:rsid w:val="00756F63"/>
    <w:rsid w:val="0076348F"/>
    <w:rsid w:val="00782503"/>
    <w:rsid w:val="00787657"/>
    <w:rsid w:val="0079312B"/>
    <w:rsid w:val="00796BDB"/>
    <w:rsid w:val="007A6ED5"/>
    <w:rsid w:val="007B01C8"/>
    <w:rsid w:val="007D25B0"/>
    <w:rsid w:val="007F3F16"/>
    <w:rsid w:val="00804BE0"/>
    <w:rsid w:val="00806FCF"/>
    <w:rsid w:val="008230CD"/>
    <w:rsid w:val="0083586E"/>
    <w:rsid w:val="008365E1"/>
    <w:rsid w:val="008375DA"/>
    <w:rsid w:val="00847E5E"/>
    <w:rsid w:val="008512FF"/>
    <w:rsid w:val="008657F7"/>
    <w:rsid w:val="00865E85"/>
    <w:rsid w:val="0087200D"/>
    <w:rsid w:val="00882E3A"/>
    <w:rsid w:val="0088363F"/>
    <w:rsid w:val="008923FC"/>
    <w:rsid w:val="008A2225"/>
    <w:rsid w:val="008A41CA"/>
    <w:rsid w:val="008B24AB"/>
    <w:rsid w:val="008B42D8"/>
    <w:rsid w:val="008B6DFA"/>
    <w:rsid w:val="008C31DC"/>
    <w:rsid w:val="008C4BF4"/>
    <w:rsid w:val="008D6E3C"/>
    <w:rsid w:val="008E13A9"/>
    <w:rsid w:val="008F4E84"/>
    <w:rsid w:val="008F57DC"/>
    <w:rsid w:val="009078F3"/>
    <w:rsid w:val="00907E93"/>
    <w:rsid w:val="0091428F"/>
    <w:rsid w:val="00947873"/>
    <w:rsid w:val="00951073"/>
    <w:rsid w:val="00953A1E"/>
    <w:rsid w:val="0097337A"/>
    <w:rsid w:val="009A22B7"/>
    <w:rsid w:val="009A6042"/>
    <w:rsid w:val="009B4D05"/>
    <w:rsid w:val="009B65C4"/>
    <w:rsid w:val="009B769E"/>
    <w:rsid w:val="009D1C2F"/>
    <w:rsid w:val="009E03ED"/>
    <w:rsid w:val="009F3D52"/>
    <w:rsid w:val="009F4242"/>
    <w:rsid w:val="009F5BBD"/>
    <w:rsid w:val="009F756D"/>
    <w:rsid w:val="00A044E2"/>
    <w:rsid w:val="00A13E74"/>
    <w:rsid w:val="00A14FC6"/>
    <w:rsid w:val="00A209B8"/>
    <w:rsid w:val="00A305B3"/>
    <w:rsid w:val="00A30FD0"/>
    <w:rsid w:val="00A378A5"/>
    <w:rsid w:val="00A45A99"/>
    <w:rsid w:val="00A45E7E"/>
    <w:rsid w:val="00A54DF1"/>
    <w:rsid w:val="00A75DC4"/>
    <w:rsid w:val="00A91812"/>
    <w:rsid w:val="00A92546"/>
    <w:rsid w:val="00AC3414"/>
    <w:rsid w:val="00AC5A1F"/>
    <w:rsid w:val="00AC672A"/>
    <w:rsid w:val="00AD2A9F"/>
    <w:rsid w:val="00B12176"/>
    <w:rsid w:val="00B1660F"/>
    <w:rsid w:val="00B35D48"/>
    <w:rsid w:val="00B461A7"/>
    <w:rsid w:val="00B46938"/>
    <w:rsid w:val="00B5114C"/>
    <w:rsid w:val="00B71551"/>
    <w:rsid w:val="00B76D7C"/>
    <w:rsid w:val="00B90FE2"/>
    <w:rsid w:val="00B935FE"/>
    <w:rsid w:val="00BB00E2"/>
    <w:rsid w:val="00BD2384"/>
    <w:rsid w:val="00BD4F74"/>
    <w:rsid w:val="00BE1826"/>
    <w:rsid w:val="00BE2BD9"/>
    <w:rsid w:val="00BE50EC"/>
    <w:rsid w:val="00BE56D8"/>
    <w:rsid w:val="00C00A7D"/>
    <w:rsid w:val="00C02B13"/>
    <w:rsid w:val="00C14F6A"/>
    <w:rsid w:val="00C165ED"/>
    <w:rsid w:val="00C235BF"/>
    <w:rsid w:val="00C62113"/>
    <w:rsid w:val="00C64CDF"/>
    <w:rsid w:val="00C67F45"/>
    <w:rsid w:val="00C75DA4"/>
    <w:rsid w:val="00C876F9"/>
    <w:rsid w:val="00C94C06"/>
    <w:rsid w:val="00C95962"/>
    <w:rsid w:val="00CA0BB0"/>
    <w:rsid w:val="00CB37DE"/>
    <w:rsid w:val="00CC3578"/>
    <w:rsid w:val="00CD0F83"/>
    <w:rsid w:val="00CD2875"/>
    <w:rsid w:val="00CD2F08"/>
    <w:rsid w:val="00CD7BF2"/>
    <w:rsid w:val="00CE5E97"/>
    <w:rsid w:val="00CE7B43"/>
    <w:rsid w:val="00CF6D64"/>
    <w:rsid w:val="00CF7749"/>
    <w:rsid w:val="00D13E9B"/>
    <w:rsid w:val="00D271EE"/>
    <w:rsid w:val="00D527FD"/>
    <w:rsid w:val="00D706B9"/>
    <w:rsid w:val="00D9146D"/>
    <w:rsid w:val="00D97071"/>
    <w:rsid w:val="00DB0536"/>
    <w:rsid w:val="00DB407A"/>
    <w:rsid w:val="00DE1A47"/>
    <w:rsid w:val="00DE3DEC"/>
    <w:rsid w:val="00DE4C16"/>
    <w:rsid w:val="00E26189"/>
    <w:rsid w:val="00E50FB1"/>
    <w:rsid w:val="00E5478B"/>
    <w:rsid w:val="00E90251"/>
    <w:rsid w:val="00E94E47"/>
    <w:rsid w:val="00EF3C9F"/>
    <w:rsid w:val="00F04951"/>
    <w:rsid w:val="00F1793C"/>
    <w:rsid w:val="00F252FD"/>
    <w:rsid w:val="00F26349"/>
    <w:rsid w:val="00F401EA"/>
    <w:rsid w:val="00F4670B"/>
    <w:rsid w:val="00F50968"/>
    <w:rsid w:val="00F7064B"/>
    <w:rsid w:val="00F73389"/>
    <w:rsid w:val="00F84BA1"/>
    <w:rsid w:val="00F85DB9"/>
    <w:rsid w:val="00F9020B"/>
    <w:rsid w:val="00F93836"/>
    <w:rsid w:val="00F9392C"/>
    <w:rsid w:val="00FC2306"/>
    <w:rsid w:val="00FD7A37"/>
    <w:rsid w:val="00FF1C8B"/>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78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B3E"/>
  </w:style>
  <w:style w:type="paragraph" w:styleId="Heading1">
    <w:name w:val="heading 1"/>
    <w:basedOn w:val="Normal"/>
    <w:next w:val="Normal"/>
    <w:link w:val="Heading1Char"/>
    <w:uiPriority w:val="9"/>
    <w:qFormat/>
    <w:rsid w:val="00365B3E"/>
    <w:pPr>
      <w:keepNext/>
      <w:keepLines/>
      <w:pageBreakBefore/>
      <w:spacing w:before="0" w:after="1800" w:line="540" w:lineRule="atLeast"/>
      <w:outlineLvl w:val="0"/>
    </w:pPr>
    <w:rPr>
      <w:rFonts w:asciiTheme="majorHAnsi" w:eastAsiaTheme="majorEastAsia" w:hAnsiTheme="majorHAnsi" w:cstheme="majorBidi"/>
      <w:b/>
      <w:color w:val="004E7D"/>
      <w:sz w:val="48"/>
      <w:szCs w:val="32"/>
    </w:rPr>
  </w:style>
  <w:style w:type="paragraph" w:styleId="Heading2">
    <w:name w:val="heading 2"/>
    <w:basedOn w:val="Normal"/>
    <w:next w:val="Normal"/>
    <w:link w:val="Heading2Char"/>
    <w:uiPriority w:val="9"/>
    <w:qFormat/>
    <w:rsid w:val="00365B3E"/>
    <w:pPr>
      <w:keepNext/>
      <w:keepLines/>
      <w:spacing w:before="480" w:after="240" w:line="500" w:lineRule="atLeast"/>
      <w:outlineLvl w:val="1"/>
    </w:pPr>
    <w:rPr>
      <w:rFonts w:asciiTheme="majorHAnsi" w:eastAsiaTheme="majorEastAsia" w:hAnsiTheme="majorHAnsi" w:cstheme="majorBidi"/>
      <w:color w:val="004E7D"/>
      <w:sz w:val="44"/>
      <w:szCs w:val="26"/>
    </w:rPr>
  </w:style>
  <w:style w:type="paragraph" w:styleId="Heading3">
    <w:name w:val="heading 3"/>
    <w:basedOn w:val="Normal"/>
    <w:next w:val="Normal"/>
    <w:link w:val="Heading3Char"/>
    <w:uiPriority w:val="9"/>
    <w:qFormat/>
    <w:rsid w:val="00365B3E"/>
    <w:pPr>
      <w:keepNext/>
      <w:keepLines/>
      <w:spacing w:before="480" w:after="240" w:line="380" w:lineRule="atLeast"/>
      <w:outlineLvl w:val="2"/>
    </w:pPr>
    <w:rPr>
      <w:rFonts w:asciiTheme="majorHAnsi" w:eastAsiaTheme="majorEastAsia" w:hAnsiTheme="majorHAnsi" w:cstheme="majorBidi"/>
      <w:color w:val="004E7D"/>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1"/>
      </w:numPr>
    </w:pPr>
    <w:rPr>
      <w:b/>
    </w:rPr>
  </w:style>
  <w:style w:type="character" w:customStyle="1" w:styleId="Heading2Char">
    <w:name w:val="Heading 2 Char"/>
    <w:basedOn w:val="DefaultParagraphFont"/>
    <w:link w:val="Heading2"/>
    <w:uiPriority w:val="9"/>
    <w:rsid w:val="00365B3E"/>
    <w:rPr>
      <w:rFonts w:asciiTheme="majorHAnsi" w:eastAsiaTheme="majorEastAsia" w:hAnsiTheme="majorHAnsi" w:cstheme="majorBidi"/>
      <w:color w:val="004E7D"/>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5B458E"/>
    <w:pPr>
      <w:numPr>
        <w:numId w:val="3"/>
      </w:numPr>
    </w:pPr>
  </w:style>
  <w:style w:type="paragraph" w:customStyle="1" w:styleId="Bullet2">
    <w:name w:val="Bullet 2"/>
    <w:basedOn w:val="Normal"/>
    <w:uiPriority w:val="2"/>
    <w:qFormat/>
    <w:rsid w:val="005B458E"/>
    <w:pPr>
      <w:numPr>
        <w:ilvl w:val="1"/>
        <w:numId w:val="3"/>
      </w:numPr>
    </w:pPr>
  </w:style>
  <w:style w:type="paragraph" w:customStyle="1" w:styleId="Bullet3">
    <w:name w:val="Bullet 3"/>
    <w:basedOn w:val="Normal"/>
    <w:uiPriority w:val="2"/>
    <w:qFormat/>
    <w:rsid w:val="005B458E"/>
    <w:pPr>
      <w:numPr>
        <w:ilvl w:val="2"/>
        <w:numId w:val="3"/>
      </w:numPr>
    </w:pPr>
  </w:style>
  <w:style w:type="paragraph" w:customStyle="1" w:styleId="FigureTitle">
    <w:name w:val="Figure Title"/>
    <w:basedOn w:val="Normal"/>
    <w:uiPriority w:val="12"/>
    <w:qFormat/>
    <w:rsid w:val="005B458E"/>
    <w:pPr>
      <w:keepNext/>
      <w:numPr>
        <w:numId w:val="4"/>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5"/>
      </w:numPr>
    </w:pPr>
  </w:style>
  <w:style w:type="character" w:customStyle="1" w:styleId="Heading1Char">
    <w:name w:val="Heading 1 Char"/>
    <w:basedOn w:val="DefaultParagraphFont"/>
    <w:link w:val="Heading1"/>
    <w:uiPriority w:val="9"/>
    <w:rsid w:val="00365B3E"/>
    <w:rPr>
      <w:rFonts w:asciiTheme="majorHAnsi" w:eastAsiaTheme="majorEastAsia" w:hAnsiTheme="majorHAnsi" w:cstheme="majorBidi"/>
      <w:b/>
      <w:color w:val="004E7D"/>
      <w:sz w:val="48"/>
      <w:szCs w:val="32"/>
    </w:rPr>
  </w:style>
  <w:style w:type="paragraph" w:customStyle="1" w:styleId="Heading2Numbered">
    <w:name w:val="Heading 2 Numbered"/>
    <w:basedOn w:val="Heading2"/>
    <w:uiPriority w:val="10"/>
    <w:qFormat/>
    <w:rsid w:val="005B458E"/>
    <w:pPr>
      <w:numPr>
        <w:ilvl w:val="1"/>
        <w:numId w:val="5"/>
      </w:numPr>
    </w:pPr>
  </w:style>
  <w:style w:type="paragraph" w:customStyle="1" w:styleId="Heading3Numbered">
    <w:name w:val="Heading 3 Numbered"/>
    <w:basedOn w:val="Heading3"/>
    <w:uiPriority w:val="10"/>
    <w:qFormat/>
    <w:rsid w:val="005B458E"/>
    <w:pPr>
      <w:numPr>
        <w:ilvl w:val="2"/>
        <w:numId w:val="5"/>
      </w:numPr>
    </w:pPr>
  </w:style>
  <w:style w:type="character" w:customStyle="1" w:styleId="Heading3Char">
    <w:name w:val="Heading 3 Char"/>
    <w:basedOn w:val="DefaultParagraphFont"/>
    <w:link w:val="Heading3"/>
    <w:uiPriority w:val="9"/>
    <w:rsid w:val="00365B3E"/>
    <w:rPr>
      <w:rFonts w:asciiTheme="majorHAnsi" w:eastAsiaTheme="majorEastAsia" w:hAnsiTheme="majorHAnsi" w:cstheme="majorBidi"/>
      <w:color w:val="004E7D"/>
      <w:sz w:val="32"/>
      <w:szCs w:val="24"/>
    </w:rPr>
  </w:style>
  <w:style w:type="paragraph" w:customStyle="1" w:styleId="Heading4Numbered">
    <w:name w:val="Heading 4 Numbered"/>
    <w:basedOn w:val="Heading4"/>
    <w:uiPriority w:val="10"/>
    <w:qFormat/>
    <w:rsid w:val="005B458E"/>
    <w:pPr>
      <w:numPr>
        <w:ilvl w:val="3"/>
        <w:numId w:val="5"/>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5"/>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5"/>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5"/>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6"/>
      </w:numPr>
    </w:pPr>
  </w:style>
  <w:style w:type="paragraph" w:customStyle="1" w:styleId="List1Numbered2">
    <w:name w:val="List 1 Numbered 2"/>
    <w:basedOn w:val="Normal"/>
    <w:uiPriority w:val="2"/>
    <w:qFormat/>
    <w:rsid w:val="005B458E"/>
    <w:pPr>
      <w:numPr>
        <w:ilvl w:val="1"/>
        <w:numId w:val="6"/>
      </w:numPr>
    </w:pPr>
  </w:style>
  <w:style w:type="paragraph" w:customStyle="1" w:styleId="List1Numbered3">
    <w:name w:val="List 1 Numbered 3"/>
    <w:basedOn w:val="Normal"/>
    <w:uiPriority w:val="2"/>
    <w:qFormat/>
    <w:rsid w:val="005B458E"/>
    <w:pPr>
      <w:numPr>
        <w:ilvl w:val="2"/>
        <w:numId w:val="6"/>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7"/>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8"/>
      </w:numPr>
    </w:pPr>
  </w:style>
  <w:style w:type="paragraph" w:customStyle="1" w:styleId="TableTitle">
    <w:name w:val="Table Title"/>
    <w:basedOn w:val="FigureTitle"/>
    <w:uiPriority w:val="12"/>
    <w:qFormat/>
    <w:rsid w:val="005B458E"/>
    <w:pPr>
      <w:numPr>
        <w:numId w:val="9"/>
      </w:numPr>
    </w:pPr>
  </w:style>
  <w:style w:type="paragraph" w:customStyle="1" w:styleId="PullOut-Pink">
    <w:name w:val="Pull Out - Pink"/>
    <w:basedOn w:val="PullOut-Teal"/>
    <w:uiPriority w:val="22"/>
    <w:qFormat/>
    <w:rsid w:val="005B458E"/>
    <w:pPr>
      <w:numPr>
        <w:numId w:val="10"/>
      </w:numPr>
    </w:pPr>
  </w:style>
  <w:style w:type="paragraph" w:customStyle="1" w:styleId="PullOut-Yellow">
    <w:name w:val="Pull Out - Yellow"/>
    <w:basedOn w:val="PullOut-Teal"/>
    <w:qFormat/>
    <w:rsid w:val="005B458E"/>
    <w:pPr>
      <w:numPr>
        <w:numId w:val="11"/>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33"/>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styleId="ListParagraph">
    <w:name w:val="List Paragraph"/>
    <w:basedOn w:val="Normal"/>
    <w:link w:val="ListParagraphChar"/>
    <w:uiPriority w:val="34"/>
    <w:qFormat/>
    <w:rsid w:val="004A4AE6"/>
    <w:pPr>
      <w:spacing w:before="40" w:after="160" w:line="280" w:lineRule="exact"/>
      <w:ind w:left="720"/>
      <w:contextualSpacing/>
    </w:pPr>
    <w:rPr>
      <w:rFonts w:ascii="Arial" w:hAnsi="Arial"/>
      <w:color w:val="auto"/>
    </w:rPr>
  </w:style>
  <w:style w:type="character" w:customStyle="1" w:styleId="ListParagraphChar">
    <w:name w:val="List Paragraph Char"/>
    <w:basedOn w:val="DefaultParagraphFont"/>
    <w:link w:val="ListParagraph"/>
    <w:uiPriority w:val="34"/>
    <w:rsid w:val="004A4AE6"/>
    <w:rPr>
      <w:rFonts w:ascii="Arial" w:hAnsi="Arial"/>
      <w:color w:val="auto"/>
    </w:rPr>
  </w:style>
  <w:style w:type="table" w:customStyle="1" w:styleId="TEQSAtables">
    <w:name w:val="TEQSA tables"/>
    <w:basedOn w:val="TableNormal"/>
    <w:uiPriority w:val="99"/>
    <w:rsid w:val="004A4AE6"/>
    <w:pPr>
      <w:spacing w:before="0" w:after="0"/>
      <w:jc w:val="center"/>
    </w:pPr>
    <w:rPr>
      <w:color w:val="auto"/>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Mar>
        <w:top w:w="57" w:type="dxa"/>
        <w:left w:w="142" w:type="dxa"/>
        <w:bottom w:w="57" w:type="dxa"/>
        <w:right w:w="142" w:type="dxa"/>
      </w:tcMar>
    </w:tcPr>
    <w:tblStylePr w:type="firstRow">
      <w:rPr>
        <w:rFonts w:ascii="Arial" w:hAnsi="Arial"/>
        <w:b/>
        <w:color w:val="E7E6E6" w:themeColor="background2"/>
        <w:sz w:val="2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000000" w:themeColor="text1"/>
          <w:tl2br w:val="nil"/>
          <w:tr2bl w:val="nil"/>
        </w:tcBorders>
        <w:shd w:val="clear" w:color="auto" w:fill="004855"/>
      </w:tcPr>
    </w:tblStylePr>
    <w:tblStylePr w:type="band2Horz">
      <w:tblPr/>
      <w:tcPr>
        <w:shd w:val="clear" w:color="auto" w:fill="FBE4D5" w:themeFill="accent6" w:themeFillTint="33"/>
      </w:tcPr>
    </w:tblStylePr>
  </w:style>
  <w:style w:type="character" w:styleId="Hyperlink">
    <w:name w:val="Hyperlink"/>
    <w:basedOn w:val="DefaultParagraphFont"/>
    <w:uiPriority w:val="99"/>
    <w:unhideWhenUsed/>
    <w:rsid w:val="00365B3E"/>
    <w:rPr>
      <w:color w:val="004E7D"/>
      <w:u w:val="single"/>
    </w:rPr>
  </w:style>
  <w:style w:type="character" w:styleId="CommentReference">
    <w:name w:val="annotation reference"/>
    <w:basedOn w:val="DefaultParagraphFont"/>
    <w:uiPriority w:val="99"/>
    <w:semiHidden/>
    <w:unhideWhenUsed/>
    <w:rsid w:val="001266A2"/>
    <w:rPr>
      <w:sz w:val="16"/>
      <w:szCs w:val="16"/>
    </w:rPr>
  </w:style>
  <w:style w:type="paragraph" w:styleId="CommentText">
    <w:name w:val="annotation text"/>
    <w:basedOn w:val="Normal"/>
    <w:link w:val="CommentTextChar"/>
    <w:uiPriority w:val="99"/>
    <w:semiHidden/>
    <w:unhideWhenUsed/>
    <w:rsid w:val="001266A2"/>
    <w:rPr>
      <w:sz w:val="20"/>
      <w:szCs w:val="20"/>
    </w:rPr>
  </w:style>
  <w:style w:type="character" w:customStyle="1" w:styleId="CommentTextChar">
    <w:name w:val="Comment Text Char"/>
    <w:basedOn w:val="DefaultParagraphFont"/>
    <w:link w:val="CommentText"/>
    <w:uiPriority w:val="99"/>
    <w:semiHidden/>
    <w:rsid w:val="001266A2"/>
    <w:rPr>
      <w:sz w:val="20"/>
      <w:szCs w:val="20"/>
    </w:rPr>
  </w:style>
  <w:style w:type="paragraph" w:styleId="CommentSubject">
    <w:name w:val="annotation subject"/>
    <w:basedOn w:val="CommentText"/>
    <w:next w:val="CommentText"/>
    <w:link w:val="CommentSubjectChar"/>
    <w:uiPriority w:val="99"/>
    <w:semiHidden/>
    <w:unhideWhenUsed/>
    <w:rsid w:val="001266A2"/>
    <w:rPr>
      <w:b/>
      <w:bCs/>
    </w:rPr>
  </w:style>
  <w:style w:type="character" w:customStyle="1" w:styleId="CommentSubjectChar">
    <w:name w:val="Comment Subject Char"/>
    <w:basedOn w:val="CommentTextChar"/>
    <w:link w:val="CommentSubject"/>
    <w:uiPriority w:val="99"/>
    <w:semiHidden/>
    <w:rsid w:val="001266A2"/>
    <w:rPr>
      <w:b/>
      <w:bCs/>
      <w:sz w:val="20"/>
      <w:szCs w:val="20"/>
    </w:rPr>
  </w:style>
  <w:style w:type="character" w:styleId="SubtleEmphasis">
    <w:name w:val="Subtle Emphasis"/>
    <w:basedOn w:val="DefaultParagraphFont"/>
    <w:uiPriority w:val="19"/>
    <w:qFormat/>
    <w:rsid w:val="002F4CC1"/>
    <w:rPr>
      <w:i/>
      <w:iCs/>
      <w:color w:val="808080" w:themeColor="text1" w:themeTint="7F"/>
    </w:rPr>
  </w:style>
  <w:style w:type="character" w:styleId="UnresolvedMention">
    <w:name w:val="Unresolved Mention"/>
    <w:basedOn w:val="DefaultParagraphFont"/>
    <w:uiPriority w:val="99"/>
    <w:semiHidden/>
    <w:unhideWhenUsed/>
    <w:rsid w:val="00B46938"/>
    <w:rPr>
      <w:color w:val="605E5C"/>
      <w:shd w:val="clear" w:color="auto" w:fill="E1DFDD"/>
    </w:rPr>
  </w:style>
  <w:style w:type="paragraph" w:styleId="Revision">
    <w:name w:val="Revision"/>
    <w:hidden/>
    <w:uiPriority w:val="99"/>
    <w:semiHidden/>
    <w:rsid w:val="00082C43"/>
    <w:pPr>
      <w:spacing w:before="0" w:after="0"/>
    </w:pPr>
  </w:style>
  <w:style w:type="paragraph" w:styleId="EndnoteText">
    <w:name w:val="endnote text"/>
    <w:basedOn w:val="Normal"/>
    <w:link w:val="EndnoteTextChar"/>
    <w:uiPriority w:val="99"/>
    <w:semiHidden/>
    <w:unhideWhenUsed/>
    <w:rsid w:val="00A044E2"/>
    <w:pPr>
      <w:spacing w:before="0" w:after="0"/>
    </w:pPr>
    <w:rPr>
      <w:sz w:val="20"/>
      <w:szCs w:val="20"/>
    </w:rPr>
  </w:style>
  <w:style w:type="character" w:customStyle="1" w:styleId="EndnoteTextChar">
    <w:name w:val="Endnote Text Char"/>
    <w:basedOn w:val="DefaultParagraphFont"/>
    <w:link w:val="EndnoteText"/>
    <w:uiPriority w:val="99"/>
    <w:semiHidden/>
    <w:rsid w:val="00A044E2"/>
    <w:rPr>
      <w:sz w:val="20"/>
      <w:szCs w:val="20"/>
    </w:rPr>
  </w:style>
  <w:style w:type="character" w:styleId="EndnoteReference">
    <w:name w:val="endnote reference"/>
    <w:basedOn w:val="DefaultParagraphFont"/>
    <w:uiPriority w:val="99"/>
    <w:semiHidden/>
    <w:unhideWhenUsed/>
    <w:rsid w:val="00A044E2"/>
    <w:rPr>
      <w:vertAlign w:val="superscript"/>
    </w:rPr>
  </w:style>
  <w:style w:type="character" w:styleId="FollowedHyperlink">
    <w:name w:val="FollowedHyperlink"/>
    <w:basedOn w:val="DefaultParagraphFont"/>
    <w:uiPriority w:val="99"/>
    <w:semiHidden/>
    <w:unhideWhenUsed/>
    <w:rsid w:val="006E46A1"/>
    <w:rPr>
      <w:color w:val="00847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64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qsa.gov.au/protect-yourself-illegal-commercial-cheating-service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qsa.gov.au/protecting-academic-integrit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qsa.gov.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teqsa.gov.au"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infrastructure.gov.au/media-centre/publications/guidelines-use-section-3133-telecommunications-act-1997-government-agencies-lawful-disruption-acces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60F5389881C540A4454B9FAD1777B2" ma:contentTypeVersion="4" ma:contentTypeDescription="Create a new document." ma:contentTypeScope="" ma:versionID="277b409f06eb8dd9e7afca744cd804ba">
  <xsd:schema xmlns:xsd="http://www.w3.org/2001/XMLSchema" xmlns:xs="http://www.w3.org/2001/XMLSchema" xmlns:p="http://schemas.microsoft.com/office/2006/metadata/properties" xmlns:ns3="2e054499-e9f9-4471-b51f-cc89c81f1954" targetNamespace="http://schemas.microsoft.com/office/2006/metadata/properties" ma:root="true" ma:fieldsID="4fbcf9788423e9826909b1e44a60708f" ns3:_="">
    <xsd:import namespace="2e054499-e9f9-4471-b51f-cc89c81f195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054499-e9f9-4471-b51f-cc89c81f19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7FF07E-88E0-448A-89F2-EDA297BE413C}">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dcmitype/"/>
    <ds:schemaRef ds:uri="http://schemas.microsoft.com/office/infopath/2007/PartnerControls"/>
    <ds:schemaRef ds:uri="2e054499-e9f9-4471-b51f-cc89c81f1954"/>
    <ds:schemaRef ds:uri="http://www.w3.org/XML/1998/namespace"/>
    <ds:schemaRef ds:uri="http://purl.org/dc/terms/"/>
  </ds:schemaRefs>
</ds:datastoreItem>
</file>

<file path=customXml/itemProps2.xml><?xml version="1.0" encoding="utf-8"?>
<ds:datastoreItem xmlns:ds="http://schemas.openxmlformats.org/officeDocument/2006/customXml" ds:itemID="{48E7F2EF-ABAB-4D0E-A14D-91F4A5D76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054499-e9f9-4471-b51f-cc89c81f19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47E66F-552D-4FBE-A800-8A5A8B50FE82}">
  <ds:schemaRefs>
    <ds:schemaRef ds:uri="http://schemas.openxmlformats.org/officeDocument/2006/bibliography"/>
  </ds:schemaRefs>
</ds:datastoreItem>
</file>

<file path=customXml/itemProps4.xml><?xml version="1.0" encoding="utf-8"?>
<ds:datastoreItem xmlns:ds="http://schemas.openxmlformats.org/officeDocument/2006/customXml" ds:itemID="{6ABD91B6-EC64-4671-A3F3-9006AEA918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1305</Words>
  <Characters>7443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Lawful disruption of access to online services policy</vt:lpstr>
    </vt:vector>
  </TitlesOfParts>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Lawful disruption of access to online services policy</dc:title>
  <dc:creator/>
  <cp:lastModifiedBy/>
  <cp:revision>1</cp:revision>
  <dcterms:created xsi:type="dcterms:W3CDTF">2023-01-24T04:15:00Z</dcterms:created>
  <dcterms:modified xsi:type="dcterms:W3CDTF">2023-01-24T04:15:00Z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0x0101005860F5389881C540A4454B9FAD1777B2</vt:lpwstr>
  </property>
</Properties>
</file>