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AC4" w:rsidRPr="00E9087E" w:rsidRDefault="00EB6487" w:rsidP="00457AC4">
      <w:bookmarkStart w:id="0" w:name="_GoBack"/>
      <w:bookmarkEnd w:id="0"/>
      <w:r>
        <w:rPr>
          <w:noProof/>
          <w:lang w:eastAsia="en-AU"/>
        </w:rPr>
        <w:drawing>
          <wp:anchor distT="0" distB="0" distL="114300" distR="114300" simplePos="0" relativeHeight="251682304" behindDoc="1" locked="0" layoutInCell="1" allowOverlap="1">
            <wp:simplePos x="0" y="0"/>
            <wp:positionH relativeFrom="column">
              <wp:posOffset>-833120</wp:posOffset>
            </wp:positionH>
            <wp:positionV relativeFrom="paragraph">
              <wp:posOffset>-685165</wp:posOffset>
            </wp:positionV>
            <wp:extent cx="7566660" cy="10668000"/>
            <wp:effectExtent l="0" t="0" r="0" b="0"/>
            <wp:wrapNone/>
            <wp:docPr id="33" name="Picture 8" descr="KFM_Oct2016_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FM_Oct2016_v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68000"/>
                    </a:xfrm>
                    <a:prstGeom prst="rect">
                      <a:avLst/>
                    </a:prstGeom>
                    <a:noFill/>
                  </pic:spPr>
                </pic:pic>
              </a:graphicData>
            </a:graphic>
            <wp14:sizeRelH relativeFrom="page">
              <wp14:pctWidth>0</wp14:pctWidth>
            </wp14:sizeRelH>
            <wp14:sizeRelV relativeFrom="page">
              <wp14:pctHeight>0</wp14:pctHeight>
            </wp14:sizeRelV>
          </wp:anchor>
        </w:drawing>
      </w:r>
      <w:r w:rsidR="00457AC4" w:rsidRPr="00E9087E">
        <w:rPr>
          <w:noProof/>
          <w:lang w:eastAsia="en-AU"/>
        </w:rPr>
        <w:drawing>
          <wp:anchor distT="0" distB="0" distL="114300" distR="114300" simplePos="0" relativeHeight="251644416" behindDoc="1" locked="0" layoutInCell="1" allowOverlap="1" wp14:anchorId="67D9CA60" wp14:editId="2935C468">
            <wp:simplePos x="0" y="0"/>
            <wp:positionH relativeFrom="column">
              <wp:posOffset>-120650</wp:posOffset>
            </wp:positionH>
            <wp:positionV relativeFrom="paragraph">
              <wp:posOffset>-133985</wp:posOffset>
            </wp:positionV>
            <wp:extent cx="3648710" cy="543560"/>
            <wp:effectExtent l="0" t="0" r="8890" b="8890"/>
            <wp:wrapNone/>
            <wp:docPr id="318" name="Picture 318" descr="\\FSTEQ1\Groups\Corporate\Communications\Stakeholder Engagement\Publication Support\Design\Source files\TEQSA Crest &amp; logo\JPG\AUS GOV TEQSA logo inline_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EQ1\Groups\Corporate\Communications\Stakeholder Engagement\Publication Support\Design\Source files\TEQSA Crest &amp; logo\JPG\AUS GOV TEQSA logo inline_STRI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71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AC4" w:rsidRPr="00E9087E" w:rsidRDefault="00457AC4" w:rsidP="00457AC4"/>
    <w:p w:rsidR="00457AC4" w:rsidRPr="00E9087E" w:rsidRDefault="00E62ECF" w:rsidP="00457AC4">
      <w:r>
        <w:rPr>
          <w:noProof/>
          <w:lang w:eastAsia="en-AU"/>
        </w:rPr>
        <mc:AlternateContent>
          <mc:Choice Requires="wps">
            <w:drawing>
              <wp:anchor distT="0" distB="0" distL="114300" distR="114300" simplePos="0" relativeHeight="251645440" behindDoc="0" locked="0" layoutInCell="1" allowOverlap="1" wp14:anchorId="69EC97FB" wp14:editId="348F5B77">
                <wp:simplePos x="0" y="0"/>
                <wp:positionH relativeFrom="column">
                  <wp:posOffset>27940</wp:posOffset>
                </wp:positionH>
                <wp:positionV relativeFrom="paragraph">
                  <wp:posOffset>206375</wp:posOffset>
                </wp:positionV>
                <wp:extent cx="5966460" cy="876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876300"/>
                        </a:xfrm>
                        <a:prstGeom prst="rect">
                          <a:avLst/>
                        </a:prstGeom>
                        <a:solidFill>
                          <a:srgbClr val="FFFFFF"/>
                        </a:solidFill>
                        <a:ln w="9525">
                          <a:noFill/>
                          <a:miter lim="800000"/>
                          <a:headEnd/>
                          <a:tailEnd/>
                        </a:ln>
                      </wps:spPr>
                      <wps:txbx>
                        <w:txbxContent>
                          <w:p w:rsidR="00BD3847" w:rsidRPr="00E62ECF" w:rsidRDefault="00BD3847">
                            <w:pPr>
                              <w:rPr>
                                <w:b/>
                                <w:color w:val="FF000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C97FB" id="_x0000_t202" coordsize="21600,21600" o:spt="202" path="m,l,21600r21600,l21600,xe">
                <v:stroke joinstyle="miter"/>
                <v:path gradientshapeok="t" o:connecttype="rect"/>
              </v:shapetype>
              <v:shape id="Text Box 2" o:spid="_x0000_s1026" type="#_x0000_t202" style="position:absolute;margin-left:2.2pt;margin-top:16.25pt;width:469.8pt;height: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" stroked="f">
                <v:textbox>
                  <w:txbxContent>
                    <w:p w:rsidR="00BD3847" w:rsidRPr="00E62ECF" w:rsidRDefault="00BD3847">
                      <w:pPr>
                        <w:rPr>
                          <w:b/>
                          <w:color w:val="FF0000"/>
                          <w:sz w:val="56"/>
                          <w:szCs w:val="56"/>
                        </w:rPr>
                      </w:pPr>
                    </w:p>
                  </w:txbxContent>
                </v:textbox>
              </v:shape>
            </w:pict>
          </mc:Fallback>
        </mc:AlternateContent>
      </w:r>
    </w:p>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457AC4" w:rsidRPr="00E9087E" w:rsidRDefault="00457AC4" w:rsidP="00457AC4"/>
    <w:p w:rsidR="00BC609F" w:rsidRDefault="00BC609F" w:rsidP="00457AC4">
      <w:pPr>
        <w:rPr>
          <w:noProof/>
          <w:lang w:eastAsia="en-AU"/>
        </w:rPr>
      </w:pPr>
    </w:p>
    <w:p w:rsidR="00457AC4" w:rsidRPr="00E9087E" w:rsidRDefault="00457AC4" w:rsidP="00457AC4"/>
    <w:p w:rsidR="00457AC4" w:rsidRPr="00E9087E" w:rsidRDefault="00457AC4" w:rsidP="00457AC4"/>
    <w:p w:rsidR="00457AC4" w:rsidRPr="00E9087E" w:rsidRDefault="00457AC4" w:rsidP="00457AC4"/>
    <w:p w:rsidR="004C282B" w:rsidRDefault="004C282B">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4C282B" w:rsidRDefault="004C282B">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4C282B" w:rsidRDefault="004C282B">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4C282B" w:rsidRDefault="004C282B">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4C282B" w:rsidRDefault="004C282B">
      <w:pPr>
        <w:spacing w:after="0" w:line="240" w:lineRule="auto"/>
        <w:rPr>
          <w:rFonts w:asciiTheme="majorHAnsi" w:eastAsiaTheme="majorEastAsia" w:hAnsiTheme="majorHAnsi" w:cstheme="majorBidi"/>
          <w:b/>
          <w:bCs/>
          <w:noProof/>
          <w:color w:val="00353F" w:themeColor="accent1" w:themeShade="BF"/>
          <w:sz w:val="44"/>
          <w:szCs w:val="44"/>
          <w:lang w:eastAsia="en-AU"/>
        </w:rPr>
      </w:pPr>
      <w:r>
        <w:rPr>
          <w:rFonts w:asciiTheme="majorHAnsi" w:eastAsiaTheme="majorEastAsia" w:hAnsiTheme="majorHAnsi" w:cstheme="majorBidi"/>
          <w:b/>
          <w:bCs/>
          <w:noProof/>
          <w:color w:val="00353F" w:themeColor="accent1" w:themeShade="BF"/>
          <w:sz w:val="44"/>
          <w:szCs w:val="44"/>
          <w:lang w:eastAsia="en-AU"/>
        </w:rPr>
        <w:br w:type="page"/>
      </w:r>
    </w:p>
    <w:p w:rsidR="00795A30" w:rsidRDefault="00795A30">
      <w:pPr>
        <w:spacing w:after="0" w:line="240" w:lineRule="auto"/>
      </w:pPr>
      <w:bookmarkStart w:id="1" w:name="_Toc445816246"/>
      <w:bookmarkStart w:id="2" w:name="_Toc445816901"/>
      <w:bookmarkStart w:id="3" w:name="_Toc447125497"/>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795A30" w:rsidRDefault="00795A30">
      <w:pPr>
        <w:spacing w:after="0" w:line="240" w:lineRule="auto"/>
      </w:pPr>
    </w:p>
    <w:p w:rsidR="0090276D" w:rsidRDefault="0090276D">
      <w:pPr>
        <w:spacing w:after="0" w:line="240" w:lineRule="auto"/>
      </w:pPr>
    </w:p>
    <w:p w:rsidR="0090276D" w:rsidRDefault="0090276D">
      <w:pPr>
        <w:spacing w:after="0" w:line="240" w:lineRule="auto"/>
      </w:pPr>
    </w:p>
    <w:p w:rsidR="0090276D" w:rsidRDefault="0090276D">
      <w:pPr>
        <w:spacing w:after="0" w:line="240" w:lineRule="auto"/>
      </w:pPr>
    </w:p>
    <w:p w:rsidR="0090276D" w:rsidRDefault="0090276D">
      <w:pPr>
        <w:spacing w:after="0" w:line="240" w:lineRule="auto"/>
      </w:pPr>
    </w:p>
    <w:p w:rsidR="00795A30" w:rsidRDefault="00795A30">
      <w:pPr>
        <w:spacing w:after="0" w:line="240" w:lineRule="auto"/>
      </w:pPr>
    </w:p>
    <w:p w:rsidR="00795A30" w:rsidRDefault="00795A30">
      <w:pPr>
        <w:spacing w:after="0" w:line="240" w:lineRule="auto"/>
      </w:pPr>
    </w:p>
    <w:p w:rsidR="008F57CF" w:rsidRPr="006C4FD4" w:rsidRDefault="008F57CF" w:rsidP="008F57CF">
      <w:pPr>
        <w:spacing w:after="200" w:line="276" w:lineRule="auto"/>
        <w:rPr>
          <w:rFonts w:eastAsia="Arial"/>
          <w:b/>
        </w:rPr>
      </w:pPr>
      <w:r w:rsidRPr="00263A09">
        <w:rPr>
          <w:rFonts w:eastAsia="Arial"/>
          <w:b/>
        </w:rPr>
        <w:t>K</w:t>
      </w:r>
      <w:r>
        <w:rPr>
          <w:rFonts w:eastAsia="Arial"/>
          <w:b/>
        </w:rPr>
        <w:t>ey financial metrics on Australia’s higher education sector</w:t>
      </w:r>
      <w:r w:rsidR="00C22587">
        <w:rPr>
          <w:rFonts w:eastAsia="Arial"/>
          <w:b/>
        </w:rPr>
        <w:t xml:space="preserve"> -</w:t>
      </w:r>
      <w:r w:rsidR="005A43D3">
        <w:rPr>
          <w:rFonts w:eastAsia="Arial"/>
          <w:b/>
        </w:rPr>
        <w:t xml:space="preserve"> </w:t>
      </w:r>
      <w:r w:rsidR="00FE773B">
        <w:rPr>
          <w:rFonts w:eastAsia="Arial"/>
          <w:b/>
        </w:rPr>
        <w:t>December</w:t>
      </w:r>
      <w:r>
        <w:rPr>
          <w:rFonts w:eastAsia="Arial"/>
          <w:b/>
        </w:rPr>
        <w:t xml:space="preserve"> 2016</w:t>
      </w:r>
    </w:p>
    <w:p w:rsidR="00532325" w:rsidRPr="007A7DC1" w:rsidRDefault="00532325" w:rsidP="00532325">
      <w:pPr>
        <w:rPr>
          <w:rFonts w:eastAsia="Arial"/>
          <w:b/>
        </w:rPr>
      </w:pPr>
      <w:r w:rsidRPr="007A7DC1">
        <w:rPr>
          <w:rFonts w:eastAsia="Arial"/>
          <w:b/>
        </w:rPr>
        <w:t>ISSN: 2206-9844</w:t>
      </w:r>
    </w:p>
    <w:p w:rsidR="008F57CF" w:rsidRPr="006C4FD4" w:rsidRDefault="008F57CF" w:rsidP="008F57CF">
      <w:pPr>
        <w:rPr>
          <w:rFonts w:eastAsia="Arial"/>
          <w:sz w:val="20"/>
          <w:szCs w:val="20"/>
        </w:rPr>
      </w:pPr>
    </w:p>
    <w:p w:rsidR="008F57CF" w:rsidRPr="006C4FD4" w:rsidRDefault="008F57CF" w:rsidP="008F57CF">
      <w:pPr>
        <w:rPr>
          <w:rFonts w:eastAsia="Arial"/>
          <w:sz w:val="20"/>
          <w:szCs w:val="20"/>
        </w:rPr>
      </w:pPr>
      <w:r w:rsidRPr="006C4FD4">
        <w:rPr>
          <w:rFonts w:eastAsia="Arial"/>
          <w:sz w:val="20"/>
          <w:szCs w:val="20"/>
        </w:rPr>
        <w:t xml:space="preserve">With the exception of the Commonwealth Coat of Arms, TEQSA's logo, any material protected by a trade mark and where otherwise noted, all material presented in this document is provided under a Creative Commons Attribution </w:t>
      </w:r>
      <w:r w:rsidRPr="00263A09">
        <w:rPr>
          <w:rFonts w:eastAsia="Arial"/>
          <w:sz w:val="20"/>
          <w:szCs w:val="20"/>
        </w:rPr>
        <w:t>3.0 Australia licence</w:t>
      </w:r>
      <w:r w:rsidR="00352356">
        <w:rPr>
          <w:rFonts w:eastAsia="Arial"/>
          <w:sz w:val="20"/>
          <w:szCs w:val="20"/>
        </w:rPr>
        <w:t>:</w:t>
      </w:r>
      <w:r w:rsidRPr="00263A09">
        <w:rPr>
          <w:rFonts w:eastAsia="Arial"/>
          <w:sz w:val="20"/>
          <w:szCs w:val="20"/>
        </w:rPr>
        <w:t xml:space="preserve"> http://creativecommons.Org/licences/by/3.0/au/.</w:t>
      </w:r>
    </w:p>
    <w:p w:rsidR="008F57CF" w:rsidRPr="006C4FD4" w:rsidRDefault="008F57CF" w:rsidP="008F57CF">
      <w:pPr>
        <w:rPr>
          <w:rFonts w:eastAsia="Arial"/>
          <w:sz w:val="20"/>
          <w:szCs w:val="20"/>
        </w:rPr>
      </w:pPr>
      <w:r w:rsidRPr="006C4FD4">
        <w:rPr>
          <w:rFonts w:eastAsia="Arial"/>
          <w:sz w:val="20"/>
          <w:szCs w:val="20"/>
        </w:rPr>
        <w:t>The details of the relevant licence conditions are available on the Creative Commons website (accessible using the link provided) as is the full legal code for the CC BY 3.0 AU licence</w:t>
      </w:r>
      <w:r w:rsidR="00352356">
        <w:rPr>
          <w:rFonts w:eastAsia="Arial"/>
          <w:sz w:val="20"/>
          <w:szCs w:val="20"/>
        </w:rPr>
        <w:t>:</w:t>
      </w:r>
      <w:r w:rsidRPr="006C4FD4">
        <w:rPr>
          <w:rFonts w:eastAsia="Arial"/>
          <w:sz w:val="20"/>
          <w:szCs w:val="20"/>
        </w:rPr>
        <w:t xml:space="preserve"> http://creativecommons.org/licences/by/3.0/au/legalcode.</w:t>
      </w:r>
    </w:p>
    <w:p w:rsidR="0090276D" w:rsidRDefault="0090276D" w:rsidP="008F57CF">
      <w:pPr>
        <w:spacing w:after="200" w:line="276" w:lineRule="auto"/>
        <w:rPr>
          <w:rFonts w:eastAsia="Arial"/>
          <w:sz w:val="20"/>
          <w:szCs w:val="20"/>
        </w:rPr>
      </w:pPr>
      <w:r w:rsidRPr="006C4FD4">
        <w:rPr>
          <w:rFonts w:eastAsia="Arial"/>
          <w:noProof/>
          <w:lang w:eastAsia="en-AU"/>
        </w:rPr>
        <w:drawing>
          <wp:anchor distT="63500" distB="63500" distL="63500" distR="63500" simplePos="0" relativeHeight="251655680" behindDoc="1" locked="0" layoutInCell="1" allowOverlap="1" wp14:anchorId="00798827" wp14:editId="5168F72A">
            <wp:simplePos x="0" y="0"/>
            <wp:positionH relativeFrom="margin">
              <wp:posOffset>8255</wp:posOffset>
            </wp:positionH>
            <wp:positionV relativeFrom="margin">
              <wp:posOffset>5491480</wp:posOffset>
            </wp:positionV>
            <wp:extent cx="770890" cy="287020"/>
            <wp:effectExtent l="0" t="0" r="0" b="0"/>
            <wp:wrapTight wrapText="bothSides">
              <wp:wrapPolygon edited="0">
                <wp:start x="0" y="0"/>
                <wp:lineTo x="0" y="20071"/>
                <wp:lineTo x="20817" y="20071"/>
                <wp:lineTo x="20817" y="0"/>
                <wp:lineTo x="0" y="0"/>
              </wp:wrapPolygon>
            </wp:wrapTight>
            <wp:docPr id="19" name="Pictur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890" cy="287020"/>
                    </a:xfrm>
                    <a:prstGeom prst="rect">
                      <a:avLst/>
                    </a:prstGeom>
                    <a:noFill/>
                  </pic:spPr>
                </pic:pic>
              </a:graphicData>
            </a:graphic>
            <wp14:sizeRelH relativeFrom="page">
              <wp14:pctWidth>0</wp14:pctWidth>
            </wp14:sizeRelH>
            <wp14:sizeRelV relativeFrom="page">
              <wp14:pctHeight>0</wp14:pctHeight>
            </wp14:sizeRelV>
          </wp:anchor>
        </w:drawing>
      </w:r>
    </w:p>
    <w:p w:rsidR="0090276D" w:rsidRDefault="0090276D" w:rsidP="008F57CF">
      <w:pPr>
        <w:spacing w:after="200" w:line="276" w:lineRule="auto"/>
        <w:rPr>
          <w:rFonts w:eastAsia="Arial"/>
          <w:sz w:val="20"/>
          <w:szCs w:val="20"/>
        </w:rPr>
      </w:pPr>
    </w:p>
    <w:p w:rsidR="008F57CF" w:rsidRPr="006C4FD4" w:rsidRDefault="008F57CF" w:rsidP="008F57CF">
      <w:pPr>
        <w:spacing w:after="200" w:line="276" w:lineRule="auto"/>
        <w:rPr>
          <w:rFonts w:eastAsia="Arial"/>
          <w:sz w:val="20"/>
          <w:szCs w:val="20"/>
        </w:rPr>
      </w:pPr>
      <w:r w:rsidRPr="006C4FD4">
        <w:rPr>
          <w:rFonts w:eastAsia="Arial"/>
          <w:sz w:val="20"/>
          <w:szCs w:val="20"/>
        </w:rPr>
        <w:t>The document must be attributed</w:t>
      </w:r>
      <w:r w:rsidR="00352356">
        <w:rPr>
          <w:rFonts w:eastAsia="Arial"/>
          <w:sz w:val="20"/>
          <w:szCs w:val="20"/>
        </w:rPr>
        <w:t>:</w:t>
      </w:r>
      <w:r w:rsidRPr="006C4FD4">
        <w:rPr>
          <w:rFonts w:eastAsia="Arial"/>
          <w:sz w:val="20"/>
          <w:szCs w:val="20"/>
        </w:rPr>
        <w:t xml:space="preserve"> </w:t>
      </w:r>
      <w:r w:rsidRPr="008F57CF">
        <w:rPr>
          <w:rFonts w:eastAsia="Arial"/>
          <w:sz w:val="20"/>
          <w:szCs w:val="20"/>
        </w:rPr>
        <w:t>T</w:t>
      </w:r>
      <w:r w:rsidR="00352356">
        <w:rPr>
          <w:rFonts w:eastAsia="Arial"/>
          <w:sz w:val="20"/>
          <w:szCs w:val="20"/>
        </w:rPr>
        <w:t>ertiary Education Quality and Standards Agency,</w:t>
      </w:r>
      <w:r w:rsidRPr="008F57CF">
        <w:rPr>
          <w:rFonts w:eastAsia="Arial"/>
          <w:sz w:val="20"/>
          <w:szCs w:val="20"/>
        </w:rPr>
        <w:t xml:space="preserve"> </w:t>
      </w:r>
      <w:r w:rsidRPr="00263A09">
        <w:rPr>
          <w:rFonts w:eastAsia="Arial"/>
          <w:i/>
          <w:sz w:val="20"/>
          <w:szCs w:val="20"/>
        </w:rPr>
        <w:t>Key financial metrics on Australia’s higher education sector</w:t>
      </w:r>
      <w:r w:rsidR="00C22587">
        <w:rPr>
          <w:rFonts w:eastAsia="Arial"/>
          <w:i/>
          <w:sz w:val="20"/>
          <w:szCs w:val="20"/>
        </w:rPr>
        <w:t xml:space="preserve"> </w:t>
      </w:r>
      <w:r w:rsidR="00FE773B">
        <w:rPr>
          <w:rFonts w:eastAsia="Arial"/>
          <w:i/>
          <w:sz w:val="20"/>
          <w:szCs w:val="20"/>
        </w:rPr>
        <w:t>–</w:t>
      </w:r>
      <w:r w:rsidR="00352356" w:rsidRPr="00263A09">
        <w:rPr>
          <w:rFonts w:eastAsia="Arial"/>
          <w:i/>
          <w:sz w:val="20"/>
          <w:szCs w:val="20"/>
        </w:rPr>
        <w:t xml:space="preserve"> </w:t>
      </w:r>
      <w:r w:rsidR="00FE773B">
        <w:rPr>
          <w:rFonts w:eastAsia="Arial"/>
          <w:i/>
          <w:sz w:val="20"/>
          <w:szCs w:val="20"/>
        </w:rPr>
        <w:t xml:space="preserve">December </w:t>
      </w:r>
      <w:r w:rsidRPr="00263A09">
        <w:rPr>
          <w:rFonts w:eastAsia="Arial"/>
          <w:i/>
          <w:sz w:val="20"/>
          <w:szCs w:val="20"/>
        </w:rPr>
        <w:t>2016</w:t>
      </w:r>
      <w:r w:rsidR="00E05E70">
        <w:rPr>
          <w:rFonts w:eastAsia="Arial"/>
          <w:sz w:val="20"/>
          <w:szCs w:val="20"/>
        </w:rPr>
        <w:t>.</w:t>
      </w:r>
    </w:p>
    <w:p w:rsidR="008F57CF" w:rsidRPr="006C4FD4" w:rsidRDefault="008F57CF" w:rsidP="008F57CF">
      <w:pPr>
        <w:rPr>
          <w:rFonts w:eastAsia="Arial"/>
          <w:b/>
          <w:sz w:val="20"/>
          <w:szCs w:val="20"/>
        </w:rPr>
      </w:pPr>
      <w:r w:rsidRPr="006C4FD4">
        <w:rPr>
          <w:rFonts w:eastAsia="Arial"/>
          <w:b/>
          <w:sz w:val="20"/>
          <w:szCs w:val="20"/>
        </w:rPr>
        <w:t>Contacts</w:t>
      </w:r>
    </w:p>
    <w:p w:rsidR="008F57CF" w:rsidRPr="006C4FD4" w:rsidRDefault="008F57CF" w:rsidP="008F57CF">
      <w:pPr>
        <w:rPr>
          <w:rFonts w:eastAsia="Arial"/>
          <w:sz w:val="20"/>
          <w:szCs w:val="20"/>
        </w:rPr>
      </w:pPr>
      <w:r w:rsidRPr="006C4FD4">
        <w:rPr>
          <w:rFonts w:eastAsia="Arial"/>
          <w:sz w:val="20"/>
          <w:szCs w:val="20"/>
        </w:rPr>
        <w:t>More information about the Tertiary Education Quality and Standards Agency, including electronic versions of this report, is available at</w:t>
      </w:r>
      <w:r w:rsidR="00352356">
        <w:rPr>
          <w:rFonts w:eastAsia="Arial"/>
          <w:sz w:val="20"/>
          <w:szCs w:val="20"/>
        </w:rPr>
        <w:t>:</w:t>
      </w:r>
      <w:r w:rsidRPr="006C4FD4">
        <w:rPr>
          <w:rFonts w:eastAsia="Arial"/>
          <w:sz w:val="20"/>
          <w:szCs w:val="20"/>
        </w:rPr>
        <w:t xml:space="preserve"> </w:t>
      </w:r>
      <w:r w:rsidR="00532325" w:rsidRPr="00F2485F">
        <w:rPr>
          <w:rFonts w:eastAsia="Arial"/>
          <w:sz w:val="20"/>
          <w:szCs w:val="20"/>
        </w:rPr>
        <w:t>http://teqsa.gov.au/news-publications/publications</w:t>
      </w:r>
    </w:p>
    <w:p w:rsidR="008F57CF" w:rsidRPr="006C4FD4" w:rsidRDefault="008F57CF" w:rsidP="008F57CF">
      <w:pPr>
        <w:rPr>
          <w:rFonts w:eastAsia="Arial"/>
          <w:sz w:val="20"/>
          <w:szCs w:val="20"/>
        </w:rPr>
      </w:pPr>
      <w:r w:rsidRPr="006C4FD4">
        <w:rPr>
          <w:rFonts w:eastAsia="Arial"/>
          <w:sz w:val="20"/>
          <w:szCs w:val="20"/>
        </w:rPr>
        <w:t>Comments and enquiries about this report may be directed to:</w:t>
      </w:r>
    </w:p>
    <w:p w:rsidR="008F57CF" w:rsidRPr="006C4FD4" w:rsidRDefault="008F57CF" w:rsidP="008F57CF">
      <w:pPr>
        <w:spacing w:after="0"/>
        <w:rPr>
          <w:rFonts w:eastAsia="Arial"/>
          <w:sz w:val="20"/>
          <w:szCs w:val="20"/>
        </w:rPr>
      </w:pPr>
      <w:r w:rsidRPr="006C4FD4">
        <w:rPr>
          <w:rFonts w:eastAsia="Arial"/>
          <w:sz w:val="20"/>
          <w:szCs w:val="20"/>
        </w:rPr>
        <w:t>Communications Manager</w:t>
      </w:r>
    </w:p>
    <w:p w:rsidR="008F57CF" w:rsidRPr="006C4FD4" w:rsidRDefault="008F57CF" w:rsidP="008F57CF">
      <w:pPr>
        <w:spacing w:after="0"/>
        <w:rPr>
          <w:rFonts w:eastAsia="Arial"/>
          <w:sz w:val="20"/>
          <w:szCs w:val="20"/>
        </w:rPr>
      </w:pPr>
      <w:r w:rsidRPr="006C4FD4">
        <w:rPr>
          <w:rFonts w:eastAsia="Arial"/>
          <w:sz w:val="20"/>
          <w:szCs w:val="20"/>
        </w:rPr>
        <w:t>Tertiary Education Quality and Standards Agency</w:t>
      </w:r>
    </w:p>
    <w:p w:rsidR="008F57CF" w:rsidRPr="006C4FD4" w:rsidRDefault="008F57CF" w:rsidP="008F57CF">
      <w:pPr>
        <w:spacing w:after="0"/>
        <w:rPr>
          <w:rFonts w:eastAsia="Arial"/>
          <w:sz w:val="20"/>
          <w:szCs w:val="20"/>
        </w:rPr>
      </w:pPr>
      <w:r w:rsidRPr="006C4FD4">
        <w:rPr>
          <w:rFonts w:eastAsia="Arial"/>
          <w:sz w:val="20"/>
          <w:szCs w:val="20"/>
        </w:rPr>
        <w:t>Level 14/530 Collins Street</w:t>
      </w:r>
    </w:p>
    <w:p w:rsidR="008F57CF" w:rsidRPr="006C4FD4" w:rsidRDefault="008F57CF" w:rsidP="008F57CF">
      <w:pPr>
        <w:spacing w:after="0"/>
        <w:rPr>
          <w:rFonts w:eastAsia="Arial"/>
          <w:sz w:val="20"/>
          <w:szCs w:val="20"/>
        </w:rPr>
      </w:pPr>
      <w:r w:rsidRPr="006C4FD4">
        <w:rPr>
          <w:rFonts w:eastAsia="Arial"/>
          <w:sz w:val="20"/>
          <w:szCs w:val="20"/>
        </w:rPr>
        <w:t>MELBOURNE VIC 3001</w:t>
      </w:r>
    </w:p>
    <w:p w:rsidR="008F57CF" w:rsidRPr="006C4FD4" w:rsidRDefault="008F57CF" w:rsidP="008F57CF">
      <w:pPr>
        <w:spacing w:after="0"/>
        <w:rPr>
          <w:rFonts w:eastAsia="Arial"/>
          <w:sz w:val="20"/>
          <w:szCs w:val="20"/>
        </w:rPr>
      </w:pPr>
      <w:r w:rsidRPr="006C4FD4">
        <w:rPr>
          <w:rFonts w:eastAsia="Arial"/>
          <w:sz w:val="20"/>
          <w:szCs w:val="20"/>
        </w:rPr>
        <w:t>T: 1300 739 585</w:t>
      </w:r>
    </w:p>
    <w:p w:rsidR="008F57CF" w:rsidRPr="006C4FD4" w:rsidRDefault="008F57CF" w:rsidP="008F57CF">
      <w:pPr>
        <w:spacing w:after="0"/>
        <w:rPr>
          <w:rFonts w:eastAsia="Arial"/>
          <w:sz w:val="20"/>
          <w:szCs w:val="20"/>
        </w:rPr>
      </w:pPr>
      <w:r w:rsidRPr="006C4FD4">
        <w:rPr>
          <w:rFonts w:eastAsia="Arial"/>
          <w:sz w:val="20"/>
          <w:szCs w:val="20"/>
        </w:rPr>
        <w:t>F: 1300 739 586</w:t>
      </w:r>
    </w:p>
    <w:p w:rsidR="009C4A56" w:rsidRDefault="009E11A2" w:rsidP="008F57CF">
      <w:pPr>
        <w:spacing w:after="0" w:line="240" w:lineRule="auto"/>
        <w:rPr>
          <w:highlight w:val="yellow"/>
        </w:rPr>
      </w:pPr>
      <w:r>
        <w:rPr>
          <w:rFonts w:eastAsia="Arial"/>
          <w:sz w:val="20"/>
          <w:szCs w:val="20"/>
        </w:rPr>
        <w:t xml:space="preserve">E: </w:t>
      </w:r>
      <w:hyperlink r:id="rId11" w:history="1">
        <w:r w:rsidR="00886188" w:rsidRPr="00C946BF">
          <w:rPr>
            <w:rStyle w:val="Hyperlink"/>
            <w:rFonts w:eastAsia="Arial"/>
            <w:sz w:val="20"/>
            <w:szCs w:val="20"/>
          </w:rPr>
          <w:t>collections@teqsa.gov.au</w:t>
        </w:r>
      </w:hyperlink>
    </w:p>
    <w:p w:rsidR="006E6FAE" w:rsidRPr="00614850" w:rsidRDefault="00991991" w:rsidP="00F01F16">
      <w:pPr>
        <w:pStyle w:val="H1"/>
      </w:pPr>
      <w:bookmarkStart w:id="4" w:name="_Toc465154937"/>
      <w:bookmarkStart w:id="5" w:name="_Toc467075169"/>
      <w:r w:rsidRPr="00614850">
        <w:lastRenderedPageBreak/>
        <w:t>Contents</w:t>
      </w:r>
      <w:bookmarkEnd w:id="1"/>
      <w:bookmarkEnd w:id="2"/>
      <w:bookmarkEnd w:id="3"/>
      <w:bookmarkEnd w:id="4"/>
      <w:bookmarkEnd w:id="5"/>
    </w:p>
    <w:p w:rsidR="006E6FAE" w:rsidRPr="00614850" w:rsidRDefault="006E6FAE">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770B13" w:rsidRPr="00770B13" w:rsidRDefault="00FF775E">
      <w:pPr>
        <w:pStyle w:val="TOC1"/>
        <w:tabs>
          <w:tab w:val="right" w:leader="dot" w:pos="9346"/>
        </w:tabs>
        <w:rPr>
          <w:rStyle w:val="Hyperlink"/>
        </w:rPr>
      </w:pPr>
      <w:r w:rsidRPr="002D0A5B">
        <w:rPr>
          <w:rStyle w:val="Hyperlink"/>
        </w:rPr>
        <w:fldChar w:fldCharType="begin"/>
      </w:r>
      <w:r w:rsidRPr="002D0A5B">
        <w:rPr>
          <w:rStyle w:val="Hyperlink"/>
        </w:rPr>
        <w:instrText xml:space="preserve"> TOC \h \z \t "H1,1" </w:instrText>
      </w:r>
      <w:r w:rsidRPr="002D0A5B">
        <w:rPr>
          <w:rStyle w:val="Hyperlink"/>
        </w:rPr>
        <w:fldChar w:fldCharType="separate"/>
      </w:r>
    </w:p>
    <w:p w:rsidR="00770B13" w:rsidRPr="00770B13" w:rsidRDefault="00EB6487">
      <w:pPr>
        <w:pStyle w:val="TOC1"/>
        <w:tabs>
          <w:tab w:val="right" w:leader="dot" w:pos="9346"/>
        </w:tabs>
        <w:rPr>
          <w:rStyle w:val="Hyperlink"/>
        </w:rPr>
      </w:pPr>
      <w:hyperlink w:anchor="_Toc467075170" w:history="1">
        <w:r w:rsidR="00770B13" w:rsidRPr="00AD6283">
          <w:rPr>
            <w:rStyle w:val="Hyperlink"/>
            <w:noProof/>
          </w:rPr>
          <w:t>Introduction</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_Toc467075170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4</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71" w:history="1">
        <w:r w:rsidR="00770B13" w:rsidRPr="00AD6283">
          <w:rPr>
            <w:rStyle w:val="Hyperlink"/>
            <w:noProof/>
          </w:rPr>
          <w:t>1. The sector at a glance</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_Toc467075171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6</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73" w:history="1">
        <w:r w:rsidR="00770B13" w:rsidRPr="00AD6283">
          <w:rPr>
            <w:rStyle w:val="Hyperlink"/>
            <w:noProof/>
          </w:rPr>
          <w:t>2. Sector financial profile</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_Toc467075173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8</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74" w:history="1">
        <w:r w:rsidR="00770B13" w:rsidRPr="00AD6283">
          <w:rPr>
            <w:rStyle w:val="Hyperlink"/>
            <w:noProof/>
          </w:rPr>
          <w:t>3. Provider type</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_Toc467075174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12</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75" w:history="1">
        <w:r w:rsidR="00770B13" w:rsidRPr="00AD6283">
          <w:rPr>
            <w:rStyle w:val="Hyperlink"/>
            <w:noProof/>
          </w:rPr>
          <w:t>4. Key financial metrics</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_Toc467075175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14</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77" w:history="1">
        <w:r w:rsidR="00770B13" w:rsidRPr="00AD6283">
          <w:rPr>
            <w:rStyle w:val="Hyperlink"/>
            <w:noProof/>
          </w:rPr>
          <w:t xml:space="preserve">5. Revenue from </w:t>
        </w:r>
        <w:r w:rsidR="007744F0">
          <w:rPr>
            <w:rStyle w:val="Hyperlink"/>
            <w:noProof/>
          </w:rPr>
          <w:t>i</w:t>
        </w:r>
        <w:r w:rsidR="00770B13" w:rsidRPr="00AD6283">
          <w:rPr>
            <w:rStyle w:val="Hyperlink"/>
            <w:noProof/>
          </w:rPr>
          <w:t>nternational students</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_Toc467075177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28</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78" w:history="1">
        <w:r w:rsidR="00770B13" w:rsidRPr="00AD6283">
          <w:rPr>
            <w:rStyle w:val="Hyperlink"/>
            <w:noProof/>
          </w:rPr>
          <w:t>Appendix A: Universities</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_Toc467075178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34</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79" w:history="1">
        <w:r w:rsidR="00770B13" w:rsidRPr="00770B13">
          <w:rPr>
            <w:rStyle w:val="Hyperlink"/>
            <w:noProof/>
          </w:rPr>
          <w:t>Appendix B: For-Profit</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_Toc467075179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37</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80" w:history="1">
        <w:r w:rsidR="00770B13" w:rsidRPr="00AD6283">
          <w:rPr>
            <w:rStyle w:val="Hyperlink"/>
            <w:noProof/>
          </w:rPr>
          <w:t>Appendix C: Not-For-Profit</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_Toc467075180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40</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81" w:history="1">
        <w:r w:rsidR="00770B13" w:rsidRPr="00AD6283">
          <w:rPr>
            <w:rStyle w:val="Hyperlink"/>
            <w:noProof/>
          </w:rPr>
          <w:t>Appendix D: TAFE</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_Toc467075181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43</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82" w:history="1">
        <w:r w:rsidR="00770B13" w:rsidRPr="00AD6283">
          <w:rPr>
            <w:rStyle w:val="Hyperlink"/>
            <w:noProof/>
          </w:rPr>
          <w:t xml:space="preserve">Appendix E: Provider size - Key financial metrics and international student revenue </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_Toc467075182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46</w:t>
        </w:r>
        <w:r w:rsidR="00770B13" w:rsidRPr="00770B13">
          <w:rPr>
            <w:rStyle w:val="Hyperlink"/>
            <w:webHidden/>
          </w:rPr>
          <w:fldChar w:fldCharType="end"/>
        </w:r>
      </w:hyperlink>
    </w:p>
    <w:p w:rsidR="00770B13" w:rsidRPr="00770B13" w:rsidRDefault="00EB6487">
      <w:pPr>
        <w:pStyle w:val="TOC1"/>
        <w:tabs>
          <w:tab w:val="right" w:leader="dot" w:pos="9346"/>
        </w:tabs>
        <w:rPr>
          <w:rStyle w:val="Hyperlink"/>
        </w:rPr>
      </w:pPr>
      <w:hyperlink w:anchor="_Toc467075183" w:history="1">
        <w:r w:rsidR="00770B13" w:rsidRPr="00AD6283">
          <w:rPr>
            <w:rStyle w:val="Hyperlink"/>
            <w:noProof/>
          </w:rPr>
          <w:t>Explanatory notes</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_Toc467075183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53</w:t>
        </w:r>
        <w:r w:rsidR="00770B13" w:rsidRPr="00770B13">
          <w:rPr>
            <w:rStyle w:val="Hyperlink"/>
            <w:webHidden/>
          </w:rPr>
          <w:fldChar w:fldCharType="end"/>
        </w:r>
      </w:hyperlink>
    </w:p>
    <w:p w:rsidR="00770B13" w:rsidRDefault="00EB6487">
      <w:pPr>
        <w:pStyle w:val="TOC1"/>
        <w:tabs>
          <w:tab w:val="right" w:leader="dot" w:pos="9346"/>
        </w:tabs>
        <w:rPr>
          <w:noProof/>
          <w:lang w:val="en-AU" w:eastAsia="en-AU"/>
        </w:rPr>
      </w:pPr>
      <w:hyperlink w:anchor="_Toc467075184" w:history="1">
        <w:r w:rsidR="00770B13" w:rsidRPr="00AD6283">
          <w:rPr>
            <w:rStyle w:val="Hyperlink"/>
            <w:noProof/>
          </w:rPr>
          <w:t>Glossary</w:t>
        </w:r>
        <w:r w:rsidR="00770B13" w:rsidRPr="00770B13">
          <w:rPr>
            <w:rStyle w:val="Hyperlink"/>
            <w:webHidden/>
          </w:rPr>
          <w:tab/>
        </w:r>
        <w:r w:rsidR="00770B13" w:rsidRPr="00770B13">
          <w:rPr>
            <w:rStyle w:val="Hyperlink"/>
            <w:webHidden/>
          </w:rPr>
          <w:fldChar w:fldCharType="begin"/>
        </w:r>
        <w:r w:rsidR="00770B13" w:rsidRPr="00770B13">
          <w:rPr>
            <w:rStyle w:val="Hyperlink"/>
            <w:webHidden/>
          </w:rPr>
          <w:instrText xml:space="preserve"> PAGEREF _Toc467075184 \h </w:instrText>
        </w:r>
        <w:r w:rsidR="00770B13" w:rsidRPr="00770B13">
          <w:rPr>
            <w:rStyle w:val="Hyperlink"/>
            <w:webHidden/>
          </w:rPr>
        </w:r>
        <w:r w:rsidR="00770B13" w:rsidRPr="00770B13">
          <w:rPr>
            <w:rStyle w:val="Hyperlink"/>
            <w:webHidden/>
          </w:rPr>
          <w:fldChar w:fldCharType="separate"/>
        </w:r>
        <w:r w:rsidR="008C2915">
          <w:rPr>
            <w:rStyle w:val="Hyperlink"/>
            <w:noProof/>
            <w:webHidden/>
          </w:rPr>
          <w:t>54</w:t>
        </w:r>
        <w:r w:rsidR="00770B13" w:rsidRPr="00770B13">
          <w:rPr>
            <w:rStyle w:val="Hyperlink"/>
            <w:webHidden/>
          </w:rPr>
          <w:fldChar w:fldCharType="end"/>
        </w:r>
      </w:hyperlink>
    </w:p>
    <w:p w:rsidR="00991991" w:rsidRPr="00FF775E" w:rsidRDefault="00FF775E" w:rsidP="00C855A0">
      <w:pPr>
        <w:pStyle w:val="Heading1"/>
        <w:spacing w:after="120" w:line="360" w:lineRule="auto"/>
        <w:rPr>
          <w:b w:val="0"/>
          <w:bCs w:val="0"/>
          <w:noProof/>
          <w:sz w:val="48"/>
          <w:szCs w:val="44"/>
          <w:lang w:eastAsia="en-AU"/>
        </w:rPr>
      </w:pPr>
      <w:r w:rsidRPr="002D0A5B">
        <w:rPr>
          <w:rStyle w:val="Hyperlink"/>
          <w:rFonts w:eastAsiaTheme="minorEastAsia" w:cstheme="minorBidi"/>
          <w:sz w:val="22"/>
          <w:szCs w:val="22"/>
          <w:lang w:val="en-US" w:eastAsia="ja-JP"/>
        </w:rPr>
        <w:fldChar w:fldCharType="end"/>
      </w:r>
      <w:r w:rsidR="00991991" w:rsidRPr="00FF775E">
        <w:rPr>
          <w:b w:val="0"/>
          <w:bCs w:val="0"/>
          <w:noProof/>
          <w:sz w:val="48"/>
          <w:szCs w:val="44"/>
          <w:lang w:eastAsia="en-AU"/>
        </w:rPr>
        <w:br w:type="page"/>
      </w:r>
    </w:p>
    <w:p w:rsidR="006E358D" w:rsidRDefault="006E358D" w:rsidP="00F01F16">
      <w:pPr>
        <w:pStyle w:val="H1"/>
        <w:rPr>
          <w:sz w:val="40"/>
          <w:szCs w:val="40"/>
        </w:rPr>
        <w:sectPr w:rsidR="006E358D" w:rsidSect="00C07B68">
          <w:headerReference w:type="default" r:id="rId12"/>
          <w:footerReference w:type="default" r:id="rId13"/>
          <w:headerReference w:type="first" r:id="rId14"/>
          <w:footerReference w:type="first" r:id="rId15"/>
          <w:pgSz w:w="11906" w:h="16838"/>
          <w:pgMar w:top="1103" w:right="1274" w:bottom="1276" w:left="1276" w:header="709" w:footer="709" w:gutter="0"/>
          <w:cols w:space="708"/>
          <w:titlePg/>
          <w:docGrid w:linePitch="360"/>
        </w:sectPr>
      </w:pPr>
    </w:p>
    <w:p w:rsidR="000A7CF4" w:rsidRPr="005E7491" w:rsidRDefault="000A7CF4" w:rsidP="00EA005A">
      <w:pPr>
        <w:pStyle w:val="H1"/>
        <w:spacing w:after="120"/>
        <w:rPr>
          <w:sz w:val="40"/>
          <w:szCs w:val="40"/>
        </w:rPr>
      </w:pPr>
      <w:bookmarkStart w:id="6" w:name="_Toc467075170"/>
      <w:r w:rsidRPr="005E7491">
        <w:rPr>
          <w:sz w:val="40"/>
          <w:szCs w:val="40"/>
        </w:rPr>
        <w:lastRenderedPageBreak/>
        <w:t>Introduction</w:t>
      </w:r>
      <w:bookmarkEnd w:id="6"/>
    </w:p>
    <w:p w:rsidR="00A44C12" w:rsidRPr="00B86171" w:rsidRDefault="00A44C12" w:rsidP="00A44C12">
      <w:pPr>
        <w:rPr>
          <w:rFonts w:ascii="Arial" w:hAnsi="Arial" w:cs="Arial"/>
          <w:sz w:val="22"/>
          <w:szCs w:val="22"/>
        </w:rPr>
      </w:pPr>
      <w:r>
        <w:rPr>
          <w:rFonts w:ascii="Arial" w:hAnsi="Arial" w:cs="Arial"/>
          <w:sz w:val="22"/>
          <w:szCs w:val="22"/>
        </w:rPr>
        <w:t>Th</w:t>
      </w:r>
      <w:r w:rsidR="008410D8">
        <w:rPr>
          <w:rFonts w:ascii="Arial" w:hAnsi="Arial" w:cs="Arial"/>
          <w:sz w:val="22"/>
          <w:szCs w:val="22"/>
        </w:rPr>
        <w:t xml:space="preserve">is </w:t>
      </w:r>
      <w:r>
        <w:rPr>
          <w:rFonts w:ascii="Arial" w:hAnsi="Arial" w:cs="Arial"/>
          <w:sz w:val="22"/>
          <w:szCs w:val="22"/>
        </w:rPr>
        <w:t>report is the second release of financial information held by T</w:t>
      </w:r>
      <w:r w:rsidR="00F7523B">
        <w:rPr>
          <w:rFonts w:ascii="Arial" w:hAnsi="Arial" w:cs="Arial"/>
          <w:sz w:val="22"/>
          <w:szCs w:val="22"/>
        </w:rPr>
        <w:t>ertiary Education Quality and Standards Agency (T</w:t>
      </w:r>
      <w:r>
        <w:rPr>
          <w:rFonts w:ascii="Arial" w:hAnsi="Arial" w:cs="Arial"/>
          <w:sz w:val="22"/>
          <w:szCs w:val="22"/>
        </w:rPr>
        <w:t>EQSA</w:t>
      </w:r>
      <w:r w:rsidR="00F7523B">
        <w:rPr>
          <w:rFonts w:ascii="Arial" w:hAnsi="Arial" w:cs="Arial"/>
          <w:sz w:val="22"/>
          <w:szCs w:val="22"/>
        </w:rPr>
        <w:t>)</w:t>
      </w:r>
      <w:r w:rsidR="002D4F32">
        <w:rPr>
          <w:rFonts w:ascii="Arial" w:hAnsi="Arial" w:cs="Arial"/>
          <w:sz w:val="22"/>
          <w:szCs w:val="22"/>
        </w:rPr>
        <w:t xml:space="preserve">. It </w:t>
      </w:r>
      <w:r>
        <w:rPr>
          <w:rFonts w:ascii="Arial" w:hAnsi="Arial" w:cs="Arial"/>
          <w:sz w:val="22"/>
          <w:szCs w:val="22"/>
        </w:rPr>
        <w:t>provides a snapshot of selected key financial metrics across the Australian higher education sector</w:t>
      </w:r>
      <w:r w:rsidR="00EA005A">
        <w:rPr>
          <w:rFonts w:ascii="Arial" w:hAnsi="Arial" w:cs="Arial"/>
          <w:sz w:val="22"/>
          <w:szCs w:val="22"/>
        </w:rPr>
        <w:t>. Data in this report has been sourced from TEQSA’s</w:t>
      </w:r>
      <w:r>
        <w:rPr>
          <w:rFonts w:ascii="Arial" w:hAnsi="Arial" w:cs="Arial"/>
          <w:sz w:val="22"/>
          <w:szCs w:val="22"/>
        </w:rPr>
        <w:t xml:space="preserve"> </w:t>
      </w:r>
      <w:r w:rsidR="00EA005A">
        <w:rPr>
          <w:rFonts w:ascii="Arial" w:hAnsi="Arial" w:cs="Arial"/>
          <w:sz w:val="22"/>
          <w:szCs w:val="22"/>
        </w:rPr>
        <w:t xml:space="preserve">2015 data collection and relates to </w:t>
      </w:r>
      <w:r w:rsidR="002D4F32">
        <w:rPr>
          <w:rFonts w:ascii="Arial" w:hAnsi="Arial" w:cs="Arial"/>
          <w:sz w:val="22"/>
          <w:szCs w:val="22"/>
        </w:rPr>
        <w:t>financial</w:t>
      </w:r>
      <w:r w:rsidR="00EA005A">
        <w:rPr>
          <w:rFonts w:ascii="Arial" w:hAnsi="Arial" w:cs="Arial"/>
          <w:sz w:val="22"/>
          <w:szCs w:val="22"/>
        </w:rPr>
        <w:t xml:space="preserve"> years ended 31 December 2014 until</w:t>
      </w:r>
      <w:r w:rsidR="002D4F32">
        <w:rPr>
          <w:rFonts w:ascii="Arial" w:hAnsi="Arial" w:cs="Arial"/>
          <w:sz w:val="22"/>
          <w:szCs w:val="22"/>
        </w:rPr>
        <w:t xml:space="preserve"> 30 June 2015. </w:t>
      </w:r>
    </w:p>
    <w:p w:rsidR="005E7491" w:rsidRPr="005E7491" w:rsidRDefault="005E7491" w:rsidP="000A7CF4">
      <w:pPr>
        <w:rPr>
          <w:rFonts w:ascii="Arial" w:hAnsi="Arial" w:cs="Arial"/>
          <w:sz w:val="22"/>
          <w:szCs w:val="22"/>
        </w:rPr>
      </w:pPr>
      <w:r w:rsidRPr="005E7491">
        <w:rPr>
          <w:rFonts w:ascii="Arial" w:hAnsi="Arial" w:cs="Arial"/>
          <w:sz w:val="22"/>
          <w:szCs w:val="22"/>
        </w:rPr>
        <w:t>T</w:t>
      </w:r>
      <w:r w:rsidR="0046452D" w:rsidRPr="005E7491">
        <w:rPr>
          <w:rFonts w:ascii="Arial" w:hAnsi="Arial" w:cs="Arial"/>
          <w:sz w:val="22"/>
          <w:szCs w:val="22"/>
        </w:rPr>
        <w:t>EQSA is committed to ensuring that stakeholders in Australia’s higher education sector have access to relevant information to</w:t>
      </w:r>
      <w:r w:rsidR="00252521" w:rsidRPr="005E7491">
        <w:rPr>
          <w:rFonts w:ascii="Arial" w:hAnsi="Arial" w:cs="Arial"/>
          <w:sz w:val="22"/>
          <w:szCs w:val="22"/>
        </w:rPr>
        <w:t xml:space="preserve"> enable and</w:t>
      </w:r>
      <w:r w:rsidR="0046452D" w:rsidRPr="005E7491">
        <w:rPr>
          <w:rFonts w:ascii="Arial" w:hAnsi="Arial" w:cs="Arial"/>
          <w:sz w:val="22"/>
          <w:szCs w:val="22"/>
        </w:rPr>
        <w:t xml:space="preserve"> better inform decision making. </w:t>
      </w:r>
      <w:r w:rsidR="00874770" w:rsidRPr="005E7491">
        <w:rPr>
          <w:rFonts w:ascii="Arial" w:hAnsi="Arial" w:cs="Arial"/>
          <w:sz w:val="22"/>
          <w:szCs w:val="22"/>
        </w:rPr>
        <w:t>TEQSA works closely with the Department of Education and Training and other agencies to collect data on the sector and</w:t>
      </w:r>
      <w:r w:rsidRPr="005E7491">
        <w:rPr>
          <w:rFonts w:ascii="Arial" w:hAnsi="Arial" w:cs="Arial"/>
          <w:sz w:val="22"/>
          <w:szCs w:val="22"/>
        </w:rPr>
        <w:t xml:space="preserve"> to</w:t>
      </w:r>
      <w:r w:rsidR="00874770" w:rsidRPr="005E7491">
        <w:rPr>
          <w:rFonts w:ascii="Arial" w:hAnsi="Arial" w:cs="Arial"/>
          <w:sz w:val="22"/>
          <w:szCs w:val="22"/>
        </w:rPr>
        <w:t xml:space="preserve"> minimise the</w:t>
      </w:r>
      <w:r w:rsidRPr="005E7491">
        <w:rPr>
          <w:rFonts w:ascii="Arial" w:hAnsi="Arial" w:cs="Arial"/>
          <w:sz w:val="22"/>
          <w:szCs w:val="22"/>
        </w:rPr>
        <w:t xml:space="preserve"> regulatory</w:t>
      </w:r>
      <w:r w:rsidR="00874770" w:rsidRPr="005E7491">
        <w:rPr>
          <w:rFonts w:ascii="Arial" w:hAnsi="Arial" w:cs="Arial"/>
          <w:sz w:val="22"/>
          <w:szCs w:val="22"/>
        </w:rPr>
        <w:t xml:space="preserve"> burden on providers. As part of its ongoing monitoring and quality assurance role </w:t>
      </w:r>
      <w:r w:rsidR="0046452D" w:rsidRPr="005E7491">
        <w:rPr>
          <w:rFonts w:ascii="Arial" w:hAnsi="Arial" w:cs="Arial"/>
          <w:sz w:val="22"/>
          <w:szCs w:val="22"/>
        </w:rPr>
        <w:t>TEQSA coll</w:t>
      </w:r>
      <w:r w:rsidR="004C0DEE">
        <w:rPr>
          <w:rFonts w:ascii="Arial" w:hAnsi="Arial" w:cs="Arial"/>
          <w:sz w:val="22"/>
          <w:szCs w:val="22"/>
        </w:rPr>
        <w:t>ects</w:t>
      </w:r>
      <w:r w:rsidR="0046452D" w:rsidRPr="005E7491">
        <w:rPr>
          <w:rFonts w:ascii="Arial" w:hAnsi="Arial" w:cs="Arial"/>
          <w:sz w:val="22"/>
          <w:szCs w:val="22"/>
        </w:rPr>
        <w:t xml:space="preserve"> </w:t>
      </w:r>
      <w:r w:rsidR="007210FA" w:rsidRPr="005E7491">
        <w:rPr>
          <w:rFonts w:ascii="Arial" w:hAnsi="Arial" w:cs="Arial"/>
          <w:sz w:val="22"/>
          <w:szCs w:val="22"/>
        </w:rPr>
        <w:t xml:space="preserve">and </w:t>
      </w:r>
      <w:r w:rsidR="00A94917" w:rsidRPr="005E7491">
        <w:rPr>
          <w:rFonts w:ascii="Arial" w:hAnsi="Arial" w:cs="Arial"/>
          <w:sz w:val="22"/>
          <w:szCs w:val="22"/>
        </w:rPr>
        <w:t xml:space="preserve">then </w:t>
      </w:r>
      <w:r w:rsidR="007210FA" w:rsidRPr="005E7491">
        <w:rPr>
          <w:rFonts w:ascii="Arial" w:hAnsi="Arial" w:cs="Arial"/>
          <w:sz w:val="22"/>
          <w:szCs w:val="22"/>
        </w:rPr>
        <w:t xml:space="preserve">analyses </w:t>
      </w:r>
      <w:r w:rsidR="00874770" w:rsidRPr="005E7491">
        <w:rPr>
          <w:rFonts w:ascii="Arial" w:hAnsi="Arial" w:cs="Arial"/>
          <w:sz w:val="22"/>
          <w:szCs w:val="22"/>
        </w:rPr>
        <w:t>this data.</w:t>
      </w:r>
    </w:p>
    <w:p w:rsidR="00A44C12" w:rsidRPr="00CF3E1F" w:rsidDel="00967BD8" w:rsidRDefault="00A44C12" w:rsidP="00A44C12">
      <w:pPr>
        <w:rPr>
          <w:rFonts w:ascii="Arial" w:hAnsi="Arial" w:cs="Arial"/>
          <w:noProof/>
          <w:sz w:val="22"/>
          <w:szCs w:val="22"/>
          <w:highlight w:val="yellow"/>
          <w:lang w:eastAsia="en-AU"/>
        </w:rPr>
      </w:pPr>
      <w:r w:rsidRPr="005E7491">
        <w:rPr>
          <w:rFonts w:ascii="Arial" w:hAnsi="Arial" w:cs="Arial"/>
          <w:sz w:val="22"/>
          <w:szCs w:val="22"/>
        </w:rPr>
        <w:t xml:space="preserve">The first edition of this report was released in April this year following a period of consultation and was well received by the sector. </w:t>
      </w:r>
      <w:r w:rsidRPr="005E7491">
        <w:rPr>
          <w:rFonts w:ascii="Arial" w:hAnsi="Arial" w:cs="Arial"/>
          <w:noProof/>
          <w:sz w:val="22"/>
          <w:szCs w:val="22"/>
          <w:lang w:eastAsia="en-AU"/>
        </w:rPr>
        <w:t xml:space="preserve">TEQSA intends to release this report on an annual basis using data from the latest available collection year. </w:t>
      </w:r>
    </w:p>
    <w:p w:rsidR="00356611" w:rsidRPr="005E7491" w:rsidRDefault="00356611" w:rsidP="005214AF">
      <w:pPr>
        <w:pStyle w:val="H2"/>
      </w:pPr>
      <w:r w:rsidRPr="005E7491">
        <w:t>About this report</w:t>
      </w:r>
    </w:p>
    <w:p w:rsidR="00356611" w:rsidRPr="005E7491" w:rsidRDefault="00356611" w:rsidP="00356611">
      <w:pPr>
        <w:rPr>
          <w:rFonts w:ascii="Arial" w:hAnsi="Arial" w:cs="Arial"/>
          <w:sz w:val="18"/>
          <w:szCs w:val="18"/>
        </w:rPr>
      </w:pPr>
      <w:r w:rsidRPr="005E7491">
        <w:rPr>
          <w:rFonts w:asciiTheme="minorHAnsi" w:hAnsiTheme="minorHAnsi" w:cstheme="minorHAnsi"/>
          <w:sz w:val="22"/>
          <w:szCs w:val="22"/>
          <w:lang w:val="en-US"/>
        </w:rPr>
        <w:t xml:space="preserve">Assessing the financial position </w:t>
      </w:r>
      <w:r w:rsidR="00226849" w:rsidRPr="005E7491">
        <w:rPr>
          <w:rFonts w:asciiTheme="minorHAnsi" w:hAnsiTheme="minorHAnsi" w:cstheme="minorHAnsi"/>
          <w:sz w:val="22"/>
          <w:szCs w:val="22"/>
          <w:lang w:val="en-US"/>
        </w:rPr>
        <w:t xml:space="preserve">and </w:t>
      </w:r>
      <w:r w:rsidRPr="005E7491">
        <w:rPr>
          <w:rFonts w:asciiTheme="minorHAnsi" w:hAnsiTheme="minorHAnsi" w:cstheme="minorHAnsi"/>
          <w:sz w:val="22"/>
          <w:szCs w:val="22"/>
          <w:lang w:val="en-US"/>
        </w:rPr>
        <w:t>performance of a provider is a complex process which involves analysing a number of quantitative metrics</w:t>
      </w:r>
      <w:r w:rsidR="007C430A" w:rsidRPr="005E7491">
        <w:rPr>
          <w:rFonts w:asciiTheme="minorHAnsi" w:hAnsiTheme="minorHAnsi" w:cstheme="minorHAnsi"/>
          <w:sz w:val="22"/>
          <w:szCs w:val="22"/>
          <w:lang w:val="en-US"/>
        </w:rPr>
        <w:t xml:space="preserve"> and understanding the</w:t>
      </w:r>
      <w:r w:rsidRPr="005E7491">
        <w:rPr>
          <w:rFonts w:asciiTheme="minorHAnsi" w:hAnsiTheme="minorHAnsi" w:cstheme="minorHAnsi"/>
          <w:sz w:val="22"/>
          <w:szCs w:val="22"/>
          <w:lang w:val="en-US"/>
        </w:rPr>
        <w:t xml:space="preserve"> </w:t>
      </w:r>
      <w:r w:rsidR="007C430A" w:rsidRPr="005E7491">
        <w:rPr>
          <w:rFonts w:asciiTheme="minorHAnsi" w:hAnsiTheme="minorHAnsi" w:cstheme="minorHAnsi"/>
          <w:sz w:val="22"/>
          <w:szCs w:val="22"/>
          <w:lang w:val="en-US"/>
        </w:rPr>
        <w:t>provider</w:t>
      </w:r>
      <w:r w:rsidRPr="005E7491">
        <w:rPr>
          <w:rFonts w:asciiTheme="minorHAnsi" w:hAnsiTheme="minorHAnsi" w:cstheme="minorHAnsi"/>
          <w:sz w:val="22"/>
          <w:szCs w:val="22"/>
          <w:lang w:val="en-US"/>
        </w:rPr>
        <w:t xml:space="preserve">’s </w:t>
      </w:r>
      <w:r w:rsidR="005E7491" w:rsidRPr="005E7491">
        <w:rPr>
          <w:rFonts w:asciiTheme="minorHAnsi" w:hAnsiTheme="minorHAnsi" w:cstheme="minorHAnsi"/>
          <w:sz w:val="22"/>
          <w:szCs w:val="22"/>
          <w:lang w:val="en-US"/>
        </w:rPr>
        <w:t xml:space="preserve">operating context, </w:t>
      </w:r>
      <w:r w:rsidR="007256D2" w:rsidRPr="005E7491">
        <w:rPr>
          <w:rFonts w:asciiTheme="minorHAnsi" w:hAnsiTheme="minorHAnsi" w:cstheme="minorHAnsi"/>
          <w:sz w:val="22"/>
          <w:szCs w:val="22"/>
          <w:lang w:val="en-US"/>
        </w:rPr>
        <w:t>mission</w:t>
      </w:r>
      <w:r w:rsidR="00967BD8" w:rsidRPr="005E7491">
        <w:rPr>
          <w:rFonts w:asciiTheme="minorHAnsi" w:hAnsiTheme="minorHAnsi" w:cstheme="minorHAnsi"/>
          <w:sz w:val="22"/>
          <w:szCs w:val="22"/>
          <w:lang w:val="en-US"/>
        </w:rPr>
        <w:t>,</w:t>
      </w:r>
      <w:r w:rsidR="007256D2" w:rsidRPr="005E7491">
        <w:rPr>
          <w:rFonts w:asciiTheme="minorHAnsi" w:hAnsiTheme="minorHAnsi" w:cstheme="minorHAnsi"/>
          <w:sz w:val="22"/>
          <w:szCs w:val="22"/>
          <w:lang w:val="en-US"/>
        </w:rPr>
        <w:t xml:space="preserve"> </w:t>
      </w:r>
      <w:r w:rsidRPr="005E7491">
        <w:rPr>
          <w:rFonts w:asciiTheme="minorHAnsi" w:hAnsiTheme="minorHAnsi" w:cstheme="minorHAnsi"/>
          <w:sz w:val="22"/>
          <w:szCs w:val="22"/>
          <w:lang w:val="en-US"/>
        </w:rPr>
        <w:t>governance and management structure</w:t>
      </w:r>
      <w:r w:rsidR="007C430A" w:rsidRPr="005E7491">
        <w:rPr>
          <w:rFonts w:asciiTheme="minorHAnsi" w:hAnsiTheme="minorHAnsi" w:cstheme="minorHAnsi"/>
          <w:sz w:val="22"/>
          <w:szCs w:val="22"/>
          <w:lang w:val="en-US"/>
        </w:rPr>
        <w:t>s</w:t>
      </w:r>
      <w:r w:rsidRPr="005E7491">
        <w:rPr>
          <w:rFonts w:asciiTheme="minorHAnsi" w:hAnsiTheme="minorHAnsi" w:cstheme="minorHAnsi"/>
          <w:sz w:val="22"/>
          <w:szCs w:val="22"/>
          <w:lang w:val="en-US"/>
        </w:rPr>
        <w:t xml:space="preserve">. </w:t>
      </w:r>
      <w:r w:rsidR="00226849" w:rsidRPr="005E7491">
        <w:rPr>
          <w:rFonts w:asciiTheme="minorHAnsi" w:hAnsiTheme="minorHAnsi" w:cstheme="minorHAnsi"/>
          <w:sz w:val="22"/>
          <w:szCs w:val="22"/>
          <w:lang w:val="en-US"/>
        </w:rPr>
        <w:t xml:space="preserve">TEQSA </w:t>
      </w:r>
      <w:r w:rsidRPr="005E7491">
        <w:rPr>
          <w:rFonts w:asciiTheme="minorHAnsi" w:hAnsiTheme="minorHAnsi" w:cstheme="minorHAnsi"/>
          <w:sz w:val="22"/>
          <w:szCs w:val="22"/>
          <w:lang w:val="en-US"/>
        </w:rPr>
        <w:t xml:space="preserve">conducts an annual financial assessment </w:t>
      </w:r>
      <w:r w:rsidR="00226849" w:rsidRPr="005E7491">
        <w:rPr>
          <w:rFonts w:asciiTheme="minorHAnsi" w:hAnsiTheme="minorHAnsi" w:cstheme="minorHAnsi"/>
          <w:sz w:val="22"/>
          <w:szCs w:val="22"/>
          <w:lang w:val="en-US"/>
        </w:rPr>
        <w:t>of each provider</w:t>
      </w:r>
      <w:r w:rsidR="00967BD8" w:rsidRPr="005E7491">
        <w:rPr>
          <w:rFonts w:asciiTheme="minorHAnsi" w:hAnsiTheme="minorHAnsi" w:cstheme="minorHAnsi"/>
          <w:sz w:val="22"/>
          <w:szCs w:val="22"/>
          <w:lang w:val="en-US"/>
        </w:rPr>
        <w:t>,</w:t>
      </w:r>
      <w:r w:rsidR="00226849" w:rsidRPr="005E7491">
        <w:rPr>
          <w:rFonts w:asciiTheme="minorHAnsi" w:hAnsiTheme="minorHAnsi" w:cstheme="minorHAnsi"/>
          <w:sz w:val="22"/>
          <w:szCs w:val="22"/>
          <w:lang w:val="en-US"/>
        </w:rPr>
        <w:t xml:space="preserve"> </w:t>
      </w:r>
      <w:r w:rsidRPr="005E7491">
        <w:rPr>
          <w:rFonts w:asciiTheme="minorHAnsi" w:hAnsiTheme="minorHAnsi" w:cstheme="minorHAnsi"/>
          <w:sz w:val="22"/>
          <w:szCs w:val="22"/>
          <w:lang w:val="en-US"/>
        </w:rPr>
        <w:t xml:space="preserve">which analyses ten </w:t>
      </w:r>
      <w:r w:rsidR="00A25566" w:rsidRPr="005E7491">
        <w:rPr>
          <w:rFonts w:asciiTheme="minorHAnsi" w:hAnsiTheme="minorHAnsi" w:cstheme="minorHAnsi"/>
          <w:sz w:val="22"/>
          <w:szCs w:val="22"/>
          <w:lang w:val="en-US"/>
        </w:rPr>
        <w:t>commonly-</w:t>
      </w:r>
      <w:r w:rsidRPr="005E7491">
        <w:rPr>
          <w:rFonts w:asciiTheme="minorHAnsi" w:hAnsiTheme="minorHAnsi" w:cstheme="minorHAnsi"/>
          <w:sz w:val="22"/>
          <w:szCs w:val="22"/>
          <w:lang w:val="en-US"/>
        </w:rPr>
        <w:t xml:space="preserve">accepted financial metrics reflecting the key business drivers </w:t>
      </w:r>
      <w:r w:rsidR="007C430A" w:rsidRPr="005E7491">
        <w:rPr>
          <w:rFonts w:asciiTheme="minorHAnsi" w:hAnsiTheme="minorHAnsi" w:cstheme="minorHAnsi"/>
          <w:sz w:val="22"/>
          <w:szCs w:val="22"/>
          <w:lang w:val="en-US"/>
        </w:rPr>
        <w:t>critical to</w:t>
      </w:r>
      <w:r w:rsidRPr="005E7491">
        <w:rPr>
          <w:rFonts w:asciiTheme="minorHAnsi" w:hAnsiTheme="minorHAnsi" w:cstheme="minorHAnsi"/>
          <w:sz w:val="22"/>
          <w:szCs w:val="22"/>
          <w:lang w:val="en-US"/>
        </w:rPr>
        <w:t xml:space="preserve"> financial viability and sustainability. </w:t>
      </w:r>
      <w:r w:rsidR="00C75007" w:rsidRPr="005E7491">
        <w:rPr>
          <w:rFonts w:asciiTheme="minorHAnsi" w:hAnsiTheme="minorHAnsi" w:cstheme="minorHAnsi"/>
          <w:sz w:val="22"/>
          <w:szCs w:val="22"/>
          <w:lang w:val="en-US"/>
        </w:rPr>
        <w:t xml:space="preserve">TEQSA consulted with </w:t>
      </w:r>
      <w:r w:rsidR="00265F8F" w:rsidRPr="005E7491">
        <w:rPr>
          <w:rFonts w:asciiTheme="minorHAnsi" w:hAnsiTheme="minorHAnsi" w:cstheme="minorHAnsi"/>
          <w:sz w:val="22"/>
          <w:szCs w:val="22"/>
          <w:lang w:val="en-US"/>
        </w:rPr>
        <w:t>the sector</w:t>
      </w:r>
      <w:r w:rsidR="00C75007" w:rsidRPr="005E7491">
        <w:rPr>
          <w:rFonts w:asciiTheme="minorHAnsi" w:hAnsiTheme="minorHAnsi" w:cstheme="minorHAnsi"/>
          <w:sz w:val="22"/>
          <w:szCs w:val="22"/>
          <w:lang w:val="en-US"/>
        </w:rPr>
        <w:t xml:space="preserve"> prior to adopting these financial metrics in 2013</w:t>
      </w:r>
      <w:r w:rsidR="00967BD8" w:rsidRPr="005E7491">
        <w:rPr>
          <w:rFonts w:asciiTheme="minorHAnsi" w:hAnsiTheme="minorHAnsi" w:cstheme="minorHAnsi"/>
          <w:sz w:val="22"/>
          <w:szCs w:val="22"/>
          <w:lang w:val="en-US"/>
        </w:rPr>
        <w:t>,</w:t>
      </w:r>
      <w:r w:rsidR="0055628E" w:rsidRPr="005E7491">
        <w:rPr>
          <w:rFonts w:asciiTheme="minorHAnsi" w:hAnsiTheme="minorHAnsi" w:cstheme="minorHAnsi"/>
          <w:sz w:val="22"/>
          <w:szCs w:val="22"/>
          <w:lang w:val="en-US"/>
        </w:rPr>
        <w:t xml:space="preserve"> and received broad </w:t>
      </w:r>
      <w:r w:rsidR="00C75007" w:rsidRPr="005E7491">
        <w:rPr>
          <w:rFonts w:asciiTheme="minorHAnsi" w:hAnsiTheme="minorHAnsi" w:cstheme="minorHAnsi"/>
          <w:sz w:val="22"/>
          <w:szCs w:val="22"/>
          <w:lang w:val="en-US"/>
        </w:rPr>
        <w:t>support for their adoption</w:t>
      </w:r>
      <w:r w:rsidR="007256D2" w:rsidRPr="005E7491">
        <w:rPr>
          <w:rFonts w:asciiTheme="minorHAnsi" w:hAnsiTheme="minorHAnsi" w:cstheme="minorHAnsi"/>
          <w:sz w:val="22"/>
          <w:szCs w:val="22"/>
          <w:lang w:val="en-US"/>
        </w:rPr>
        <w:t>.</w:t>
      </w:r>
    </w:p>
    <w:p w:rsidR="00A44C12" w:rsidRDefault="00A44C12" w:rsidP="00FC35A1">
      <w:pPr>
        <w:spacing w:after="180"/>
        <w:rPr>
          <w:rFonts w:ascii="Arial" w:hAnsi="Arial" w:cs="Arial"/>
          <w:noProof/>
          <w:sz w:val="22"/>
          <w:szCs w:val="22"/>
          <w:lang w:eastAsia="en-AU"/>
        </w:rPr>
      </w:pPr>
    </w:p>
    <w:p w:rsidR="007E70CA" w:rsidRDefault="005E7491" w:rsidP="00EA005A">
      <w:pPr>
        <w:spacing w:before="120"/>
        <w:rPr>
          <w:rFonts w:asciiTheme="minorHAnsi" w:hAnsiTheme="minorHAnsi" w:cstheme="minorHAnsi"/>
          <w:sz w:val="22"/>
          <w:szCs w:val="22"/>
          <w:lang w:val="en-US"/>
        </w:rPr>
      </w:pPr>
      <w:r w:rsidRPr="005E7491">
        <w:rPr>
          <w:rFonts w:ascii="Arial" w:hAnsi="Arial" w:cs="Arial"/>
          <w:noProof/>
          <w:sz w:val="22"/>
          <w:szCs w:val="22"/>
          <w:lang w:eastAsia="en-AU"/>
        </w:rPr>
        <w:t xml:space="preserve">This report </w:t>
      </w:r>
      <w:r w:rsidRPr="005E7491" w:rsidDel="00967BD8">
        <w:rPr>
          <w:rFonts w:ascii="Arial" w:hAnsi="Arial" w:cs="Arial"/>
          <w:noProof/>
          <w:sz w:val="22"/>
          <w:szCs w:val="22"/>
          <w:lang w:eastAsia="en-AU"/>
        </w:rPr>
        <w:t xml:space="preserve">provides a snapshot of selected key financial metrics across the whole </w:t>
      </w:r>
      <w:r w:rsidRPr="005E7491">
        <w:rPr>
          <w:rFonts w:ascii="Arial" w:hAnsi="Arial" w:cs="Arial"/>
          <w:noProof/>
          <w:sz w:val="22"/>
          <w:szCs w:val="22"/>
          <w:lang w:eastAsia="en-AU"/>
        </w:rPr>
        <w:t xml:space="preserve">sector. </w:t>
      </w:r>
      <w:r w:rsidR="00356611" w:rsidRPr="005E7491">
        <w:rPr>
          <w:rFonts w:asciiTheme="minorHAnsi" w:hAnsiTheme="minorHAnsi" w:cstheme="minorHAnsi"/>
          <w:sz w:val="22"/>
          <w:szCs w:val="22"/>
          <w:lang w:val="en-US"/>
        </w:rPr>
        <w:t xml:space="preserve">The metrics have been selected </w:t>
      </w:r>
      <w:r w:rsidR="00967BD8" w:rsidRPr="005E7491">
        <w:rPr>
          <w:rFonts w:asciiTheme="minorHAnsi" w:hAnsiTheme="minorHAnsi" w:cstheme="minorHAnsi"/>
          <w:sz w:val="22"/>
          <w:szCs w:val="22"/>
          <w:lang w:val="en-US"/>
        </w:rPr>
        <w:t>for their importance in</w:t>
      </w:r>
      <w:r w:rsidR="00A25566" w:rsidRPr="005E7491">
        <w:rPr>
          <w:rFonts w:asciiTheme="minorHAnsi" w:hAnsiTheme="minorHAnsi" w:cstheme="minorHAnsi"/>
          <w:sz w:val="22"/>
          <w:szCs w:val="22"/>
          <w:lang w:val="en-US"/>
        </w:rPr>
        <w:t xml:space="preserve"> </w:t>
      </w:r>
      <w:r w:rsidR="00356611" w:rsidRPr="005E7491">
        <w:rPr>
          <w:rFonts w:asciiTheme="minorHAnsi" w:hAnsiTheme="minorHAnsi" w:cstheme="minorHAnsi"/>
          <w:sz w:val="22"/>
          <w:szCs w:val="22"/>
          <w:lang w:val="en-US"/>
        </w:rPr>
        <w:t>measuring</w:t>
      </w:r>
      <w:r w:rsidR="00A44C12">
        <w:rPr>
          <w:rFonts w:asciiTheme="minorHAnsi" w:hAnsiTheme="minorHAnsi" w:cstheme="minorHAnsi"/>
          <w:sz w:val="22"/>
          <w:szCs w:val="22"/>
          <w:lang w:val="en-US"/>
        </w:rPr>
        <w:t xml:space="preserve"> </w:t>
      </w:r>
      <w:r w:rsidR="00356611" w:rsidRPr="005E7491">
        <w:rPr>
          <w:rFonts w:asciiTheme="minorHAnsi" w:hAnsiTheme="minorHAnsi" w:cstheme="minorHAnsi"/>
          <w:sz w:val="22"/>
          <w:szCs w:val="22"/>
          <w:lang w:val="en-US"/>
        </w:rPr>
        <w:t xml:space="preserve">the capacity and capability of providers to deploy financial resources in a way </w:t>
      </w:r>
      <w:r w:rsidR="00A25566" w:rsidRPr="005E7491">
        <w:rPr>
          <w:rFonts w:asciiTheme="minorHAnsi" w:hAnsiTheme="minorHAnsi" w:cstheme="minorHAnsi"/>
          <w:sz w:val="22"/>
          <w:szCs w:val="22"/>
          <w:lang w:val="en-US"/>
        </w:rPr>
        <w:t xml:space="preserve">that </w:t>
      </w:r>
      <w:r w:rsidR="00356611" w:rsidRPr="005E7491">
        <w:rPr>
          <w:rFonts w:asciiTheme="minorHAnsi" w:hAnsiTheme="minorHAnsi" w:cstheme="minorHAnsi"/>
          <w:sz w:val="22"/>
          <w:szCs w:val="22"/>
          <w:lang w:val="en-US"/>
        </w:rPr>
        <w:t xml:space="preserve">supports quality in the delivery of higher education. Importantly, the selected metrics are </w:t>
      </w:r>
      <w:r w:rsidR="00C740D5" w:rsidRPr="005E7491">
        <w:rPr>
          <w:rFonts w:asciiTheme="minorHAnsi" w:hAnsiTheme="minorHAnsi" w:cstheme="minorHAnsi"/>
          <w:sz w:val="22"/>
          <w:szCs w:val="22"/>
          <w:lang w:val="en-US"/>
        </w:rPr>
        <w:t xml:space="preserve">reasonably </w:t>
      </w:r>
      <w:r w:rsidR="00356611" w:rsidRPr="005E7491">
        <w:rPr>
          <w:rFonts w:asciiTheme="minorHAnsi" w:hAnsiTheme="minorHAnsi" w:cstheme="minorHAnsi"/>
          <w:sz w:val="22"/>
          <w:szCs w:val="22"/>
          <w:lang w:val="en-US"/>
        </w:rPr>
        <w:t xml:space="preserve">comparable across all providers and also provide visibility of financial position and performance at </w:t>
      </w:r>
      <w:r w:rsidR="00265F8F" w:rsidRPr="005E7491">
        <w:rPr>
          <w:rFonts w:asciiTheme="minorHAnsi" w:hAnsiTheme="minorHAnsi" w:cstheme="minorHAnsi"/>
          <w:sz w:val="22"/>
          <w:szCs w:val="22"/>
          <w:lang w:val="en-US"/>
        </w:rPr>
        <w:t>sector</w:t>
      </w:r>
      <w:r w:rsidR="00356611" w:rsidRPr="005E7491">
        <w:rPr>
          <w:rFonts w:asciiTheme="minorHAnsi" w:hAnsiTheme="minorHAnsi" w:cstheme="minorHAnsi"/>
          <w:sz w:val="22"/>
          <w:szCs w:val="22"/>
          <w:lang w:val="en-US"/>
        </w:rPr>
        <w:t xml:space="preserve"> and sub-sector levels.</w:t>
      </w:r>
      <w:r w:rsidR="00967BD8" w:rsidRPr="005E7491">
        <w:rPr>
          <w:rStyle w:val="FootnoteReference"/>
          <w:rFonts w:asciiTheme="minorHAnsi" w:hAnsiTheme="minorHAnsi" w:cstheme="minorHAnsi"/>
          <w:sz w:val="18"/>
          <w:szCs w:val="18"/>
          <w:lang w:val="en-US"/>
        </w:rPr>
        <w:footnoteReference w:id="1"/>
      </w:r>
      <w:r w:rsidR="00356611" w:rsidRPr="005E7491">
        <w:rPr>
          <w:rFonts w:asciiTheme="minorHAnsi" w:hAnsiTheme="minorHAnsi" w:cstheme="minorHAnsi"/>
          <w:sz w:val="22"/>
          <w:szCs w:val="22"/>
          <w:lang w:val="en-US"/>
        </w:rPr>
        <w:t xml:space="preserve"> The definitions and calculation methodology for each measure </w:t>
      </w:r>
      <w:r w:rsidR="00B01430">
        <w:rPr>
          <w:rFonts w:asciiTheme="minorHAnsi" w:hAnsiTheme="minorHAnsi" w:cstheme="minorHAnsi"/>
          <w:sz w:val="22"/>
          <w:szCs w:val="22"/>
          <w:lang w:val="en-US"/>
        </w:rPr>
        <w:t>is</w:t>
      </w:r>
      <w:r w:rsidR="00356611" w:rsidRPr="005E7491">
        <w:rPr>
          <w:rFonts w:asciiTheme="minorHAnsi" w:hAnsiTheme="minorHAnsi" w:cstheme="minorHAnsi"/>
          <w:sz w:val="22"/>
          <w:szCs w:val="22"/>
          <w:lang w:val="en-US"/>
        </w:rPr>
        <w:t xml:space="preserve"> available in the Glossary</w:t>
      </w:r>
      <w:r w:rsidRPr="005E7491">
        <w:rPr>
          <w:rFonts w:asciiTheme="minorHAnsi" w:hAnsiTheme="minorHAnsi" w:cstheme="minorHAnsi"/>
          <w:sz w:val="22"/>
          <w:szCs w:val="22"/>
          <w:lang w:val="en-US"/>
        </w:rPr>
        <w:t xml:space="preserve"> section of this report</w:t>
      </w:r>
      <w:r w:rsidR="00356611" w:rsidRPr="005E7491">
        <w:rPr>
          <w:rFonts w:asciiTheme="minorHAnsi" w:hAnsiTheme="minorHAnsi" w:cstheme="minorHAnsi"/>
          <w:sz w:val="22"/>
          <w:szCs w:val="22"/>
          <w:lang w:val="en-US"/>
        </w:rPr>
        <w:t>.</w:t>
      </w:r>
    </w:p>
    <w:p w:rsidR="00670A76" w:rsidRPr="005E7491" w:rsidRDefault="00670A76" w:rsidP="00670A76">
      <w:pPr>
        <w:pStyle w:val="H2"/>
      </w:pPr>
      <w:r>
        <w:t>Special focus</w:t>
      </w:r>
      <w:r w:rsidR="00C9229C">
        <w:t xml:space="preserve"> area</w:t>
      </w:r>
      <w:r>
        <w:t xml:space="preserve"> in </w:t>
      </w:r>
      <w:r w:rsidRPr="005E7491">
        <w:t>this report</w:t>
      </w:r>
      <w:r w:rsidR="00D454F5">
        <w:t xml:space="preserve"> </w:t>
      </w:r>
      <w:r w:rsidR="00A44C12">
        <w:t>–</w:t>
      </w:r>
      <w:r w:rsidR="00D454F5">
        <w:t xml:space="preserve"> International</w:t>
      </w:r>
      <w:r w:rsidR="00A44C12">
        <w:t xml:space="preserve"> Student </w:t>
      </w:r>
      <w:r w:rsidR="00BD3847">
        <w:t>Revenue</w:t>
      </w:r>
    </w:p>
    <w:p w:rsidR="006E358D" w:rsidRDefault="006E358D" w:rsidP="00356611">
      <w:pPr>
        <w:rPr>
          <w:rFonts w:asciiTheme="minorHAnsi" w:hAnsiTheme="minorHAnsi" w:cstheme="minorHAnsi"/>
          <w:sz w:val="22"/>
          <w:szCs w:val="22"/>
          <w:lang w:val="en-US"/>
        </w:rPr>
      </w:pPr>
      <w:r>
        <w:rPr>
          <w:rFonts w:asciiTheme="minorHAnsi" w:hAnsiTheme="minorHAnsi" w:cstheme="minorHAnsi"/>
          <w:sz w:val="22"/>
          <w:szCs w:val="22"/>
          <w:lang w:val="en-US"/>
        </w:rPr>
        <w:t xml:space="preserve">This </w:t>
      </w:r>
      <w:r w:rsidR="008410D8">
        <w:rPr>
          <w:rFonts w:asciiTheme="minorHAnsi" w:hAnsiTheme="minorHAnsi" w:cstheme="minorHAnsi"/>
          <w:sz w:val="22"/>
          <w:szCs w:val="22"/>
          <w:lang w:val="en-US"/>
        </w:rPr>
        <w:t>report</w:t>
      </w:r>
      <w:r>
        <w:rPr>
          <w:rFonts w:asciiTheme="minorHAnsi" w:hAnsiTheme="minorHAnsi" w:cstheme="minorHAnsi"/>
          <w:sz w:val="22"/>
          <w:szCs w:val="22"/>
          <w:lang w:val="en-US"/>
        </w:rPr>
        <w:t xml:space="preserve"> includes a</w:t>
      </w:r>
      <w:r w:rsidR="00B10227">
        <w:rPr>
          <w:rFonts w:asciiTheme="minorHAnsi" w:hAnsiTheme="minorHAnsi" w:cstheme="minorHAnsi"/>
          <w:sz w:val="22"/>
          <w:szCs w:val="22"/>
          <w:lang w:val="en-US"/>
        </w:rPr>
        <w:t xml:space="preserve"> new</w:t>
      </w:r>
      <w:r>
        <w:rPr>
          <w:rFonts w:asciiTheme="minorHAnsi" w:hAnsiTheme="minorHAnsi" w:cstheme="minorHAnsi"/>
          <w:sz w:val="22"/>
          <w:szCs w:val="22"/>
          <w:lang w:val="en-US"/>
        </w:rPr>
        <w:t xml:space="preserve"> special focus section </w:t>
      </w:r>
      <w:r w:rsidR="00D454F5">
        <w:rPr>
          <w:rFonts w:asciiTheme="minorHAnsi" w:hAnsiTheme="minorHAnsi" w:cstheme="minorHAnsi"/>
          <w:sz w:val="22"/>
          <w:szCs w:val="22"/>
          <w:lang w:val="en-US"/>
        </w:rPr>
        <w:t>featur</w:t>
      </w:r>
      <w:r w:rsidR="008410D8">
        <w:rPr>
          <w:rFonts w:asciiTheme="minorHAnsi" w:hAnsiTheme="minorHAnsi" w:cstheme="minorHAnsi"/>
          <w:sz w:val="22"/>
          <w:szCs w:val="22"/>
          <w:lang w:val="en-US"/>
        </w:rPr>
        <w:t>ing</w:t>
      </w:r>
      <w:r>
        <w:rPr>
          <w:rFonts w:asciiTheme="minorHAnsi" w:hAnsiTheme="minorHAnsi" w:cstheme="minorHAnsi"/>
          <w:sz w:val="22"/>
          <w:szCs w:val="22"/>
          <w:lang w:val="en-US"/>
        </w:rPr>
        <w:t xml:space="preserve"> additional analysis on </w:t>
      </w:r>
      <w:r w:rsidR="00E05E70">
        <w:rPr>
          <w:rFonts w:asciiTheme="minorHAnsi" w:hAnsiTheme="minorHAnsi" w:cstheme="minorHAnsi"/>
          <w:sz w:val="22"/>
          <w:szCs w:val="22"/>
          <w:lang w:val="en-US"/>
        </w:rPr>
        <w:t xml:space="preserve">a </w:t>
      </w:r>
      <w:r w:rsidR="008410D8">
        <w:rPr>
          <w:rFonts w:asciiTheme="minorHAnsi" w:hAnsiTheme="minorHAnsi" w:cstheme="minorHAnsi"/>
          <w:sz w:val="22"/>
          <w:szCs w:val="22"/>
          <w:lang w:val="en-US"/>
        </w:rPr>
        <w:t xml:space="preserve">topic of </w:t>
      </w:r>
      <w:r>
        <w:rPr>
          <w:rFonts w:asciiTheme="minorHAnsi" w:hAnsiTheme="minorHAnsi" w:cstheme="minorHAnsi"/>
          <w:sz w:val="22"/>
          <w:szCs w:val="22"/>
          <w:lang w:val="en-US"/>
        </w:rPr>
        <w:t>interest for the sector</w:t>
      </w:r>
      <w:r w:rsidR="00B01430">
        <w:rPr>
          <w:rFonts w:asciiTheme="minorHAnsi" w:hAnsiTheme="minorHAnsi" w:cstheme="minorHAnsi"/>
          <w:sz w:val="22"/>
          <w:szCs w:val="22"/>
          <w:lang w:val="en-US"/>
        </w:rPr>
        <w:t xml:space="preserve"> </w:t>
      </w:r>
      <w:r w:rsidR="00F8471F">
        <w:rPr>
          <w:rFonts w:asciiTheme="minorHAnsi" w:hAnsiTheme="minorHAnsi" w:cstheme="minorHAnsi"/>
          <w:sz w:val="22"/>
          <w:szCs w:val="22"/>
          <w:lang w:val="en-US"/>
        </w:rPr>
        <w:t>–</w:t>
      </w:r>
      <w:r w:rsidR="00F7523B">
        <w:rPr>
          <w:rFonts w:asciiTheme="minorHAnsi" w:hAnsiTheme="minorHAnsi" w:cstheme="minorHAnsi"/>
          <w:sz w:val="22"/>
          <w:szCs w:val="22"/>
          <w:lang w:val="en-US"/>
        </w:rPr>
        <w:t xml:space="preserve"> </w:t>
      </w:r>
      <w:r w:rsidR="000625C3" w:rsidRPr="00F832E8">
        <w:rPr>
          <w:rFonts w:asciiTheme="minorHAnsi" w:hAnsiTheme="minorHAnsi" w:cstheme="minorHAnsi"/>
          <w:b/>
          <w:sz w:val="22"/>
          <w:szCs w:val="22"/>
          <w:lang w:val="en-US"/>
        </w:rPr>
        <w:t xml:space="preserve">Revenue from </w:t>
      </w:r>
      <w:r w:rsidR="00D454F5" w:rsidRPr="00F832E8">
        <w:rPr>
          <w:rFonts w:asciiTheme="minorHAnsi" w:hAnsiTheme="minorHAnsi" w:cstheme="minorHAnsi"/>
          <w:b/>
          <w:sz w:val="22"/>
          <w:szCs w:val="22"/>
          <w:lang w:val="en-US"/>
        </w:rPr>
        <w:t>International</w:t>
      </w:r>
      <w:r w:rsidR="000625C3" w:rsidRPr="00F832E8">
        <w:rPr>
          <w:rFonts w:asciiTheme="minorHAnsi" w:hAnsiTheme="minorHAnsi" w:cstheme="minorHAnsi"/>
          <w:b/>
          <w:sz w:val="22"/>
          <w:szCs w:val="22"/>
          <w:lang w:val="en-US"/>
        </w:rPr>
        <w:t xml:space="preserve"> </w:t>
      </w:r>
      <w:r w:rsidRPr="00F832E8">
        <w:rPr>
          <w:rFonts w:asciiTheme="minorHAnsi" w:hAnsiTheme="minorHAnsi" w:cstheme="minorHAnsi"/>
          <w:b/>
          <w:sz w:val="22"/>
          <w:szCs w:val="22"/>
          <w:lang w:val="en-US"/>
        </w:rPr>
        <w:t>Student</w:t>
      </w:r>
      <w:r w:rsidR="000625C3" w:rsidRPr="00F832E8">
        <w:rPr>
          <w:rFonts w:asciiTheme="minorHAnsi" w:hAnsiTheme="minorHAnsi" w:cstheme="minorHAnsi"/>
          <w:b/>
          <w:sz w:val="22"/>
          <w:szCs w:val="22"/>
          <w:lang w:val="en-US"/>
        </w:rPr>
        <w:t>s</w:t>
      </w:r>
      <w:r>
        <w:rPr>
          <w:rFonts w:asciiTheme="minorHAnsi" w:hAnsiTheme="minorHAnsi" w:cstheme="minorHAnsi"/>
          <w:sz w:val="22"/>
          <w:szCs w:val="22"/>
          <w:lang w:val="en-US"/>
        </w:rPr>
        <w:t xml:space="preserve">. </w:t>
      </w:r>
      <w:r w:rsidR="00D454F5">
        <w:rPr>
          <w:rFonts w:asciiTheme="minorHAnsi" w:hAnsiTheme="minorHAnsi" w:cstheme="minorHAnsi"/>
          <w:sz w:val="22"/>
          <w:szCs w:val="22"/>
          <w:lang w:val="en-US"/>
        </w:rPr>
        <w:t xml:space="preserve">International student </w:t>
      </w:r>
      <w:r w:rsidR="008350D0">
        <w:rPr>
          <w:rFonts w:asciiTheme="minorHAnsi" w:hAnsiTheme="minorHAnsi" w:cstheme="minorHAnsi"/>
          <w:sz w:val="22"/>
          <w:szCs w:val="22"/>
          <w:lang w:val="en-US"/>
        </w:rPr>
        <w:t xml:space="preserve">revenue </w:t>
      </w:r>
      <w:r w:rsidR="00D454F5">
        <w:rPr>
          <w:rFonts w:asciiTheme="minorHAnsi" w:hAnsiTheme="minorHAnsi" w:cstheme="minorHAnsi"/>
          <w:sz w:val="22"/>
          <w:szCs w:val="22"/>
          <w:lang w:val="en-US"/>
        </w:rPr>
        <w:t xml:space="preserve">accounted for 16% of sector revenue in </w:t>
      </w:r>
      <w:r w:rsidR="008350D0">
        <w:rPr>
          <w:rFonts w:asciiTheme="minorHAnsi" w:hAnsiTheme="minorHAnsi" w:cstheme="minorHAnsi"/>
          <w:sz w:val="22"/>
          <w:szCs w:val="22"/>
          <w:lang w:val="en-US"/>
        </w:rPr>
        <w:t>the latest reporting year</w:t>
      </w:r>
      <w:r w:rsidR="008410D8">
        <w:rPr>
          <w:rFonts w:asciiTheme="minorHAnsi" w:hAnsiTheme="minorHAnsi" w:cstheme="minorHAnsi"/>
          <w:sz w:val="22"/>
          <w:szCs w:val="22"/>
          <w:lang w:val="en-US"/>
        </w:rPr>
        <w:t>.</w:t>
      </w:r>
      <w:r w:rsidR="00D454F5">
        <w:rPr>
          <w:rFonts w:asciiTheme="minorHAnsi" w:hAnsiTheme="minorHAnsi" w:cstheme="minorHAnsi"/>
          <w:sz w:val="22"/>
          <w:szCs w:val="22"/>
          <w:lang w:val="en-US"/>
        </w:rPr>
        <w:t xml:space="preserve"> </w:t>
      </w:r>
      <w:r w:rsidR="008410D8">
        <w:rPr>
          <w:rFonts w:asciiTheme="minorHAnsi" w:hAnsiTheme="minorHAnsi" w:cstheme="minorHAnsi"/>
          <w:sz w:val="22"/>
          <w:szCs w:val="22"/>
          <w:lang w:val="en-US"/>
        </w:rPr>
        <w:t>It</w:t>
      </w:r>
      <w:r w:rsidR="00D454F5">
        <w:rPr>
          <w:rFonts w:asciiTheme="minorHAnsi" w:hAnsiTheme="minorHAnsi" w:cstheme="minorHAnsi"/>
          <w:sz w:val="22"/>
          <w:szCs w:val="22"/>
          <w:lang w:val="en-US"/>
        </w:rPr>
        <w:t xml:space="preserve"> was the largest source of revenue for 18% of </w:t>
      </w:r>
      <w:r w:rsidR="008410D8">
        <w:rPr>
          <w:rFonts w:asciiTheme="minorHAnsi" w:hAnsiTheme="minorHAnsi" w:cstheme="minorHAnsi"/>
          <w:sz w:val="22"/>
          <w:szCs w:val="22"/>
          <w:lang w:val="en-US"/>
        </w:rPr>
        <w:t xml:space="preserve">all </w:t>
      </w:r>
      <w:r w:rsidR="00D454F5">
        <w:rPr>
          <w:rFonts w:asciiTheme="minorHAnsi" w:hAnsiTheme="minorHAnsi" w:cstheme="minorHAnsi"/>
          <w:sz w:val="22"/>
          <w:szCs w:val="22"/>
          <w:lang w:val="en-US"/>
        </w:rPr>
        <w:t xml:space="preserve">providers and for 46% of For-Profit providers. </w:t>
      </w:r>
      <w:r w:rsidR="00C16956">
        <w:rPr>
          <w:rFonts w:asciiTheme="minorHAnsi" w:hAnsiTheme="minorHAnsi" w:cstheme="minorHAnsi"/>
          <w:sz w:val="22"/>
          <w:szCs w:val="22"/>
          <w:lang w:val="en-US"/>
        </w:rPr>
        <w:t xml:space="preserve">International student </w:t>
      </w:r>
      <w:r w:rsidR="008350D0">
        <w:rPr>
          <w:rFonts w:asciiTheme="minorHAnsi" w:hAnsiTheme="minorHAnsi" w:cstheme="minorHAnsi"/>
          <w:sz w:val="22"/>
          <w:szCs w:val="22"/>
          <w:lang w:val="en-US"/>
        </w:rPr>
        <w:t>revenue</w:t>
      </w:r>
      <w:r w:rsidR="00C16956">
        <w:rPr>
          <w:rFonts w:asciiTheme="minorHAnsi" w:hAnsiTheme="minorHAnsi" w:cstheme="minorHAnsi"/>
          <w:sz w:val="22"/>
          <w:szCs w:val="22"/>
          <w:lang w:val="en-US"/>
        </w:rPr>
        <w:t xml:space="preserve"> are</w:t>
      </w:r>
      <w:r w:rsidR="00D454F5">
        <w:rPr>
          <w:rFonts w:asciiTheme="minorHAnsi" w:hAnsiTheme="minorHAnsi" w:cstheme="minorHAnsi"/>
          <w:sz w:val="22"/>
          <w:szCs w:val="22"/>
          <w:lang w:val="en-US"/>
        </w:rPr>
        <w:t xml:space="preserve"> a major revenue source for many providers compl</w:t>
      </w:r>
      <w:r w:rsidR="006B0360">
        <w:rPr>
          <w:rFonts w:asciiTheme="minorHAnsi" w:hAnsiTheme="minorHAnsi" w:cstheme="minorHAnsi"/>
          <w:sz w:val="22"/>
          <w:szCs w:val="22"/>
          <w:lang w:val="en-US"/>
        </w:rPr>
        <w:t>e</w:t>
      </w:r>
      <w:r w:rsidR="00D454F5">
        <w:rPr>
          <w:rFonts w:asciiTheme="minorHAnsi" w:hAnsiTheme="minorHAnsi" w:cstheme="minorHAnsi"/>
          <w:sz w:val="22"/>
          <w:szCs w:val="22"/>
          <w:lang w:val="en-US"/>
        </w:rPr>
        <w:t>menting revenue from other sources.</w:t>
      </w:r>
    </w:p>
    <w:p w:rsidR="006E358D" w:rsidRDefault="006E358D">
      <w:pPr>
        <w:spacing w:after="0" w:line="240" w:lineRule="auto"/>
        <w:rPr>
          <w:rFonts w:asciiTheme="majorHAnsi" w:eastAsiaTheme="minorHAnsi" w:hAnsiTheme="majorHAnsi" w:cs="Garamond"/>
          <w:b/>
          <w:bCs/>
          <w:color w:val="00A6AA" w:themeColor="background1"/>
          <w:sz w:val="32"/>
          <w:szCs w:val="32"/>
          <w:lang w:val="en-GB"/>
        </w:rPr>
      </w:pPr>
      <w:r>
        <w:br w:type="page"/>
      </w:r>
    </w:p>
    <w:p w:rsidR="003219F8" w:rsidRPr="005214AF" w:rsidRDefault="003219F8" w:rsidP="005214AF">
      <w:pPr>
        <w:pStyle w:val="H2"/>
      </w:pPr>
      <w:r w:rsidRPr="005214AF">
        <w:lastRenderedPageBreak/>
        <w:t>Purpose</w:t>
      </w:r>
      <w:r w:rsidR="00585A36" w:rsidRPr="005214AF">
        <w:t xml:space="preserve"> of this report</w:t>
      </w:r>
    </w:p>
    <w:p w:rsidR="00040D33" w:rsidRDefault="007A10E7" w:rsidP="000A7CF4">
      <w:pPr>
        <w:rPr>
          <w:rFonts w:ascii="Arial" w:hAnsi="Arial" w:cs="Arial"/>
          <w:sz w:val="22"/>
          <w:szCs w:val="22"/>
        </w:rPr>
      </w:pPr>
      <w:r w:rsidRPr="002F4BD9">
        <w:rPr>
          <w:rFonts w:ascii="Arial" w:hAnsi="Arial" w:cs="Arial"/>
          <w:sz w:val="22"/>
          <w:szCs w:val="22"/>
        </w:rPr>
        <w:t>TEQSA recognise</w:t>
      </w:r>
      <w:r w:rsidR="00CC1563">
        <w:rPr>
          <w:rFonts w:ascii="Arial" w:hAnsi="Arial" w:cs="Arial"/>
          <w:sz w:val="22"/>
          <w:szCs w:val="22"/>
        </w:rPr>
        <w:t>s</w:t>
      </w:r>
      <w:r w:rsidR="00915E35">
        <w:rPr>
          <w:rFonts w:ascii="Arial" w:hAnsi="Arial" w:cs="Arial"/>
          <w:sz w:val="22"/>
          <w:szCs w:val="22"/>
        </w:rPr>
        <w:t xml:space="preserve"> that there is little public</w:t>
      </w:r>
      <w:r w:rsidRPr="002F4BD9">
        <w:rPr>
          <w:rFonts w:ascii="Arial" w:hAnsi="Arial" w:cs="Arial"/>
          <w:sz w:val="22"/>
          <w:szCs w:val="22"/>
        </w:rPr>
        <w:t xml:space="preserve">ly </w:t>
      </w:r>
      <w:r w:rsidR="00CC1563" w:rsidRPr="002F4BD9">
        <w:rPr>
          <w:rFonts w:ascii="Arial" w:hAnsi="Arial" w:cs="Arial"/>
          <w:sz w:val="22"/>
          <w:szCs w:val="22"/>
        </w:rPr>
        <w:t xml:space="preserve">available </w:t>
      </w:r>
      <w:r w:rsidRPr="002F4BD9">
        <w:rPr>
          <w:rFonts w:ascii="Arial" w:hAnsi="Arial" w:cs="Arial"/>
          <w:sz w:val="22"/>
          <w:szCs w:val="22"/>
        </w:rPr>
        <w:t>information on Australia’</w:t>
      </w:r>
      <w:r w:rsidR="002F4BD9" w:rsidRPr="002F4BD9">
        <w:rPr>
          <w:rFonts w:ascii="Arial" w:hAnsi="Arial" w:cs="Arial"/>
          <w:sz w:val="22"/>
          <w:szCs w:val="22"/>
        </w:rPr>
        <w:t>s hig</w:t>
      </w:r>
      <w:r w:rsidRPr="002F4BD9">
        <w:rPr>
          <w:rFonts w:ascii="Arial" w:hAnsi="Arial" w:cs="Arial"/>
          <w:sz w:val="22"/>
          <w:szCs w:val="22"/>
        </w:rPr>
        <w:t>h</w:t>
      </w:r>
      <w:r w:rsidR="002F4BD9">
        <w:rPr>
          <w:rFonts w:ascii="Arial" w:hAnsi="Arial" w:cs="Arial"/>
          <w:sz w:val="22"/>
          <w:szCs w:val="22"/>
        </w:rPr>
        <w:t>e</w:t>
      </w:r>
      <w:r w:rsidRPr="002F4BD9">
        <w:rPr>
          <w:rFonts w:ascii="Arial" w:hAnsi="Arial" w:cs="Arial"/>
          <w:sz w:val="22"/>
          <w:szCs w:val="22"/>
        </w:rPr>
        <w:t xml:space="preserve">r education sector beyond the university sector. </w:t>
      </w:r>
      <w:r w:rsidR="00510221">
        <w:rPr>
          <w:rFonts w:ascii="Arial" w:hAnsi="Arial" w:cs="Arial"/>
          <w:sz w:val="22"/>
          <w:szCs w:val="22"/>
        </w:rPr>
        <w:t>Broadly, t</w:t>
      </w:r>
      <w:r w:rsidRPr="002F4BD9">
        <w:rPr>
          <w:rFonts w:ascii="Arial" w:hAnsi="Arial" w:cs="Arial"/>
          <w:sz w:val="22"/>
          <w:szCs w:val="22"/>
        </w:rPr>
        <w:t xml:space="preserve">his report aims </w:t>
      </w:r>
      <w:r w:rsidR="00510221" w:rsidRPr="002F4BD9">
        <w:rPr>
          <w:rFonts w:ascii="Arial" w:hAnsi="Arial" w:cs="Arial"/>
          <w:sz w:val="22"/>
          <w:szCs w:val="22"/>
        </w:rPr>
        <w:t>to enhance and improve the level of publicly available financial</w:t>
      </w:r>
      <w:r w:rsidR="00510221" w:rsidRPr="00510221">
        <w:rPr>
          <w:rFonts w:ascii="Arial" w:hAnsi="Arial" w:cs="Arial"/>
          <w:sz w:val="22"/>
          <w:szCs w:val="22"/>
        </w:rPr>
        <w:t xml:space="preserve"> information on</w:t>
      </w:r>
      <w:r w:rsidR="00DB5B26">
        <w:rPr>
          <w:rFonts w:ascii="Arial" w:hAnsi="Arial" w:cs="Arial"/>
          <w:sz w:val="22"/>
          <w:szCs w:val="22"/>
        </w:rPr>
        <w:t xml:space="preserve"> the whole of</w:t>
      </w:r>
      <w:r w:rsidR="00510221" w:rsidRPr="00510221">
        <w:rPr>
          <w:rFonts w:ascii="Arial" w:hAnsi="Arial" w:cs="Arial"/>
          <w:sz w:val="22"/>
          <w:szCs w:val="22"/>
        </w:rPr>
        <w:t xml:space="preserve"> </w:t>
      </w:r>
      <w:r w:rsidR="00510221">
        <w:rPr>
          <w:rFonts w:ascii="Arial" w:hAnsi="Arial" w:cs="Arial"/>
          <w:sz w:val="22"/>
          <w:szCs w:val="22"/>
        </w:rPr>
        <w:t>Australia’s</w:t>
      </w:r>
      <w:r w:rsidR="00510221" w:rsidRPr="002F4BD9">
        <w:rPr>
          <w:rFonts w:ascii="Arial" w:hAnsi="Arial" w:cs="Arial"/>
          <w:sz w:val="22"/>
          <w:szCs w:val="22"/>
        </w:rPr>
        <w:t xml:space="preserve"> higher education sector with a view to better informing decision making by sector stakeholders.</w:t>
      </w:r>
    </w:p>
    <w:p w:rsidR="00276596" w:rsidRDefault="00795D12" w:rsidP="00346D90">
      <w:pPr>
        <w:rPr>
          <w:rFonts w:ascii="Arial" w:hAnsi="Arial" w:cs="Arial"/>
          <w:sz w:val="22"/>
          <w:szCs w:val="22"/>
        </w:rPr>
      </w:pPr>
      <w:r>
        <w:rPr>
          <w:rFonts w:ascii="Arial" w:hAnsi="Arial" w:cs="Arial"/>
          <w:sz w:val="22"/>
          <w:szCs w:val="22"/>
        </w:rPr>
        <w:t>For many providers financial data is commercial-in-confidence</w:t>
      </w:r>
      <w:r w:rsidR="00A25566">
        <w:rPr>
          <w:rFonts w:ascii="Arial" w:hAnsi="Arial" w:cs="Arial"/>
          <w:sz w:val="22"/>
          <w:szCs w:val="22"/>
        </w:rPr>
        <w:t>;</w:t>
      </w:r>
      <w:r>
        <w:rPr>
          <w:rFonts w:ascii="Arial" w:hAnsi="Arial" w:cs="Arial"/>
          <w:sz w:val="22"/>
          <w:szCs w:val="22"/>
        </w:rPr>
        <w:t xml:space="preserve"> </w:t>
      </w:r>
      <w:r w:rsidR="00B10227">
        <w:rPr>
          <w:rFonts w:ascii="Arial" w:hAnsi="Arial" w:cs="Arial"/>
          <w:sz w:val="22"/>
          <w:szCs w:val="22"/>
        </w:rPr>
        <w:t>therefore</w:t>
      </w:r>
      <w:r w:rsidR="00C9593C">
        <w:rPr>
          <w:rFonts w:ascii="Arial" w:hAnsi="Arial" w:cs="Arial"/>
          <w:sz w:val="22"/>
          <w:szCs w:val="22"/>
        </w:rPr>
        <w:t xml:space="preserve">, </w:t>
      </w:r>
      <w:r>
        <w:rPr>
          <w:rFonts w:ascii="Arial" w:hAnsi="Arial" w:cs="Arial"/>
          <w:sz w:val="22"/>
          <w:szCs w:val="22"/>
        </w:rPr>
        <w:t>information in this report has been presented in an aggregated</w:t>
      </w:r>
      <w:r w:rsidR="00C9593C">
        <w:rPr>
          <w:rFonts w:ascii="Arial" w:hAnsi="Arial" w:cs="Arial"/>
          <w:sz w:val="22"/>
          <w:szCs w:val="22"/>
        </w:rPr>
        <w:t>,</w:t>
      </w:r>
      <w:r>
        <w:rPr>
          <w:rFonts w:ascii="Arial" w:hAnsi="Arial" w:cs="Arial"/>
          <w:sz w:val="22"/>
          <w:szCs w:val="22"/>
        </w:rPr>
        <w:t xml:space="preserve"> de-identified manner</w:t>
      </w:r>
      <w:r w:rsidR="00A25566">
        <w:rPr>
          <w:rFonts w:ascii="Arial" w:hAnsi="Arial" w:cs="Arial"/>
          <w:sz w:val="22"/>
          <w:szCs w:val="22"/>
        </w:rPr>
        <w:t>.</w:t>
      </w:r>
      <w:r w:rsidR="00040D33">
        <w:rPr>
          <w:rFonts w:ascii="Arial" w:hAnsi="Arial" w:cs="Arial"/>
          <w:sz w:val="22"/>
          <w:szCs w:val="22"/>
        </w:rPr>
        <w:t xml:space="preserve"> </w:t>
      </w:r>
      <w:r w:rsidR="00346D90">
        <w:rPr>
          <w:rFonts w:ascii="Arial" w:hAnsi="Arial" w:cs="Arial"/>
          <w:sz w:val="22"/>
          <w:szCs w:val="22"/>
        </w:rPr>
        <w:t>T</w:t>
      </w:r>
      <w:r w:rsidR="00510221" w:rsidRPr="00D32BD2">
        <w:rPr>
          <w:rFonts w:ascii="Arial" w:hAnsi="Arial" w:cs="Arial"/>
          <w:sz w:val="22"/>
          <w:szCs w:val="22"/>
        </w:rPr>
        <w:t xml:space="preserve">he analysis and key metrics presented in this report allow </w:t>
      </w:r>
      <w:r w:rsidR="00346D90">
        <w:rPr>
          <w:rFonts w:ascii="Arial" w:hAnsi="Arial" w:cs="Arial"/>
          <w:sz w:val="22"/>
          <w:szCs w:val="22"/>
        </w:rPr>
        <w:t>users, in particular existing higher education providers,</w:t>
      </w:r>
      <w:r w:rsidR="00346D90" w:rsidRPr="00D32BD2">
        <w:rPr>
          <w:rFonts w:ascii="Arial" w:hAnsi="Arial" w:cs="Arial"/>
          <w:sz w:val="22"/>
          <w:szCs w:val="22"/>
        </w:rPr>
        <w:t xml:space="preserve"> </w:t>
      </w:r>
      <w:r w:rsidR="00510221" w:rsidRPr="00D32BD2">
        <w:rPr>
          <w:rFonts w:ascii="Arial" w:hAnsi="Arial" w:cs="Arial"/>
          <w:sz w:val="22"/>
          <w:szCs w:val="22"/>
        </w:rPr>
        <w:t>to better understand how their entity’s financial perf</w:t>
      </w:r>
      <w:r w:rsidR="00CC1563">
        <w:rPr>
          <w:rFonts w:ascii="Arial" w:hAnsi="Arial" w:cs="Arial"/>
          <w:sz w:val="22"/>
          <w:szCs w:val="22"/>
        </w:rPr>
        <w:t>o</w:t>
      </w:r>
      <w:r w:rsidR="00DB5B26">
        <w:rPr>
          <w:rFonts w:ascii="Arial" w:hAnsi="Arial" w:cs="Arial"/>
          <w:sz w:val="22"/>
          <w:szCs w:val="22"/>
        </w:rPr>
        <w:t xml:space="preserve">rmance </w:t>
      </w:r>
      <w:r w:rsidR="00510221" w:rsidRPr="00D32BD2">
        <w:rPr>
          <w:rFonts w:ascii="Arial" w:hAnsi="Arial" w:cs="Arial"/>
          <w:sz w:val="22"/>
          <w:szCs w:val="22"/>
        </w:rPr>
        <w:t xml:space="preserve">compares </w:t>
      </w:r>
      <w:r w:rsidR="0020462E">
        <w:rPr>
          <w:rFonts w:ascii="Arial" w:hAnsi="Arial" w:cs="Arial"/>
          <w:sz w:val="22"/>
          <w:szCs w:val="22"/>
        </w:rPr>
        <w:t>with</w:t>
      </w:r>
      <w:r w:rsidR="00510221" w:rsidRPr="00D32BD2">
        <w:rPr>
          <w:rFonts w:ascii="Arial" w:hAnsi="Arial" w:cs="Arial"/>
          <w:sz w:val="22"/>
          <w:szCs w:val="22"/>
        </w:rPr>
        <w:t xml:space="preserve"> other similar providers and </w:t>
      </w:r>
      <w:r w:rsidR="00265F8F">
        <w:rPr>
          <w:rFonts w:ascii="Arial" w:hAnsi="Arial" w:cs="Arial"/>
          <w:sz w:val="22"/>
          <w:szCs w:val="22"/>
        </w:rPr>
        <w:t>the sector</w:t>
      </w:r>
      <w:r w:rsidR="00510221" w:rsidRPr="00D32BD2">
        <w:rPr>
          <w:rFonts w:ascii="Arial" w:hAnsi="Arial" w:cs="Arial"/>
          <w:sz w:val="22"/>
          <w:szCs w:val="22"/>
        </w:rPr>
        <w:t xml:space="preserve"> more broadly.</w:t>
      </w:r>
    </w:p>
    <w:p w:rsidR="002C02F9" w:rsidRDefault="00DB5B26" w:rsidP="00346D90">
      <w:pPr>
        <w:rPr>
          <w:rFonts w:ascii="Arial" w:hAnsi="Arial" w:cs="Arial"/>
          <w:sz w:val="22"/>
          <w:szCs w:val="22"/>
        </w:rPr>
      </w:pPr>
      <w:r>
        <w:rPr>
          <w:rFonts w:ascii="Arial" w:hAnsi="Arial" w:cs="Arial"/>
          <w:sz w:val="22"/>
          <w:szCs w:val="22"/>
        </w:rPr>
        <w:t>Each</w:t>
      </w:r>
      <w:r w:rsidR="00276596">
        <w:rPr>
          <w:rFonts w:ascii="Arial" w:hAnsi="Arial" w:cs="Arial"/>
          <w:sz w:val="22"/>
          <w:szCs w:val="22"/>
        </w:rPr>
        <w:t xml:space="preserve"> registered </w:t>
      </w:r>
      <w:r w:rsidR="00B01430">
        <w:rPr>
          <w:rFonts w:ascii="Arial" w:hAnsi="Arial" w:cs="Arial"/>
          <w:sz w:val="22"/>
          <w:szCs w:val="22"/>
        </w:rPr>
        <w:t>h</w:t>
      </w:r>
      <w:r w:rsidR="00276596">
        <w:rPr>
          <w:rFonts w:ascii="Arial" w:hAnsi="Arial" w:cs="Arial"/>
          <w:sz w:val="22"/>
          <w:szCs w:val="22"/>
        </w:rPr>
        <w:t xml:space="preserve">igher </w:t>
      </w:r>
      <w:r w:rsidR="00B01430">
        <w:rPr>
          <w:rFonts w:ascii="Arial" w:hAnsi="Arial" w:cs="Arial"/>
          <w:sz w:val="22"/>
          <w:szCs w:val="22"/>
        </w:rPr>
        <w:t>e</w:t>
      </w:r>
      <w:r w:rsidR="00276596">
        <w:rPr>
          <w:rFonts w:ascii="Arial" w:hAnsi="Arial" w:cs="Arial"/>
          <w:sz w:val="22"/>
          <w:szCs w:val="22"/>
        </w:rPr>
        <w:t xml:space="preserve">ducation </w:t>
      </w:r>
      <w:r w:rsidR="00B01430">
        <w:rPr>
          <w:rFonts w:ascii="Arial" w:hAnsi="Arial" w:cs="Arial"/>
          <w:sz w:val="22"/>
          <w:szCs w:val="22"/>
        </w:rPr>
        <w:t>p</w:t>
      </w:r>
      <w:r>
        <w:rPr>
          <w:rFonts w:ascii="Arial" w:hAnsi="Arial" w:cs="Arial"/>
          <w:sz w:val="22"/>
          <w:szCs w:val="22"/>
        </w:rPr>
        <w:t xml:space="preserve">rovider has </w:t>
      </w:r>
      <w:r w:rsidR="00276596">
        <w:rPr>
          <w:rFonts w:ascii="Arial" w:hAnsi="Arial" w:cs="Arial"/>
          <w:sz w:val="22"/>
          <w:szCs w:val="22"/>
        </w:rPr>
        <w:t xml:space="preserve">been </w:t>
      </w:r>
      <w:r>
        <w:rPr>
          <w:rFonts w:ascii="Arial" w:hAnsi="Arial" w:cs="Arial"/>
          <w:sz w:val="22"/>
          <w:szCs w:val="22"/>
        </w:rPr>
        <w:t xml:space="preserve">provided a copy of its organisation’s </w:t>
      </w:r>
      <w:r w:rsidR="008410D8">
        <w:rPr>
          <w:rFonts w:ascii="Arial" w:hAnsi="Arial" w:cs="Arial"/>
          <w:sz w:val="22"/>
          <w:szCs w:val="22"/>
        </w:rPr>
        <w:t>standing against</w:t>
      </w:r>
      <w:r w:rsidR="00FC35A1">
        <w:rPr>
          <w:rFonts w:ascii="Arial" w:hAnsi="Arial" w:cs="Arial"/>
          <w:sz w:val="22"/>
          <w:szCs w:val="22"/>
        </w:rPr>
        <w:t xml:space="preserve"> </w:t>
      </w:r>
      <w:r>
        <w:rPr>
          <w:rFonts w:ascii="Arial" w:hAnsi="Arial" w:cs="Arial"/>
          <w:sz w:val="22"/>
          <w:szCs w:val="22"/>
        </w:rPr>
        <w:t>each metric.</w:t>
      </w:r>
    </w:p>
    <w:p w:rsidR="00585A36" w:rsidRPr="005214AF" w:rsidRDefault="00585A36" w:rsidP="005214AF">
      <w:pPr>
        <w:pStyle w:val="H2"/>
      </w:pPr>
      <w:r w:rsidRPr="005214AF">
        <w:t>Provider grouping</w:t>
      </w:r>
      <w:r w:rsidR="00E92B6A" w:rsidRPr="005214AF">
        <w:t>s used in this report</w:t>
      </w:r>
    </w:p>
    <w:p w:rsidR="00585A36" w:rsidRDefault="00585A36" w:rsidP="00276596">
      <w:pPr>
        <w:pStyle w:val="MSGENFONTSTYLENAMETEMPLATEROLEMSGENFONTSTYLENAMEBYROLETEXT1"/>
        <w:shd w:val="clear" w:color="auto" w:fill="auto"/>
        <w:spacing w:after="120" w:line="298" w:lineRule="exact"/>
        <w:ind w:left="23" w:right="62" w:firstLine="0"/>
        <w:rPr>
          <w:sz w:val="22"/>
          <w:szCs w:val="22"/>
        </w:rPr>
      </w:pPr>
      <w:r w:rsidRPr="00585A36">
        <w:rPr>
          <w:sz w:val="22"/>
          <w:szCs w:val="22"/>
        </w:rPr>
        <w:t>For the purposes of this report, TEQSA has</w:t>
      </w:r>
      <w:r>
        <w:rPr>
          <w:sz w:val="22"/>
          <w:szCs w:val="22"/>
        </w:rPr>
        <w:t xml:space="preserve"> grouped providers</w:t>
      </w:r>
      <w:r w:rsidR="00A94917">
        <w:rPr>
          <w:sz w:val="22"/>
          <w:szCs w:val="22"/>
        </w:rPr>
        <w:t xml:space="preserve"> </w:t>
      </w:r>
      <w:r>
        <w:rPr>
          <w:sz w:val="22"/>
          <w:szCs w:val="22"/>
        </w:rPr>
        <w:t>by broad operating model</w:t>
      </w:r>
      <w:r w:rsidR="00E23F9A">
        <w:rPr>
          <w:sz w:val="22"/>
          <w:szCs w:val="22"/>
        </w:rPr>
        <w:t>,</w:t>
      </w:r>
      <w:r>
        <w:rPr>
          <w:sz w:val="22"/>
          <w:szCs w:val="22"/>
        </w:rPr>
        <w:t xml:space="preserve"> and </w:t>
      </w:r>
      <w:r w:rsidR="00E23F9A">
        <w:rPr>
          <w:sz w:val="22"/>
          <w:szCs w:val="22"/>
        </w:rPr>
        <w:t xml:space="preserve">by </w:t>
      </w:r>
      <w:r>
        <w:rPr>
          <w:sz w:val="22"/>
          <w:szCs w:val="22"/>
        </w:rPr>
        <w:t>provider EFTSL size bands. The provider operating types used in this</w:t>
      </w:r>
      <w:r w:rsidR="006E358D">
        <w:rPr>
          <w:sz w:val="22"/>
          <w:szCs w:val="22"/>
        </w:rPr>
        <w:t xml:space="preserve"> </w:t>
      </w:r>
      <w:r>
        <w:rPr>
          <w:sz w:val="22"/>
          <w:szCs w:val="22"/>
        </w:rPr>
        <w:t>report are</w:t>
      </w:r>
      <w:r w:rsidR="00A25566">
        <w:rPr>
          <w:sz w:val="22"/>
          <w:szCs w:val="22"/>
        </w:rPr>
        <w:t>:</w:t>
      </w:r>
      <w:r>
        <w:rPr>
          <w:sz w:val="22"/>
          <w:szCs w:val="22"/>
        </w:rPr>
        <w:t xml:space="preserve"> </w:t>
      </w:r>
      <w:r w:rsidR="00276596">
        <w:rPr>
          <w:sz w:val="22"/>
          <w:szCs w:val="22"/>
        </w:rPr>
        <w:t>Universities,</w:t>
      </w:r>
      <w:r w:rsidR="00A33F1F">
        <w:rPr>
          <w:sz w:val="22"/>
          <w:szCs w:val="22"/>
        </w:rPr>
        <w:t xml:space="preserve"> Technical and Further Education (TAFE),</w:t>
      </w:r>
      <w:r w:rsidR="0052099B">
        <w:rPr>
          <w:sz w:val="22"/>
          <w:szCs w:val="22"/>
        </w:rPr>
        <w:t xml:space="preserve"> </w:t>
      </w:r>
      <w:r w:rsidR="00276596">
        <w:rPr>
          <w:sz w:val="22"/>
          <w:szCs w:val="22"/>
        </w:rPr>
        <w:t xml:space="preserve">Non-University </w:t>
      </w:r>
      <w:r w:rsidR="00C9593C">
        <w:rPr>
          <w:sz w:val="22"/>
          <w:szCs w:val="22"/>
        </w:rPr>
        <w:t>F</w:t>
      </w:r>
      <w:r>
        <w:rPr>
          <w:sz w:val="22"/>
          <w:szCs w:val="22"/>
        </w:rPr>
        <w:t>or-</w:t>
      </w:r>
      <w:r w:rsidR="00C9593C">
        <w:rPr>
          <w:sz w:val="22"/>
          <w:szCs w:val="22"/>
        </w:rPr>
        <w:t>P</w:t>
      </w:r>
      <w:r>
        <w:rPr>
          <w:sz w:val="22"/>
          <w:szCs w:val="22"/>
        </w:rPr>
        <w:t>rofit</w:t>
      </w:r>
      <w:r w:rsidR="00A44C12">
        <w:rPr>
          <w:sz w:val="22"/>
          <w:szCs w:val="22"/>
        </w:rPr>
        <w:t xml:space="preserve"> (For-Profit)</w:t>
      </w:r>
      <w:r w:rsidR="00A33F1F">
        <w:rPr>
          <w:sz w:val="22"/>
          <w:szCs w:val="22"/>
        </w:rPr>
        <w:t xml:space="preserve"> and</w:t>
      </w:r>
      <w:r>
        <w:rPr>
          <w:sz w:val="22"/>
          <w:szCs w:val="22"/>
        </w:rPr>
        <w:t xml:space="preserve"> </w:t>
      </w:r>
      <w:r w:rsidR="00A44C12">
        <w:rPr>
          <w:sz w:val="22"/>
          <w:szCs w:val="22"/>
        </w:rPr>
        <w:t>Non-University Not-F</w:t>
      </w:r>
      <w:r>
        <w:rPr>
          <w:sz w:val="22"/>
          <w:szCs w:val="22"/>
        </w:rPr>
        <w:t>or-</w:t>
      </w:r>
      <w:r w:rsidR="00C9593C">
        <w:rPr>
          <w:sz w:val="22"/>
          <w:szCs w:val="22"/>
        </w:rPr>
        <w:t>P</w:t>
      </w:r>
      <w:r>
        <w:rPr>
          <w:sz w:val="22"/>
          <w:szCs w:val="22"/>
        </w:rPr>
        <w:t>rofit</w:t>
      </w:r>
      <w:r w:rsidR="00A44C12">
        <w:rPr>
          <w:sz w:val="22"/>
          <w:szCs w:val="22"/>
        </w:rPr>
        <w:t xml:space="preserve"> (Not-For-Profit)</w:t>
      </w:r>
      <w:r w:rsidR="00A33F1F">
        <w:rPr>
          <w:sz w:val="22"/>
          <w:szCs w:val="22"/>
        </w:rPr>
        <w:t>.</w:t>
      </w:r>
    </w:p>
    <w:p w:rsidR="00276596" w:rsidRDefault="00276596" w:rsidP="00276596">
      <w:pPr>
        <w:pStyle w:val="MSGENFONTSTYLENAMETEMPLATEROLEMSGENFONTSTYLENAMEBYROLETEXT1"/>
        <w:shd w:val="clear" w:color="auto" w:fill="auto"/>
        <w:spacing w:after="120" w:line="298" w:lineRule="exact"/>
        <w:ind w:left="23" w:right="62" w:firstLine="0"/>
        <w:rPr>
          <w:sz w:val="22"/>
          <w:szCs w:val="22"/>
        </w:rPr>
      </w:pPr>
    </w:p>
    <w:p w:rsidR="008410D8" w:rsidRDefault="008410D8" w:rsidP="00276596">
      <w:pPr>
        <w:pStyle w:val="MSGENFONTSTYLENAMETEMPLATEROLEMSGENFONTSTYLENAMEBYROLETEXT1"/>
        <w:shd w:val="clear" w:color="auto" w:fill="auto"/>
        <w:spacing w:after="120" w:line="298" w:lineRule="exact"/>
        <w:ind w:left="23" w:right="62" w:firstLine="0"/>
        <w:rPr>
          <w:sz w:val="22"/>
          <w:szCs w:val="22"/>
        </w:rPr>
      </w:pPr>
    </w:p>
    <w:p w:rsidR="000A0B9A" w:rsidRPr="001972AC" w:rsidRDefault="000A0B9A" w:rsidP="005214AF">
      <w:pPr>
        <w:pStyle w:val="H2"/>
        <w:rPr>
          <w:noProof/>
        </w:rPr>
      </w:pPr>
      <w:r w:rsidRPr="001972AC">
        <w:rPr>
          <w:noProof/>
        </w:rPr>
        <w:lastRenderedPageBreak/>
        <w:t xml:space="preserve">Provider </w:t>
      </w:r>
      <w:r w:rsidR="00F40374">
        <w:rPr>
          <w:noProof/>
        </w:rPr>
        <w:t>e</w:t>
      </w:r>
      <w:r w:rsidRPr="001972AC">
        <w:rPr>
          <w:noProof/>
        </w:rPr>
        <w:t xml:space="preserve">xclusions and </w:t>
      </w:r>
      <w:r w:rsidR="00F40374">
        <w:rPr>
          <w:noProof/>
        </w:rPr>
        <w:t>i</w:t>
      </w:r>
      <w:r w:rsidRPr="001972AC">
        <w:rPr>
          <w:noProof/>
        </w:rPr>
        <w:t>nclusions</w:t>
      </w:r>
    </w:p>
    <w:p w:rsidR="000A0B9A" w:rsidRPr="001972AC" w:rsidRDefault="00F40374" w:rsidP="000A0B9A">
      <w:pPr>
        <w:rPr>
          <w:rFonts w:asciiTheme="minorHAnsi" w:hAnsiTheme="minorHAnsi" w:cstheme="minorHAnsi"/>
          <w:noProof/>
          <w:sz w:val="22"/>
          <w:szCs w:val="22"/>
        </w:rPr>
      </w:pPr>
      <w:r>
        <w:rPr>
          <w:rFonts w:asciiTheme="minorHAnsi" w:hAnsiTheme="minorHAnsi" w:cstheme="minorHAnsi"/>
          <w:noProof/>
          <w:sz w:val="22"/>
          <w:szCs w:val="22"/>
        </w:rPr>
        <w:t>T</w:t>
      </w:r>
      <w:r w:rsidR="000A0B9A" w:rsidRPr="001972AC">
        <w:rPr>
          <w:rFonts w:asciiTheme="minorHAnsi" w:hAnsiTheme="minorHAnsi" w:cstheme="minorHAnsi"/>
          <w:noProof/>
          <w:sz w:val="22"/>
          <w:szCs w:val="22"/>
        </w:rPr>
        <w:t xml:space="preserve">here </w:t>
      </w:r>
      <w:r w:rsidR="00927704">
        <w:rPr>
          <w:rFonts w:asciiTheme="minorHAnsi" w:hAnsiTheme="minorHAnsi" w:cstheme="minorHAnsi"/>
          <w:noProof/>
          <w:sz w:val="22"/>
          <w:szCs w:val="22"/>
        </w:rPr>
        <w:t>are</w:t>
      </w:r>
      <w:r w:rsidR="000A0B9A" w:rsidRPr="001972AC">
        <w:rPr>
          <w:rFonts w:asciiTheme="minorHAnsi" w:hAnsiTheme="minorHAnsi" w:cstheme="minorHAnsi"/>
          <w:noProof/>
          <w:sz w:val="22"/>
          <w:szCs w:val="22"/>
        </w:rPr>
        <w:t xml:space="preserve"> a small number of providers that were not required to submit financ</w:t>
      </w:r>
      <w:r w:rsidR="00346D90">
        <w:rPr>
          <w:rFonts w:asciiTheme="minorHAnsi" w:hAnsiTheme="minorHAnsi" w:cstheme="minorHAnsi"/>
          <w:noProof/>
          <w:sz w:val="22"/>
          <w:szCs w:val="22"/>
        </w:rPr>
        <w:t>ial</w:t>
      </w:r>
      <w:r w:rsidR="000A0B9A" w:rsidRPr="001972AC">
        <w:rPr>
          <w:rFonts w:asciiTheme="minorHAnsi" w:hAnsiTheme="minorHAnsi" w:cstheme="minorHAnsi"/>
          <w:noProof/>
          <w:sz w:val="22"/>
          <w:szCs w:val="22"/>
        </w:rPr>
        <w:t xml:space="preserve"> data </w:t>
      </w:r>
      <w:r w:rsidR="00DB5B26">
        <w:rPr>
          <w:rFonts w:asciiTheme="minorHAnsi" w:hAnsiTheme="minorHAnsi" w:cstheme="minorHAnsi"/>
          <w:noProof/>
          <w:sz w:val="22"/>
          <w:szCs w:val="22"/>
        </w:rPr>
        <w:t xml:space="preserve">to TEQSA in the collection year </w:t>
      </w:r>
      <w:r w:rsidR="00C9593C">
        <w:rPr>
          <w:rFonts w:asciiTheme="minorHAnsi" w:hAnsiTheme="minorHAnsi" w:cstheme="minorHAnsi"/>
          <w:noProof/>
          <w:sz w:val="22"/>
          <w:szCs w:val="22"/>
        </w:rPr>
        <w:t>due to context</w:t>
      </w:r>
      <w:r w:rsidR="00DB5B26">
        <w:rPr>
          <w:rFonts w:asciiTheme="minorHAnsi" w:hAnsiTheme="minorHAnsi" w:cstheme="minorHAnsi"/>
          <w:noProof/>
          <w:sz w:val="22"/>
          <w:szCs w:val="22"/>
        </w:rPr>
        <w:t>ual factors</w:t>
      </w:r>
      <w:r w:rsidR="00C9593C">
        <w:rPr>
          <w:rFonts w:asciiTheme="minorHAnsi" w:hAnsiTheme="minorHAnsi" w:cstheme="minorHAnsi"/>
          <w:noProof/>
          <w:sz w:val="22"/>
          <w:szCs w:val="22"/>
        </w:rPr>
        <w:t xml:space="preserve"> such </w:t>
      </w:r>
      <w:r w:rsidR="00F7523B">
        <w:rPr>
          <w:rFonts w:asciiTheme="minorHAnsi" w:hAnsiTheme="minorHAnsi" w:cstheme="minorHAnsi"/>
          <w:noProof/>
          <w:sz w:val="22"/>
          <w:szCs w:val="22"/>
        </w:rPr>
        <w:t xml:space="preserve">as: </w:t>
      </w:r>
      <w:r w:rsidR="00DB5B26">
        <w:rPr>
          <w:rFonts w:asciiTheme="minorHAnsi" w:hAnsiTheme="minorHAnsi" w:cstheme="minorHAnsi"/>
          <w:noProof/>
          <w:sz w:val="22"/>
          <w:szCs w:val="22"/>
        </w:rPr>
        <w:t>being</w:t>
      </w:r>
      <w:r w:rsidR="000A0B9A" w:rsidRPr="001972AC">
        <w:rPr>
          <w:rFonts w:asciiTheme="minorHAnsi" w:hAnsiTheme="minorHAnsi" w:cstheme="minorHAnsi"/>
          <w:noProof/>
          <w:sz w:val="22"/>
          <w:szCs w:val="22"/>
        </w:rPr>
        <w:t xml:space="preserve"> recently registered as a higher education provider</w:t>
      </w:r>
      <w:r w:rsidR="001A40D5">
        <w:rPr>
          <w:rFonts w:asciiTheme="minorHAnsi" w:hAnsiTheme="minorHAnsi" w:cstheme="minorHAnsi"/>
          <w:noProof/>
          <w:sz w:val="22"/>
          <w:szCs w:val="22"/>
        </w:rPr>
        <w:t xml:space="preserve">; or </w:t>
      </w:r>
      <w:r w:rsidR="001A40D5" w:rsidRPr="001972AC">
        <w:rPr>
          <w:rFonts w:asciiTheme="minorHAnsi" w:hAnsiTheme="minorHAnsi" w:cstheme="minorHAnsi"/>
          <w:noProof/>
          <w:sz w:val="22"/>
          <w:szCs w:val="22"/>
        </w:rPr>
        <w:t xml:space="preserve">at the time of </w:t>
      </w:r>
      <w:r w:rsidR="001A40D5">
        <w:rPr>
          <w:rFonts w:asciiTheme="minorHAnsi" w:hAnsiTheme="minorHAnsi" w:cstheme="minorHAnsi"/>
          <w:noProof/>
          <w:sz w:val="22"/>
          <w:szCs w:val="22"/>
        </w:rPr>
        <w:t xml:space="preserve">the data </w:t>
      </w:r>
      <w:r w:rsidR="001A40D5" w:rsidRPr="001972AC">
        <w:rPr>
          <w:rFonts w:asciiTheme="minorHAnsi" w:hAnsiTheme="minorHAnsi" w:cstheme="minorHAnsi"/>
          <w:noProof/>
          <w:sz w:val="22"/>
          <w:szCs w:val="22"/>
        </w:rPr>
        <w:t>collecti</w:t>
      </w:r>
      <w:r w:rsidR="001A40D5">
        <w:rPr>
          <w:rFonts w:asciiTheme="minorHAnsi" w:hAnsiTheme="minorHAnsi" w:cstheme="minorHAnsi"/>
          <w:noProof/>
          <w:sz w:val="22"/>
          <w:szCs w:val="22"/>
        </w:rPr>
        <w:t>on,</w:t>
      </w:r>
      <w:r w:rsidR="000A0B9A">
        <w:rPr>
          <w:rFonts w:asciiTheme="minorHAnsi" w:hAnsiTheme="minorHAnsi" w:cstheme="minorHAnsi"/>
          <w:noProof/>
          <w:sz w:val="22"/>
          <w:szCs w:val="22"/>
        </w:rPr>
        <w:t xml:space="preserve"> </w:t>
      </w:r>
      <w:r w:rsidR="000A0B9A" w:rsidRPr="001972AC">
        <w:rPr>
          <w:rFonts w:asciiTheme="minorHAnsi" w:hAnsiTheme="minorHAnsi" w:cstheme="minorHAnsi"/>
          <w:noProof/>
          <w:sz w:val="22"/>
          <w:szCs w:val="22"/>
        </w:rPr>
        <w:t>in the process of merging with another entity</w:t>
      </w:r>
      <w:r w:rsidR="00F7523B">
        <w:rPr>
          <w:rFonts w:asciiTheme="minorHAnsi" w:hAnsiTheme="minorHAnsi" w:cstheme="minorHAnsi"/>
          <w:noProof/>
          <w:sz w:val="22"/>
          <w:szCs w:val="22"/>
        </w:rPr>
        <w:t>;</w:t>
      </w:r>
      <w:r w:rsidR="000A0B9A">
        <w:rPr>
          <w:rFonts w:asciiTheme="minorHAnsi" w:hAnsiTheme="minorHAnsi" w:cstheme="minorHAnsi"/>
          <w:noProof/>
          <w:sz w:val="22"/>
          <w:szCs w:val="22"/>
        </w:rPr>
        <w:t xml:space="preserve"> </w:t>
      </w:r>
      <w:r w:rsidR="000A0B9A" w:rsidRPr="001972AC">
        <w:rPr>
          <w:rFonts w:asciiTheme="minorHAnsi" w:hAnsiTheme="minorHAnsi" w:cstheme="minorHAnsi"/>
          <w:noProof/>
          <w:sz w:val="22"/>
          <w:szCs w:val="22"/>
        </w:rPr>
        <w:t>withdrawing</w:t>
      </w:r>
      <w:r w:rsidR="001A40D5">
        <w:rPr>
          <w:rFonts w:asciiTheme="minorHAnsi" w:hAnsiTheme="minorHAnsi" w:cstheme="minorHAnsi"/>
          <w:noProof/>
          <w:sz w:val="22"/>
          <w:szCs w:val="22"/>
        </w:rPr>
        <w:t xml:space="preserve"> its</w:t>
      </w:r>
      <w:r w:rsidR="000A0B9A" w:rsidRPr="001972AC">
        <w:rPr>
          <w:rFonts w:asciiTheme="minorHAnsi" w:hAnsiTheme="minorHAnsi" w:cstheme="minorHAnsi"/>
          <w:noProof/>
          <w:sz w:val="22"/>
          <w:szCs w:val="22"/>
        </w:rPr>
        <w:t xml:space="preserve"> registration</w:t>
      </w:r>
      <w:r w:rsidR="001A40D5">
        <w:rPr>
          <w:rFonts w:asciiTheme="minorHAnsi" w:hAnsiTheme="minorHAnsi" w:cstheme="minorHAnsi"/>
          <w:noProof/>
          <w:sz w:val="22"/>
          <w:szCs w:val="22"/>
        </w:rPr>
        <w:t xml:space="preserve"> (i.e. due to teach out of courses)</w:t>
      </w:r>
      <w:r w:rsidR="00F7523B">
        <w:rPr>
          <w:rFonts w:asciiTheme="minorHAnsi" w:hAnsiTheme="minorHAnsi" w:cstheme="minorHAnsi"/>
          <w:noProof/>
          <w:sz w:val="22"/>
          <w:szCs w:val="22"/>
        </w:rPr>
        <w:t>;</w:t>
      </w:r>
      <w:r w:rsidR="000A0B9A" w:rsidRPr="001972AC">
        <w:rPr>
          <w:rFonts w:asciiTheme="minorHAnsi" w:hAnsiTheme="minorHAnsi" w:cstheme="minorHAnsi"/>
          <w:noProof/>
          <w:sz w:val="22"/>
          <w:szCs w:val="22"/>
        </w:rPr>
        <w:t xml:space="preserve"> or </w:t>
      </w:r>
      <w:r w:rsidR="006B0360">
        <w:rPr>
          <w:rFonts w:asciiTheme="minorHAnsi" w:hAnsiTheme="minorHAnsi" w:cstheme="minorHAnsi"/>
          <w:noProof/>
          <w:sz w:val="22"/>
          <w:szCs w:val="22"/>
        </w:rPr>
        <w:t xml:space="preserve">having its </w:t>
      </w:r>
      <w:r w:rsidR="000A0B9A" w:rsidRPr="001972AC">
        <w:rPr>
          <w:rFonts w:asciiTheme="minorHAnsi" w:hAnsiTheme="minorHAnsi" w:cstheme="minorHAnsi"/>
          <w:noProof/>
          <w:sz w:val="22"/>
          <w:szCs w:val="22"/>
        </w:rPr>
        <w:t>registration cancelled</w:t>
      </w:r>
      <w:r w:rsidR="001A40D5">
        <w:rPr>
          <w:rFonts w:asciiTheme="minorHAnsi" w:hAnsiTheme="minorHAnsi" w:cstheme="minorHAnsi"/>
          <w:noProof/>
          <w:sz w:val="22"/>
          <w:szCs w:val="22"/>
        </w:rPr>
        <w:t>.</w:t>
      </w:r>
    </w:p>
    <w:p w:rsidR="000A0B9A" w:rsidRDefault="000A0B9A" w:rsidP="000A0B9A">
      <w:pPr>
        <w:rPr>
          <w:rFonts w:asciiTheme="minorHAnsi" w:hAnsiTheme="minorHAnsi" w:cstheme="minorHAnsi"/>
          <w:noProof/>
          <w:sz w:val="22"/>
          <w:szCs w:val="22"/>
        </w:rPr>
      </w:pPr>
      <w:r>
        <w:rPr>
          <w:rFonts w:asciiTheme="minorHAnsi" w:hAnsiTheme="minorHAnsi" w:cstheme="minorHAnsi"/>
          <w:noProof/>
          <w:sz w:val="22"/>
          <w:szCs w:val="22"/>
        </w:rPr>
        <w:t>In addition to the exclusions</w:t>
      </w:r>
      <w:r w:rsidRPr="00F01E07">
        <w:rPr>
          <w:rFonts w:asciiTheme="minorHAnsi" w:hAnsiTheme="minorHAnsi" w:cstheme="minorHAnsi"/>
          <w:noProof/>
          <w:sz w:val="22"/>
          <w:szCs w:val="22"/>
        </w:rPr>
        <w:t xml:space="preserve"> </w:t>
      </w:r>
      <w:r w:rsidR="00346D90">
        <w:rPr>
          <w:rFonts w:asciiTheme="minorHAnsi" w:hAnsiTheme="minorHAnsi" w:cstheme="minorHAnsi"/>
          <w:noProof/>
          <w:sz w:val="22"/>
          <w:szCs w:val="22"/>
        </w:rPr>
        <w:t xml:space="preserve">identified </w:t>
      </w:r>
      <w:r>
        <w:rPr>
          <w:rFonts w:asciiTheme="minorHAnsi" w:hAnsiTheme="minorHAnsi" w:cstheme="minorHAnsi"/>
          <w:noProof/>
          <w:sz w:val="22"/>
          <w:szCs w:val="22"/>
        </w:rPr>
        <w:t xml:space="preserve">above, </w:t>
      </w:r>
      <w:r w:rsidR="005C5FEC" w:rsidRPr="005C5FEC">
        <w:rPr>
          <w:rFonts w:asciiTheme="minorHAnsi" w:hAnsiTheme="minorHAnsi" w:cstheme="minorHAnsi"/>
          <w:noProof/>
          <w:sz w:val="22"/>
          <w:szCs w:val="22"/>
        </w:rPr>
        <w:t>in a handful of cases irregular or abnormal data points have been excluded</w:t>
      </w:r>
      <w:r w:rsidR="00DB5B26">
        <w:rPr>
          <w:rFonts w:asciiTheme="minorHAnsi" w:hAnsiTheme="minorHAnsi" w:cstheme="minorHAnsi"/>
          <w:noProof/>
          <w:sz w:val="22"/>
          <w:szCs w:val="22"/>
        </w:rPr>
        <w:t xml:space="preserve"> from the analysis</w:t>
      </w:r>
      <w:r w:rsidR="005C5FEC" w:rsidRPr="005C5FEC">
        <w:rPr>
          <w:rFonts w:asciiTheme="minorHAnsi" w:hAnsiTheme="minorHAnsi" w:cstheme="minorHAnsi"/>
          <w:noProof/>
          <w:sz w:val="22"/>
          <w:szCs w:val="22"/>
        </w:rPr>
        <w:t xml:space="preserve"> to avoid misleading interpretations of individual provider financial situations. </w:t>
      </w:r>
      <w:r w:rsidR="004674C6" w:rsidRPr="00AE7985">
        <w:rPr>
          <w:rFonts w:asciiTheme="minorHAnsi" w:hAnsiTheme="minorHAnsi" w:cstheme="minorHAnsi"/>
          <w:noProof/>
          <w:sz w:val="22"/>
          <w:szCs w:val="22"/>
        </w:rPr>
        <w:t xml:space="preserve">Providers </w:t>
      </w:r>
      <w:r w:rsidR="00D17D8D" w:rsidRPr="00AE7985">
        <w:rPr>
          <w:rFonts w:asciiTheme="minorHAnsi" w:hAnsiTheme="minorHAnsi" w:cstheme="minorHAnsi"/>
          <w:noProof/>
          <w:sz w:val="22"/>
          <w:szCs w:val="22"/>
        </w:rPr>
        <w:t>have also been</w:t>
      </w:r>
      <w:r w:rsidR="004674C6" w:rsidRPr="00AE7985">
        <w:rPr>
          <w:rFonts w:asciiTheme="minorHAnsi" w:hAnsiTheme="minorHAnsi" w:cstheme="minorHAnsi"/>
          <w:noProof/>
          <w:sz w:val="22"/>
          <w:szCs w:val="22"/>
        </w:rPr>
        <w:t xml:space="preserve"> excluded whe</w:t>
      </w:r>
      <w:r w:rsidR="00D17D8D" w:rsidRPr="00AE7985">
        <w:rPr>
          <w:rFonts w:asciiTheme="minorHAnsi" w:hAnsiTheme="minorHAnsi" w:cstheme="minorHAnsi"/>
          <w:noProof/>
          <w:sz w:val="22"/>
          <w:szCs w:val="22"/>
        </w:rPr>
        <w:t>re</w:t>
      </w:r>
      <w:r w:rsidR="004674C6" w:rsidRPr="00AE7985">
        <w:rPr>
          <w:rFonts w:asciiTheme="minorHAnsi" w:hAnsiTheme="minorHAnsi" w:cstheme="minorHAnsi"/>
          <w:noProof/>
          <w:sz w:val="22"/>
          <w:szCs w:val="22"/>
        </w:rPr>
        <w:t xml:space="preserve"> </w:t>
      </w:r>
      <w:r w:rsidR="00DB5B26">
        <w:rPr>
          <w:rFonts w:asciiTheme="minorHAnsi" w:hAnsiTheme="minorHAnsi" w:cstheme="minorHAnsi"/>
          <w:noProof/>
          <w:sz w:val="22"/>
          <w:szCs w:val="22"/>
        </w:rPr>
        <w:t>in</w:t>
      </w:r>
      <w:r w:rsidR="004674C6" w:rsidRPr="00AE7985">
        <w:rPr>
          <w:rFonts w:asciiTheme="minorHAnsi" w:hAnsiTheme="minorHAnsi" w:cstheme="minorHAnsi"/>
          <w:noProof/>
          <w:sz w:val="22"/>
          <w:szCs w:val="22"/>
        </w:rPr>
        <w:t xml:space="preserve">sufficient data </w:t>
      </w:r>
      <w:r w:rsidR="00D17D8D" w:rsidRPr="00AE7985">
        <w:rPr>
          <w:rFonts w:asciiTheme="minorHAnsi" w:hAnsiTheme="minorHAnsi" w:cstheme="minorHAnsi"/>
          <w:noProof/>
          <w:sz w:val="22"/>
          <w:szCs w:val="22"/>
        </w:rPr>
        <w:t>was</w:t>
      </w:r>
      <w:r w:rsidR="00DB5B26">
        <w:rPr>
          <w:rFonts w:asciiTheme="minorHAnsi" w:hAnsiTheme="minorHAnsi" w:cstheme="minorHAnsi"/>
          <w:noProof/>
          <w:sz w:val="22"/>
          <w:szCs w:val="22"/>
        </w:rPr>
        <w:t xml:space="preserve"> </w:t>
      </w:r>
      <w:r w:rsidR="004674C6" w:rsidRPr="00AE7985">
        <w:rPr>
          <w:rFonts w:asciiTheme="minorHAnsi" w:hAnsiTheme="minorHAnsi" w:cstheme="minorHAnsi"/>
          <w:noProof/>
          <w:sz w:val="22"/>
          <w:szCs w:val="22"/>
        </w:rPr>
        <w:t xml:space="preserve">available to </w:t>
      </w:r>
      <w:r w:rsidR="00DB5B26">
        <w:rPr>
          <w:rFonts w:asciiTheme="minorHAnsi" w:hAnsiTheme="minorHAnsi" w:cstheme="minorHAnsi"/>
          <w:noProof/>
          <w:sz w:val="22"/>
          <w:szCs w:val="22"/>
        </w:rPr>
        <w:t>calculate</w:t>
      </w:r>
      <w:r w:rsidR="004674C6" w:rsidRPr="00AE7985">
        <w:rPr>
          <w:rFonts w:asciiTheme="minorHAnsi" w:hAnsiTheme="minorHAnsi" w:cstheme="minorHAnsi"/>
          <w:noProof/>
          <w:sz w:val="22"/>
          <w:szCs w:val="22"/>
        </w:rPr>
        <w:t xml:space="preserve"> a particular financial metric.</w:t>
      </w:r>
      <w:r w:rsidR="004674C6">
        <w:rPr>
          <w:rFonts w:asciiTheme="minorHAnsi" w:hAnsiTheme="minorHAnsi" w:cstheme="minorHAnsi"/>
          <w:noProof/>
          <w:sz w:val="22"/>
          <w:szCs w:val="22"/>
        </w:rPr>
        <w:t xml:space="preserve"> </w:t>
      </w:r>
      <w:r w:rsidR="00DB5B26">
        <w:rPr>
          <w:rFonts w:asciiTheme="minorHAnsi" w:hAnsiTheme="minorHAnsi" w:cstheme="minorHAnsi"/>
          <w:noProof/>
          <w:sz w:val="22"/>
          <w:szCs w:val="22"/>
        </w:rPr>
        <w:t>As a result</w:t>
      </w:r>
      <w:r>
        <w:rPr>
          <w:rFonts w:asciiTheme="minorHAnsi" w:hAnsiTheme="minorHAnsi" w:cstheme="minorHAnsi"/>
          <w:noProof/>
          <w:sz w:val="22"/>
          <w:szCs w:val="22"/>
        </w:rPr>
        <w:t>, the number of providers presented in a particular chart may be less than the</w:t>
      </w:r>
      <w:r w:rsidR="00DB5B26">
        <w:rPr>
          <w:rFonts w:asciiTheme="minorHAnsi" w:hAnsiTheme="minorHAnsi" w:cstheme="minorHAnsi"/>
          <w:noProof/>
          <w:sz w:val="22"/>
          <w:szCs w:val="22"/>
        </w:rPr>
        <w:t xml:space="preserve"> total</w:t>
      </w:r>
      <w:r>
        <w:rPr>
          <w:rFonts w:asciiTheme="minorHAnsi" w:hAnsiTheme="minorHAnsi" w:cstheme="minorHAnsi"/>
          <w:noProof/>
          <w:sz w:val="22"/>
          <w:szCs w:val="22"/>
        </w:rPr>
        <w:t xml:space="preserve"> nu</w:t>
      </w:r>
      <w:r w:rsidR="00DB5B26">
        <w:rPr>
          <w:rFonts w:asciiTheme="minorHAnsi" w:hAnsiTheme="minorHAnsi" w:cstheme="minorHAnsi"/>
          <w:noProof/>
          <w:sz w:val="22"/>
          <w:szCs w:val="22"/>
        </w:rPr>
        <w:t>mber of providers listed for the</w:t>
      </w:r>
      <w:r>
        <w:rPr>
          <w:rFonts w:asciiTheme="minorHAnsi" w:hAnsiTheme="minorHAnsi" w:cstheme="minorHAnsi"/>
          <w:noProof/>
          <w:sz w:val="22"/>
          <w:szCs w:val="22"/>
        </w:rPr>
        <w:t xml:space="preserve"> respective provider </w:t>
      </w:r>
      <w:r w:rsidR="00452500">
        <w:rPr>
          <w:rFonts w:asciiTheme="minorHAnsi" w:hAnsiTheme="minorHAnsi" w:cstheme="minorHAnsi"/>
          <w:noProof/>
          <w:sz w:val="22"/>
          <w:szCs w:val="22"/>
        </w:rPr>
        <w:t>type</w:t>
      </w:r>
      <w:r>
        <w:rPr>
          <w:rFonts w:asciiTheme="minorHAnsi" w:hAnsiTheme="minorHAnsi" w:cstheme="minorHAnsi"/>
          <w:noProof/>
          <w:sz w:val="22"/>
          <w:szCs w:val="22"/>
        </w:rPr>
        <w:t xml:space="preserve"> or size band.</w:t>
      </w:r>
      <w:r w:rsidR="00A022A4">
        <w:rPr>
          <w:rFonts w:asciiTheme="minorHAnsi" w:hAnsiTheme="minorHAnsi" w:cstheme="minorHAnsi"/>
          <w:noProof/>
          <w:sz w:val="22"/>
          <w:szCs w:val="22"/>
        </w:rPr>
        <w:t xml:space="preserve"> Further details</w:t>
      </w:r>
      <w:r w:rsidR="00DB5B26">
        <w:rPr>
          <w:rFonts w:asciiTheme="minorHAnsi" w:hAnsiTheme="minorHAnsi" w:cstheme="minorHAnsi"/>
          <w:noProof/>
          <w:sz w:val="22"/>
          <w:szCs w:val="22"/>
        </w:rPr>
        <w:t xml:space="preserve"> on exclusions</w:t>
      </w:r>
      <w:r w:rsidR="00A022A4">
        <w:rPr>
          <w:rFonts w:asciiTheme="minorHAnsi" w:hAnsiTheme="minorHAnsi" w:cstheme="minorHAnsi"/>
          <w:noProof/>
          <w:sz w:val="22"/>
          <w:szCs w:val="22"/>
        </w:rPr>
        <w:t xml:space="preserve"> can be found in the Appendices and </w:t>
      </w:r>
      <w:r w:rsidR="00DB5B26">
        <w:rPr>
          <w:rFonts w:asciiTheme="minorHAnsi" w:hAnsiTheme="minorHAnsi" w:cstheme="minorHAnsi"/>
          <w:noProof/>
          <w:sz w:val="22"/>
          <w:szCs w:val="22"/>
        </w:rPr>
        <w:t>Explanatory N</w:t>
      </w:r>
      <w:r w:rsidR="007A2324">
        <w:rPr>
          <w:rFonts w:asciiTheme="minorHAnsi" w:hAnsiTheme="minorHAnsi" w:cstheme="minorHAnsi"/>
          <w:noProof/>
          <w:sz w:val="22"/>
          <w:szCs w:val="22"/>
        </w:rPr>
        <w:t>otes</w:t>
      </w:r>
      <w:r w:rsidR="00DB5B26">
        <w:rPr>
          <w:rFonts w:asciiTheme="minorHAnsi" w:hAnsiTheme="minorHAnsi" w:cstheme="minorHAnsi"/>
          <w:noProof/>
          <w:sz w:val="22"/>
          <w:szCs w:val="22"/>
        </w:rPr>
        <w:t xml:space="preserve"> sections</w:t>
      </w:r>
      <w:r w:rsidR="007A2324">
        <w:rPr>
          <w:rFonts w:asciiTheme="minorHAnsi" w:hAnsiTheme="minorHAnsi" w:cstheme="minorHAnsi"/>
          <w:noProof/>
          <w:sz w:val="22"/>
          <w:szCs w:val="22"/>
        </w:rPr>
        <w:t xml:space="preserve"> </w:t>
      </w:r>
      <w:r w:rsidR="00A022A4">
        <w:rPr>
          <w:rFonts w:asciiTheme="minorHAnsi" w:hAnsiTheme="minorHAnsi" w:cstheme="minorHAnsi"/>
          <w:noProof/>
          <w:sz w:val="22"/>
          <w:szCs w:val="22"/>
        </w:rPr>
        <w:t>of this report.</w:t>
      </w:r>
    </w:p>
    <w:p w:rsidR="000A0B9A" w:rsidRDefault="0020462E" w:rsidP="005214AF">
      <w:pPr>
        <w:pStyle w:val="H2"/>
      </w:pPr>
      <w:r>
        <w:t>Reporting period</w:t>
      </w:r>
    </w:p>
    <w:p w:rsidR="00A44C12" w:rsidRDefault="00EA005A" w:rsidP="00A44C12">
      <w:pPr>
        <w:rPr>
          <w:rFonts w:asciiTheme="majorHAnsi" w:eastAsiaTheme="majorEastAsia" w:hAnsiTheme="majorHAnsi" w:cstheme="majorBidi"/>
          <w:b/>
          <w:bCs/>
          <w:noProof/>
          <w:color w:val="00353F" w:themeColor="accent1" w:themeShade="BF"/>
          <w:sz w:val="44"/>
          <w:szCs w:val="44"/>
          <w:lang w:eastAsia="en-AU"/>
        </w:rPr>
      </w:pPr>
      <w:r>
        <w:rPr>
          <w:rFonts w:ascii="Arial" w:hAnsi="Arial" w:cs="Arial"/>
          <w:sz w:val="22"/>
          <w:szCs w:val="22"/>
        </w:rPr>
        <w:t>Data in this report has been sourced from TEQSA’s 2015 data collection and relates to financial years ended 31 December 2014 until 30 June 2015.</w:t>
      </w:r>
    </w:p>
    <w:p w:rsidR="00585A36" w:rsidRPr="00991F88" w:rsidRDefault="00585A36" w:rsidP="005214AF">
      <w:pPr>
        <w:pStyle w:val="H2"/>
        <w:rPr>
          <w:noProof/>
          <w:lang w:eastAsia="en-AU"/>
        </w:rPr>
      </w:pPr>
      <w:r w:rsidRPr="00991F88">
        <w:rPr>
          <w:noProof/>
          <w:lang w:eastAsia="en-AU"/>
        </w:rPr>
        <w:t>Enquiries</w:t>
      </w:r>
    </w:p>
    <w:p w:rsidR="00276596" w:rsidRDefault="00585A36" w:rsidP="005A7343">
      <w:pPr>
        <w:pStyle w:val="MSGENFONTSTYLENAMETEMPLATEROLEMSGENFONTSTYLENAMEBYROLETEXT1"/>
        <w:shd w:val="clear" w:color="auto" w:fill="auto"/>
        <w:spacing w:before="120" w:after="120" w:line="280" w:lineRule="exact"/>
        <w:ind w:left="23" w:right="278" w:firstLine="0"/>
        <w:rPr>
          <w:rStyle w:val="MSGENFONTSTYLENAMETEMPLATEROLEMSGENFONTSTYLENAMEBYROLETEXT32"/>
          <w:sz w:val="22"/>
          <w:szCs w:val="22"/>
        </w:rPr>
        <w:sectPr w:rsidR="00276596" w:rsidSect="004A548D">
          <w:type w:val="continuous"/>
          <w:pgSz w:w="11906" w:h="16838"/>
          <w:pgMar w:top="1103" w:right="1274" w:bottom="1276" w:left="1276" w:header="709" w:footer="709" w:gutter="0"/>
          <w:cols w:num="2" w:space="708"/>
          <w:titlePg/>
          <w:docGrid w:linePitch="360"/>
        </w:sectPr>
      </w:pPr>
      <w:r w:rsidRPr="008466EE">
        <w:rPr>
          <w:sz w:val="22"/>
          <w:szCs w:val="22"/>
        </w:rPr>
        <w:t xml:space="preserve">For enquiries relating to this report </w:t>
      </w:r>
      <w:r w:rsidR="00F40374" w:rsidRPr="007E7688">
        <w:rPr>
          <w:sz w:val="22"/>
          <w:szCs w:val="22"/>
        </w:rPr>
        <w:t>or</w:t>
      </w:r>
      <w:r w:rsidRPr="007E7688">
        <w:rPr>
          <w:sz w:val="22"/>
          <w:szCs w:val="22"/>
        </w:rPr>
        <w:t xml:space="preserve"> </w:t>
      </w:r>
      <w:r w:rsidR="00315EAB">
        <w:rPr>
          <w:sz w:val="22"/>
          <w:szCs w:val="22"/>
        </w:rPr>
        <w:t>P</w:t>
      </w:r>
      <w:r w:rsidR="00141143">
        <w:rPr>
          <w:sz w:val="22"/>
          <w:szCs w:val="22"/>
        </w:rPr>
        <w:t>rovider Information Request (PI</w:t>
      </w:r>
      <w:r w:rsidR="00315EAB">
        <w:rPr>
          <w:sz w:val="22"/>
          <w:szCs w:val="22"/>
        </w:rPr>
        <w:t>R</w:t>
      </w:r>
      <w:r w:rsidR="00141143">
        <w:rPr>
          <w:sz w:val="22"/>
          <w:szCs w:val="22"/>
        </w:rPr>
        <w:t>)</w:t>
      </w:r>
      <w:r w:rsidR="00A94917" w:rsidRPr="009C5B1A">
        <w:rPr>
          <w:sz w:val="22"/>
          <w:szCs w:val="22"/>
        </w:rPr>
        <w:t xml:space="preserve"> </w:t>
      </w:r>
      <w:r w:rsidRPr="009C5B1A">
        <w:rPr>
          <w:sz w:val="22"/>
          <w:szCs w:val="22"/>
        </w:rPr>
        <w:t>data please contact TEQSA</w:t>
      </w:r>
      <w:r w:rsidR="00E92B6A" w:rsidRPr="009C5B1A">
        <w:rPr>
          <w:sz w:val="22"/>
          <w:szCs w:val="22"/>
        </w:rPr>
        <w:t xml:space="preserve"> at</w:t>
      </w:r>
      <w:r w:rsidR="00E92B6A" w:rsidRPr="00E23F9A">
        <w:rPr>
          <w:rStyle w:val="MSGENFONTSTYLENAMETEMPLATEROLEMSGENFONTSTYLENAMEBYROLETEXT32"/>
          <w:color w:val="auto"/>
          <w:sz w:val="22"/>
          <w:szCs w:val="22"/>
        </w:rPr>
        <w:t xml:space="preserve"> </w:t>
      </w:r>
      <w:hyperlink r:id="rId16" w:history="1">
        <w:r w:rsidRPr="00E23F9A">
          <w:rPr>
            <w:rStyle w:val="Hyperlink"/>
            <w:sz w:val="22"/>
            <w:szCs w:val="22"/>
            <w:shd w:val="clear" w:color="auto" w:fill="FFFFFF"/>
          </w:rPr>
          <w:t>collections@teqsa.gov.au</w:t>
        </w:r>
      </w:hyperlink>
      <w:r w:rsidRPr="00E23F9A">
        <w:rPr>
          <w:rStyle w:val="MSGENFONTSTYLENAMETEMPLATEROLEMSGENFONTSTYLENAMEBYROLETEXT32"/>
          <w:sz w:val="22"/>
          <w:szCs w:val="22"/>
        </w:rPr>
        <w:t>.</w:t>
      </w:r>
    </w:p>
    <w:p w:rsidR="00585A36" w:rsidRPr="00585A36" w:rsidRDefault="00585A36" w:rsidP="005A7343">
      <w:pPr>
        <w:pStyle w:val="MSGENFONTSTYLENAMETEMPLATEROLEMSGENFONTSTYLENAMEBYROLETEXT1"/>
        <w:shd w:val="clear" w:color="auto" w:fill="auto"/>
        <w:spacing w:before="120" w:after="120" w:line="280" w:lineRule="exact"/>
        <w:ind w:left="23" w:right="278" w:firstLine="0"/>
        <w:rPr>
          <w:noProof/>
          <w:sz w:val="28"/>
          <w:lang w:eastAsia="en-AU"/>
        </w:rPr>
      </w:pPr>
    </w:p>
    <w:p w:rsidR="00276596" w:rsidRDefault="00276596">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276596" w:rsidRDefault="00276596">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1011C1" w:rsidRDefault="001011C1">
      <w:pPr>
        <w:spacing w:after="0" w:line="240" w:lineRule="auto"/>
        <w:rPr>
          <w:rFonts w:ascii="Arial" w:eastAsiaTheme="majorEastAsia" w:hAnsi="Arial" w:cs="Arial"/>
          <w:bCs/>
          <w:noProof/>
          <w:color w:val="00353F" w:themeColor="accent1" w:themeShade="BF"/>
          <w:lang w:eastAsia="en-AU"/>
        </w:rPr>
      </w:pPr>
    </w:p>
    <w:p w:rsidR="009C4A56" w:rsidRPr="009028AB" w:rsidRDefault="00EB6487" w:rsidP="00263A09">
      <w:pPr>
        <w:pStyle w:val="H1"/>
        <w:spacing w:after="240"/>
      </w:pPr>
      <w:bookmarkStart w:id="7" w:name="_Toc467075171"/>
      <w:r>
        <w:lastRenderedPageBreak/>
        <w:drawing>
          <wp:anchor distT="0" distB="0" distL="114300" distR="114300" simplePos="0" relativeHeight="251689472" behindDoc="1" locked="0" layoutInCell="1" allowOverlap="1">
            <wp:simplePos x="0" y="0"/>
            <wp:positionH relativeFrom="column">
              <wp:posOffset>-833120</wp:posOffset>
            </wp:positionH>
            <wp:positionV relativeFrom="paragraph">
              <wp:posOffset>-692785</wp:posOffset>
            </wp:positionV>
            <wp:extent cx="7597140" cy="10698480"/>
            <wp:effectExtent l="0" t="0" r="0" b="0"/>
            <wp:wrapNone/>
            <wp:docPr id="32" name="Picture 11" descr="KFM_Oct2016_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FM_Oct2016_v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97140" cy="10698480"/>
                    </a:xfrm>
                    <a:prstGeom prst="rect">
                      <a:avLst/>
                    </a:prstGeom>
                    <a:noFill/>
                  </pic:spPr>
                </pic:pic>
              </a:graphicData>
            </a:graphic>
            <wp14:sizeRelH relativeFrom="page">
              <wp14:pctWidth>0</wp14:pctWidth>
            </wp14:sizeRelH>
            <wp14:sizeRelV relativeFrom="page">
              <wp14:pctHeight>0</wp14:pctHeight>
            </wp14:sizeRelV>
          </wp:anchor>
        </w:drawing>
      </w:r>
      <w:r w:rsidR="00472EE7">
        <w:rPr>
          <w:rFonts w:ascii="Arial" w:hAnsi="Arial" w:cs="Arial"/>
        </w:rPr>
        <mc:AlternateContent>
          <mc:Choice Requires="wps">
            <w:drawing>
              <wp:anchor distT="0" distB="0" distL="114300" distR="114300" simplePos="0" relativeHeight="251643392" behindDoc="1" locked="0" layoutInCell="1" allowOverlap="1" wp14:anchorId="3CD673D9" wp14:editId="0A272ED1">
                <wp:simplePos x="0" y="0"/>
                <wp:positionH relativeFrom="column">
                  <wp:posOffset>-703580</wp:posOffset>
                </wp:positionH>
                <wp:positionV relativeFrom="paragraph">
                  <wp:posOffset>-742950</wp:posOffset>
                </wp:positionV>
                <wp:extent cx="7540625" cy="10640060"/>
                <wp:effectExtent l="0" t="0" r="3175" b="8890"/>
                <wp:wrapNone/>
                <wp:docPr id="457" name="Rectangle 457"/>
                <wp:cNvGraphicFramePr/>
                <a:graphic xmlns:a="http://schemas.openxmlformats.org/drawingml/2006/main">
                  <a:graphicData uri="http://schemas.microsoft.com/office/word/2010/wordprocessingShape">
                    <wps:wsp>
                      <wps:cNvSpPr/>
                      <wps:spPr>
                        <a:xfrm>
                          <a:off x="0" y="0"/>
                          <a:ext cx="7540625" cy="1064006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883A" id="Rectangle 457" o:spid="_x0000_s1026" style="position:absolute;margin-left:-55.4pt;margin-top:-58.5pt;width:593.75pt;height:83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" fillcolor="#b2e4e5 [1945]" stroked="f" strokeweight="2pt"/>
            </w:pict>
          </mc:Fallback>
        </mc:AlternateContent>
      </w:r>
      <w:r w:rsidR="00532325" w:rsidRPr="00DD29A1">
        <w:rPr>
          <w:sz w:val="40"/>
          <w:szCs w:val="40"/>
        </w:rPr>
        <w:t xml:space="preserve">1. </w:t>
      </w:r>
      <w:r w:rsidR="008410D8" w:rsidRPr="009028AB">
        <w:t>The sector at a glance</w:t>
      </w:r>
      <w:bookmarkEnd w:id="7"/>
    </w:p>
    <w:p w:rsidR="001011C1" w:rsidRDefault="001011C1">
      <w:pPr>
        <w:spacing w:after="0" w:line="240" w:lineRule="auto"/>
        <w:rPr>
          <w:rFonts w:ascii="Arial" w:eastAsiaTheme="majorEastAsia" w:hAnsi="Arial" w:cs="Arial"/>
          <w:bCs/>
          <w:noProof/>
          <w:color w:val="00353F" w:themeColor="accent1" w:themeShade="BF"/>
          <w:lang w:eastAsia="en-AU"/>
        </w:rPr>
      </w:pPr>
    </w:p>
    <w:p w:rsidR="001011C1" w:rsidRDefault="001011C1">
      <w:pPr>
        <w:spacing w:after="0" w:line="240" w:lineRule="auto"/>
        <w:rPr>
          <w:rFonts w:ascii="Arial" w:eastAsiaTheme="majorEastAsia" w:hAnsi="Arial" w:cs="Arial"/>
          <w:bCs/>
          <w:noProof/>
          <w:color w:val="00353F" w:themeColor="accent1" w:themeShade="BF"/>
          <w:lang w:eastAsia="en-AU"/>
        </w:rPr>
      </w:pPr>
    </w:p>
    <w:p w:rsidR="001011C1" w:rsidRPr="00765F91" w:rsidRDefault="001011C1">
      <w:pPr>
        <w:spacing w:after="0" w:line="240" w:lineRule="auto"/>
        <w:rPr>
          <w:rFonts w:ascii="Arial" w:eastAsiaTheme="majorEastAsia" w:hAnsi="Arial" w:cs="Arial"/>
          <w:bCs/>
          <w:noProof/>
          <w:color w:val="00353F" w:themeColor="accent1" w:themeShade="BF"/>
          <w:lang w:eastAsia="en-AU"/>
        </w:rPr>
      </w:pPr>
    </w:p>
    <w:p w:rsidR="004C282B" w:rsidRDefault="004C282B">
      <w:pPr>
        <w:spacing w:after="0" w:line="240" w:lineRule="auto"/>
        <w:rPr>
          <w:rFonts w:asciiTheme="majorHAnsi" w:eastAsiaTheme="majorEastAsia" w:hAnsiTheme="majorHAnsi" w:cstheme="majorBidi"/>
          <w:b/>
          <w:bCs/>
          <w:noProof/>
          <w:color w:val="00353F" w:themeColor="accent1" w:themeShade="BF"/>
          <w:sz w:val="44"/>
          <w:szCs w:val="44"/>
          <w:lang w:eastAsia="en-AU"/>
        </w:rPr>
      </w:pPr>
      <w:r>
        <w:rPr>
          <w:rFonts w:asciiTheme="majorHAnsi" w:eastAsiaTheme="majorEastAsia" w:hAnsiTheme="majorHAnsi" w:cstheme="majorBidi"/>
          <w:b/>
          <w:bCs/>
          <w:noProof/>
          <w:color w:val="00353F" w:themeColor="accent1" w:themeShade="BF"/>
          <w:sz w:val="44"/>
          <w:szCs w:val="44"/>
          <w:lang w:eastAsia="en-AU"/>
        </w:rPr>
        <w:br w:type="page"/>
      </w:r>
    </w:p>
    <w:p w:rsidR="00532325" w:rsidRPr="00092922" w:rsidRDefault="00EB6487" w:rsidP="00532325">
      <w:pPr>
        <w:pStyle w:val="H1"/>
        <w:spacing w:after="240"/>
        <w:rPr>
          <w:color w:val="auto"/>
        </w:rPr>
      </w:pPr>
      <w:bookmarkStart w:id="8" w:name="_Toc462926779"/>
      <w:bookmarkStart w:id="9" w:name="_Toc464459701"/>
      <w:bookmarkStart w:id="10" w:name="_Toc465154616"/>
      <w:bookmarkStart w:id="11" w:name="_Toc465154940"/>
      <w:bookmarkStart w:id="12" w:name="_Toc467075172"/>
      <w:r>
        <w:lastRenderedPageBreak/>
        <w:drawing>
          <wp:anchor distT="0" distB="0" distL="114300" distR="114300" simplePos="0" relativeHeight="251687424" behindDoc="1" locked="0" layoutInCell="1" allowOverlap="1">
            <wp:simplePos x="0" y="0"/>
            <wp:positionH relativeFrom="column">
              <wp:posOffset>-825500</wp:posOffset>
            </wp:positionH>
            <wp:positionV relativeFrom="paragraph">
              <wp:posOffset>-227965</wp:posOffset>
            </wp:positionV>
            <wp:extent cx="7536180" cy="10279380"/>
            <wp:effectExtent l="0" t="0" r="0" b="0"/>
            <wp:wrapNone/>
            <wp:docPr id="20" name="Picture 10" descr="KFM_Oct2016_v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FM_Oct2016_v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6180" cy="10279380"/>
                    </a:xfrm>
                    <a:prstGeom prst="rect">
                      <a:avLst/>
                    </a:prstGeom>
                    <a:noFill/>
                  </pic:spPr>
                </pic:pic>
              </a:graphicData>
            </a:graphic>
            <wp14:sizeRelH relativeFrom="page">
              <wp14:pctWidth>0</wp14:pctWidth>
            </wp14:sizeRelH>
            <wp14:sizeRelV relativeFrom="page">
              <wp14:pctHeight>0</wp14:pctHeight>
            </wp14:sizeRelV>
          </wp:anchor>
        </w:drawing>
      </w:r>
      <w:r w:rsidR="00532325">
        <w:rPr>
          <w:rFonts w:ascii="Arial" w:hAnsi="Arial" w:cs="Arial"/>
          <w:bCs w:val="0"/>
        </w:rPr>
        <mc:AlternateContent>
          <mc:Choice Requires="wps">
            <w:drawing>
              <wp:anchor distT="0" distB="0" distL="114300" distR="114300" simplePos="0" relativeHeight="251654656" behindDoc="1" locked="0" layoutInCell="1" allowOverlap="1" wp14:anchorId="687589B5" wp14:editId="0030E2B6">
                <wp:simplePos x="0" y="0"/>
                <wp:positionH relativeFrom="column">
                  <wp:posOffset>-845820</wp:posOffset>
                </wp:positionH>
                <wp:positionV relativeFrom="paragraph">
                  <wp:posOffset>-718820</wp:posOffset>
                </wp:positionV>
                <wp:extent cx="7540625" cy="10663555"/>
                <wp:effectExtent l="0" t="0" r="3175" b="4445"/>
                <wp:wrapNone/>
                <wp:docPr id="8" name="Rectangle 8"/>
                <wp:cNvGraphicFramePr/>
                <a:graphic xmlns:a="http://schemas.openxmlformats.org/drawingml/2006/main">
                  <a:graphicData uri="http://schemas.microsoft.com/office/word/2010/wordprocessingShape">
                    <wps:wsp>
                      <wps:cNvSpPr/>
                      <wps:spPr>
                        <a:xfrm>
                          <a:off x="0" y="0"/>
                          <a:ext cx="7540625" cy="1066355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DF77C" id="Rectangle 8" o:spid="_x0000_s1026" style="position:absolute;margin-left:-66.6pt;margin-top:-56.6pt;width:593.75pt;height:839.6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" fillcolor="#b2e4e5 [1945]" stroked="f" strokeweight="2pt"/>
            </w:pict>
          </mc:Fallback>
        </mc:AlternateContent>
      </w:r>
      <w:bookmarkStart w:id="13" w:name="_Toc462926780"/>
      <w:bookmarkStart w:id="14" w:name="_Toc464459702"/>
      <w:bookmarkStart w:id="15" w:name="_Toc465154941"/>
      <w:bookmarkEnd w:id="8"/>
      <w:bookmarkEnd w:id="9"/>
      <w:bookmarkEnd w:id="10"/>
      <w:bookmarkEnd w:id="11"/>
      <w:r w:rsidR="00532325" w:rsidRPr="00DD29A1">
        <w:rPr>
          <w:sz w:val="40"/>
          <w:szCs w:val="40"/>
        </w:rPr>
        <w:t>Highlights</w:t>
      </w:r>
      <w:bookmarkEnd w:id="13"/>
      <w:bookmarkEnd w:id="14"/>
      <w:bookmarkEnd w:id="15"/>
      <w:bookmarkEnd w:id="12"/>
      <w:r w:rsidR="00532325" w:rsidRPr="00DD29A1">
        <w:rPr>
          <w:sz w:val="40"/>
          <w:szCs w:val="40"/>
        </w:rPr>
        <w:t xml:space="preserve"> </w:t>
      </w:r>
    </w:p>
    <w:p w:rsidR="00532325" w:rsidRDefault="00532325" w:rsidP="00930E64">
      <w:pPr>
        <w:pStyle w:val="H1"/>
        <w:spacing w:after="240"/>
        <w:rPr>
          <w:sz w:val="40"/>
          <w:szCs w:val="40"/>
        </w:rPr>
      </w:pPr>
    </w:p>
    <w:p w:rsidR="00532325" w:rsidRDefault="00532325">
      <w:pPr>
        <w:spacing w:after="0" w:line="240" w:lineRule="auto"/>
        <w:rPr>
          <w:rFonts w:asciiTheme="majorHAnsi" w:eastAsiaTheme="majorEastAsia" w:hAnsiTheme="majorHAnsi" w:cstheme="majorBidi"/>
          <w:b/>
          <w:bCs/>
          <w:noProof/>
          <w:color w:val="00353F" w:themeColor="accent1" w:themeShade="BF"/>
          <w:sz w:val="40"/>
          <w:szCs w:val="40"/>
          <w:lang w:eastAsia="en-AU"/>
        </w:rPr>
      </w:pPr>
      <w:r>
        <w:rPr>
          <w:sz w:val="40"/>
          <w:szCs w:val="40"/>
        </w:rPr>
        <w:br w:type="page"/>
      </w:r>
    </w:p>
    <w:p w:rsidR="000C0694" w:rsidRDefault="000C0694" w:rsidP="00930E64">
      <w:pPr>
        <w:pStyle w:val="H1"/>
        <w:spacing w:after="240"/>
        <w:rPr>
          <w:rStyle w:val="H1Char"/>
          <w:b/>
          <w:bCs/>
          <w:sz w:val="40"/>
          <w:szCs w:val="40"/>
        </w:rPr>
      </w:pPr>
      <w:bookmarkStart w:id="16" w:name="_Toc467075173"/>
      <w:r w:rsidRPr="00930E64">
        <w:rPr>
          <w:sz w:val="40"/>
          <w:szCs w:val="40"/>
        </w:rPr>
        <w:lastRenderedPageBreak/>
        <w:t xml:space="preserve">2. </w:t>
      </w:r>
      <w:r w:rsidR="00525ECC" w:rsidRPr="00930E64">
        <w:rPr>
          <w:rStyle w:val="H1Char"/>
          <w:b/>
          <w:bCs/>
          <w:sz w:val="40"/>
          <w:szCs w:val="40"/>
        </w:rPr>
        <w:t>Sector financial profile</w:t>
      </w:r>
      <w:bookmarkEnd w:id="16"/>
    </w:p>
    <w:p w:rsidR="00525ECC" w:rsidRDefault="00DB5B26" w:rsidP="0091467A">
      <w:pPr>
        <w:pStyle w:val="BulletsL1"/>
        <w:ind w:left="0" w:firstLine="0"/>
        <w:rPr>
          <w:rFonts w:asciiTheme="minorHAnsi" w:eastAsia="Times New Roman" w:hAnsiTheme="minorHAnsi" w:cstheme="minorHAnsi"/>
          <w:lang w:val="en-AU"/>
        </w:rPr>
      </w:pPr>
      <w:r>
        <w:rPr>
          <w:rFonts w:asciiTheme="minorHAnsi" w:eastAsia="Times New Roman" w:hAnsiTheme="minorHAnsi" w:cstheme="minorHAnsi"/>
          <w:lang w:val="en-AU"/>
        </w:rPr>
        <w:t>The</w:t>
      </w:r>
      <w:r w:rsidR="007B28F6">
        <w:rPr>
          <w:rFonts w:asciiTheme="minorHAnsi" w:eastAsia="Times New Roman" w:hAnsiTheme="minorHAnsi" w:cstheme="minorHAnsi"/>
          <w:lang w:val="en-AU"/>
        </w:rPr>
        <w:t xml:space="preserve"> </w:t>
      </w:r>
      <w:r w:rsidR="000A6430">
        <w:rPr>
          <w:rFonts w:asciiTheme="minorHAnsi" w:eastAsia="Times New Roman" w:hAnsiTheme="minorHAnsi" w:cstheme="minorHAnsi"/>
          <w:lang w:val="en-AU"/>
        </w:rPr>
        <w:t>h</w:t>
      </w:r>
      <w:r w:rsidR="007B28F6">
        <w:rPr>
          <w:rFonts w:asciiTheme="minorHAnsi" w:eastAsia="Times New Roman" w:hAnsiTheme="minorHAnsi" w:cstheme="minorHAnsi"/>
          <w:lang w:val="en-AU"/>
        </w:rPr>
        <w:t xml:space="preserve">igher </w:t>
      </w:r>
      <w:r w:rsidR="000A6430">
        <w:rPr>
          <w:rFonts w:asciiTheme="minorHAnsi" w:eastAsia="Times New Roman" w:hAnsiTheme="minorHAnsi" w:cstheme="minorHAnsi"/>
          <w:lang w:val="en-AU"/>
        </w:rPr>
        <w:t>e</w:t>
      </w:r>
      <w:r w:rsidR="007B28F6">
        <w:rPr>
          <w:rFonts w:asciiTheme="minorHAnsi" w:eastAsia="Times New Roman" w:hAnsiTheme="minorHAnsi" w:cstheme="minorHAnsi"/>
          <w:lang w:val="en-AU"/>
        </w:rPr>
        <w:t xml:space="preserve">ducation sector </w:t>
      </w:r>
      <w:r w:rsidR="004D3B0C">
        <w:rPr>
          <w:rFonts w:asciiTheme="minorHAnsi" w:eastAsia="Times New Roman" w:hAnsiTheme="minorHAnsi" w:cstheme="minorHAnsi"/>
          <w:lang w:val="en-AU"/>
        </w:rPr>
        <w:t>is large and diverse</w:t>
      </w:r>
      <w:r w:rsidR="00F35848">
        <w:rPr>
          <w:rFonts w:asciiTheme="minorHAnsi" w:eastAsia="Times New Roman" w:hAnsiTheme="minorHAnsi" w:cstheme="minorHAnsi"/>
          <w:lang w:val="en-AU"/>
        </w:rPr>
        <w:t>,</w:t>
      </w:r>
      <w:r w:rsidR="004D3B0C">
        <w:rPr>
          <w:rFonts w:asciiTheme="minorHAnsi" w:eastAsia="Times New Roman" w:hAnsiTheme="minorHAnsi" w:cstheme="minorHAnsi"/>
          <w:lang w:val="en-AU"/>
        </w:rPr>
        <w:t xml:space="preserve"> and</w:t>
      </w:r>
      <w:r w:rsidR="00AC2945">
        <w:rPr>
          <w:rFonts w:asciiTheme="minorHAnsi" w:eastAsia="Times New Roman" w:hAnsiTheme="minorHAnsi" w:cstheme="minorHAnsi"/>
          <w:lang w:val="en-AU"/>
        </w:rPr>
        <w:t xml:space="preserve"> it</w:t>
      </w:r>
      <w:r w:rsidR="004D3B0C">
        <w:rPr>
          <w:rFonts w:asciiTheme="minorHAnsi" w:eastAsia="Times New Roman" w:hAnsiTheme="minorHAnsi" w:cstheme="minorHAnsi"/>
          <w:lang w:val="en-AU"/>
        </w:rPr>
        <w:t xml:space="preserve"> comprises a</w:t>
      </w:r>
      <w:r w:rsidR="00AC2945">
        <w:rPr>
          <w:rFonts w:asciiTheme="minorHAnsi" w:eastAsia="Times New Roman" w:hAnsiTheme="minorHAnsi" w:cstheme="minorHAnsi"/>
          <w:lang w:val="en-AU"/>
        </w:rPr>
        <w:t>n</w:t>
      </w:r>
      <w:r w:rsidR="004D3B0C">
        <w:rPr>
          <w:rFonts w:asciiTheme="minorHAnsi" w:eastAsia="Times New Roman" w:hAnsiTheme="minorHAnsi" w:cstheme="minorHAnsi"/>
          <w:lang w:val="en-AU"/>
        </w:rPr>
        <w:t xml:space="preserve"> </w:t>
      </w:r>
      <w:r w:rsidR="00AC2945">
        <w:rPr>
          <w:rFonts w:asciiTheme="minorHAnsi" w:eastAsia="Times New Roman" w:hAnsiTheme="minorHAnsi" w:cstheme="minorHAnsi"/>
          <w:lang w:val="en-AU"/>
        </w:rPr>
        <w:t>important</w:t>
      </w:r>
      <w:r w:rsidR="00A92519">
        <w:rPr>
          <w:rFonts w:asciiTheme="minorHAnsi" w:eastAsia="Times New Roman" w:hAnsiTheme="minorHAnsi" w:cstheme="minorHAnsi"/>
          <w:lang w:val="en-AU"/>
        </w:rPr>
        <w:t xml:space="preserve"> </w:t>
      </w:r>
      <w:r w:rsidR="004D3B0C">
        <w:rPr>
          <w:rFonts w:asciiTheme="minorHAnsi" w:eastAsia="Times New Roman" w:hAnsiTheme="minorHAnsi" w:cstheme="minorHAnsi"/>
          <w:lang w:val="en-AU"/>
        </w:rPr>
        <w:t xml:space="preserve">part of the </w:t>
      </w:r>
      <w:r w:rsidR="00F35848" w:rsidRPr="003D5F3C">
        <w:rPr>
          <w:rFonts w:asciiTheme="minorHAnsi" w:eastAsia="Times New Roman" w:hAnsiTheme="minorHAnsi" w:cstheme="minorHAnsi"/>
          <w:lang w:val="en-AU"/>
        </w:rPr>
        <w:t xml:space="preserve">Australian </w:t>
      </w:r>
      <w:r w:rsidR="004D3B0C" w:rsidRPr="003D5F3C">
        <w:rPr>
          <w:rFonts w:asciiTheme="minorHAnsi" w:eastAsia="Times New Roman" w:hAnsiTheme="minorHAnsi" w:cstheme="minorHAnsi"/>
          <w:lang w:val="en-AU"/>
        </w:rPr>
        <w:t xml:space="preserve">economy. </w:t>
      </w:r>
      <w:r w:rsidR="00B066D3">
        <w:rPr>
          <w:rFonts w:asciiTheme="minorHAnsi" w:eastAsia="Times New Roman" w:hAnsiTheme="minorHAnsi" w:cstheme="minorHAnsi"/>
          <w:lang w:val="en-AU"/>
        </w:rPr>
        <w:t>In</w:t>
      </w:r>
      <w:r w:rsidR="0020462E" w:rsidRPr="003D5F3C">
        <w:rPr>
          <w:rFonts w:asciiTheme="minorHAnsi" w:eastAsia="Times New Roman" w:hAnsiTheme="minorHAnsi" w:cstheme="minorHAnsi"/>
          <w:lang w:val="en-AU"/>
        </w:rPr>
        <w:t xml:space="preserve"> </w:t>
      </w:r>
      <w:r w:rsidR="00EB7A3E" w:rsidRPr="003D5F3C">
        <w:rPr>
          <w:rFonts w:asciiTheme="minorHAnsi" w:eastAsia="Times New Roman" w:hAnsiTheme="minorHAnsi" w:cstheme="minorHAnsi"/>
          <w:lang w:val="en-AU"/>
        </w:rPr>
        <w:t>August</w:t>
      </w:r>
      <w:r w:rsidR="00F575A7" w:rsidRPr="003D5F3C">
        <w:rPr>
          <w:rFonts w:asciiTheme="minorHAnsi" w:eastAsia="Times New Roman" w:hAnsiTheme="minorHAnsi" w:cstheme="minorHAnsi"/>
          <w:lang w:val="en-AU"/>
        </w:rPr>
        <w:t xml:space="preserve"> </w:t>
      </w:r>
      <w:r w:rsidR="0020462E" w:rsidRPr="003D5F3C">
        <w:rPr>
          <w:rFonts w:asciiTheme="minorHAnsi" w:eastAsia="Times New Roman" w:hAnsiTheme="minorHAnsi" w:cstheme="minorHAnsi"/>
          <w:lang w:val="en-AU"/>
        </w:rPr>
        <w:t>201</w:t>
      </w:r>
      <w:r w:rsidR="00F575A7" w:rsidRPr="003D5F3C">
        <w:rPr>
          <w:rFonts w:asciiTheme="minorHAnsi" w:eastAsia="Times New Roman" w:hAnsiTheme="minorHAnsi" w:cstheme="minorHAnsi"/>
          <w:lang w:val="en-AU"/>
        </w:rPr>
        <w:t>6</w:t>
      </w:r>
      <w:r w:rsidR="0020462E" w:rsidRPr="003D5F3C">
        <w:rPr>
          <w:rFonts w:asciiTheme="minorHAnsi" w:eastAsia="Times New Roman" w:hAnsiTheme="minorHAnsi" w:cstheme="minorHAnsi"/>
          <w:lang w:val="en-AU"/>
        </w:rPr>
        <w:t xml:space="preserve"> t</w:t>
      </w:r>
      <w:r w:rsidR="00E23F9A" w:rsidRPr="003D5F3C">
        <w:rPr>
          <w:rFonts w:asciiTheme="minorHAnsi" w:eastAsia="Times New Roman" w:hAnsiTheme="minorHAnsi" w:cstheme="minorHAnsi"/>
          <w:lang w:val="en-AU"/>
        </w:rPr>
        <w:t>here w</w:t>
      </w:r>
      <w:r w:rsidR="00EB7A3E" w:rsidRPr="003D5F3C">
        <w:rPr>
          <w:rFonts w:asciiTheme="minorHAnsi" w:eastAsia="Times New Roman" w:hAnsiTheme="minorHAnsi" w:cstheme="minorHAnsi"/>
          <w:lang w:val="en-AU"/>
        </w:rPr>
        <w:t>ere</w:t>
      </w:r>
      <w:r w:rsidRPr="003D5F3C">
        <w:rPr>
          <w:rFonts w:asciiTheme="minorHAnsi" w:eastAsia="Times New Roman" w:hAnsiTheme="minorHAnsi" w:cstheme="minorHAnsi"/>
          <w:lang w:val="en-AU"/>
        </w:rPr>
        <w:t xml:space="preserve"> 170</w:t>
      </w:r>
      <w:r w:rsidR="004D3B0C" w:rsidRPr="003D5F3C">
        <w:rPr>
          <w:rFonts w:asciiTheme="minorHAnsi" w:eastAsia="Times New Roman" w:hAnsiTheme="minorHAnsi" w:cstheme="minorHAnsi"/>
          <w:lang w:val="en-AU"/>
        </w:rPr>
        <w:t xml:space="preserve"> providers registered by TEQSA, </w:t>
      </w:r>
      <w:r w:rsidR="00525ECC" w:rsidRPr="003D5F3C">
        <w:rPr>
          <w:rFonts w:asciiTheme="minorHAnsi" w:eastAsia="Times New Roman" w:hAnsiTheme="minorHAnsi" w:cstheme="minorHAnsi"/>
          <w:lang w:val="en-AU"/>
        </w:rPr>
        <w:t>each</w:t>
      </w:r>
      <w:r w:rsidR="00525ECC">
        <w:rPr>
          <w:rFonts w:asciiTheme="minorHAnsi" w:eastAsia="Times New Roman" w:hAnsiTheme="minorHAnsi" w:cstheme="minorHAnsi"/>
          <w:lang w:val="en-AU"/>
        </w:rPr>
        <w:t xml:space="preserve"> with </w:t>
      </w:r>
      <w:r w:rsidR="00A10520">
        <w:rPr>
          <w:rFonts w:asciiTheme="minorHAnsi" w:eastAsia="Times New Roman" w:hAnsiTheme="minorHAnsi" w:cstheme="minorHAnsi"/>
          <w:lang w:val="en-AU"/>
        </w:rPr>
        <w:t>their own</w:t>
      </w:r>
      <w:r w:rsidR="00525ECC">
        <w:rPr>
          <w:rFonts w:asciiTheme="minorHAnsi" w:eastAsia="Times New Roman" w:hAnsiTheme="minorHAnsi" w:cstheme="minorHAnsi"/>
          <w:lang w:val="en-AU"/>
        </w:rPr>
        <w:t xml:space="preserve"> o</w:t>
      </w:r>
      <w:r w:rsidR="00FA240D">
        <w:rPr>
          <w:rFonts w:asciiTheme="minorHAnsi" w:eastAsia="Times New Roman" w:hAnsiTheme="minorHAnsi" w:cstheme="minorHAnsi"/>
          <w:lang w:val="en-AU"/>
        </w:rPr>
        <w:t xml:space="preserve">perating </w:t>
      </w:r>
      <w:r w:rsidR="003A5DDC">
        <w:rPr>
          <w:rFonts w:asciiTheme="minorHAnsi" w:eastAsia="Times New Roman" w:hAnsiTheme="minorHAnsi" w:cstheme="minorHAnsi"/>
          <w:lang w:val="en-AU"/>
        </w:rPr>
        <w:t xml:space="preserve">mission and </w:t>
      </w:r>
      <w:r w:rsidR="00FA240D">
        <w:rPr>
          <w:rFonts w:asciiTheme="minorHAnsi" w:eastAsia="Times New Roman" w:hAnsiTheme="minorHAnsi" w:cstheme="minorHAnsi"/>
          <w:lang w:val="en-AU"/>
        </w:rPr>
        <w:t>model. The diversity of</w:t>
      </w:r>
      <w:r w:rsidR="00525ECC">
        <w:rPr>
          <w:rFonts w:asciiTheme="minorHAnsi" w:eastAsia="Times New Roman" w:hAnsiTheme="minorHAnsi" w:cstheme="minorHAnsi"/>
          <w:lang w:val="en-AU"/>
        </w:rPr>
        <w:t xml:space="preserve"> provider operating models reflects the depth</w:t>
      </w:r>
      <w:r w:rsidR="00A15F2B">
        <w:rPr>
          <w:rFonts w:asciiTheme="minorHAnsi" w:eastAsia="Times New Roman" w:hAnsiTheme="minorHAnsi" w:cstheme="minorHAnsi"/>
          <w:lang w:val="en-AU"/>
        </w:rPr>
        <w:t xml:space="preserve"> and scale</w:t>
      </w:r>
      <w:r w:rsidR="00525ECC">
        <w:rPr>
          <w:rFonts w:asciiTheme="minorHAnsi" w:eastAsia="Times New Roman" w:hAnsiTheme="minorHAnsi" w:cstheme="minorHAnsi"/>
          <w:lang w:val="en-AU"/>
        </w:rPr>
        <w:t xml:space="preserve"> of market demand for higher education ser</w:t>
      </w:r>
      <w:r w:rsidR="004A2227">
        <w:rPr>
          <w:rFonts w:asciiTheme="minorHAnsi" w:eastAsia="Times New Roman" w:hAnsiTheme="minorHAnsi" w:cstheme="minorHAnsi"/>
          <w:lang w:val="en-AU"/>
        </w:rPr>
        <w:t>vices</w:t>
      </w:r>
      <w:r w:rsidR="00525ECC">
        <w:rPr>
          <w:rFonts w:asciiTheme="minorHAnsi" w:eastAsia="Times New Roman" w:hAnsiTheme="minorHAnsi" w:cstheme="minorHAnsi"/>
          <w:lang w:val="en-AU"/>
        </w:rPr>
        <w:t xml:space="preserve">. </w:t>
      </w:r>
      <w:r w:rsidR="003A5DDC">
        <w:rPr>
          <w:rFonts w:asciiTheme="minorHAnsi" w:eastAsia="Times New Roman" w:hAnsiTheme="minorHAnsi" w:cstheme="minorHAnsi"/>
          <w:lang w:val="en-AU"/>
        </w:rPr>
        <w:t xml:space="preserve">The table below </w:t>
      </w:r>
      <w:r w:rsidR="00CB4CB5">
        <w:rPr>
          <w:rFonts w:asciiTheme="minorHAnsi" w:eastAsia="Times New Roman" w:hAnsiTheme="minorHAnsi" w:cstheme="minorHAnsi"/>
          <w:lang w:val="en-AU"/>
        </w:rPr>
        <w:t>summarises</w:t>
      </w:r>
      <w:r w:rsidR="003A5DDC">
        <w:rPr>
          <w:rFonts w:asciiTheme="minorHAnsi" w:eastAsia="Times New Roman" w:hAnsiTheme="minorHAnsi" w:cstheme="minorHAnsi"/>
          <w:lang w:val="en-AU"/>
        </w:rPr>
        <w:t xml:space="preserve"> the financial performance of the sector </w:t>
      </w:r>
      <w:r w:rsidR="00CB4CB5">
        <w:rPr>
          <w:rFonts w:asciiTheme="minorHAnsi" w:eastAsia="Times New Roman" w:hAnsiTheme="minorHAnsi" w:cstheme="minorHAnsi"/>
          <w:lang w:val="en-AU"/>
        </w:rPr>
        <w:t xml:space="preserve">in </w:t>
      </w:r>
      <w:r w:rsidR="003A5DDC">
        <w:rPr>
          <w:rFonts w:asciiTheme="minorHAnsi" w:eastAsia="Times New Roman" w:hAnsiTheme="minorHAnsi" w:cstheme="minorHAnsi"/>
          <w:lang w:val="en-AU"/>
        </w:rPr>
        <w:t xml:space="preserve">the </w:t>
      </w:r>
      <w:r w:rsidR="00AC2945">
        <w:rPr>
          <w:rFonts w:asciiTheme="minorHAnsi" w:eastAsia="Times New Roman" w:hAnsiTheme="minorHAnsi" w:cstheme="minorHAnsi"/>
          <w:lang w:val="en-AU"/>
        </w:rPr>
        <w:t xml:space="preserve">2014 and 2015 TEQSA </w:t>
      </w:r>
      <w:r w:rsidR="00D47B42">
        <w:rPr>
          <w:rFonts w:asciiTheme="minorHAnsi" w:eastAsia="Times New Roman" w:hAnsiTheme="minorHAnsi" w:cstheme="minorHAnsi"/>
          <w:lang w:val="en-AU"/>
        </w:rPr>
        <w:t xml:space="preserve">collection </w:t>
      </w:r>
      <w:r w:rsidR="003A5DDC">
        <w:rPr>
          <w:rFonts w:asciiTheme="minorHAnsi" w:eastAsia="Times New Roman" w:hAnsiTheme="minorHAnsi" w:cstheme="minorHAnsi"/>
          <w:lang w:val="en-AU"/>
        </w:rPr>
        <w:t xml:space="preserve">years.  </w:t>
      </w:r>
    </w:p>
    <w:p w:rsidR="0091467A" w:rsidRPr="00E23F9A" w:rsidRDefault="00904E14" w:rsidP="00337E9F">
      <w:pPr>
        <w:spacing w:before="240"/>
        <w:rPr>
          <w:rFonts w:ascii="Georgia" w:hAnsi="Georgia" w:cs="Arial"/>
          <w:b/>
          <w:color w:val="004855" w:themeColor="text1"/>
          <w:sz w:val="20"/>
          <w:szCs w:val="20"/>
          <w:lang w:val="en-US"/>
        </w:rPr>
      </w:pPr>
      <w:r w:rsidRPr="00E23F9A">
        <w:rPr>
          <w:rFonts w:ascii="Georgia" w:hAnsi="Georgia" w:cs="Arial"/>
          <w:b/>
          <w:color w:val="004855" w:themeColor="text1"/>
          <w:sz w:val="20"/>
          <w:szCs w:val="20"/>
          <w:lang w:val="en-US"/>
        </w:rPr>
        <w:t>Table</w:t>
      </w:r>
      <w:r w:rsidR="007B28F6" w:rsidRPr="00E23F9A">
        <w:rPr>
          <w:rFonts w:ascii="Georgia" w:hAnsi="Georgia" w:cs="Arial"/>
          <w:b/>
          <w:color w:val="004855" w:themeColor="text1"/>
          <w:sz w:val="20"/>
          <w:szCs w:val="20"/>
          <w:lang w:val="en-US"/>
        </w:rPr>
        <w:t xml:space="preserve"> 1: </w:t>
      </w:r>
      <w:r w:rsidRPr="00E23F9A">
        <w:rPr>
          <w:rFonts w:ascii="Georgia" w:hAnsi="Georgia" w:cs="Arial"/>
          <w:b/>
          <w:color w:val="004855" w:themeColor="text1"/>
          <w:sz w:val="20"/>
          <w:szCs w:val="20"/>
          <w:lang w:val="en-US"/>
        </w:rPr>
        <w:t>Summarised</w:t>
      </w:r>
      <w:r w:rsidR="007B28F6" w:rsidRPr="00E23F9A">
        <w:rPr>
          <w:rFonts w:ascii="Georgia" w:hAnsi="Georgia" w:cs="Arial"/>
          <w:b/>
          <w:color w:val="004855" w:themeColor="text1"/>
          <w:sz w:val="20"/>
          <w:szCs w:val="20"/>
          <w:lang w:val="en-US"/>
        </w:rPr>
        <w:t xml:space="preserve"> sector</w:t>
      </w:r>
      <w:r w:rsidRPr="00E23F9A">
        <w:rPr>
          <w:rFonts w:ascii="Georgia" w:hAnsi="Georgia" w:cs="Arial"/>
          <w:b/>
          <w:color w:val="004855" w:themeColor="text1"/>
          <w:sz w:val="20"/>
          <w:szCs w:val="20"/>
          <w:lang w:val="en-US"/>
        </w:rPr>
        <w:t xml:space="preserve"> financial performance</w:t>
      </w:r>
    </w:p>
    <w:tbl>
      <w:tblPr>
        <w:tblW w:w="5001" w:type="pct"/>
        <w:tblLook w:val="04A0" w:firstRow="1" w:lastRow="0" w:firstColumn="1" w:lastColumn="0" w:noHBand="0" w:noVBand="1"/>
      </w:tblPr>
      <w:tblGrid>
        <w:gridCol w:w="5420"/>
        <w:gridCol w:w="2078"/>
        <w:gridCol w:w="2076"/>
      </w:tblGrid>
      <w:tr w:rsidR="0072068B" w:rsidRPr="004157EB" w:rsidTr="0072068B">
        <w:trPr>
          <w:trHeight w:val="263"/>
        </w:trPr>
        <w:tc>
          <w:tcPr>
            <w:tcW w:w="2831" w:type="pct"/>
            <w:tcBorders>
              <w:top w:val="nil"/>
              <w:left w:val="nil"/>
              <w:bottom w:val="single" w:sz="4" w:space="0" w:color="auto"/>
              <w:right w:val="nil"/>
            </w:tcBorders>
            <w:shd w:val="clear" w:color="auto" w:fill="004855" w:themeFill="accent1"/>
            <w:vAlign w:val="center"/>
          </w:tcPr>
          <w:p w:rsidR="0072068B" w:rsidRPr="00113B80" w:rsidRDefault="0072068B" w:rsidP="00930E64">
            <w:pPr>
              <w:spacing w:before="120" w:after="60" w:line="240" w:lineRule="auto"/>
              <w:rPr>
                <w:rFonts w:asciiTheme="minorHAnsi" w:hAnsiTheme="minorHAnsi" w:cstheme="minorHAnsi"/>
                <w:b/>
                <w:color w:val="FFFFFF" w:themeColor="background2"/>
                <w:sz w:val="20"/>
                <w:szCs w:val="20"/>
              </w:rPr>
            </w:pPr>
            <w:r w:rsidRPr="00113B80">
              <w:rPr>
                <w:rFonts w:asciiTheme="minorHAnsi" w:hAnsiTheme="minorHAnsi" w:cstheme="minorHAnsi"/>
                <w:b/>
                <w:color w:val="FFFFFF" w:themeColor="background2"/>
                <w:sz w:val="20"/>
                <w:szCs w:val="20"/>
              </w:rPr>
              <w:t>$M</w:t>
            </w:r>
          </w:p>
        </w:tc>
        <w:tc>
          <w:tcPr>
            <w:tcW w:w="1085" w:type="pct"/>
            <w:tcBorders>
              <w:top w:val="nil"/>
              <w:left w:val="nil"/>
              <w:bottom w:val="single" w:sz="4" w:space="0" w:color="auto"/>
              <w:right w:val="nil"/>
            </w:tcBorders>
            <w:shd w:val="clear" w:color="auto" w:fill="004855" w:themeFill="accent1"/>
            <w:vAlign w:val="center"/>
          </w:tcPr>
          <w:p w:rsidR="0072068B" w:rsidRPr="00113B80" w:rsidRDefault="0072068B" w:rsidP="007630CF">
            <w:pPr>
              <w:spacing w:before="120" w:after="60" w:line="240" w:lineRule="auto"/>
              <w:ind w:right="478"/>
              <w:jc w:val="right"/>
              <w:rPr>
                <w:rFonts w:asciiTheme="minorHAnsi" w:hAnsiTheme="minorHAnsi" w:cstheme="minorHAnsi"/>
                <w:b/>
                <w:color w:val="FFFFFF" w:themeColor="background2"/>
                <w:sz w:val="20"/>
                <w:szCs w:val="20"/>
              </w:rPr>
            </w:pPr>
            <w:r w:rsidRPr="00113B80">
              <w:rPr>
                <w:rFonts w:asciiTheme="minorHAnsi" w:hAnsiTheme="minorHAnsi" w:cstheme="minorHAnsi"/>
                <w:b/>
                <w:color w:val="FFFFFF" w:themeColor="background2"/>
                <w:sz w:val="20"/>
                <w:szCs w:val="20"/>
              </w:rPr>
              <w:t>2014</w:t>
            </w:r>
            <w:r>
              <w:rPr>
                <w:rStyle w:val="FootnoteReference"/>
                <w:rFonts w:asciiTheme="minorHAnsi" w:hAnsiTheme="minorHAnsi" w:cstheme="minorHAnsi"/>
                <w:b/>
                <w:color w:val="FFFFFF" w:themeColor="background2"/>
                <w:sz w:val="20"/>
                <w:szCs w:val="20"/>
              </w:rPr>
              <w:footnoteReference w:id="2"/>
            </w:r>
          </w:p>
        </w:tc>
        <w:tc>
          <w:tcPr>
            <w:tcW w:w="1084" w:type="pct"/>
            <w:tcBorders>
              <w:top w:val="nil"/>
              <w:left w:val="nil"/>
              <w:bottom w:val="single" w:sz="4" w:space="0" w:color="auto"/>
              <w:right w:val="nil"/>
            </w:tcBorders>
            <w:shd w:val="clear" w:color="auto" w:fill="004855" w:themeFill="accent1"/>
            <w:vAlign w:val="center"/>
          </w:tcPr>
          <w:p w:rsidR="0072068B" w:rsidRPr="00113B80" w:rsidRDefault="0072068B" w:rsidP="007630CF">
            <w:pPr>
              <w:spacing w:before="120" w:after="60" w:line="240" w:lineRule="auto"/>
              <w:ind w:right="427"/>
              <w:jc w:val="right"/>
              <w:rPr>
                <w:rFonts w:asciiTheme="minorHAnsi" w:hAnsiTheme="minorHAnsi" w:cstheme="minorHAnsi"/>
                <w:b/>
                <w:color w:val="FFFFFF" w:themeColor="background2"/>
                <w:sz w:val="20"/>
                <w:szCs w:val="20"/>
              </w:rPr>
            </w:pPr>
            <w:r w:rsidRPr="00113B80">
              <w:rPr>
                <w:rFonts w:asciiTheme="minorHAnsi" w:hAnsiTheme="minorHAnsi" w:cstheme="minorHAnsi"/>
                <w:b/>
                <w:color w:val="FFFFFF" w:themeColor="background2"/>
                <w:sz w:val="20"/>
                <w:szCs w:val="20"/>
              </w:rPr>
              <w:t>201</w:t>
            </w:r>
            <w:r>
              <w:rPr>
                <w:rFonts w:asciiTheme="minorHAnsi" w:hAnsiTheme="minorHAnsi" w:cstheme="minorHAnsi"/>
                <w:b/>
                <w:color w:val="FFFFFF" w:themeColor="background2"/>
                <w:sz w:val="20"/>
                <w:szCs w:val="20"/>
              </w:rPr>
              <w:t>5</w:t>
            </w:r>
            <w:r w:rsidR="00535183">
              <w:rPr>
                <w:rStyle w:val="FootnoteReference"/>
                <w:rFonts w:asciiTheme="minorHAnsi" w:hAnsiTheme="minorHAnsi" w:cstheme="minorHAnsi"/>
                <w:b/>
                <w:color w:val="FFFFFF" w:themeColor="background2"/>
                <w:sz w:val="20"/>
                <w:szCs w:val="20"/>
              </w:rPr>
              <w:t>2</w:t>
            </w:r>
          </w:p>
        </w:tc>
      </w:tr>
      <w:tr w:rsidR="0072068B" w:rsidRPr="00113B80" w:rsidTr="0072068B">
        <w:trPr>
          <w:trHeight w:val="288"/>
        </w:trPr>
        <w:tc>
          <w:tcPr>
            <w:tcW w:w="2831" w:type="pct"/>
            <w:tcBorders>
              <w:top w:val="nil"/>
              <w:left w:val="nil"/>
              <w:bottom w:val="nil"/>
              <w:right w:val="nil"/>
            </w:tcBorders>
            <w:shd w:val="clear" w:color="auto" w:fill="FFFFFF" w:themeFill="background2"/>
            <w:noWrap/>
            <w:vAlign w:val="center"/>
          </w:tcPr>
          <w:p w:rsidR="0072068B" w:rsidRPr="00113B80" w:rsidRDefault="0072068B" w:rsidP="008466EE">
            <w:pPr>
              <w:spacing w:before="100" w:beforeAutospacing="1" w:after="100" w:afterAutospacing="1"/>
              <w:rPr>
                <w:rFonts w:asciiTheme="minorHAnsi" w:hAnsiTheme="minorHAnsi" w:cstheme="minorHAnsi"/>
                <w:b/>
                <w:bCs/>
                <w:color w:val="000000"/>
                <w:sz w:val="20"/>
                <w:szCs w:val="20"/>
              </w:rPr>
            </w:pPr>
            <w:r>
              <w:rPr>
                <w:rFonts w:asciiTheme="minorHAnsi" w:hAnsiTheme="minorHAnsi" w:cstheme="minorHAnsi"/>
                <w:b/>
                <w:bCs/>
                <w:color w:val="000000"/>
                <w:sz w:val="20"/>
                <w:szCs w:val="20"/>
              </w:rPr>
              <w:t>Revenue</w:t>
            </w:r>
          </w:p>
        </w:tc>
        <w:tc>
          <w:tcPr>
            <w:tcW w:w="1085" w:type="pct"/>
            <w:tcBorders>
              <w:top w:val="nil"/>
              <w:left w:val="nil"/>
              <w:bottom w:val="nil"/>
              <w:right w:val="nil"/>
            </w:tcBorders>
            <w:shd w:val="clear" w:color="auto" w:fill="FFFFFF" w:themeFill="background2"/>
            <w:vAlign w:val="center"/>
          </w:tcPr>
          <w:p w:rsidR="0072068B" w:rsidRPr="00113B80" w:rsidRDefault="0072068B" w:rsidP="003653F7">
            <w:pPr>
              <w:spacing w:before="100" w:beforeAutospacing="1" w:after="100" w:afterAutospacing="1"/>
              <w:jc w:val="center"/>
              <w:rPr>
                <w:rFonts w:asciiTheme="minorHAnsi" w:hAnsiTheme="minorHAnsi" w:cstheme="minorHAnsi"/>
                <w:b/>
                <w:bCs/>
                <w:color w:val="000000"/>
                <w:sz w:val="20"/>
                <w:szCs w:val="20"/>
              </w:rPr>
            </w:pPr>
          </w:p>
        </w:tc>
        <w:tc>
          <w:tcPr>
            <w:tcW w:w="1084" w:type="pct"/>
            <w:tcBorders>
              <w:top w:val="nil"/>
              <w:left w:val="nil"/>
              <w:bottom w:val="nil"/>
              <w:right w:val="nil"/>
            </w:tcBorders>
            <w:shd w:val="clear" w:color="auto" w:fill="FFFFFF" w:themeFill="background2"/>
            <w:vAlign w:val="center"/>
          </w:tcPr>
          <w:p w:rsidR="0072068B" w:rsidRPr="00113B80" w:rsidRDefault="0072068B" w:rsidP="0072068B">
            <w:pPr>
              <w:spacing w:before="100" w:beforeAutospacing="1" w:after="100" w:afterAutospacing="1"/>
              <w:jc w:val="center"/>
              <w:rPr>
                <w:rFonts w:asciiTheme="minorHAnsi" w:hAnsiTheme="minorHAnsi" w:cstheme="minorHAnsi"/>
                <w:b/>
                <w:bCs/>
                <w:color w:val="000000"/>
                <w:sz w:val="20"/>
                <w:szCs w:val="20"/>
              </w:rPr>
            </w:pPr>
          </w:p>
        </w:tc>
      </w:tr>
      <w:tr w:rsidR="0072068B" w:rsidRPr="00113B80" w:rsidTr="0072068B">
        <w:trPr>
          <w:trHeight w:val="288"/>
        </w:trPr>
        <w:tc>
          <w:tcPr>
            <w:tcW w:w="2831" w:type="pct"/>
            <w:tcBorders>
              <w:top w:val="nil"/>
              <w:left w:val="nil"/>
              <w:bottom w:val="nil"/>
              <w:right w:val="nil"/>
            </w:tcBorders>
            <w:shd w:val="clear" w:color="auto" w:fill="auto"/>
            <w:noWrap/>
            <w:vAlign w:val="center"/>
            <w:hideMark/>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Pr>
                <w:rFonts w:asciiTheme="minorHAnsi" w:hAnsiTheme="minorHAnsi" w:cstheme="minorHAnsi"/>
                <w:color w:val="000000"/>
                <w:sz w:val="20"/>
                <w:szCs w:val="20"/>
              </w:rPr>
              <w:t xml:space="preserve">Higher </w:t>
            </w:r>
            <w:r w:rsidR="00090132">
              <w:rPr>
                <w:rFonts w:asciiTheme="minorHAnsi" w:hAnsiTheme="minorHAnsi" w:cstheme="minorHAnsi"/>
                <w:color w:val="000000"/>
                <w:sz w:val="20"/>
                <w:szCs w:val="20"/>
              </w:rPr>
              <w:t>e</w:t>
            </w:r>
            <w:r>
              <w:rPr>
                <w:rFonts w:asciiTheme="minorHAnsi" w:hAnsiTheme="minorHAnsi" w:cstheme="minorHAnsi"/>
                <w:color w:val="000000"/>
                <w:sz w:val="20"/>
                <w:szCs w:val="20"/>
              </w:rPr>
              <w:t xml:space="preserve">ducation </w:t>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Pr>
                <w:rFonts w:asciiTheme="minorHAnsi" w:hAnsiTheme="minorHAnsi" w:cstheme="minorHAnsi"/>
                <w:color w:val="000000"/>
                <w:sz w:val="20"/>
                <w:szCs w:val="20"/>
              </w:rPr>
              <w:t>23,234</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Pr>
                <w:rFonts w:asciiTheme="minorHAnsi" w:hAnsiTheme="minorHAnsi" w:cstheme="minorHAnsi"/>
                <w:color w:val="000000"/>
                <w:sz w:val="20"/>
                <w:szCs w:val="20"/>
              </w:rPr>
              <w:t>24,619</w:t>
            </w:r>
          </w:p>
        </w:tc>
      </w:tr>
      <w:tr w:rsidR="0072068B" w:rsidRPr="00113B80" w:rsidTr="0072068B">
        <w:trPr>
          <w:trHeight w:val="288"/>
        </w:trPr>
        <w:tc>
          <w:tcPr>
            <w:tcW w:w="2831" w:type="pct"/>
            <w:tcBorders>
              <w:top w:val="nil"/>
              <w:left w:val="nil"/>
              <w:bottom w:val="nil"/>
              <w:right w:val="nil"/>
            </w:tcBorders>
            <w:shd w:val="clear" w:color="auto" w:fill="auto"/>
            <w:noWrap/>
            <w:vAlign w:val="center"/>
            <w:hideMark/>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Pr>
                <w:rFonts w:asciiTheme="minorHAnsi" w:hAnsiTheme="minorHAnsi" w:cstheme="minorHAnsi"/>
                <w:color w:val="000000"/>
                <w:sz w:val="20"/>
                <w:szCs w:val="20"/>
              </w:rPr>
              <w:t>VET</w:t>
            </w:r>
            <w:r w:rsidR="006003E9">
              <w:rPr>
                <w:rStyle w:val="FootnoteReference"/>
                <w:rFonts w:asciiTheme="minorHAnsi" w:hAnsiTheme="minorHAnsi" w:cstheme="minorHAnsi"/>
                <w:color w:val="000000"/>
                <w:sz w:val="20"/>
                <w:szCs w:val="20"/>
              </w:rPr>
              <w:footnoteReference w:id="3"/>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Pr>
                <w:rFonts w:asciiTheme="minorHAnsi" w:hAnsiTheme="minorHAnsi" w:cstheme="minorHAnsi"/>
                <w:color w:val="000000"/>
                <w:sz w:val="20"/>
                <w:szCs w:val="20"/>
              </w:rPr>
              <w:t>1,446</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Pr>
                <w:rFonts w:asciiTheme="minorHAnsi" w:hAnsiTheme="minorHAnsi" w:cstheme="minorHAnsi"/>
                <w:color w:val="000000"/>
                <w:sz w:val="20"/>
                <w:szCs w:val="20"/>
              </w:rPr>
              <w:t>2,301</w:t>
            </w:r>
          </w:p>
        </w:tc>
      </w:tr>
      <w:tr w:rsidR="0072068B" w:rsidRPr="00113B80" w:rsidTr="0072068B">
        <w:trPr>
          <w:trHeight w:val="288"/>
        </w:trPr>
        <w:tc>
          <w:tcPr>
            <w:tcW w:w="2831" w:type="pct"/>
            <w:tcBorders>
              <w:top w:val="nil"/>
              <w:left w:val="nil"/>
              <w:bottom w:val="nil"/>
              <w:right w:val="nil"/>
            </w:tcBorders>
            <w:shd w:val="clear" w:color="auto" w:fill="auto"/>
            <w:noWrap/>
            <w:vAlign w:val="center"/>
            <w:hideMark/>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Pr>
                <w:rFonts w:asciiTheme="minorHAnsi" w:hAnsiTheme="minorHAnsi" w:cstheme="minorHAnsi"/>
                <w:color w:val="000000"/>
                <w:sz w:val="20"/>
                <w:szCs w:val="20"/>
              </w:rPr>
              <w:t>Other</w:t>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Pr>
                <w:rFonts w:asciiTheme="minorHAnsi" w:hAnsiTheme="minorHAnsi" w:cstheme="minorHAnsi"/>
                <w:color w:val="000000"/>
                <w:sz w:val="20"/>
                <w:szCs w:val="20"/>
              </w:rPr>
              <w:t>7,574</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Pr>
                <w:rFonts w:asciiTheme="minorHAnsi" w:hAnsiTheme="minorHAnsi" w:cstheme="minorHAnsi"/>
                <w:color w:val="000000"/>
                <w:sz w:val="20"/>
                <w:szCs w:val="20"/>
              </w:rPr>
              <w:t>7,405</w:t>
            </w:r>
          </w:p>
        </w:tc>
      </w:tr>
      <w:tr w:rsidR="0072068B" w:rsidRPr="004157EB" w:rsidTr="0072068B">
        <w:trPr>
          <w:trHeight w:val="288"/>
        </w:trPr>
        <w:tc>
          <w:tcPr>
            <w:tcW w:w="2831" w:type="pct"/>
            <w:tcBorders>
              <w:top w:val="nil"/>
              <w:left w:val="nil"/>
              <w:bottom w:val="nil"/>
              <w:right w:val="nil"/>
            </w:tcBorders>
            <w:shd w:val="clear" w:color="auto" w:fill="CCEDEE" w:themeFill="accent6" w:themeFillTint="66"/>
            <w:noWrap/>
            <w:vAlign w:val="center"/>
          </w:tcPr>
          <w:p w:rsidR="0072068B" w:rsidRPr="00113B80" w:rsidRDefault="0072068B" w:rsidP="008466EE">
            <w:pPr>
              <w:spacing w:before="100" w:beforeAutospacing="1" w:after="100" w:afterAutospacing="1"/>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Total revenue</w:t>
            </w:r>
            <w:r w:rsidRPr="00113B80">
              <w:rPr>
                <w:rStyle w:val="FootnoteReference"/>
                <w:rFonts w:asciiTheme="minorHAnsi" w:hAnsiTheme="minorHAnsi" w:cstheme="minorHAnsi"/>
                <w:b/>
                <w:sz w:val="20"/>
                <w:szCs w:val="20"/>
              </w:rPr>
              <w:footnoteReference w:id="4"/>
            </w:r>
          </w:p>
        </w:tc>
        <w:tc>
          <w:tcPr>
            <w:tcW w:w="1085" w:type="pct"/>
            <w:tcBorders>
              <w:top w:val="nil"/>
              <w:left w:val="nil"/>
              <w:bottom w:val="nil"/>
              <w:right w:val="nil"/>
            </w:tcBorders>
            <w:shd w:val="clear" w:color="auto" w:fill="CCEDEE" w:themeFill="accent6" w:themeFillTint="66"/>
            <w:vAlign w:val="center"/>
          </w:tcPr>
          <w:p w:rsidR="0072068B" w:rsidRPr="00113B80" w:rsidRDefault="0072068B" w:rsidP="007630CF">
            <w:pPr>
              <w:spacing w:before="100" w:beforeAutospacing="1" w:after="100" w:afterAutospacing="1"/>
              <w:ind w:right="442"/>
              <w:jc w:val="right"/>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32,</w:t>
            </w:r>
            <w:r>
              <w:rPr>
                <w:rFonts w:asciiTheme="minorHAnsi" w:hAnsiTheme="minorHAnsi" w:cstheme="minorHAnsi"/>
                <w:b/>
                <w:bCs/>
                <w:color w:val="000000"/>
                <w:sz w:val="20"/>
                <w:szCs w:val="20"/>
              </w:rPr>
              <w:t>254</w:t>
            </w:r>
          </w:p>
        </w:tc>
        <w:tc>
          <w:tcPr>
            <w:tcW w:w="1084" w:type="pct"/>
            <w:tcBorders>
              <w:top w:val="nil"/>
              <w:left w:val="nil"/>
              <w:bottom w:val="nil"/>
              <w:right w:val="nil"/>
            </w:tcBorders>
            <w:shd w:val="clear" w:color="auto" w:fill="CCEDEE" w:themeFill="accent6" w:themeFillTint="66"/>
            <w:vAlign w:val="center"/>
          </w:tcPr>
          <w:p w:rsidR="0072068B" w:rsidRPr="00113B80" w:rsidRDefault="0072068B" w:rsidP="007630CF">
            <w:pPr>
              <w:spacing w:before="100" w:beforeAutospacing="1" w:after="100" w:afterAutospacing="1"/>
              <w:ind w:right="448"/>
              <w:jc w:val="right"/>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3</w:t>
            </w:r>
            <w:r>
              <w:rPr>
                <w:rFonts w:asciiTheme="minorHAnsi" w:hAnsiTheme="minorHAnsi" w:cstheme="minorHAnsi"/>
                <w:b/>
                <w:bCs/>
                <w:color w:val="000000"/>
                <w:sz w:val="20"/>
                <w:szCs w:val="20"/>
              </w:rPr>
              <w:t>4</w:t>
            </w:r>
            <w:r w:rsidRPr="00113B80">
              <w:rPr>
                <w:rFonts w:asciiTheme="minorHAnsi" w:hAnsiTheme="minorHAnsi" w:cstheme="minorHAnsi"/>
                <w:b/>
                <w:bCs/>
                <w:color w:val="000000"/>
                <w:sz w:val="20"/>
                <w:szCs w:val="20"/>
              </w:rPr>
              <w:t>,</w:t>
            </w:r>
            <w:r>
              <w:rPr>
                <w:rFonts w:asciiTheme="minorHAnsi" w:hAnsiTheme="minorHAnsi" w:cstheme="minorHAnsi"/>
                <w:b/>
                <w:bCs/>
                <w:color w:val="000000"/>
                <w:sz w:val="20"/>
                <w:szCs w:val="20"/>
              </w:rPr>
              <w:t>325</w:t>
            </w:r>
          </w:p>
        </w:tc>
      </w:tr>
      <w:tr w:rsidR="0072068B" w:rsidRPr="004157EB" w:rsidTr="0072068B">
        <w:trPr>
          <w:trHeight w:val="288"/>
        </w:trPr>
        <w:tc>
          <w:tcPr>
            <w:tcW w:w="2831" w:type="pct"/>
            <w:tcBorders>
              <w:top w:val="nil"/>
              <w:left w:val="nil"/>
              <w:bottom w:val="nil"/>
              <w:right w:val="nil"/>
            </w:tcBorders>
            <w:shd w:val="clear" w:color="auto" w:fill="FFFFFF" w:themeFill="background2"/>
            <w:noWrap/>
            <w:vAlign w:val="center"/>
          </w:tcPr>
          <w:p w:rsidR="0072068B" w:rsidRPr="00113B80" w:rsidRDefault="0072068B" w:rsidP="008466EE">
            <w:pPr>
              <w:spacing w:before="100" w:beforeAutospacing="1" w:after="100" w:afterAutospacing="1"/>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Expenses</w:t>
            </w:r>
          </w:p>
        </w:tc>
        <w:tc>
          <w:tcPr>
            <w:tcW w:w="1085" w:type="pct"/>
            <w:tcBorders>
              <w:top w:val="nil"/>
              <w:left w:val="nil"/>
              <w:bottom w:val="nil"/>
              <w:right w:val="nil"/>
            </w:tcBorders>
            <w:shd w:val="clear" w:color="auto" w:fill="FFFFFF" w:themeFill="background2"/>
            <w:vAlign w:val="center"/>
          </w:tcPr>
          <w:p w:rsidR="0072068B" w:rsidRPr="00113B80" w:rsidRDefault="0072068B" w:rsidP="007630CF">
            <w:pPr>
              <w:spacing w:before="100" w:beforeAutospacing="1" w:after="100" w:afterAutospacing="1"/>
              <w:ind w:right="442"/>
              <w:jc w:val="right"/>
              <w:rPr>
                <w:rFonts w:asciiTheme="minorHAnsi" w:hAnsiTheme="minorHAnsi" w:cstheme="minorHAnsi"/>
                <w:b/>
                <w:bCs/>
                <w:color w:val="000000"/>
                <w:sz w:val="20"/>
                <w:szCs w:val="20"/>
              </w:rPr>
            </w:pPr>
          </w:p>
        </w:tc>
        <w:tc>
          <w:tcPr>
            <w:tcW w:w="1084" w:type="pct"/>
            <w:tcBorders>
              <w:top w:val="nil"/>
              <w:left w:val="nil"/>
              <w:bottom w:val="nil"/>
              <w:right w:val="nil"/>
            </w:tcBorders>
            <w:shd w:val="clear" w:color="auto" w:fill="FFFFFF" w:themeFill="background2"/>
            <w:vAlign w:val="center"/>
          </w:tcPr>
          <w:p w:rsidR="0072068B" w:rsidRPr="00113B80" w:rsidRDefault="0072068B" w:rsidP="007630CF">
            <w:pPr>
              <w:spacing w:before="100" w:beforeAutospacing="1" w:after="100" w:afterAutospacing="1"/>
              <w:ind w:right="448"/>
              <w:jc w:val="right"/>
              <w:rPr>
                <w:rFonts w:asciiTheme="minorHAnsi" w:hAnsiTheme="minorHAnsi" w:cstheme="minorHAnsi"/>
                <w:b/>
                <w:bCs/>
                <w:color w:val="000000"/>
                <w:sz w:val="20"/>
                <w:szCs w:val="20"/>
              </w:rPr>
            </w:pPr>
          </w:p>
        </w:tc>
      </w:tr>
      <w:tr w:rsidR="0072068B" w:rsidRPr="004157EB" w:rsidTr="0072068B">
        <w:trPr>
          <w:trHeight w:val="288"/>
        </w:trPr>
        <w:tc>
          <w:tcPr>
            <w:tcW w:w="2831" w:type="pct"/>
            <w:tcBorders>
              <w:top w:val="nil"/>
              <w:left w:val="nil"/>
              <w:bottom w:val="nil"/>
              <w:right w:val="nil"/>
            </w:tcBorders>
            <w:shd w:val="clear" w:color="auto" w:fill="auto"/>
            <w:noWrap/>
            <w:vAlign w:val="center"/>
            <w:hideMark/>
          </w:tcPr>
          <w:p w:rsidR="0072068B" w:rsidRPr="00113B80" w:rsidRDefault="007551CA" w:rsidP="008466EE">
            <w:pPr>
              <w:spacing w:before="100" w:beforeAutospacing="1" w:after="100" w:afterAutospacing="1"/>
              <w:rPr>
                <w:rFonts w:asciiTheme="minorHAnsi" w:hAnsiTheme="minorHAnsi" w:cstheme="minorHAnsi"/>
                <w:color w:val="000000"/>
                <w:sz w:val="20"/>
                <w:szCs w:val="20"/>
              </w:rPr>
            </w:pPr>
            <w:r>
              <w:rPr>
                <w:rFonts w:asciiTheme="minorHAnsi" w:hAnsiTheme="minorHAnsi" w:cstheme="minorHAnsi"/>
                <w:color w:val="000000"/>
                <w:sz w:val="20"/>
                <w:szCs w:val="20"/>
              </w:rPr>
              <w:t>Staffing</w:t>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(18,084)</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(18,</w:t>
            </w:r>
            <w:r>
              <w:rPr>
                <w:rFonts w:asciiTheme="minorHAnsi" w:hAnsiTheme="minorHAnsi" w:cstheme="minorHAnsi"/>
                <w:color w:val="000000"/>
                <w:sz w:val="20"/>
                <w:szCs w:val="20"/>
              </w:rPr>
              <w:t>974</w:t>
            </w:r>
            <w:r w:rsidRPr="00113B80">
              <w:rPr>
                <w:rFonts w:asciiTheme="minorHAnsi" w:hAnsiTheme="minorHAnsi" w:cstheme="minorHAnsi"/>
                <w:color w:val="000000"/>
                <w:sz w:val="20"/>
                <w:szCs w:val="20"/>
              </w:rPr>
              <w:t>)</w:t>
            </w:r>
          </w:p>
        </w:tc>
      </w:tr>
      <w:tr w:rsidR="0072068B" w:rsidRPr="004157EB" w:rsidTr="0072068B">
        <w:trPr>
          <w:trHeight w:val="288"/>
        </w:trPr>
        <w:tc>
          <w:tcPr>
            <w:tcW w:w="2831" w:type="pct"/>
            <w:tcBorders>
              <w:top w:val="nil"/>
              <w:left w:val="nil"/>
              <w:bottom w:val="nil"/>
              <w:right w:val="nil"/>
            </w:tcBorders>
            <w:shd w:val="clear" w:color="auto" w:fill="auto"/>
            <w:noWrap/>
            <w:vAlign w:val="center"/>
            <w:hideMark/>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sidRPr="00113B80">
              <w:rPr>
                <w:rFonts w:asciiTheme="minorHAnsi" w:hAnsiTheme="minorHAnsi" w:cstheme="minorHAnsi"/>
                <w:color w:val="000000"/>
                <w:sz w:val="20"/>
                <w:szCs w:val="20"/>
              </w:rPr>
              <w:t>Depreciation</w:t>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(1,794)</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(1,</w:t>
            </w:r>
            <w:r>
              <w:rPr>
                <w:rFonts w:asciiTheme="minorHAnsi" w:hAnsiTheme="minorHAnsi" w:cstheme="minorHAnsi"/>
                <w:color w:val="000000"/>
                <w:sz w:val="20"/>
                <w:szCs w:val="20"/>
              </w:rPr>
              <w:t>918</w:t>
            </w:r>
            <w:r w:rsidRPr="00113B80">
              <w:rPr>
                <w:rFonts w:asciiTheme="minorHAnsi" w:hAnsiTheme="minorHAnsi" w:cstheme="minorHAnsi"/>
                <w:color w:val="000000"/>
                <w:sz w:val="20"/>
                <w:szCs w:val="20"/>
              </w:rPr>
              <w:t>)</w:t>
            </w:r>
          </w:p>
        </w:tc>
      </w:tr>
      <w:tr w:rsidR="0072068B" w:rsidRPr="004157EB" w:rsidTr="0072068B">
        <w:trPr>
          <w:trHeight w:val="288"/>
        </w:trPr>
        <w:tc>
          <w:tcPr>
            <w:tcW w:w="2831" w:type="pct"/>
            <w:tcBorders>
              <w:top w:val="nil"/>
              <w:left w:val="nil"/>
              <w:bottom w:val="nil"/>
              <w:right w:val="nil"/>
            </w:tcBorders>
            <w:shd w:val="clear" w:color="auto" w:fill="auto"/>
            <w:noWrap/>
            <w:vAlign w:val="center"/>
            <w:hideMark/>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sidRPr="00113B80">
              <w:rPr>
                <w:rFonts w:asciiTheme="minorHAnsi" w:hAnsiTheme="minorHAnsi" w:cstheme="minorHAnsi"/>
                <w:color w:val="000000"/>
                <w:sz w:val="20"/>
                <w:szCs w:val="20"/>
              </w:rPr>
              <w:t>Finance costs</w:t>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(169)</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w:t>
            </w:r>
            <w:r>
              <w:rPr>
                <w:rFonts w:asciiTheme="minorHAnsi" w:hAnsiTheme="minorHAnsi" w:cstheme="minorHAnsi"/>
                <w:color w:val="000000"/>
                <w:sz w:val="20"/>
                <w:szCs w:val="20"/>
              </w:rPr>
              <w:t>216</w:t>
            </w:r>
            <w:r w:rsidRPr="00113B80">
              <w:rPr>
                <w:rFonts w:asciiTheme="minorHAnsi" w:hAnsiTheme="minorHAnsi" w:cstheme="minorHAnsi"/>
                <w:color w:val="000000"/>
                <w:sz w:val="20"/>
                <w:szCs w:val="20"/>
              </w:rPr>
              <w:t>)</w:t>
            </w:r>
          </w:p>
        </w:tc>
      </w:tr>
      <w:tr w:rsidR="0072068B" w:rsidRPr="004157EB" w:rsidTr="0072068B">
        <w:trPr>
          <w:trHeight w:val="288"/>
        </w:trPr>
        <w:tc>
          <w:tcPr>
            <w:tcW w:w="2831" w:type="pct"/>
            <w:tcBorders>
              <w:top w:val="nil"/>
              <w:left w:val="nil"/>
              <w:bottom w:val="nil"/>
              <w:right w:val="nil"/>
            </w:tcBorders>
            <w:shd w:val="clear" w:color="auto" w:fill="auto"/>
            <w:noWrap/>
            <w:vAlign w:val="center"/>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sidRPr="00113B80">
              <w:rPr>
                <w:rFonts w:asciiTheme="minorHAnsi" w:hAnsiTheme="minorHAnsi" w:cstheme="minorHAnsi"/>
                <w:color w:val="000000"/>
                <w:sz w:val="20"/>
                <w:szCs w:val="20"/>
              </w:rPr>
              <w:t>Marketing and promotion</w:t>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(403)</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w:t>
            </w:r>
            <w:r>
              <w:rPr>
                <w:rFonts w:asciiTheme="minorHAnsi" w:hAnsiTheme="minorHAnsi" w:cstheme="minorHAnsi"/>
                <w:color w:val="000000"/>
                <w:sz w:val="20"/>
                <w:szCs w:val="20"/>
              </w:rPr>
              <w:t>526</w:t>
            </w:r>
            <w:r w:rsidRPr="00113B80">
              <w:rPr>
                <w:rFonts w:asciiTheme="minorHAnsi" w:hAnsiTheme="minorHAnsi" w:cstheme="minorHAnsi"/>
                <w:color w:val="000000"/>
                <w:sz w:val="20"/>
                <w:szCs w:val="20"/>
              </w:rPr>
              <w:t>)</w:t>
            </w:r>
          </w:p>
        </w:tc>
      </w:tr>
      <w:tr w:rsidR="0072068B" w:rsidRPr="004157EB" w:rsidTr="0072068B">
        <w:trPr>
          <w:trHeight w:val="288"/>
        </w:trPr>
        <w:tc>
          <w:tcPr>
            <w:tcW w:w="2831" w:type="pct"/>
            <w:tcBorders>
              <w:top w:val="nil"/>
              <w:left w:val="nil"/>
              <w:bottom w:val="nil"/>
              <w:right w:val="nil"/>
            </w:tcBorders>
            <w:shd w:val="clear" w:color="auto" w:fill="auto"/>
            <w:noWrap/>
            <w:vAlign w:val="center"/>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sidRPr="00113B80">
              <w:rPr>
                <w:rFonts w:asciiTheme="minorHAnsi" w:hAnsiTheme="minorHAnsi" w:cstheme="minorHAnsi"/>
                <w:color w:val="000000"/>
                <w:sz w:val="20"/>
                <w:szCs w:val="20"/>
              </w:rPr>
              <w:t>Other expenses</w:t>
            </w:r>
          </w:p>
        </w:tc>
        <w:tc>
          <w:tcPr>
            <w:tcW w:w="1085" w:type="pct"/>
            <w:tcBorders>
              <w:top w:val="nil"/>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(10,174)</w:t>
            </w:r>
          </w:p>
        </w:tc>
        <w:tc>
          <w:tcPr>
            <w:tcW w:w="1084" w:type="pct"/>
            <w:tcBorders>
              <w:top w:val="nil"/>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(10,</w:t>
            </w:r>
            <w:r>
              <w:rPr>
                <w:rFonts w:asciiTheme="minorHAnsi" w:hAnsiTheme="minorHAnsi" w:cstheme="minorHAnsi"/>
                <w:color w:val="000000"/>
                <w:sz w:val="20"/>
                <w:szCs w:val="20"/>
              </w:rPr>
              <w:t>902</w:t>
            </w:r>
            <w:r w:rsidRPr="00113B80">
              <w:rPr>
                <w:rFonts w:asciiTheme="minorHAnsi" w:hAnsiTheme="minorHAnsi" w:cstheme="minorHAnsi"/>
                <w:color w:val="000000"/>
                <w:sz w:val="20"/>
                <w:szCs w:val="20"/>
              </w:rPr>
              <w:t>)</w:t>
            </w:r>
          </w:p>
        </w:tc>
      </w:tr>
      <w:tr w:rsidR="0072068B" w:rsidRPr="004157EB" w:rsidTr="0072068B">
        <w:trPr>
          <w:trHeight w:val="288"/>
        </w:trPr>
        <w:tc>
          <w:tcPr>
            <w:tcW w:w="2831" w:type="pct"/>
            <w:tcBorders>
              <w:top w:val="nil"/>
              <w:left w:val="nil"/>
              <w:bottom w:val="single" w:sz="4" w:space="0" w:color="auto"/>
              <w:right w:val="nil"/>
            </w:tcBorders>
            <w:shd w:val="clear" w:color="auto" w:fill="CCEDEE" w:themeFill="accent6" w:themeFillTint="66"/>
            <w:noWrap/>
            <w:vAlign w:val="center"/>
          </w:tcPr>
          <w:p w:rsidR="0072068B" w:rsidRPr="00113B80" w:rsidRDefault="0072068B" w:rsidP="007C28F5">
            <w:pPr>
              <w:spacing w:before="100" w:beforeAutospacing="1" w:after="100" w:afterAutospacing="1"/>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Total expenses</w:t>
            </w:r>
            <w:r w:rsidR="007C28F5" w:rsidRPr="007C28F5">
              <w:rPr>
                <w:rStyle w:val="FootnoteReference"/>
                <w:rFonts w:asciiTheme="minorHAnsi" w:hAnsiTheme="minorHAnsi" w:cstheme="minorHAnsi"/>
                <w:sz w:val="20"/>
                <w:szCs w:val="20"/>
              </w:rPr>
              <w:t>4</w:t>
            </w:r>
          </w:p>
        </w:tc>
        <w:tc>
          <w:tcPr>
            <w:tcW w:w="1085" w:type="pct"/>
            <w:tcBorders>
              <w:top w:val="nil"/>
              <w:left w:val="nil"/>
              <w:bottom w:val="single" w:sz="4" w:space="0" w:color="auto"/>
              <w:right w:val="nil"/>
            </w:tcBorders>
            <w:shd w:val="clear" w:color="auto" w:fill="CCEDEE" w:themeFill="accent6" w:themeFillTint="66"/>
            <w:vAlign w:val="center"/>
          </w:tcPr>
          <w:p w:rsidR="0072068B" w:rsidRPr="00113B80" w:rsidRDefault="0072068B" w:rsidP="007630CF">
            <w:pPr>
              <w:spacing w:before="100" w:beforeAutospacing="1" w:after="100" w:afterAutospacing="1"/>
              <w:ind w:right="442"/>
              <w:jc w:val="right"/>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(30,624)</w:t>
            </w:r>
          </w:p>
        </w:tc>
        <w:tc>
          <w:tcPr>
            <w:tcW w:w="1084" w:type="pct"/>
            <w:tcBorders>
              <w:top w:val="nil"/>
              <w:left w:val="nil"/>
              <w:bottom w:val="single" w:sz="4" w:space="0" w:color="auto"/>
              <w:right w:val="nil"/>
            </w:tcBorders>
            <w:shd w:val="clear" w:color="auto" w:fill="CCEDEE" w:themeFill="accent6" w:themeFillTint="66"/>
            <w:vAlign w:val="center"/>
          </w:tcPr>
          <w:p w:rsidR="0072068B" w:rsidRPr="00113B80" w:rsidRDefault="0072068B" w:rsidP="007630CF">
            <w:pPr>
              <w:spacing w:before="100" w:beforeAutospacing="1" w:after="100" w:afterAutospacing="1"/>
              <w:ind w:right="448"/>
              <w:jc w:val="right"/>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(3</w:t>
            </w:r>
            <w:r>
              <w:rPr>
                <w:rFonts w:asciiTheme="minorHAnsi" w:hAnsiTheme="minorHAnsi" w:cstheme="minorHAnsi"/>
                <w:b/>
                <w:bCs/>
                <w:color w:val="000000"/>
                <w:sz w:val="20"/>
                <w:szCs w:val="20"/>
              </w:rPr>
              <w:t>2</w:t>
            </w:r>
            <w:r w:rsidRPr="00113B80">
              <w:rPr>
                <w:rFonts w:asciiTheme="minorHAnsi" w:hAnsiTheme="minorHAnsi" w:cstheme="minorHAnsi"/>
                <w:b/>
                <w:bCs/>
                <w:color w:val="000000"/>
                <w:sz w:val="20"/>
                <w:szCs w:val="20"/>
              </w:rPr>
              <w:t>,</w:t>
            </w:r>
            <w:r>
              <w:rPr>
                <w:rFonts w:asciiTheme="minorHAnsi" w:hAnsiTheme="minorHAnsi" w:cstheme="minorHAnsi"/>
                <w:b/>
                <w:bCs/>
                <w:color w:val="000000"/>
                <w:sz w:val="20"/>
                <w:szCs w:val="20"/>
              </w:rPr>
              <w:t>537</w:t>
            </w:r>
            <w:r w:rsidRPr="00113B80">
              <w:rPr>
                <w:rFonts w:asciiTheme="minorHAnsi" w:hAnsiTheme="minorHAnsi" w:cstheme="minorHAnsi"/>
                <w:b/>
                <w:bCs/>
                <w:color w:val="000000"/>
                <w:sz w:val="20"/>
                <w:szCs w:val="20"/>
              </w:rPr>
              <w:t>)</w:t>
            </w:r>
          </w:p>
        </w:tc>
      </w:tr>
      <w:tr w:rsidR="0072068B" w:rsidRPr="004157EB" w:rsidTr="0072068B">
        <w:trPr>
          <w:trHeight w:val="288"/>
        </w:trPr>
        <w:tc>
          <w:tcPr>
            <w:tcW w:w="2831" w:type="pct"/>
            <w:tcBorders>
              <w:top w:val="single" w:sz="4" w:space="0" w:color="auto"/>
              <w:left w:val="nil"/>
              <w:bottom w:val="single" w:sz="4" w:space="0" w:color="auto"/>
              <w:right w:val="nil"/>
            </w:tcBorders>
            <w:shd w:val="clear" w:color="auto" w:fill="CCEDEE" w:themeFill="accent6" w:themeFillTint="66"/>
            <w:noWrap/>
            <w:vAlign w:val="center"/>
            <w:hideMark/>
          </w:tcPr>
          <w:p w:rsidR="0072068B" w:rsidRPr="00113B80" w:rsidRDefault="0072068B" w:rsidP="008466EE">
            <w:pPr>
              <w:spacing w:before="100" w:beforeAutospacing="1" w:after="100" w:afterAutospacing="1"/>
              <w:rPr>
                <w:rFonts w:asciiTheme="minorHAnsi" w:hAnsiTheme="minorHAnsi" w:cstheme="minorHAnsi"/>
                <w:b/>
                <w:bCs/>
                <w:color w:val="000000"/>
                <w:sz w:val="20"/>
                <w:szCs w:val="20"/>
              </w:rPr>
            </w:pPr>
            <w:r w:rsidRPr="00113B80">
              <w:rPr>
                <w:rFonts w:asciiTheme="minorHAnsi" w:hAnsiTheme="minorHAnsi" w:cstheme="minorHAnsi"/>
                <w:b/>
                <w:bCs/>
                <w:color w:val="000000"/>
                <w:sz w:val="20"/>
                <w:szCs w:val="20"/>
              </w:rPr>
              <w:t>Total net surplus/profit</w:t>
            </w:r>
            <w:r>
              <w:rPr>
                <w:rStyle w:val="FootnoteReference"/>
                <w:rFonts w:asciiTheme="minorHAnsi" w:hAnsiTheme="minorHAnsi" w:cstheme="minorHAnsi"/>
                <w:b/>
                <w:bCs/>
                <w:color w:val="000000"/>
                <w:sz w:val="20"/>
                <w:szCs w:val="20"/>
              </w:rPr>
              <w:footnoteReference w:id="5"/>
            </w:r>
          </w:p>
        </w:tc>
        <w:tc>
          <w:tcPr>
            <w:tcW w:w="1085" w:type="pct"/>
            <w:tcBorders>
              <w:top w:val="single" w:sz="4" w:space="0" w:color="auto"/>
              <w:left w:val="nil"/>
              <w:bottom w:val="single" w:sz="4" w:space="0" w:color="auto"/>
              <w:right w:val="nil"/>
            </w:tcBorders>
            <w:shd w:val="clear" w:color="auto" w:fill="CCEDEE" w:themeFill="accent6" w:themeFillTint="66"/>
            <w:vAlign w:val="center"/>
          </w:tcPr>
          <w:p w:rsidR="0072068B" w:rsidRPr="00113B80" w:rsidRDefault="0072068B" w:rsidP="007630CF">
            <w:pPr>
              <w:spacing w:before="100" w:beforeAutospacing="1" w:after="100" w:afterAutospacing="1"/>
              <w:ind w:right="442"/>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1,630</w:t>
            </w:r>
          </w:p>
        </w:tc>
        <w:tc>
          <w:tcPr>
            <w:tcW w:w="1084" w:type="pct"/>
            <w:tcBorders>
              <w:top w:val="single" w:sz="4" w:space="0" w:color="auto"/>
              <w:left w:val="nil"/>
              <w:bottom w:val="single" w:sz="4" w:space="0" w:color="auto"/>
              <w:right w:val="nil"/>
            </w:tcBorders>
            <w:shd w:val="clear" w:color="auto" w:fill="CCEDEE" w:themeFill="accent6" w:themeFillTint="66"/>
            <w:vAlign w:val="center"/>
          </w:tcPr>
          <w:p w:rsidR="0072068B" w:rsidRPr="00113B80" w:rsidRDefault="0072068B" w:rsidP="007630CF">
            <w:pPr>
              <w:spacing w:before="100" w:beforeAutospacing="1" w:after="100" w:afterAutospacing="1"/>
              <w:ind w:right="448"/>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1,788</w:t>
            </w:r>
          </w:p>
        </w:tc>
      </w:tr>
      <w:tr w:rsidR="0072068B" w:rsidRPr="004157EB" w:rsidTr="0072068B">
        <w:trPr>
          <w:trHeight w:val="288"/>
        </w:trPr>
        <w:tc>
          <w:tcPr>
            <w:tcW w:w="2831" w:type="pct"/>
            <w:tcBorders>
              <w:top w:val="single" w:sz="4" w:space="0" w:color="auto"/>
              <w:left w:val="nil"/>
              <w:bottom w:val="nil"/>
              <w:right w:val="nil"/>
            </w:tcBorders>
            <w:shd w:val="clear" w:color="auto" w:fill="auto"/>
            <w:noWrap/>
            <w:vAlign w:val="center"/>
            <w:hideMark/>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sidRPr="00113B80">
              <w:rPr>
                <w:rFonts w:asciiTheme="minorHAnsi" w:hAnsiTheme="minorHAnsi" w:cstheme="minorHAnsi"/>
                <w:color w:val="000000"/>
                <w:sz w:val="20"/>
                <w:szCs w:val="20"/>
              </w:rPr>
              <w:t>Capital expenditure</w:t>
            </w:r>
          </w:p>
        </w:tc>
        <w:tc>
          <w:tcPr>
            <w:tcW w:w="1085" w:type="pct"/>
            <w:tcBorders>
              <w:top w:val="single" w:sz="4" w:space="0" w:color="auto"/>
              <w:left w:val="nil"/>
              <w:bottom w:val="nil"/>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3,691</w:t>
            </w:r>
          </w:p>
        </w:tc>
        <w:tc>
          <w:tcPr>
            <w:tcW w:w="1084" w:type="pct"/>
            <w:tcBorders>
              <w:top w:val="single" w:sz="4" w:space="0" w:color="auto"/>
              <w:left w:val="nil"/>
              <w:bottom w:val="nil"/>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3,</w:t>
            </w:r>
            <w:r>
              <w:rPr>
                <w:rFonts w:asciiTheme="minorHAnsi" w:hAnsiTheme="minorHAnsi" w:cstheme="minorHAnsi"/>
                <w:color w:val="000000"/>
                <w:sz w:val="20"/>
                <w:szCs w:val="20"/>
              </w:rPr>
              <w:t>387</w:t>
            </w:r>
          </w:p>
        </w:tc>
      </w:tr>
      <w:tr w:rsidR="0072068B" w:rsidRPr="004157EB" w:rsidTr="0072068B">
        <w:trPr>
          <w:trHeight w:val="288"/>
        </w:trPr>
        <w:tc>
          <w:tcPr>
            <w:tcW w:w="2831" w:type="pct"/>
            <w:tcBorders>
              <w:top w:val="nil"/>
              <w:left w:val="nil"/>
              <w:bottom w:val="single" w:sz="4" w:space="0" w:color="auto"/>
              <w:right w:val="nil"/>
            </w:tcBorders>
            <w:shd w:val="clear" w:color="auto" w:fill="auto"/>
            <w:noWrap/>
            <w:vAlign w:val="center"/>
            <w:hideMark/>
          </w:tcPr>
          <w:p w:rsidR="0072068B" w:rsidRPr="00113B80" w:rsidRDefault="0072068B" w:rsidP="008466EE">
            <w:pPr>
              <w:spacing w:before="100" w:beforeAutospacing="1" w:after="100" w:afterAutospacing="1"/>
              <w:rPr>
                <w:rFonts w:asciiTheme="minorHAnsi" w:hAnsiTheme="minorHAnsi" w:cstheme="minorHAnsi"/>
                <w:color w:val="000000"/>
                <w:sz w:val="20"/>
                <w:szCs w:val="20"/>
              </w:rPr>
            </w:pPr>
            <w:r w:rsidRPr="00113B80">
              <w:rPr>
                <w:rFonts w:asciiTheme="minorHAnsi" w:hAnsiTheme="minorHAnsi" w:cstheme="minorHAnsi"/>
                <w:color w:val="000000"/>
                <w:sz w:val="20"/>
                <w:szCs w:val="20"/>
              </w:rPr>
              <w:t>Total net asset</w:t>
            </w:r>
            <w:r>
              <w:rPr>
                <w:rFonts w:asciiTheme="minorHAnsi" w:hAnsiTheme="minorHAnsi" w:cstheme="minorHAnsi"/>
                <w:color w:val="000000"/>
                <w:sz w:val="20"/>
                <w:szCs w:val="20"/>
              </w:rPr>
              <w:t>s</w:t>
            </w:r>
            <w:r w:rsidRPr="00113B80">
              <w:rPr>
                <w:rStyle w:val="FootnoteReference"/>
                <w:rFonts w:asciiTheme="minorHAnsi" w:hAnsiTheme="minorHAnsi" w:cstheme="minorHAnsi"/>
                <w:color w:val="000000"/>
                <w:sz w:val="20"/>
                <w:szCs w:val="20"/>
              </w:rPr>
              <w:footnoteReference w:id="6"/>
            </w:r>
            <w:r w:rsidRPr="00113B80">
              <w:rPr>
                <w:rFonts w:asciiTheme="minorHAnsi" w:hAnsiTheme="minorHAnsi" w:cstheme="minorHAnsi"/>
                <w:color w:val="000000"/>
                <w:sz w:val="20"/>
                <w:szCs w:val="20"/>
              </w:rPr>
              <w:t xml:space="preserve"> </w:t>
            </w:r>
          </w:p>
        </w:tc>
        <w:tc>
          <w:tcPr>
            <w:tcW w:w="1085" w:type="pct"/>
            <w:tcBorders>
              <w:top w:val="nil"/>
              <w:left w:val="nil"/>
              <w:bottom w:val="single" w:sz="4" w:space="0" w:color="auto"/>
              <w:right w:val="nil"/>
            </w:tcBorders>
            <w:vAlign w:val="center"/>
          </w:tcPr>
          <w:p w:rsidR="0072068B" w:rsidRPr="00113B80" w:rsidRDefault="0072068B" w:rsidP="007630CF">
            <w:pPr>
              <w:spacing w:before="100" w:beforeAutospacing="1" w:after="100" w:afterAutospacing="1"/>
              <w:ind w:right="442"/>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54,233</w:t>
            </w:r>
          </w:p>
        </w:tc>
        <w:tc>
          <w:tcPr>
            <w:tcW w:w="1084" w:type="pct"/>
            <w:tcBorders>
              <w:top w:val="nil"/>
              <w:left w:val="nil"/>
              <w:bottom w:val="single" w:sz="4" w:space="0" w:color="auto"/>
              <w:right w:val="nil"/>
            </w:tcBorders>
            <w:vAlign w:val="center"/>
          </w:tcPr>
          <w:p w:rsidR="0072068B" w:rsidRPr="00113B80" w:rsidRDefault="0072068B" w:rsidP="007630CF">
            <w:pPr>
              <w:spacing w:before="100" w:beforeAutospacing="1" w:after="100" w:afterAutospacing="1"/>
              <w:ind w:right="448"/>
              <w:jc w:val="right"/>
              <w:rPr>
                <w:rFonts w:asciiTheme="minorHAnsi" w:hAnsiTheme="minorHAnsi" w:cstheme="minorHAnsi"/>
                <w:color w:val="000000"/>
                <w:sz w:val="20"/>
                <w:szCs w:val="20"/>
              </w:rPr>
            </w:pPr>
            <w:r w:rsidRPr="00113B80">
              <w:rPr>
                <w:rFonts w:asciiTheme="minorHAnsi" w:hAnsiTheme="minorHAnsi" w:cstheme="minorHAnsi"/>
                <w:color w:val="000000"/>
                <w:sz w:val="20"/>
                <w:szCs w:val="20"/>
              </w:rPr>
              <w:t>5</w:t>
            </w:r>
            <w:r>
              <w:rPr>
                <w:rFonts w:asciiTheme="minorHAnsi" w:hAnsiTheme="minorHAnsi" w:cstheme="minorHAnsi"/>
                <w:color w:val="000000"/>
                <w:sz w:val="20"/>
                <w:szCs w:val="20"/>
              </w:rPr>
              <w:t>6,798</w:t>
            </w:r>
          </w:p>
        </w:tc>
      </w:tr>
    </w:tbl>
    <w:p w:rsidR="005A220D" w:rsidRDefault="0060328D" w:rsidP="0060328D">
      <w:pPr>
        <w:rPr>
          <w:rFonts w:ascii="Arial" w:hAnsi="Arial" w:cs="Arial"/>
          <w:i/>
          <w:sz w:val="16"/>
          <w:szCs w:val="16"/>
        </w:rPr>
      </w:pPr>
      <w:r>
        <w:rPr>
          <w:rFonts w:ascii="Arial" w:hAnsi="Arial" w:cs="Arial"/>
          <w:i/>
          <w:sz w:val="16"/>
          <w:szCs w:val="16"/>
        </w:rPr>
        <w:t>Source: TEQSA analysis</w:t>
      </w:r>
      <w:r w:rsidR="002C1DF4">
        <w:rPr>
          <w:rFonts w:ascii="Arial" w:hAnsi="Arial" w:cs="Arial"/>
          <w:i/>
          <w:sz w:val="16"/>
          <w:szCs w:val="16"/>
        </w:rPr>
        <w:t>; 2014</w:t>
      </w:r>
      <w:r>
        <w:rPr>
          <w:rFonts w:ascii="Arial" w:hAnsi="Arial" w:cs="Arial"/>
          <w:i/>
          <w:sz w:val="16"/>
          <w:szCs w:val="16"/>
        </w:rPr>
        <w:t xml:space="preserve"> </w:t>
      </w:r>
      <w:r w:rsidR="00996DF8">
        <w:rPr>
          <w:rFonts w:ascii="Arial" w:hAnsi="Arial" w:cs="Arial"/>
          <w:i/>
          <w:sz w:val="16"/>
          <w:szCs w:val="16"/>
        </w:rPr>
        <w:t xml:space="preserve">and 2015 </w:t>
      </w:r>
      <w:r>
        <w:rPr>
          <w:rFonts w:ascii="Arial" w:hAnsi="Arial" w:cs="Arial"/>
          <w:i/>
          <w:sz w:val="16"/>
          <w:szCs w:val="16"/>
        </w:rPr>
        <w:t>PIR</w:t>
      </w:r>
      <w:r w:rsidR="00F35848">
        <w:rPr>
          <w:rFonts w:ascii="Arial" w:hAnsi="Arial" w:cs="Arial"/>
          <w:i/>
          <w:sz w:val="16"/>
          <w:szCs w:val="16"/>
        </w:rPr>
        <w:t>;</w:t>
      </w:r>
      <w:r>
        <w:rPr>
          <w:rFonts w:ascii="Arial" w:hAnsi="Arial" w:cs="Arial"/>
          <w:i/>
          <w:sz w:val="16"/>
          <w:szCs w:val="16"/>
        </w:rPr>
        <w:t xml:space="preserve"> Department of Education and Training</w:t>
      </w:r>
      <w:r w:rsidR="00F35848">
        <w:rPr>
          <w:rFonts w:ascii="Arial" w:hAnsi="Arial" w:cs="Arial"/>
          <w:i/>
          <w:sz w:val="16"/>
          <w:szCs w:val="16"/>
        </w:rPr>
        <w:t>;</w:t>
      </w:r>
      <w:r>
        <w:rPr>
          <w:rFonts w:ascii="Arial" w:hAnsi="Arial" w:cs="Arial"/>
          <w:i/>
          <w:sz w:val="16"/>
          <w:szCs w:val="16"/>
        </w:rPr>
        <w:t xml:space="preserve"> provider financial statements</w:t>
      </w:r>
      <w:r w:rsidR="00090132">
        <w:rPr>
          <w:rFonts w:ascii="Arial" w:hAnsi="Arial" w:cs="Arial"/>
          <w:i/>
          <w:sz w:val="16"/>
          <w:szCs w:val="16"/>
        </w:rPr>
        <w:t>.</w:t>
      </w:r>
    </w:p>
    <w:p w:rsidR="00AE3B03" w:rsidRPr="00A10520" w:rsidRDefault="00AE3B03" w:rsidP="007C28F5">
      <w:pPr>
        <w:pStyle w:val="BulletsL1"/>
        <w:shd w:val="clear" w:color="auto" w:fill="E5ECED" w:themeFill="accent4" w:themeFillTint="66"/>
        <w:spacing w:after="0"/>
        <w:ind w:left="0" w:firstLine="0"/>
        <w:rPr>
          <w:sz w:val="16"/>
          <w:szCs w:val="16"/>
          <w:lang w:val="en-AU"/>
        </w:rPr>
      </w:pPr>
    </w:p>
    <w:p w:rsidR="00A10520" w:rsidRDefault="00D47B42" w:rsidP="008410D8">
      <w:pPr>
        <w:pStyle w:val="BulletsL1"/>
        <w:numPr>
          <w:ilvl w:val="0"/>
          <w:numId w:val="12"/>
        </w:numPr>
        <w:shd w:val="clear" w:color="auto" w:fill="E5ECED" w:themeFill="accent4" w:themeFillTint="66"/>
        <w:rPr>
          <w:lang w:val="en-AU"/>
        </w:rPr>
      </w:pPr>
      <w:r>
        <w:rPr>
          <w:lang w:val="en-AU"/>
        </w:rPr>
        <w:t xml:space="preserve">In 2015, the total reported revenue was $34.3 billion (2014: $32.3 billion). This represented </w:t>
      </w:r>
      <w:r w:rsidRPr="007551CA">
        <w:rPr>
          <w:lang w:val="en-AU"/>
        </w:rPr>
        <w:t>grow</w:t>
      </w:r>
      <w:r>
        <w:rPr>
          <w:lang w:val="en-AU"/>
        </w:rPr>
        <w:t>th</w:t>
      </w:r>
      <w:r w:rsidRPr="007551CA">
        <w:rPr>
          <w:lang w:val="en-AU"/>
        </w:rPr>
        <w:t xml:space="preserve"> </w:t>
      </w:r>
      <w:r>
        <w:rPr>
          <w:lang w:val="en-AU"/>
        </w:rPr>
        <w:t xml:space="preserve">of </w:t>
      </w:r>
      <w:r w:rsidRPr="007551CA">
        <w:rPr>
          <w:lang w:val="en-AU"/>
        </w:rPr>
        <w:t>6.4%</w:t>
      </w:r>
      <w:r>
        <w:rPr>
          <w:lang w:val="en-AU"/>
        </w:rPr>
        <w:t xml:space="preserve">. </w:t>
      </w:r>
      <w:r w:rsidRPr="007551CA">
        <w:rPr>
          <w:lang w:val="en-AU"/>
        </w:rPr>
        <w:t xml:space="preserve">The key driver has been </w:t>
      </w:r>
      <w:r>
        <w:rPr>
          <w:lang w:val="en-AU"/>
        </w:rPr>
        <w:t>increased</w:t>
      </w:r>
      <w:r w:rsidRPr="007551CA">
        <w:rPr>
          <w:lang w:val="en-AU"/>
        </w:rPr>
        <w:t xml:space="preserve"> higher education </w:t>
      </w:r>
      <w:r>
        <w:rPr>
          <w:lang w:val="en-AU"/>
        </w:rPr>
        <w:t xml:space="preserve">activity revenue which </w:t>
      </w:r>
      <w:r w:rsidRPr="007551CA">
        <w:rPr>
          <w:lang w:val="en-AU"/>
        </w:rPr>
        <w:t xml:space="preserve">accounted for </w:t>
      </w:r>
      <w:r>
        <w:rPr>
          <w:lang w:val="en-AU"/>
        </w:rPr>
        <w:t xml:space="preserve">two-thirds </w:t>
      </w:r>
      <w:r w:rsidRPr="007551CA">
        <w:rPr>
          <w:lang w:val="en-AU"/>
        </w:rPr>
        <w:t>of the growth.</w:t>
      </w:r>
      <w:r>
        <w:rPr>
          <w:lang w:val="en-AU"/>
        </w:rPr>
        <w:t xml:space="preserve"> </w:t>
      </w:r>
    </w:p>
    <w:p w:rsidR="00D47B42" w:rsidRPr="00A8459B" w:rsidRDefault="002E0956" w:rsidP="008410D8">
      <w:pPr>
        <w:pStyle w:val="BulletsL1"/>
        <w:numPr>
          <w:ilvl w:val="0"/>
          <w:numId w:val="12"/>
        </w:numPr>
        <w:shd w:val="clear" w:color="auto" w:fill="E5ECED" w:themeFill="accent4" w:themeFillTint="66"/>
        <w:rPr>
          <w:lang w:val="en-AU"/>
        </w:rPr>
      </w:pPr>
      <w:r>
        <w:rPr>
          <w:lang w:val="en-AU"/>
        </w:rPr>
        <w:t xml:space="preserve">Despite accounting for </w:t>
      </w:r>
      <w:r w:rsidR="005A1644" w:rsidRPr="002E0956">
        <w:rPr>
          <w:lang w:val="en-AU"/>
        </w:rPr>
        <w:t>a relatively smaller proportion of total sector revenu</w:t>
      </w:r>
      <w:r w:rsidR="005A1644" w:rsidRPr="005A1644">
        <w:rPr>
          <w:lang w:val="en-AU"/>
        </w:rPr>
        <w:t xml:space="preserve">e, </w:t>
      </w:r>
      <w:r w:rsidR="005A1644" w:rsidRPr="002E0956">
        <w:rPr>
          <w:lang w:val="en-AU"/>
        </w:rPr>
        <w:t>r</w:t>
      </w:r>
      <w:r>
        <w:rPr>
          <w:lang w:val="en-AU"/>
        </w:rPr>
        <w:t>evenue from VET activities also grew strongly</w:t>
      </w:r>
      <w:r w:rsidR="005A1644">
        <w:rPr>
          <w:lang w:val="en-AU"/>
        </w:rPr>
        <w:t>.</w:t>
      </w:r>
      <w:r w:rsidR="00D47B42" w:rsidRPr="005A1644">
        <w:rPr>
          <w:lang w:val="en-AU"/>
        </w:rPr>
        <w:t xml:space="preserve"> Revenue from other activities such as commercial</w:t>
      </w:r>
      <w:r w:rsidR="00D47B42">
        <w:rPr>
          <w:lang w:val="en-AU"/>
        </w:rPr>
        <w:t xml:space="preserve"> operations and donations totalled $7.4 billion.</w:t>
      </w:r>
    </w:p>
    <w:p w:rsidR="009D7E13" w:rsidRDefault="00AC2945" w:rsidP="008410D8">
      <w:pPr>
        <w:pStyle w:val="BulletsL1"/>
        <w:numPr>
          <w:ilvl w:val="0"/>
          <w:numId w:val="11"/>
        </w:numPr>
        <w:shd w:val="clear" w:color="auto" w:fill="E5ECED" w:themeFill="accent4" w:themeFillTint="66"/>
        <w:rPr>
          <w:lang w:val="en-AU"/>
        </w:rPr>
      </w:pPr>
      <w:r>
        <w:rPr>
          <w:lang w:val="en-AU"/>
        </w:rPr>
        <w:t xml:space="preserve">Total sector </w:t>
      </w:r>
      <w:r w:rsidR="003A5DDC">
        <w:rPr>
          <w:lang w:val="en-AU"/>
        </w:rPr>
        <w:t>expen</w:t>
      </w:r>
      <w:r>
        <w:rPr>
          <w:lang w:val="en-AU"/>
        </w:rPr>
        <w:t>diture</w:t>
      </w:r>
      <w:r w:rsidR="003A5DDC">
        <w:rPr>
          <w:lang w:val="en-AU"/>
        </w:rPr>
        <w:t xml:space="preserve"> </w:t>
      </w:r>
      <w:r w:rsidR="009D7E13">
        <w:rPr>
          <w:lang w:val="en-AU"/>
        </w:rPr>
        <w:t>increased by 6.2% to $32.5 billion</w:t>
      </w:r>
      <w:r>
        <w:rPr>
          <w:lang w:val="en-AU"/>
        </w:rPr>
        <w:t xml:space="preserve"> in 2015</w:t>
      </w:r>
      <w:r w:rsidR="009D7E13">
        <w:rPr>
          <w:lang w:val="en-AU"/>
        </w:rPr>
        <w:t xml:space="preserve"> (2014: $30.6 billion). </w:t>
      </w:r>
      <w:r>
        <w:rPr>
          <w:lang w:val="en-AU"/>
        </w:rPr>
        <w:t xml:space="preserve">The </w:t>
      </w:r>
      <w:r w:rsidR="00CB4CB5">
        <w:rPr>
          <w:lang w:val="en-AU"/>
        </w:rPr>
        <w:t>growth</w:t>
      </w:r>
      <w:r>
        <w:rPr>
          <w:lang w:val="en-AU"/>
        </w:rPr>
        <w:t xml:space="preserve"> </w:t>
      </w:r>
      <w:r w:rsidR="00CB4CB5">
        <w:rPr>
          <w:lang w:val="en-AU"/>
        </w:rPr>
        <w:t>in expenditure was slightly lower</w:t>
      </w:r>
      <w:r>
        <w:rPr>
          <w:lang w:val="en-AU"/>
        </w:rPr>
        <w:t xml:space="preserve"> than total sector revenue growth</w:t>
      </w:r>
      <w:r w:rsidR="00CB4CB5">
        <w:rPr>
          <w:lang w:val="en-AU"/>
        </w:rPr>
        <w:t>, contributing</w:t>
      </w:r>
      <w:r>
        <w:rPr>
          <w:lang w:val="en-AU"/>
        </w:rPr>
        <w:t xml:space="preserve"> towards the </w:t>
      </w:r>
      <w:r w:rsidR="00F766EA">
        <w:rPr>
          <w:lang w:val="en-AU"/>
        </w:rPr>
        <w:t>increase in the total sector net surplus/profit.</w:t>
      </w:r>
      <w:r w:rsidR="00697BCF">
        <w:rPr>
          <w:lang w:val="en-AU"/>
        </w:rPr>
        <w:t xml:space="preserve"> </w:t>
      </w:r>
      <w:r w:rsidR="006107C6">
        <w:rPr>
          <w:lang w:val="en-AU"/>
        </w:rPr>
        <w:t xml:space="preserve"> </w:t>
      </w:r>
      <w:r w:rsidR="009D7E13">
        <w:rPr>
          <w:lang w:val="en-AU"/>
        </w:rPr>
        <w:t xml:space="preserve">  </w:t>
      </w:r>
    </w:p>
    <w:p w:rsidR="00AE3B03" w:rsidRPr="00697BCF" w:rsidRDefault="00697BCF">
      <w:pPr>
        <w:pStyle w:val="BulletsL1"/>
        <w:numPr>
          <w:ilvl w:val="0"/>
          <w:numId w:val="11"/>
        </w:numPr>
        <w:shd w:val="clear" w:color="auto" w:fill="E5ECED" w:themeFill="accent4" w:themeFillTint="66"/>
        <w:rPr>
          <w:lang w:val="en-AU"/>
        </w:rPr>
      </w:pPr>
      <w:r w:rsidRPr="00697BCF">
        <w:rPr>
          <w:lang w:val="en-AU"/>
        </w:rPr>
        <w:t>Spending on s</w:t>
      </w:r>
      <w:r w:rsidR="009D7E13" w:rsidRPr="00697BCF">
        <w:rPr>
          <w:lang w:val="en-AU"/>
        </w:rPr>
        <w:t xml:space="preserve">taff </w:t>
      </w:r>
      <w:r w:rsidR="00F766EA">
        <w:rPr>
          <w:lang w:val="en-AU"/>
        </w:rPr>
        <w:t xml:space="preserve">(2015: </w:t>
      </w:r>
      <w:r w:rsidR="00172B3E">
        <w:rPr>
          <w:lang w:val="en-AU"/>
        </w:rPr>
        <w:t>$1</w:t>
      </w:r>
      <w:r w:rsidR="00F766EA">
        <w:rPr>
          <w:lang w:val="en-AU"/>
        </w:rPr>
        <w:t>8</w:t>
      </w:r>
      <w:r w:rsidR="00172B3E">
        <w:rPr>
          <w:lang w:val="en-AU"/>
        </w:rPr>
        <w:t>.</w:t>
      </w:r>
      <w:r w:rsidR="00F766EA">
        <w:rPr>
          <w:lang w:val="en-AU"/>
        </w:rPr>
        <w:t>9</w:t>
      </w:r>
      <w:r w:rsidR="00172B3E">
        <w:rPr>
          <w:lang w:val="en-AU"/>
        </w:rPr>
        <w:t xml:space="preserve"> billion</w:t>
      </w:r>
      <w:r w:rsidR="00F766EA">
        <w:rPr>
          <w:lang w:val="en-AU"/>
        </w:rPr>
        <w:t>, 2014: 18.1 billion)</w:t>
      </w:r>
      <w:r w:rsidR="00172B3E">
        <w:rPr>
          <w:lang w:val="en-AU"/>
        </w:rPr>
        <w:t xml:space="preserve">, </w:t>
      </w:r>
      <w:r w:rsidR="009D7E13" w:rsidRPr="00697BCF">
        <w:rPr>
          <w:lang w:val="en-AU"/>
        </w:rPr>
        <w:t xml:space="preserve">continued to </w:t>
      </w:r>
      <w:r w:rsidR="00F766EA">
        <w:rPr>
          <w:lang w:val="en-AU"/>
        </w:rPr>
        <w:t xml:space="preserve">account for </w:t>
      </w:r>
      <w:r w:rsidR="009D7E13" w:rsidRPr="00697BCF">
        <w:rPr>
          <w:lang w:val="en-AU"/>
        </w:rPr>
        <w:t>the largest area of</w:t>
      </w:r>
      <w:r w:rsidR="00F766EA">
        <w:rPr>
          <w:lang w:val="en-AU"/>
        </w:rPr>
        <w:t xml:space="preserve"> sector</w:t>
      </w:r>
      <w:r w:rsidR="009D7E13" w:rsidRPr="00697BCF">
        <w:rPr>
          <w:lang w:val="en-AU"/>
        </w:rPr>
        <w:t xml:space="preserve"> expenditure.</w:t>
      </w:r>
      <w:r w:rsidR="006107C6" w:rsidRPr="00697BCF">
        <w:rPr>
          <w:lang w:val="en-AU"/>
        </w:rPr>
        <w:t xml:space="preserve"> In 2015, </w:t>
      </w:r>
      <w:r w:rsidRPr="00697BCF">
        <w:rPr>
          <w:lang w:val="en-AU"/>
        </w:rPr>
        <w:t xml:space="preserve">staff spending </w:t>
      </w:r>
      <w:r w:rsidR="006107C6" w:rsidRPr="00697BCF">
        <w:rPr>
          <w:lang w:val="en-AU"/>
        </w:rPr>
        <w:t>account</w:t>
      </w:r>
      <w:r w:rsidR="00172B3E">
        <w:rPr>
          <w:lang w:val="en-AU"/>
        </w:rPr>
        <w:t>ed</w:t>
      </w:r>
      <w:r w:rsidR="006107C6" w:rsidRPr="00697BCF">
        <w:rPr>
          <w:lang w:val="en-AU"/>
        </w:rPr>
        <w:t xml:space="preserve"> for 58.3% (2014: 59.1%) of total sector expenditure. </w:t>
      </w:r>
      <w:r w:rsidR="00CB4CB5">
        <w:rPr>
          <w:lang w:val="en-AU"/>
        </w:rPr>
        <w:t>A</w:t>
      </w:r>
      <w:r w:rsidR="006107C6" w:rsidRPr="00697BCF">
        <w:rPr>
          <w:lang w:val="en-AU"/>
        </w:rPr>
        <w:t>lternatively</w:t>
      </w:r>
      <w:r w:rsidR="00CB4CB5">
        <w:rPr>
          <w:lang w:val="en-AU"/>
        </w:rPr>
        <w:t xml:space="preserve"> measured</w:t>
      </w:r>
      <w:r w:rsidR="006107C6" w:rsidRPr="00697BCF">
        <w:rPr>
          <w:lang w:val="en-AU"/>
        </w:rPr>
        <w:t xml:space="preserve"> </w:t>
      </w:r>
      <w:r w:rsidR="00172B3E">
        <w:rPr>
          <w:lang w:val="en-AU"/>
        </w:rPr>
        <w:t xml:space="preserve">staff spending </w:t>
      </w:r>
      <w:r w:rsidR="00F766EA">
        <w:rPr>
          <w:lang w:val="en-AU"/>
        </w:rPr>
        <w:t>represented</w:t>
      </w:r>
      <w:r w:rsidR="00172B3E">
        <w:rPr>
          <w:lang w:val="en-AU"/>
        </w:rPr>
        <w:t xml:space="preserve"> </w:t>
      </w:r>
      <w:r w:rsidR="006107C6" w:rsidRPr="00697BCF">
        <w:rPr>
          <w:lang w:val="en-AU"/>
        </w:rPr>
        <w:lastRenderedPageBreak/>
        <w:t>55.3% of total sector revenue.</w:t>
      </w:r>
      <w:r w:rsidRPr="00697BCF">
        <w:rPr>
          <w:lang w:val="en-AU"/>
        </w:rPr>
        <w:t xml:space="preserve"> </w:t>
      </w:r>
      <w:r>
        <w:rPr>
          <w:lang w:val="en-AU"/>
        </w:rPr>
        <w:t>S</w:t>
      </w:r>
      <w:r w:rsidR="003A5DDC" w:rsidRPr="00697BCF">
        <w:rPr>
          <w:lang w:val="en-AU"/>
        </w:rPr>
        <w:t xml:space="preserve">taffing expenditure increased by 4.9% in 2015, which was slower than the rate of revenue growth over the same period. </w:t>
      </w:r>
    </w:p>
    <w:p w:rsidR="00AE3B03" w:rsidRDefault="00697BCF" w:rsidP="008410D8">
      <w:pPr>
        <w:pStyle w:val="BulletsL1"/>
        <w:numPr>
          <w:ilvl w:val="0"/>
          <w:numId w:val="11"/>
        </w:numPr>
        <w:shd w:val="clear" w:color="auto" w:fill="E5ECED" w:themeFill="accent4" w:themeFillTint="66"/>
        <w:rPr>
          <w:lang w:val="en-AU"/>
        </w:rPr>
      </w:pPr>
      <w:r>
        <w:rPr>
          <w:lang w:val="en-AU"/>
        </w:rPr>
        <w:t xml:space="preserve">The total </w:t>
      </w:r>
      <w:r w:rsidR="00CB4CB5">
        <w:rPr>
          <w:lang w:val="en-AU"/>
        </w:rPr>
        <w:t xml:space="preserve">aggregate </w:t>
      </w:r>
      <w:r>
        <w:rPr>
          <w:lang w:val="en-AU"/>
        </w:rPr>
        <w:t xml:space="preserve">profit/surplus recorded </w:t>
      </w:r>
      <w:r w:rsidR="00CB4CB5">
        <w:rPr>
          <w:lang w:val="en-AU"/>
        </w:rPr>
        <w:t>by</w:t>
      </w:r>
      <w:r>
        <w:rPr>
          <w:lang w:val="en-AU"/>
        </w:rPr>
        <w:t xml:space="preserve"> the sector was approximately $1.8 billion, which represented growth of 9.7% when compared </w:t>
      </w:r>
      <w:r w:rsidR="00A92B8F">
        <w:rPr>
          <w:lang w:val="en-AU"/>
        </w:rPr>
        <w:t>with</w:t>
      </w:r>
      <w:r w:rsidR="00540A7B">
        <w:rPr>
          <w:lang w:val="en-AU"/>
        </w:rPr>
        <w:t xml:space="preserve"> the</w:t>
      </w:r>
      <w:r>
        <w:rPr>
          <w:lang w:val="en-AU"/>
        </w:rPr>
        <w:t xml:space="preserve"> previous year</w:t>
      </w:r>
      <w:r w:rsidR="00512028">
        <w:rPr>
          <w:lang w:val="en-AU"/>
        </w:rPr>
        <w:t>’s</w:t>
      </w:r>
      <w:r>
        <w:rPr>
          <w:lang w:val="en-AU"/>
        </w:rPr>
        <w:t xml:space="preserve"> result. This </w:t>
      </w:r>
      <w:r w:rsidR="00CB4CB5">
        <w:rPr>
          <w:lang w:val="en-AU"/>
        </w:rPr>
        <w:t xml:space="preserve">result </w:t>
      </w:r>
      <w:r>
        <w:rPr>
          <w:lang w:val="en-AU"/>
        </w:rPr>
        <w:t xml:space="preserve">equated to a </w:t>
      </w:r>
      <w:r w:rsidR="00F766EA">
        <w:rPr>
          <w:lang w:val="en-AU"/>
        </w:rPr>
        <w:t xml:space="preserve">total </w:t>
      </w:r>
      <w:r>
        <w:rPr>
          <w:lang w:val="en-AU"/>
        </w:rPr>
        <w:t xml:space="preserve">sector </w:t>
      </w:r>
      <w:r w:rsidR="00F766EA">
        <w:rPr>
          <w:lang w:val="en-AU"/>
        </w:rPr>
        <w:t>net surplus/</w:t>
      </w:r>
      <w:r w:rsidR="00AE3B03">
        <w:rPr>
          <w:lang w:val="en-AU"/>
        </w:rPr>
        <w:t xml:space="preserve">profit </w:t>
      </w:r>
      <w:r>
        <w:rPr>
          <w:lang w:val="en-AU"/>
        </w:rPr>
        <w:t xml:space="preserve">margin of </w:t>
      </w:r>
      <w:r w:rsidR="00AE3B03">
        <w:rPr>
          <w:lang w:val="en-AU"/>
        </w:rPr>
        <w:t>5.2%</w:t>
      </w:r>
      <w:r>
        <w:rPr>
          <w:lang w:val="en-AU"/>
        </w:rPr>
        <w:t xml:space="preserve">, which was similar to the margin recorded in </w:t>
      </w:r>
      <w:r w:rsidR="00F766EA">
        <w:rPr>
          <w:lang w:val="en-AU"/>
        </w:rPr>
        <w:t>2014</w:t>
      </w:r>
      <w:r>
        <w:rPr>
          <w:lang w:val="en-AU"/>
        </w:rPr>
        <w:t xml:space="preserve"> of </w:t>
      </w:r>
      <w:r w:rsidR="00AE3B03">
        <w:rPr>
          <w:lang w:val="en-AU"/>
        </w:rPr>
        <w:t>5.1%.</w:t>
      </w:r>
      <w:r w:rsidRPr="00697BCF">
        <w:rPr>
          <w:lang w:val="en-AU"/>
        </w:rPr>
        <w:t xml:space="preserve"> </w:t>
      </w:r>
    </w:p>
    <w:p w:rsidR="00A1063F" w:rsidRDefault="00F766EA" w:rsidP="00F766EA">
      <w:pPr>
        <w:pStyle w:val="BulletsL1"/>
        <w:numPr>
          <w:ilvl w:val="0"/>
          <w:numId w:val="11"/>
        </w:numPr>
        <w:shd w:val="clear" w:color="auto" w:fill="E5ECED" w:themeFill="accent4" w:themeFillTint="66"/>
        <w:rPr>
          <w:lang w:val="en-AU"/>
        </w:rPr>
      </w:pPr>
      <w:r w:rsidRPr="00F766EA">
        <w:rPr>
          <w:lang w:val="en-AU"/>
        </w:rPr>
        <w:t>Capital expenditure declined to</w:t>
      </w:r>
      <w:r w:rsidR="00B93A78" w:rsidRPr="00F766EA">
        <w:rPr>
          <w:lang w:val="en-AU"/>
        </w:rPr>
        <w:t xml:space="preserve"> approximately </w:t>
      </w:r>
      <w:r w:rsidR="00172B3E" w:rsidRPr="00F766EA">
        <w:rPr>
          <w:lang w:val="en-AU"/>
        </w:rPr>
        <w:t xml:space="preserve">$3.4 billion. </w:t>
      </w:r>
      <w:r w:rsidRPr="00F766EA">
        <w:rPr>
          <w:lang w:val="en-AU"/>
        </w:rPr>
        <w:t>T</w:t>
      </w:r>
      <w:r w:rsidR="00172B3E" w:rsidRPr="00F766EA">
        <w:rPr>
          <w:lang w:val="en-AU"/>
        </w:rPr>
        <w:t xml:space="preserve">his </w:t>
      </w:r>
      <w:r w:rsidR="00B93A78" w:rsidRPr="00F766EA">
        <w:rPr>
          <w:lang w:val="en-AU"/>
        </w:rPr>
        <w:t xml:space="preserve">constituted </w:t>
      </w:r>
      <w:r w:rsidR="000A41CA" w:rsidRPr="00F766EA">
        <w:rPr>
          <w:lang w:val="en-AU"/>
        </w:rPr>
        <w:t xml:space="preserve">a </w:t>
      </w:r>
      <w:r w:rsidR="00172B3E" w:rsidRPr="00F766EA">
        <w:rPr>
          <w:lang w:val="en-AU"/>
        </w:rPr>
        <w:t xml:space="preserve">decline </w:t>
      </w:r>
      <w:r w:rsidR="000A41CA" w:rsidRPr="00F766EA">
        <w:rPr>
          <w:lang w:val="en-AU"/>
        </w:rPr>
        <w:t xml:space="preserve">of </w:t>
      </w:r>
      <w:r w:rsidR="00172B3E" w:rsidRPr="00F766EA">
        <w:rPr>
          <w:lang w:val="en-AU"/>
        </w:rPr>
        <w:t>8.2%</w:t>
      </w:r>
      <w:r w:rsidR="000A41CA" w:rsidRPr="00F766EA">
        <w:rPr>
          <w:lang w:val="en-AU"/>
        </w:rPr>
        <w:t xml:space="preserve"> from </w:t>
      </w:r>
      <w:r w:rsidRPr="00F766EA">
        <w:rPr>
          <w:lang w:val="en-AU"/>
        </w:rPr>
        <w:t>2014</w:t>
      </w:r>
      <w:r w:rsidR="00E07794">
        <w:rPr>
          <w:lang w:val="en-AU"/>
        </w:rPr>
        <w:t xml:space="preserve"> of $3.7 billion. </w:t>
      </w:r>
    </w:p>
    <w:p w:rsidR="00172B3E" w:rsidRDefault="00F766EA" w:rsidP="00F766EA">
      <w:pPr>
        <w:pStyle w:val="BulletsL1"/>
        <w:numPr>
          <w:ilvl w:val="0"/>
          <w:numId w:val="11"/>
        </w:numPr>
        <w:shd w:val="clear" w:color="auto" w:fill="E5ECED" w:themeFill="accent4" w:themeFillTint="66"/>
        <w:rPr>
          <w:lang w:val="en-AU"/>
        </w:rPr>
      </w:pPr>
      <w:r>
        <w:rPr>
          <w:lang w:val="en-AU"/>
        </w:rPr>
        <w:t>The t</w:t>
      </w:r>
      <w:r w:rsidRPr="00F766EA">
        <w:rPr>
          <w:lang w:val="en-AU"/>
        </w:rPr>
        <w:t xml:space="preserve">otal </w:t>
      </w:r>
      <w:r w:rsidR="00B93A78" w:rsidRPr="00F766EA">
        <w:rPr>
          <w:lang w:val="en-AU"/>
        </w:rPr>
        <w:t xml:space="preserve">net </w:t>
      </w:r>
      <w:r w:rsidRPr="00F766EA">
        <w:rPr>
          <w:lang w:val="en-AU"/>
        </w:rPr>
        <w:t>assets</w:t>
      </w:r>
      <w:r w:rsidR="00B93A78" w:rsidRPr="00F766EA">
        <w:rPr>
          <w:lang w:val="en-AU"/>
        </w:rPr>
        <w:t xml:space="preserve"> (i.e. net </w:t>
      </w:r>
      <w:r w:rsidRPr="00F766EA">
        <w:rPr>
          <w:lang w:val="en-AU"/>
        </w:rPr>
        <w:t>worth</w:t>
      </w:r>
      <w:r w:rsidR="00B93A78" w:rsidRPr="00F766EA">
        <w:rPr>
          <w:lang w:val="en-AU"/>
        </w:rPr>
        <w:t>) of</w:t>
      </w:r>
      <w:r w:rsidR="00512028" w:rsidRPr="00F766EA">
        <w:rPr>
          <w:lang w:val="en-AU"/>
        </w:rPr>
        <w:t xml:space="preserve"> </w:t>
      </w:r>
      <w:r w:rsidRPr="00F766EA">
        <w:rPr>
          <w:lang w:val="en-AU"/>
        </w:rPr>
        <w:t>the s</w:t>
      </w:r>
      <w:r w:rsidR="00B93A78" w:rsidRPr="00AE4E48">
        <w:rPr>
          <w:lang w:val="en-AU"/>
        </w:rPr>
        <w:t xml:space="preserve">ector increased by 4.7%, </w:t>
      </w:r>
      <w:r w:rsidRPr="00AE4E48">
        <w:rPr>
          <w:lang w:val="en-AU"/>
        </w:rPr>
        <w:t>to $56.8 billion</w:t>
      </w:r>
      <w:r w:rsidR="00B93A78" w:rsidRPr="00AE4E48">
        <w:rPr>
          <w:lang w:val="en-AU"/>
        </w:rPr>
        <w:t xml:space="preserve">.  </w:t>
      </w:r>
    </w:p>
    <w:p w:rsidR="00A92B8F" w:rsidRDefault="00A92B8F" w:rsidP="00A92B8F">
      <w:pPr>
        <w:pStyle w:val="BulletsL1"/>
        <w:shd w:val="clear" w:color="auto" w:fill="E5ECED" w:themeFill="accent4" w:themeFillTint="66"/>
        <w:spacing w:before="0" w:after="0" w:line="40" w:lineRule="exact"/>
        <w:ind w:left="0" w:firstLine="0"/>
        <w:rPr>
          <w:lang w:val="en-AU"/>
        </w:rPr>
      </w:pPr>
    </w:p>
    <w:p w:rsidR="00C90D67" w:rsidRPr="00196E8A" w:rsidRDefault="00C90D67" w:rsidP="00D554EE">
      <w:pPr>
        <w:pStyle w:val="H3"/>
      </w:pPr>
      <w:r>
        <w:t xml:space="preserve">Sector revenue by source </w:t>
      </w:r>
    </w:p>
    <w:p w:rsidR="007823DA" w:rsidRPr="003B6D8C" w:rsidRDefault="00AE4E48" w:rsidP="00810E6F">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Figure 1 below summarises </w:t>
      </w:r>
      <w:r w:rsidR="00CB4CB5">
        <w:rPr>
          <w:rFonts w:asciiTheme="minorHAnsi" w:hAnsiTheme="minorHAnsi" w:cstheme="minorHAnsi"/>
          <w:sz w:val="22"/>
          <w:szCs w:val="22"/>
        </w:rPr>
        <w:t>the key sources of sector revenue.</w:t>
      </w:r>
      <w:r>
        <w:rPr>
          <w:rFonts w:asciiTheme="minorHAnsi" w:hAnsiTheme="minorHAnsi" w:cstheme="minorHAnsi"/>
          <w:sz w:val="22"/>
          <w:szCs w:val="22"/>
        </w:rPr>
        <w:t xml:space="preserve"> </w:t>
      </w:r>
      <w:r w:rsidR="00CB4CB5">
        <w:rPr>
          <w:rFonts w:asciiTheme="minorHAnsi" w:hAnsiTheme="minorHAnsi" w:cstheme="minorHAnsi"/>
          <w:sz w:val="22"/>
          <w:szCs w:val="22"/>
        </w:rPr>
        <w:t xml:space="preserve">These sources </w:t>
      </w:r>
      <w:r>
        <w:rPr>
          <w:rFonts w:asciiTheme="minorHAnsi" w:hAnsiTheme="minorHAnsi" w:cstheme="minorHAnsi"/>
          <w:sz w:val="22"/>
          <w:szCs w:val="22"/>
        </w:rPr>
        <w:t>reflect the main stakeholders in Australia’s higher education sector</w:t>
      </w:r>
      <w:r w:rsidR="00262334">
        <w:rPr>
          <w:rFonts w:asciiTheme="minorHAnsi" w:hAnsiTheme="minorHAnsi" w:cstheme="minorHAnsi"/>
          <w:sz w:val="22"/>
          <w:szCs w:val="22"/>
        </w:rPr>
        <w:t xml:space="preserve"> such as the </w:t>
      </w:r>
      <w:r>
        <w:rPr>
          <w:rFonts w:asciiTheme="minorHAnsi" w:hAnsiTheme="minorHAnsi" w:cstheme="minorHAnsi"/>
          <w:sz w:val="22"/>
          <w:szCs w:val="22"/>
        </w:rPr>
        <w:t xml:space="preserve">Australian </w:t>
      </w:r>
      <w:r w:rsidR="00262334">
        <w:rPr>
          <w:rFonts w:asciiTheme="minorHAnsi" w:hAnsiTheme="minorHAnsi" w:cstheme="minorHAnsi"/>
          <w:sz w:val="22"/>
          <w:szCs w:val="22"/>
        </w:rPr>
        <w:t>G</w:t>
      </w:r>
      <w:r>
        <w:rPr>
          <w:rFonts w:asciiTheme="minorHAnsi" w:hAnsiTheme="minorHAnsi" w:cstheme="minorHAnsi"/>
          <w:sz w:val="22"/>
          <w:szCs w:val="22"/>
        </w:rPr>
        <w:t>overnment, domestic students and international students</w:t>
      </w:r>
      <w:r w:rsidR="00425600">
        <w:rPr>
          <w:rFonts w:asciiTheme="minorHAnsi" w:hAnsiTheme="minorHAnsi" w:cstheme="minorHAnsi"/>
          <w:sz w:val="22"/>
          <w:szCs w:val="22"/>
        </w:rPr>
        <w:t xml:space="preserve">. </w:t>
      </w:r>
      <w:r>
        <w:rPr>
          <w:rFonts w:asciiTheme="minorHAnsi" w:hAnsiTheme="minorHAnsi" w:cstheme="minorHAnsi"/>
          <w:sz w:val="22"/>
          <w:szCs w:val="22"/>
        </w:rPr>
        <w:t xml:space="preserve">Revenue derived from the </w:t>
      </w:r>
      <w:r w:rsidR="00425600">
        <w:rPr>
          <w:rFonts w:asciiTheme="minorHAnsi" w:hAnsiTheme="minorHAnsi" w:cstheme="minorHAnsi"/>
          <w:sz w:val="22"/>
          <w:szCs w:val="22"/>
        </w:rPr>
        <w:t>FEE-HELP</w:t>
      </w:r>
      <w:r>
        <w:rPr>
          <w:rFonts w:asciiTheme="minorHAnsi" w:hAnsiTheme="minorHAnsi" w:cstheme="minorHAnsi"/>
          <w:sz w:val="22"/>
          <w:szCs w:val="22"/>
        </w:rPr>
        <w:t xml:space="preserve"> and</w:t>
      </w:r>
      <w:r w:rsidR="00425600">
        <w:rPr>
          <w:rFonts w:asciiTheme="minorHAnsi" w:hAnsiTheme="minorHAnsi" w:cstheme="minorHAnsi"/>
          <w:sz w:val="22"/>
          <w:szCs w:val="22"/>
        </w:rPr>
        <w:t xml:space="preserve"> HECS HELP</w:t>
      </w:r>
      <w:r>
        <w:rPr>
          <w:rFonts w:asciiTheme="minorHAnsi" w:hAnsiTheme="minorHAnsi" w:cstheme="minorHAnsi"/>
          <w:sz w:val="22"/>
          <w:szCs w:val="22"/>
        </w:rPr>
        <w:t xml:space="preserve"> schemes have been classified as</w:t>
      </w:r>
      <w:r w:rsidR="00425600">
        <w:rPr>
          <w:rFonts w:asciiTheme="minorHAnsi" w:hAnsiTheme="minorHAnsi" w:cstheme="minorHAnsi"/>
          <w:sz w:val="22"/>
          <w:szCs w:val="22"/>
        </w:rPr>
        <w:t xml:space="preserve"> ‘</w:t>
      </w:r>
      <w:r>
        <w:rPr>
          <w:rFonts w:asciiTheme="minorHAnsi" w:hAnsiTheme="minorHAnsi" w:cstheme="minorHAnsi"/>
          <w:sz w:val="22"/>
          <w:szCs w:val="22"/>
        </w:rPr>
        <w:t>H</w:t>
      </w:r>
      <w:r w:rsidR="00425600">
        <w:rPr>
          <w:rFonts w:asciiTheme="minorHAnsi" w:hAnsiTheme="minorHAnsi" w:cstheme="minorHAnsi"/>
          <w:sz w:val="22"/>
          <w:szCs w:val="22"/>
        </w:rPr>
        <w:t>igher education domestic students’</w:t>
      </w:r>
      <w:r>
        <w:rPr>
          <w:rFonts w:asciiTheme="minorHAnsi" w:hAnsiTheme="minorHAnsi" w:cstheme="minorHAnsi"/>
          <w:sz w:val="22"/>
          <w:szCs w:val="22"/>
        </w:rPr>
        <w:t xml:space="preserve"> reflecting the student’s contribution to their tuition</w:t>
      </w:r>
      <w:r w:rsidR="00425600">
        <w:rPr>
          <w:rFonts w:asciiTheme="minorHAnsi" w:hAnsiTheme="minorHAnsi" w:cstheme="minorHAnsi"/>
          <w:sz w:val="22"/>
          <w:szCs w:val="22"/>
        </w:rPr>
        <w:t>.</w:t>
      </w:r>
      <w:r w:rsidR="0000594E">
        <w:rPr>
          <w:rFonts w:asciiTheme="minorHAnsi" w:hAnsiTheme="minorHAnsi" w:cstheme="minorHAnsi"/>
          <w:sz w:val="22"/>
          <w:szCs w:val="22"/>
        </w:rPr>
        <w:t xml:space="preserve"> </w:t>
      </w:r>
      <w:r>
        <w:rPr>
          <w:rFonts w:asciiTheme="minorHAnsi" w:hAnsiTheme="minorHAnsi" w:cstheme="minorHAnsi"/>
          <w:sz w:val="22"/>
          <w:szCs w:val="22"/>
        </w:rPr>
        <w:t>T</w:t>
      </w:r>
      <w:r w:rsidR="00512028">
        <w:rPr>
          <w:rFonts w:asciiTheme="minorHAnsi" w:hAnsiTheme="minorHAnsi" w:cstheme="minorHAnsi"/>
          <w:sz w:val="22"/>
          <w:szCs w:val="22"/>
        </w:rPr>
        <w:t>he category of ‘</w:t>
      </w:r>
      <w:r>
        <w:rPr>
          <w:rFonts w:asciiTheme="minorHAnsi" w:hAnsiTheme="minorHAnsi" w:cstheme="minorHAnsi"/>
          <w:sz w:val="22"/>
          <w:szCs w:val="22"/>
        </w:rPr>
        <w:t>N</w:t>
      </w:r>
      <w:r w:rsidR="00512028">
        <w:rPr>
          <w:rFonts w:asciiTheme="minorHAnsi" w:hAnsiTheme="minorHAnsi" w:cstheme="minorHAnsi"/>
          <w:sz w:val="22"/>
          <w:szCs w:val="22"/>
        </w:rPr>
        <w:t>on</w:t>
      </w:r>
      <w:r w:rsidR="0003234D">
        <w:rPr>
          <w:rFonts w:asciiTheme="minorHAnsi" w:hAnsiTheme="minorHAnsi" w:cstheme="minorHAnsi"/>
          <w:sz w:val="22"/>
          <w:szCs w:val="22"/>
        </w:rPr>
        <w:t>-</w:t>
      </w:r>
      <w:r w:rsidR="00512028">
        <w:rPr>
          <w:rFonts w:asciiTheme="minorHAnsi" w:hAnsiTheme="minorHAnsi" w:cstheme="minorHAnsi"/>
          <w:sz w:val="22"/>
          <w:szCs w:val="22"/>
        </w:rPr>
        <w:t xml:space="preserve">higher education’ includes tuition and related fees </w:t>
      </w:r>
      <w:r>
        <w:rPr>
          <w:rFonts w:asciiTheme="minorHAnsi" w:hAnsiTheme="minorHAnsi" w:cstheme="minorHAnsi"/>
          <w:sz w:val="22"/>
          <w:szCs w:val="22"/>
        </w:rPr>
        <w:t>associated with</w:t>
      </w:r>
      <w:r w:rsidR="00512028">
        <w:rPr>
          <w:rFonts w:asciiTheme="minorHAnsi" w:hAnsiTheme="minorHAnsi" w:cstheme="minorHAnsi"/>
          <w:sz w:val="22"/>
          <w:szCs w:val="22"/>
        </w:rPr>
        <w:t xml:space="preserve"> VET, ELICOS</w:t>
      </w:r>
      <w:r>
        <w:rPr>
          <w:rFonts w:asciiTheme="minorHAnsi" w:hAnsiTheme="minorHAnsi" w:cstheme="minorHAnsi"/>
          <w:sz w:val="22"/>
          <w:szCs w:val="22"/>
        </w:rPr>
        <w:t xml:space="preserve"> and </w:t>
      </w:r>
      <w:r w:rsidR="00512028">
        <w:rPr>
          <w:rFonts w:asciiTheme="minorHAnsi" w:hAnsiTheme="minorHAnsi" w:cstheme="minorHAnsi"/>
          <w:sz w:val="22"/>
          <w:szCs w:val="22"/>
        </w:rPr>
        <w:t>non-award course</w:t>
      </w:r>
      <w:r>
        <w:rPr>
          <w:rFonts w:asciiTheme="minorHAnsi" w:hAnsiTheme="minorHAnsi" w:cstheme="minorHAnsi"/>
          <w:sz w:val="22"/>
          <w:szCs w:val="22"/>
        </w:rPr>
        <w:t xml:space="preserve"> delivery to b</w:t>
      </w:r>
      <w:r w:rsidR="00512028">
        <w:rPr>
          <w:rFonts w:asciiTheme="minorHAnsi" w:hAnsiTheme="minorHAnsi" w:cstheme="minorHAnsi"/>
          <w:sz w:val="22"/>
          <w:szCs w:val="22"/>
        </w:rPr>
        <w:t xml:space="preserve">oth domestic and international students. </w:t>
      </w:r>
      <w:r w:rsidR="00425600">
        <w:rPr>
          <w:rFonts w:asciiTheme="minorHAnsi" w:hAnsiTheme="minorHAnsi" w:cstheme="minorHAnsi"/>
          <w:sz w:val="22"/>
          <w:szCs w:val="22"/>
        </w:rPr>
        <w:t xml:space="preserve">  </w:t>
      </w:r>
      <w:r w:rsidR="001E2D43">
        <w:rPr>
          <w:rFonts w:asciiTheme="minorHAnsi" w:hAnsiTheme="minorHAnsi" w:cstheme="minorHAnsi"/>
          <w:sz w:val="22"/>
          <w:szCs w:val="22"/>
        </w:rPr>
        <w:t xml:space="preserve"> </w:t>
      </w:r>
    </w:p>
    <w:p w:rsidR="007823DA" w:rsidRDefault="007823DA" w:rsidP="00810E6F">
      <w:pPr>
        <w:spacing w:after="0" w:line="240" w:lineRule="auto"/>
        <w:rPr>
          <w:rFonts w:ascii="Georgia" w:hAnsi="Georgia" w:cs="Arial"/>
          <w:b/>
          <w:color w:val="004855" w:themeColor="text1"/>
          <w:sz w:val="20"/>
          <w:szCs w:val="20"/>
          <w:lang w:val="en-US"/>
        </w:rPr>
      </w:pPr>
    </w:p>
    <w:p w:rsidR="003D489A" w:rsidRPr="00E23F9A" w:rsidRDefault="006B2B1B" w:rsidP="00810E6F">
      <w:pPr>
        <w:spacing w:after="0" w:line="240" w:lineRule="auto"/>
        <w:rPr>
          <w:rFonts w:ascii="Georgia" w:hAnsi="Georgia" w:cs="Arial"/>
          <w:b/>
          <w:color w:val="004855" w:themeColor="text1"/>
          <w:sz w:val="20"/>
          <w:szCs w:val="20"/>
          <w:lang w:val="en-US"/>
        </w:rPr>
      </w:pPr>
      <w:r>
        <w:rPr>
          <w:rFonts w:ascii="Georgia" w:hAnsi="Georgia" w:cs="Arial"/>
          <w:b/>
          <w:color w:val="004855" w:themeColor="text1"/>
          <w:sz w:val="20"/>
          <w:szCs w:val="20"/>
          <w:lang w:val="en-US"/>
        </w:rPr>
        <w:t>F</w:t>
      </w:r>
      <w:r w:rsidR="00CD07D2">
        <w:rPr>
          <w:rFonts w:ascii="Georgia" w:hAnsi="Georgia" w:cs="Arial"/>
          <w:b/>
          <w:color w:val="004855" w:themeColor="text1"/>
          <w:sz w:val="20"/>
          <w:szCs w:val="20"/>
          <w:lang w:val="en-US"/>
        </w:rPr>
        <w:t>igure 1</w:t>
      </w:r>
      <w:r w:rsidR="003D489A" w:rsidRPr="00E23F9A">
        <w:rPr>
          <w:rFonts w:ascii="Georgia" w:hAnsi="Georgia" w:cs="Arial"/>
          <w:b/>
          <w:color w:val="004855" w:themeColor="text1"/>
          <w:sz w:val="20"/>
          <w:szCs w:val="20"/>
          <w:lang w:val="en-US"/>
        </w:rPr>
        <w:t xml:space="preserve">: </w:t>
      </w:r>
      <w:r w:rsidR="003D489A">
        <w:rPr>
          <w:rFonts w:ascii="Georgia" w:hAnsi="Georgia" w:cs="Arial"/>
          <w:b/>
          <w:color w:val="004855" w:themeColor="text1"/>
          <w:sz w:val="20"/>
          <w:szCs w:val="20"/>
          <w:lang w:val="en-US"/>
        </w:rPr>
        <w:t>Sector revenue</w:t>
      </w:r>
      <w:r w:rsidR="00A67E61">
        <w:rPr>
          <w:rFonts w:ascii="Georgia" w:hAnsi="Georgia" w:cs="Arial"/>
          <w:b/>
          <w:color w:val="004855" w:themeColor="text1"/>
          <w:sz w:val="20"/>
          <w:szCs w:val="20"/>
          <w:lang w:val="en-US"/>
        </w:rPr>
        <w:t>,</w:t>
      </w:r>
      <w:r w:rsidR="00CD07D2">
        <w:rPr>
          <w:rFonts w:ascii="Georgia" w:hAnsi="Georgia" w:cs="Arial"/>
          <w:b/>
          <w:color w:val="004855" w:themeColor="text1"/>
          <w:sz w:val="20"/>
          <w:szCs w:val="20"/>
          <w:lang w:val="en-US"/>
        </w:rPr>
        <w:t xml:space="preserve"> by </w:t>
      </w:r>
      <w:r w:rsidR="003D489A">
        <w:rPr>
          <w:rFonts w:ascii="Georgia" w:hAnsi="Georgia" w:cs="Arial"/>
          <w:b/>
          <w:color w:val="004855" w:themeColor="text1"/>
          <w:sz w:val="20"/>
          <w:szCs w:val="20"/>
          <w:lang w:val="en-US"/>
        </w:rPr>
        <w:t>source</w:t>
      </w:r>
    </w:p>
    <w:p w:rsidR="00824205" w:rsidRDefault="00824205" w:rsidP="00AF7EF8">
      <w:pPr>
        <w:spacing w:after="0" w:line="240" w:lineRule="auto"/>
        <w:jc w:val="center"/>
        <w:rPr>
          <w:noProof/>
          <w:lang w:eastAsia="en-AU"/>
        </w:rPr>
      </w:pPr>
      <w:r>
        <w:rPr>
          <w:noProof/>
          <w:lang w:eastAsia="en-AU"/>
        </w:rPr>
        <w:drawing>
          <wp:inline distT="0" distB="0" distL="0" distR="0" wp14:anchorId="6CF7773E" wp14:editId="6CA672B1">
            <wp:extent cx="5734050" cy="28479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1F1A" w:rsidRPr="001419CC" w:rsidRDefault="000F1F1A" w:rsidP="00AF7EF8">
      <w:pPr>
        <w:spacing w:after="0" w:line="240" w:lineRule="auto"/>
        <w:jc w:val="center"/>
        <w:rPr>
          <w:noProof/>
          <w:sz w:val="16"/>
          <w:szCs w:val="16"/>
          <w:lang w:eastAsia="en-AU"/>
        </w:rPr>
      </w:pPr>
    </w:p>
    <w:p w:rsidR="00391242" w:rsidRDefault="00391242">
      <w:pPr>
        <w:spacing w:after="0" w:line="240" w:lineRule="auto"/>
        <w:rPr>
          <w:noProof/>
          <w:sz w:val="8"/>
          <w:szCs w:val="8"/>
          <w:lang w:eastAsia="en-AU"/>
        </w:rPr>
      </w:pPr>
    </w:p>
    <w:p w:rsidR="00512028" w:rsidRPr="004774F1" w:rsidRDefault="00512028">
      <w:pPr>
        <w:spacing w:after="0" w:line="240" w:lineRule="auto"/>
        <w:rPr>
          <w:noProof/>
          <w:sz w:val="8"/>
          <w:szCs w:val="8"/>
          <w:lang w:eastAsia="en-AU"/>
        </w:rPr>
      </w:pPr>
    </w:p>
    <w:p w:rsidR="00FB19A7" w:rsidRPr="00130AB7" w:rsidRDefault="00FB19A7" w:rsidP="008410D8">
      <w:pPr>
        <w:pStyle w:val="BulletsL1"/>
        <w:shd w:val="clear" w:color="auto" w:fill="E5ECED" w:themeFill="accent4" w:themeFillTint="66"/>
        <w:spacing w:before="0" w:after="0" w:line="240" w:lineRule="auto"/>
        <w:ind w:left="425" w:hanging="425"/>
        <w:rPr>
          <w:sz w:val="16"/>
          <w:szCs w:val="16"/>
          <w:lang w:val="en-AU"/>
        </w:rPr>
      </w:pPr>
    </w:p>
    <w:p w:rsidR="00CD07D2" w:rsidRDefault="007867D6">
      <w:pPr>
        <w:pStyle w:val="BulletsL1"/>
        <w:numPr>
          <w:ilvl w:val="0"/>
          <w:numId w:val="7"/>
        </w:numPr>
        <w:shd w:val="clear" w:color="auto" w:fill="E5ECED" w:themeFill="accent4" w:themeFillTint="66"/>
        <w:rPr>
          <w:lang w:val="en-AU"/>
        </w:rPr>
      </w:pPr>
      <w:r w:rsidRPr="00C90D67">
        <w:rPr>
          <w:lang w:val="en-AU"/>
        </w:rPr>
        <w:t>Government grants and programs</w:t>
      </w:r>
      <w:r w:rsidR="001970AD">
        <w:rPr>
          <w:lang w:val="en-AU"/>
        </w:rPr>
        <w:t xml:space="preserve"> </w:t>
      </w:r>
      <w:r w:rsidRPr="00C90D67">
        <w:rPr>
          <w:lang w:val="en-AU"/>
        </w:rPr>
        <w:t>continue</w:t>
      </w:r>
      <w:r w:rsidR="001970AD">
        <w:rPr>
          <w:lang w:val="en-AU"/>
        </w:rPr>
        <w:t>d</w:t>
      </w:r>
      <w:r w:rsidRPr="00C90D67">
        <w:rPr>
          <w:lang w:val="en-AU"/>
        </w:rPr>
        <w:t xml:space="preserve"> to account for the </w:t>
      </w:r>
      <w:r w:rsidR="00A8459B" w:rsidRPr="00C90D67">
        <w:rPr>
          <w:lang w:val="en-AU"/>
        </w:rPr>
        <w:t xml:space="preserve">largest source of </w:t>
      </w:r>
      <w:r w:rsidR="00AE4E48">
        <w:rPr>
          <w:lang w:val="en-AU"/>
        </w:rPr>
        <w:t xml:space="preserve">sector </w:t>
      </w:r>
      <w:r w:rsidR="00DC0A8B" w:rsidRPr="00C90D67">
        <w:rPr>
          <w:lang w:val="en-AU"/>
        </w:rPr>
        <w:t>r</w:t>
      </w:r>
      <w:r w:rsidRPr="00C90D67">
        <w:rPr>
          <w:lang w:val="en-AU"/>
        </w:rPr>
        <w:t>evenue</w:t>
      </w:r>
      <w:r w:rsidR="004F111D">
        <w:rPr>
          <w:lang w:val="en-AU"/>
        </w:rPr>
        <w:t xml:space="preserve">, </w:t>
      </w:r>
      <w:r w:rsidR="00AE4E48">
        <w:rPr>
          <w:lang w:val="en-AU"/>
        </w:rPr>
        <w:t>42%</w:t>
      </w:r>
      <w:r w:rsidR="004F111D">
        <w:rPr>
          <w:lang w:val="en-AU"/>
        </w:rPr>
        <w:t xml:space="preserve"> in 2015 compared </w:t>
      </w:r>
      <w:r w:rsidR="00A92B8F">
        <w:rPr>
          <w:lang w:val="en-AU"/>
        </w:rPr>
        <w:t>with</w:t>
      </w:r>
      <w:r w:rsidR="004F111D">
        <w:rPr>
          <w:lang w:val="en-AU"/>
        </w:rPr>
        <w:t xml:space="preserve"> 40% in </w:t>
      </w:r>
      <w:r w:rsidRPr="00C90D67">
        <w:rPr>
          <w:lang w:val="en-AU"/>
        </w:rPr>
        <w:t>2014.</w:t>
      </w:r>
      <w:r w:rsidR="006A4D96">
        <w:rPr>
          <w:lang w:val="en-AU"/>
        </w:rPr>
        <w:t xml:space="preserve"> </w:t>
      </w:r>
      <w:r w:rsidR="00AE4E48">
        <w:rPr>
          <w:lang w:val="en-AU"/>
        </w:rPr>
        <w:t xml:space="preserve">This revenue source </w:t>
      </w:r>
      <w:r w:rsidR="00CB24FD">
        <w:rPr>
          <w:lang w:val="en-AU"/>
        </w:rPr>
        <w:t>includes funding from programs such as</w:t>
      </w:r>
      <w:r w:rsidR="00AE4E48">
        <w:rPr>
          <w:lang w:val="en-AU"/>
        </w:rPr>
        <w:t xml:space="preserve"> </w:t>
      </w:r>
      <w:r w:rsidR="00CB24FD">
        <w:rPr>
          <w:lang w:val="en-AU"/>
        </w:rPr>
        <w:t xml:space="preserve">the </w:t>
      </w:r>
      <w:r w:rsidR="00AE4E48">
        <w:rPr>
          <w:lang w:val="en-AU"/>
        </w:rPr>
        <w:t>Commonwealth Grant</w:t>
      </w:r>
      <w:r w:rsidR="00CB24FD">
        <w:rPr>
          <w:lang w:val="en-AU"/>
        </w:rPr>
        <w:t>s</w:t>
      </w:r>
      <w:r w:rsidR="00AE4E48">
        <w:rPr>
          <w:lang w:val="en-AU"/>
        </w:rPr>
        <w:t xml:space="preserve"> Scheme (CGS)</w:t>
      </w:r>
      <w:r w:rsidR="00CB24FD">
        <w:rPr>
          <w:lang w:val="en-AU"/>
        </w:rPr>
        <w:t>, research grants</w:t>
      </w:r>
      <w:r w:rsidR="00AE4E48">
        <w:rPr>
          <w:lang w:val="en-AU"/>
        </w:rPr>
        <w:t xml:space="preserve"> and scholarships</w:t>
      </w:r>
      <w:r w:rsidR="00CB24FD">
        <w:rPr>
          <w:lang w:val="en-AU"/>
        </w:rPr>
        <w:t>.</w:t>
      </w:r>
    </w:p>
    <w:p w:rsidR="001970AD" w:rsidRDefault="00425600">
      <w:pPr>
        <w:pStyle w:val="BulletsL1"/>
        <w:numPr>
          <w:ilvl w:val="0"/>
          <w:numId w:val="7"/>
        </w:numPr>
        <w:shd w:val="clear" w:color="auto" w:fill="E5ECED" w:themeFill="accent4" w:themeFillTint="66"/>
        <w:rPr>
          <w:lang w:val="en-AU"/>
        </w:rPr>
      </w:pPr>
      <w:r>
        <w:rPr>
          <w:lang w:val="en-AU"/>
        </w:rPr>
        <w:t xml:space="preserve">Fees received </w:t>
      </w:r>
      <w:r w:rsidR="00CB24FD">
        <w:rPr>
          <w:lang w:val="en-AU"/>
        </w:rPr>
        <w:t xml:space="preserve">from </w:t>
      </w:r>
      <w:r w:rsidR="00C90D67">
        <w:rPr>
          <w:lang w:val="en-AU"/>
        </w:rPr>
        <w:t xml:space="preserve">domestic students </w:t>
      </w:r>
      <w:r w:rsidR="001970AD">
        <w:rPr>
          <w:lang w:val="en-AU"/>
        </w:rPr>
        <w:t>studying higher education (</w:t>
      </w:r>
      <w:r>
        <w:rPr>
          <w:lang w:val="en-AU"/>
        </w:rPr>
        <w:t>inclusive of</w:t>
      </w:r>
      <w:r w:rsidR="00C90D67">
        <w:rPr>
          <w:lang w:val="en-AU"/>
        </w:rPr>
        <w:t xml:space="preserve"> FEE-HELP, HECS</w:t>
      </w:r>
      <w:r w:rsidR="00D13CD3">
        <w:rPr>
          <w:lang w:val="en-AU"/>
        </w:rPr>
        <w:t>-</w:t>
      </w:r>
      <w:r w:rsidR="00C90D67">
        <w:rPr>
          <w:lang w:val="en-AU"/>
        </w:rPr>
        <w:t>HELP, full</w:t>
      </w:r>
      <w:r w:rsidR="00D13CD3">
        <w:rPr>
          <w:lang w:val="en-AU"/>
        </w:rPr>
        <w:t>-</w:t>
      </w:r>
      <w:r w:rsidR="00C90D67">
        <w:rPr>
          <w:lang w:val="en-AU"/>
        </w:rPr>
        <w:t>fee paying</w:t>
      </w:r>
      <w:r>
        <w:rPr>
          <w:lang w:val="en-AU"/>
        </w:rPr>
        <w:t xml:space="preserve"> income</w:t>
      </w:r>
      <w:r w:rsidR="001970AD">
        <w:rPr>
          <w:lang w:val="en-AU"/>
        </w:rPr>
        <w:t>)</w:t>
      </w:r>
      <w:r w:rsidR="00C90D67">
        <w:rPr>
          <w:lang w:val="en-AU"/>
        </w:rPr>
        <w:t xml:space="preserve"> remained </w:t>
      </w:r>
      <w:r w:rsidR="001970AD">
        <w:rPr>
          <w:lang w:val="en-AU"/>
        </w:rPr>
        <w:t>unchanged at</w:t>
      </w:r>
      <w:r w:rsidR="00C90D67">
        <w:rPr>
          <w:lang w:val="en-AU"/>
        </w:rPr>
        <w:t xml:space="preserve"> 22% of sector </w:t>
      </w:r>
      <w:r w:rsidR="001970AD">
        <w:rPr>
          <w:lang w:val="en-AU"/>
        </w:rPr>
        <w:t>revenue.</w:t>
      </w:r>
      <w:r>
        <w:rPr>
          <w:lang w:val="en-AU"/>
        </w:rPr>
        <w:t xml:space="preserve"> </w:t>
      </w:r>
    </w:p>
    <w:p w:rsidR="00C90D67" w:rsidRPr="00C90D67" w:rsidRDefault="001970AD">
      <w:pPr>
        <w:pStyle w:val="BulletsL1"/>
        <w:numPr>
          <w:ilvl w:val="0"/>
          <w:numId w:val="7"/>
        </w:numPr>
        <w:shd w:val="clear" w:color="auto" w:fill="E5ECED" w:themeFill="accent4" w:themeFillTint="66"/>
        <w:rPr>
          <w:lang w:val="en-AU"/>
        </w:rPr>
      </w:pPr>
      <w:r>
        <w:rPr>
          <w:lang w:val="en-AU"/>
        </w:rPr>
        <w:t>Income from i</w:t>
      </w:r>
      <w:r w:rsidR="00C90D67">
        <w:rPr>
          <w:lang w:val="en-AU"/>
        </w:rPr>
        <w:t xml:space="preserve">nternational students </w:t>
      </w:r>
      <w:r>
        <w:rPr>
          <w:lang w:val="en-AU"/>
        </w:rPr>
        <w:t>(onshore and offshore) represent</w:t>
      </w:r>
      <w:r w:rsidR="00CB24FD">
        <w:rPr>
          <w:lang w:val="en-AU"/>
        </w:rPr>
        <w:t>ed</w:t>
      </w:r>
      <w:r>
        <w:rPr>
          <w:lang w:val="en-AU"/>
        </w:rPr>
        <w:t xml:space="preserve"> 16% of total revenue</w:t>
      </w:r>
      <w:r w:rsidR="0075412D">
        <w:rPr>
          <w:lang w:val="en-AU"/>
        </w:rPr>
        <w:t>,</w:t>
      </w:r>
      <w:r w:rsidR="00CB24FD">
        <w:rPr>
          <w:lang w:val="en-AU"/>
        </w:rPr>
        <w:t xml:space="preserve"> compared </w:t>
      </w:r>
      <w:r w:rsidR="006A71A4">
        <w:rPr>
          <w:lang w:val="en-AU"/>
        </w:rPr>
        <w:t>with</w:t>
      </w:r>
      <w:r w:rsidR="00CB24FD">
        <w:rPr>
          <w:lang w:val="en-AU"/>
        </w:rPr>
        <w:t xml:space="preserve"> 15% in 2014</w:t>
      </w:r>
      <w:r>
        <w:rPr>
          <w:lang w:val="en-AU"/>
        </w:rPr>
        <w:t xml:space="preserve">.   </w:t>
      </w:r>
    </w:p>
    <w:p w:rsidR="00FB19A7" w:rsidRPr="00130AB7" w:rsidRDefault="00FB19A7" w:rsidP="008410D8">
      <w:pPr>
        <w:pStyle w:val="BulletsL1"/>
        <w:shd w:val="clear" w:color="auto" w:fill="E5ECED" w:themeFill="accent4" w:themeFillTint="66"/>
        <w:spacing w:before="0" w:after="0" w:line="240" w:lineRule="auto"/>
        <w:ind w:left="0" w:firstLine="0"/>
        <w:rPr>
          <w:sz w:val="16"/>
          <w:szCs w:val="16"/>
          <w:lang w:val="en-AU"/>
        </w:rPr>
      </w:pPr>
    </w:p>
    <w:p w:rsidR="001970AD" w:rsidRDefault="001970AD">
      <w:pPr>
        <w:spacing w:after="0" w:line="240" w:lineRule="auto"/>
        <w:rPr>
          <w:rFonts w:asciiTheme="majorHAnsi" w:eastAsiaTheme="majorEastAsia" w:hAnsiTheme="majorHAnsi" w:cstheme="majorBidi"/>
          <w:b/>
          <w:bCs/>
          <w:noProof/>
          <w:color w:val="00353F" w:themeColor="accent1" w:themeShade="BF"/>
          <w:sz w:val="40"/>
          <w:szCs w:val="40"/>
          <w:lang w:eastAsia="en-AU"/>
        </w:rPr>
      </w:pPr>
      <w:r>
        <w:rPr>
          <w:sz w:val="40"/>
          <w:szCs w:val="40"/>
        </w:rPr>
        <w:br w:type="page"/>
      </w:r>
    </w:p>
    <w:p w:rsidR="005A220D" w:rsidRPr="00196E8A" w:rsidRDefault="005A220D" w:rsidP="00D554EE">
      <w:pPr>
        <w:pStyle w:val="H3"/>
      </w:pPr>
      <w:r>
        <w:lastRenderedPageBreak/>
        <w:t xml:space="preserve">Revenue sources by provider type  </w:t>
      </w:r>
    </w:p>
    <w:p w:rsidR="00AB62D8" w:rsidRDefault="0031662F" w:rsidP="009C0968">
      <w:pPr>
        <w:pStyle w:val="H2"/>
        <w:spacing w:after="120"/>
        <w:rPr>
          <w:rFonts w:ascii="Arial" w:hAnsi="Arial" w:cstheme="minorBidi"/>
          <w:b w:val="0"/>
          <w:bCs w:val="0"/>
          <w:color w:val="auto"/>
          <w:sz w:val="22"/>
          <w:szCs w:val="22"/>
          <w:lang w:val="en-AU"/>
        </w:rPr>
      </w:pPr>
      <w:r>
        <w:rPr>
          <w:rFonts w:ascii="Arial" w:hAnsi="Arial" w:cstheme="minorBidi"/>
          <w:b w:val="0"/>
          <w:bCs w:val="0"/>
          <w:color w:val="auto"/>
          <w:sz w:val="22"/>
          <w:szCs w:val="22"/>
          <w:lang w:val="en-AU"/>
        </w:rPr>
        <w:t xml:space="preserve">This section analyses the </w:t>
      </w:r>
      <w:r w:rsidR="00CB4CB5">
        <w:rPr>
          <w:rFonts w:ascii="Arial" w:hAnsi="Arial" w:cstheme="minorBidi"/>
          <w:b w:val="0"/>
          <w:bCs w:val="0"/>
          <w:color w:val="auto"/>
          <w:sz w:val="22"/>
          <w:szCs w:val="22"/>
          <w:lang w:val="en-AU"/>
        </w:rPr>
        <w:t>revenue sources</w:t>
      </w:r>
      <w:r>
        <w:rPr>
          <w:rFonts w:ascii="Arial" w:hAnsi="Arial" w:cstheme="minorBidi"/>
          <w:b w:val="0"/>
          <w:bCs w:val="0"/>
          <w:color w:val="auto"/>
          <w:sz w:val="22"/>
          <w:szCs w:val="22"/>
          <w:lang w:val="en-AU"/>
        </w:rPr>
        <w:t xml:space="preserve"> for each provider </w:t>
      </w:r>
      <w:r w:rsidR="009D1096">
        <w:rPr>
          <w:rFonts w:ascii="Arial" w:hAnsi="Arial" w:cstheme="minorBidi"/>
          <w:b w:val="0"/>
          <w:bCs w:val="0"/>
          <w:color w:val="auto"/>
          <w:sz w:val="22"/>
          <w:szCs w:val="22"/>
          <w:lang w:val="en-AU"/>
        </w:rPr>
        <w:t>type</w:t>
      </w:r>
      <w:r>
        <w:rPr>
          <w:rFonts w:ascii="Arial" w:hAnsi="Arial" w:cstheme="minorBidi"/>
          <w:b w:val="0"/>
          <w:bCs w:val="0"/>
          <w:color w:val="auto"/>
          <w:sz w:val="22"/>
          <w:szCs w:val="22"/>
          <w:lang w:val="en-AU"/>
        </w:rPr>
        <w:t>.</w:t>
      </w:r>
      <w:r w:rsidR="009C0968">
        <w:rPr>
          <w:rFonts w:ascii="Arial" w:hAnsi="Arial" w:cstheme="minorBidi"/>
          <w:b w:val="0"/>
          <w:bCs w:val="0"/>
          <w:color w:val="auto"/>
          <w:sz w:val="22"/>
          <w:szCs w:val="22"/>
          <w:lang w:val="en-AU"/>
        </w:rPr>
        <w:t xml:space="preserve"> </w:t>
      </w:r>
      <w:r w:rsidR="006E77BE">
        <w:rPr>
          <w:rFonts w:ascii="Arial" w:hAnsi="Arial" w:cstheme="minorBidi"/>
          <w:b w:val="0"/>
          <w:bCs w:val="0"/>
          <w:color w:val="auto"/>
          <w:sz w:val="22"/>
          <w:szCs w:val="22"/>
          <w:lang w:val="en-AU"/>
        </w:rPr>
        <w:t>Figure 2</w:t>
      </w:r>
      <w:r>
        <w:rPr>
          <w:rFonts w:ascii="Arial" w:hAnsi="Arial" w:cstheme="minorBidi"/>
          <w:b w:val="0"/>
          <w:bCs w:val="0"/>
          <w:color w:val="auto"/>
          <w:sz w:val="22"/>
          <w:szCs w:val="22"/>
          <w:lang w:val="en-AU"/>
        </w:rPr>
        <w:t xml:space="preserve"> below</w:t>
      </w:r>
      <w:r w:rsidR="006E77BE">
        <w:rPr>
          <w:rFonts w:ascii="Arial" w:hAnsi="Arial" w:cstheme="minorBidi"/>
          <w:b w:val="0"/>
          <w:bCs w:val="0"/>
          <w:color w:val="auto"/>
          <w:sz w:val="22"/>
          <w:szCs w:val="22"/>
          <w:lang w:val="en-AU"/>
        </w:rPr>
        <w:t xml:space="preserve"> shows the</w:t>
      </w:r>
      <w:r w:rsidR="0002421F">
        <w:rPr>
          <w:rFonts w:ascii="Arial" w:hAnsi="Arial" w:cstheme="minorBidi"/>
          <w:b w:val="0"/>
          <w:bCs w:val="0"/>
          <w:color w:val="auto"/>
          <w:sz w:val="22"/>
          <w:szCs w:val="22"/>
          <w:lang w:val="en-AU"/>
        </w:rPr>
        <w:t xml:space="preserve"> revenue </w:t>
      </w:r>
      <w:r w:rsidR="00CB4CB5">
        <w:rPr>
          <w:rFonts w:ascii="Arial" w:hAnsi="Arial" w:cstheme="minorBidi"/>
          <w:b w:val="0"/>
          <w:bCs w:val="0"/>
          <w:color w:val="auto"/>
          <w:sz w:val="22"/>
          <w:szCs w:val="22"/>
          <w:lang w:val="en-AU"/>
        </w:rPr>
        <w:t>sources and the total revenue generated by each</w:t>
      </w:r>
      <w:r w:rsidR="0002421F">
        <w:rPr>
          <w:rFonts w:ascii="Arial" w:hAnsi="Arial" w:cstheme="minorBidi"/>
          <w:b w:val="0"/>
          <w:bCs w:val="0"/>
          <w:color w:val="auto"/>
          <w:sz w:val="22"/>
          <w:szCs w:val="22"/>
          <w:lang w:val="en-AU"/>
        </w:rPr>
        <w:t xml:space="preserve"> provider </w:t>
      </w:r>
      <w:r w:rsidR="009D1096">
        <w:rPr>
          <w:rFonts w:ascii="Arial" w:hAnsi="Arial" w:cstheme="minorBidi"/>
          <w:b w:val="0"/>
          <w:bCs w:val="0"/>
          <w:color w:val="auto"/>
          <w:sz w:val="22"/>
          <w:szCs w:val="22"/>
          <w:lang w:val="en-AU"/>
        </w:rPr>
        <w:t>type</w:t>
      </w:r>
      <w:r w:rsidR="0002421F">
        <w:rPr>
          <w:rFonts w:ascii="Arial" w:hAnsi="Arial" w:cstheme="minorBidi"/>
          <w:b w:val="0"/>
          <w:bCs w:val="0"/>
          <w:color w:val="auto"/>
          <w:sz w:val="22"/>
          <w:szCs w:val="22"/>
          <w:lang w:val="en-AU"/>
        </w:rPr>
        <w:t>.</w:t>
      </w:r>
      <w:r w:rsidR="006E77BE">
        <w:rPr>
          <w:rFonts w:ascii="Arial" w:hAnsi="Arial" w:cstheme="minorBidi"/>
          <w:b w:val="0"/>
          <w:bCs w:val="0"/>
          <w:color w:val="auto"/>
          <w:sz w:val="22"/>
          <w:szCs w:val="22"/>
          <w:lang w:val="en-AU"/>
        </w:rPr>
        <w:t xml:space="preserve"> </w:t>
      </w:r>
    </w:p>
    <w:p w:rsidR="003E2C2A" w:rsidRDefault="00AF6296" w:rsidP="003E2C2A">
      <w:pPr>
        <w:rPr>
          <w:rFonts w:ascii="Georgia" w:hAnsi="Georgia" w:cs="Arial"/>
          <w:b/>
          <w:color w:val="004855" w:themeColor="text1"/>
          <w:sz w:val="20"/>
          <w:szCs w:val="20"/>
          <w:lang w:val="en-US"/>
        </w:rPr>
      </w:pPr>
      <w:r>
        <w:rPr>
          <w:rFonts w:ascii="Georgia" w:hAnsi="Georgia" w:cs="Arial"/>
          <w:b/>
          <w:color w:val="004855" w:themeColor="text1"/>
          <w:sz w:val="20"/>
          <w:szCs w:val="20"/>
          <w:lang w:val="en-US"/>
        </w:rPr>
        <w:t>Figure</w:t>
      </w:r>
      <w:r w:rsidR="003E2C2A">
        <w:rPr>
          <w:rFonts w:ascii="Georgia" w:hAnsi="Georgia" w:cs="Arial"/>
          <w:b/>
          <w:color w:val="004855" w:themeColor="text1"/>
          <w:sz w:val="20"/>
          <w:szCs w:val="20"/>
          <w:lang w:val="en-US"/>
        </w:rPr>
        <w:t xml:space="preserve"> </w:t>
      </w:r>
      <w:r w:rsidR="0002421F">
        <w:rPr>
          <w:rFonts w:ascii="Georgia" w:hAnsi="Georgia" w:cs="Arial"/>
          <w:b/>
          <w:color w:val="004855" w:themeColor="text1"/>
          <w:sz w:val="20"/>
          <w:szCs w:val="20"/>
          <w:lang w:val="en-US"/>
        </w:rPr>
        <w:t>2</w:t>
      </w:r>
      <w:r w:rsidR="003E2C2A" w:rsidRPr="008249DC">
        <w:rPr>
          <w:rFonts w:ascii="Georgia" w:hAnsi="Georgia" w:cs="Arial"/>
          <w:b/>
          <w:color w:val="004855" w:themeColor="text1"/>
          <w:sz w:val="20"/>
          <w:szCs w:val="20"/>
          <w:lang w:val="en-US"/>
        </w:rPr>
        <w:t xml:space="preserve">: </w:t>
      </w:r>
      <w:r w:rsidR="003E2C2A">
        <w:rPr>
          <w:rFonts w:ascii="Georgia" w:hAnsi="Georgia" w:cs="Arial"/>
          <w:b/>
          <w:color w:val="004855" w:themeColor="text1"/>
          <w:sz w:val="20"/>
          <w:szCs w:val="20"/>
          <w:lang w:val="en-US"/>
        </w:rPr>
        <w:t>Revenue sources</w:t>
      </w:r>
      <w:r w:rsidR="00A67E61">
        <w:rPr>
          <w:rFonts w:ascii="Georgia" w:hAnsi="Georgia" w:cs="Arial"/>
          <w:b/>
          <w:color w:val="004855" w:themeColor="text1"/>
          <w:sz w:val="20"/>
          <w:szCs w:val="20"/>
          <w:lang w:val="en-US"/>
        </w:rPr>
        <w:t>,</w:t>
      </w:r>
      <w:r w:rsidR="003E2C2A">
        <w:rPr>
          <w:rFonts w:ascii="Georgia" w:hAnsi="Georgia" w:cs="Arial"/>
          <w:b/>
          <w:color w:val="004855" w:themeColor="text1"/>
          <w:sz w:val="20"/>
          <w:szCs w:val="20"/>
          <w:lang w:val="en-US"/>
        </w:rPr>
        <w:t xml:space="preserve"> </w:t>
      </w:r>
      <w:r w:rsidR="003E2C2A" w:rsidRPr="008249DC">
        <w:rPr>
          <w:rFonts w:ascii="Georgia" w:hAnsi="Georgia" w:cs="Arial"/>
          <w:b/>
          <w:color w:val="004855" w:themeColor="text1"/>
          <w:sz w:val="20"/>
          <w:szCs w:val="20"/>
          <w:lang w:val="en-US"/>
        </w:rPr>
        <w:t>by provider type</w:t>
      </w:r>
    </w:p>
    <w:p w:rsidR="00E66C5B" w:rsidRPr="008249DC" w:rsidRDefault="00AE3B03" w:rsidP="004774F1">
      <w:pPr>
        <w:spacing w:after="0"/>
        <w:ind w:left="1440" w:firstLine="720"/>
        <w:rPr>
          <w:rFonts w:ascii="Georgia" w:hAnsi="Georgia" w:cs="Arial"/>
          <w:b/>
          <w:color w:val="004855" w:themeColor="text1"/>
          <w:sz w:val="20"/>
          <w:szCs w:val="20"/>
          <w:lang w:val="en-US"/>
        </w:rPr>
      </w:pPr>
      <w:r>
        <w:rPr>
          <w:rFonts w:ascii="Georgia" w:hAnsi="Georgia" w:cs="Arial"/>
          <w:b/>
          <w:color w:val="004855" w:themeColor="text1"/>
          <w:sz w:val="20"/>
          <w:szCs w:val="20"/>
          <w:lang w:val="en-US"/>
        </w:rPr>
        <w:t>Universities</w:t>
      </w:r>
      <w:r w:rsidR="00E66C5B">
        <w:rPr>
          <w:rFonts w:ascii="Georgia" w:hAnsi="Georgia" w:cs="Arial"/>
          <w:b/>
          <w:color w:val="004855" w:themeColor="text1"/>
          <w:sz w:val="20"/>
          <w:szCs w:val="20"/>
          <w:lang w:val="en-US"/>
        </w:rPr>
        <w:t xml:space="preserve">                               </w:t>
      </w:r>
      <w:r>
        <w:rPr>
          <w:rFonts w:ascii="Georgia" w:hAnsi="Georgia" w:cs="Arial"/>
          <w:b/>
          <w:color w:val="004855" w:themeColor="text1"/>
          <w:sz w:val="20"/>
          <w:szCs w:val="20"/>
          <w:lang w:val="en-US"/>
        </w:rPr>
        <w:t xml:space="preserve">                              </w:t>
      </w:r>
      <w:r w:rsidR="009C0968">
        <w:rPr>
          <w:rFonts w:ascii="Georgia" w:hAnsi="Georgia" w:cs="Arial"/>
          <w:b/>
          <w:color w:val="004855" w:themeColor="text1"/>
          <w:sz w:val="20"/>
          <w:szCs w:val="20"/>
          <w:lang w:val="en-US"/>
        </w:rPr>
        <w:t xml:space="preserve">    TAFE</w:t>
      </w:r>
    </w:p>
    <w:p w:rsidR="001E6BDE" w:rsidRDefault="00311C48" w:rsidP="004A548D">
      <w:pPr>
        <w:spacing w:after="0" w:line="240" w:lineRule="auto"/>
        <w:jc w:val="center"/>
        <w:rPr>
          <w:noProof/>
          <w:lang w:eastAsia="en-AU"/>
        </w:rPr>
      </w:pPr>
      <w:r w:rsidRPr="00472DC6">
        <w:rPr>
          <w:rFonts w:ascii="Georgia" w:hAnsi="Georgia" w:cs="Arial"/>
          <w:b/>
          <w:noProof/>
          <w:color w:val="004855" w:themeColor="text1"/>
          <w:sz w:val="20"/>
          <w:szCs w:val="20"/>
          <w:lang w:eastAsia="en-AU"/>
        </w:rPr>
        <mc:AlternateContent>
          <mc:Choice Requires="wps">
            <w:drawing>
              <wp:anchor distT="0" distB="0" distL="114300" distR="114300" simplePos="0" relativeHeight="251647488" behindDoc="0" locked="0" layoutInCell="1" allowOverlap="1" wp14:anchorId="488AE32A" wp14:editId="1339ADA2">
                <wp:simplePos x="0" y="0"/>
                <wp:positionH relativeFrom="column">
                  <wp:posOffset>2398607</wp:posOffset>
                </wp:positionH>
                <wp:positionV relativeFrom="paragraph">
                  <wp:posOffset>1151255</wp:posOffset>
                </wp:positionV>
                <wp:extent cx="1362710" cy="899372"/>
                <wp:effectExtent l="76200" t="76200" r="104140" b="9144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899372"/>
                        </a:xfrm>
                        <a:prstGeom prst="rect">
                          <a:avLst/>
                        </a:prstGeom>
                        <a:noFill/>
                        <a:ln w="9525">
                          <a:solidFill>
                            <a:srgbClr val="000000"/>
                          </a:solidFill>
                          <a:miter lim="800000"/>
                          <a:headEnd/>
                          <a:tailEnd/>
                        </a:ln>
                        <a:effectLst>
                          <a:glow rad="63500">
                            <a:schemeClr val="accent1">
                              <a:satMod val="175000"/>
                              <a:alpha val="40000"/>
                            </a:schemeClr>
                          </a:glow>
                        </a:effectLst>
                      </wps:spPr>
                      <wps:txbx>
                        <w:txbxContent>
                          <w:p w:rsidR="00BD3847" w:rsidRPr="00473E4B" w:rsidRDefault="00BD3847" w:rsidP="00AE3B03">
                            <w:pPr>
                              <w:jc w:val="center"/>
                              <w:rPr>
                                <w:rFonts w:asciiTheme="majorHAnsi" w:hAnsiTheme="majorHAnsi"/>
                                <w:b/>
                                <w:color w:val="004855" w:themeColor="text1"/>
                                <w:szCs w:val="36"/>
                              </w:rPr>
                            </w:pPr>
                            <w:r w:rsidRPr="00473E4B">
                              <w:rPr>
                                <w:rFonts w:asciiTheme="majorHAnsi" w:hAnsiTheme="majorHAnsi"/>
                                <w:b/>
                                <w:color w:val="004855" w:themeColor="text1"/>
                                <w:szCs w:val="36"/>
                              </w:rPr>
                              <w:t>Total sector revenue</w:t>
                            </w:r>
                            <w:r>
                              <w:rPr>
                                <w:rFonts w:asciiTheme="majorHAnsi" w:hAnsiTheme="majorHAnsi"/>
                                <w:b/>
                                <w:color w:val="004855" w:themeColor="text1"/>
                                <w:szCs w:val="36"/>
                              </w:rPr>
                              <w:t>:</w:t>
                            </w:r>
                          </w:p>
                          <w:p w:rsidR="00BD3847" w:rsidRPr="00473E4B" w:rsidRDefault="00BD3847" w:rsidP="00AE3B03">
                            <w:pPr>
                              <w:jc w:val="center"/>
                              <w:rPr>
                                <w:rFonts w:asciiTheme="majorHAnsi" w:hAnsiTheme="majorHAnsi"/>
                                <w:b/>
                                <w:color w:val="004855" w:themeColor="text1"/>
                                <w:szCs w:val="36"/>
                              </w:rPr>
                            </w:pPr>
                            <w:r w:rsidRPr="00473E4B">
                              <w:rPr>
                                <w:rFonts w:asciiTheme="majorHAnsi" w:hAnsiTheme="majorHAnsi"/>
                                <w:b/>
                                <w:color w:val="004855" w:themeColor="text1"/>
                                <w:szCs w:val="36"/>
                              </w:rPr>
                              <w:t>$34.3 billion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8AE32A" id="_x0000_s1027" type="#_x0000_t202" style="position:absolute;left:0;text-align:left;margin-left:188.85pt;margin-top:90.65pt;width:107.3pt;height:7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" filled="f">
                <v:textbox>
                  <w:txbxContent>
                    <w:p w:rsidR="00BD3847" w:rsidRPr="00473E4B" w:rsidRDefault="00BD3847" w:rsidP="00AE3B03">
                      <w:pPr>
                        <w:jc w:val="center"/>
                        <w:rPr>
                          <w:rFonts w:asciiTheme="majorHAnsi" w:hAnsiTheme="majorHAnsi"/>
                          <w:b/>
                          <w:color w:val="004855" w:themeColor="text1"/>
                          <w:szCs w:val="36"/>
                        </w:rPr>
                      </w:pPr>
                      <w:r w:rsidRPr="00473E4B">
                        <w:rPr>
                          <w:rFonts w:asciiTheme="majorHAnsi" w:hAnsiTheme="majorHAnsi"/>
                          <w:b/>
                          <w:color w:val="004855" w:themeColor="text1"/>
                          <w:szCs w:val="36"/>
                        </w:rPr>
                        <w:t>Total sector revenue</w:t>
                      </w:r>
                      <w:r>
                        <w:rPr>
                          <w:rFonts w:asciiTheme="majorHAnsi" w:hAnsiTheme="majorHAnsi"/>
                          <w:b/>
                          <w:color w:val="004855" w:themeColor="text1"/>
                          <w:szCs w:val="36"/>
                        </w:rPr>
                        <w:t>:</w:t>
                      </w:r>
                    </w:p>
                    <w:p w:rsidR="00BD3847" w:rsidRPr="00473E4B" w:rsidRDefault="00BD3847" w:rsidP="00AE3B03">
                      <w:pPr>
                        <w:jc w:val="center"/>
                        <w:rPr>
                          <w:rFonts w:asciiTheme="majorHAnsi" w:hAnsiTheme="majorHAnsi"/>
                          <w:b/>
                          <w:color w:val="004855" w:themeColor="text1"/>
                          <w:szCs w:val="36"/>
                        </w:rPr>
                      </w:pPr>
                      <w:r w:rsidRPr="00473E4B">
                        <w:rPr>
                          <w:rFonts w:asciiTheme="majorHAnsi" w:hAnsiTheme="majorHAnsi"/>
                          <w:b/>
                          <w:color w:val="004855" w:themeColor="text1"/>
                          <w:szCs w:val="36"/>
                        </w:rPr>
                        <w:t>$34.3 billion</w:t>
                      </w:r>
                    </w:p>
                  </w:txbxContent>
                </v:textbox>
              </v:shape>
            </w:pict>
          </mc:Fallback>
        </mc:AlternateContent>
      </w:r>
      <w:r w:rsidR="004774F1" w:rsidRPr="00B51CDD">
        <w:rPr>
          <w:noProof/>
          <w:lang w:eastAsia="en-AU"/>
        </w:rPr>
        <mc:AlternateContent>
          <mc:Choice Requires="wps">
            <w:drawing>
              <wp:anchor distT="0" distB="0" distL="114300" distR="114300" simplePos="0" relativeHeight="251649536" behindDoc="0" locked="0" layoutInCell="1" allowOverlap="1" wp14:anchorId="26C6DE7E" wp14:editId="36525BEB">
                <wp:simplePos x="0" y="0"/>
                <wp:positionH relativeFrom="column">
                  <wp:posOffset>4094480</wp:posOffset>
                </wp:positionH>
                <wp:positionV relativeFrom="paragraph">
                  <wp:posOffset>553720</wp:posOffset>
                </wp:positionV>
                <wp:extent cx="695325" cy="647700"/>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47700"/>
                        </a:xfrm>
                        <a:prstGeom prst="rect">
                          <a:avLst/>
                        </a:prstGeom>
                        <a:noFill/>
                        <a:ln w="9525">
                          <a:noFill/>
                          <a:miter lim="800000"/>
                          <a:headEnd/>
                          <a:tailEnd/>
                        </a:ln>
                      </wps:spPr>
                      <wps:txb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w:t>
                            </w:r>
                            <w:r>
                              <w:rPr>
                                <w:rFonts w:asciiTheme="majorHAnsi" w:hAnsiTheme="majorHAnsi"/>
                                <w:b/>
                                <w:i/>
                                <w:sz w:val="22"/>
                                <w:szCs w:val="22"/>
                              </w:rPr>
                              <w:t>3</w:t>
                            </w:r>
                            <w:r w:rsidRPr="00030FF8">
                              <w:rPr>
                                <w:rFonts w:asciiTheme="majorHAnsi" w:hAnsiTheme="majorHAnsi"/>
                                <w:b/>
                                <w:i/>
                                <w:sz w:val="22"/>
                                <w:szCs w:val="22"/>
                              </w:rPr>
                              <w:t>.</w:t>
                            </w:r>
                            <w:r>
                              <w:rPr>
                                <w:rFonts w:asciiTheme="majorHAnsi" w:hAnsiTheme="majorHAnsi"/>
                                <w:b/>
                                <w:i/>
                                <w:sz w:val="22"/>
                                <w:szCs w:val="22"/>
                              </w:rPr>
                              <w:t>6</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DE7E" id="_x0000_s1028" type="#_x0000_t202" style="position:absolute;left:0;text-align:left;margin-left:322.4pt;margin-top:43.6pt;width:54.75pt;height:5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" filled="f" stroked="f">
                <v:textbo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w:t>
                      </w:r>
                      <w:r>
                        <w:rPr>
                          <w:rFonts w:asciiTheme="majorHAnsi" w:hAnsiTheme="majorHAnsi"/>
                          <w:b/>
                          <w:i/>
                          <w:sz w:val="22"/>
                          <w:szCs w:val="22"/>
                        </w:rPr>
                        <w:t>3</w:t>
                      </w:r>
                      <w:r w:rsidRPr="00030FF8">
                        <w:rPr>
                          <w:rFonts w:asciiTheme="majorHAnsi" w:hAnsiTheme="majorHAnsi"/>
                          <w:b/>
                          <w:i/>
                          <w:sz w:val="22"/>
                          <w:szCs w:val="22"/>
                        </w:rPr>
                        <w:t>.</w:t>
                      </w:r>
                      <w:r>
                        <w:rPr>
                          <w:rFonts w:asciiTheme="majorHAnsi" w:hAnsiTheme="majorHAnsi"/>
                          <w:b/>
                          <w:i/>
                          <w:sz w:val="22"/>
                          <w:szCs w:val="22"/>
                        </w:rPr>
                        <w:t>6</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v:textbox>
              </v:shape>
            </w:pict>
          </mc:Fallback>
        </mc:AlternateContent>
      </w:r>
      <w:r w:rsidR="004774F1" w:rsidRPr="00B51CDD">
        <w:rPr>
          <w:noProof/>
          <w:lang w:eastAsia="en-AU"/>
        </w:rPr>
        <mc:AlternateContent>
          <mc:Choice Requires="wps">
            <w:drawing>
              <wp:anchor distT="0" distB="0" distL="114300" distR="114300" simplePos="0" relativeHeight="251648512" behindDoc="0" locked="0" layoutInCell="1" allowOverlap="1" wp14:anchorId="109D1F8A" wp14:editId="76CFAA73">
                <wp:simplePos x="0" y="0"/>
                <wp:positionH relativeFrom="column">
                  <wp:posOffset>1390015</wp:posOffset>
                </wp:positionH>
                <wp:positionV relativeFrom="paragraph">
                  <wp:posOffset>551815</wp:posOffset>
                </wp:positionV>
                <wp:extent cx="704850" cy="647700"/>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47700"/>
                        </a:xfrm>
                        <a:prstGeom prst="rect">
                          <a:avLst/>
                        </a:prstGeom>
                        <a:noFill/>
                        <a:ln w="9525">
                          <a:noFill/>
                          <a:miter lim="800000"/>
                          <a:headEnd/>
                          <a:tailEnd/>
                        </a:ln>
                      </wps:spPr>
                      <wps:txb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$27.6</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D1F8A" id="_x0000_s1029" type="#_x0000_t202" style="position:absolute;left:0;text-align:left;margin-left:109.45pt;margin-top:43.45pt;width:55.5pt;height:5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" filled="f" stroked="f">
                <v:textbo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$27.6</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v:textbox>
              </v:shape>
            </w:pict>
          </mc:Fallback>
        </mc:AlternateContent>
      </w:r>
      <w:r w:rsidR="003E2C2A">
        <w:rPr>
          <w:noProof/>
          <w:lang w:eastAsia="en-AU"/>
        </w:rPr>
        <w:drawing>
          <wp:inline distT="0" distB="0" distL="0" distR="0" wp14:anchorId="17CAFC42" wp14:editId="613C3AD4">
            <wp:extent cx="2689860" cy="15849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C0968">
        <w:rPr>
          <w:noProof/>
          <w:lang w:eastAsia="en-AU"/>
        </w:rPr>
        <w:drawing>
          <wp:inline distT="0" distB="0" distL="0" distR="0" wp14:anchorId="5EA9C276" wp14:editId="319614D7">
            <wp:extent cx="2674620" cy="1577340"/>
            <wp:effectExtent l="0" t="0" r="0" b="3810"/>
            <wp:docPr id="48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6C5B" w:rsidRPr="008249DC" w:rsidRDefault="00E66C5B" w:rsidP="004774F1">
      <w:pPr>
        <w:spacing w:after="0"/>
        <w:ind w:left="720" w:firstLine="720"/>
        <w:rPr>
          <w:rFonts w:ascii="Georgia" w:hAnsi="Georgia" w:cs="Arial"/>
          <w:b/>
          <w:color w:val="004855" w:themeColor="text1"/>
          <w:sz w:val="20"/>
          <w:szCs w:val="20"/>
          <w:lang w:val="en-US"/>
        </w:rPr>
      </w:pPr>
      <w:r>
        <w:rPr>
          <w:rFonts w:ascii="Georgia" w:hAnsi="Georgia" w:cs="Arial"/>
          <w:b/>
          <w:color w:val="004855" w:themeColor="text1"/>
          <w:sz w:val="20"/>
          <w:szCs w:val="20"/>
          <w:lang w:val="en-US"/>
        </w:rPr>
        <w:t xml:space="preserve">           </w:t>
      </w:r>
      <w:r w:rsidR="009C0968">
        <w:rPr>
          <w:rFonts w:ascii="Georgia" w:hAnsi="Georgia" w:cs="Arial"/>
          <w:b/>
          <w:color w:val="004855" w:themeColor="text1"/>
          <w:sz w:val="20"/>
          <w:szCs w:val="20"/>
          <w:lang w:val="en-US"/>
        </w:rPr>
        <w:t xml:space="preserve">     </w:t>
      </w:r>
      <w:r>
        <w:rPr>
          <w:rFonts w:ascii="Georgia" w:hAnsi="Georgia" w:cs="Arial"/>
          <w:b/>
          <w:color w:val="004855" w:themeColor="text1"/>
          <w:sz w:val="20"/>
          <w:szCs w:val="20"/>
          <w:lang w:val="en-US"/>
        </w:rPr>
        <w:t xml:space="preserve">For-Profit                                     </w:t>
      </w:r>
      <w:r w:rsidR="00DC0A8B">
        <w:rPr>
          <w:rFonts w:ascii="Georgia" w:hAnsi="Georgia" w:cs="Arial"/>
          <w:b/>
          <w:color w:val="004855" w:themeColor="text1"/>
          <w:sz w:val="20"/>
          <w:szCs w:val="20"/>
          <w:lang w:val="en-US"/>
        </w:rPr>
        <w:t xml:space="preserve">                       </w:t>
      </w:r>
      <w:r w:rsidR="009C0968">
        <w:rPr>
          <w:rFonts w:ascii="Georgia" w:hAnsi="Georgia" w:cs="Arial"/>
          <w:b/>
          <w:color w:val="004855" w:themeColor="text1"/>
          <w:sz w:val="20"/>
          <w:szCs w:val="20"/>
          <w:lang w:val="en-US"/>
        </w:rPr>
        <w:t>Not-For-Profit</w:t>
      </w:r>
    </w:p>
    <w:p w:rsidR="0017119E" w:rsidRDefault="009C0968">
      <w:pPr>
        <w:spacing w:after="0" w:line="240" w:lineRule="auto"/>
        <w:jc w:val="center"/>
      </w:pPr>
      <w:r w:rsidRPr="00B51CDD">
        <w:rPr>
          <w:noProof/>
          <w:lang w:eastAsia="en-AU"/>
        </w:rPr>
        <mc:AlternateContent>
          <mc:Choice Requires="wps">
            <w:drawing>
              <wp:anchor distT="0" distB="0" distL="114300" distR="114300" simplePos="0" relativeHeight="251650560" behindDoc="0" locked="0" layoutInCell="1" allowOverlap="1" wp14:anchorId="65AA4C20" wp14:editId="51376787">
                <wp:simplePos x="0" y="0"/>
                <wp:positionH relativeFrom="column">
                  <wp:posOffset>1388110</wp:posOffset>
                </wp:positionH>
                <wp:positionV relativeFrom="paragraph">
                  <wp:posOffset>631825</wp:posOffset>
                </wp:positionV>
                <wp:extent cx="704850" cy="64770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47700"/>
                        </a:xfrm>
                        <a:prstGeom prst="rect">
                          <a:avLst/>
                        </a:prstGeom>
                        <a:noFill/>
                        <a:ln w="9525">
                          <a:noFill/>
                          <a:miter lim="800000"/>
                          <a:headEnd/>
                          <a:tailEnd/>
                        </a:ln>
                      </wps:spPr>
                      <wps:txb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$1.</w:t>
                            </w:r>
                            <w:r>
                              <w:rPr>
                                <w:rFonts w:asciiTheme="majorHAnsi" w:hAnsiTheme="majorHAnsi"/>
                                <w:b/>
                                <w:i/>
                                <w:sz w:val="22"/>
                                <w:szCs w:val="22"/>
                              </w:rPr>
                              <w:t>5</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A4C20" id="_x0000_s1030" type="#_x0000_t202" style="position:absolute;left:0;text-align:left;margin-left:109.3pt;margin-top:49.75pt;width:55.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" filled="f" stroked="f">
                <v:textbo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$1.</w:t>
                      </w:r>
                      <w:r>
                        <w:rPr>
                          <w:rFonts w:asciiTheme="majorHAnsi" w:hAnsiTheme="majorHAnsi"/>
                          <w:b/>
                          <w:i/>
                          <w:sz w:val="22"/>
                          <w:szCs w:val="22"/>
                        </w:rPr>
                        <w:t>5</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v:textbox>
              </v:shape>
            </w:pict>
          </mc:Fallback>
        </mc:AlternateContent>
      </w:r>
      <w:r w:rsidRPr="00B51CDD">
        <w:rPr>
          <w:noProof/>
          <w:lang w:eastAsia="en-AU"/>
        </w:rPr>
        <mc:AlternateContent>
          <mc:Choice Requires="wps">
            <w:drawing>
              <wp:anchor distT="0" distB="0" distL="114300" distR="114300" simplePos="0" relativeHeight="251651584" behindDoc="0" locked="0" layoutInCell="1" allowOverlap="1" wp14:anchorId="558B8234" wp14:editId="640EEEC3">
                <wp:simplePos x="0" y="0"/>
                <wp:positionH relativeFrom="column">
                  <wp:posOffset>4178300</wp:posOffset>
                </wp:positionH>
                <wp:positionV relativeFrom="paragraph">
                  <wp:posOffset>626745</wp:posOffset>
                </wp:positionV>
                <wp:extent cx="809625" cy="647700"/>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47700"/>
                        </a:xfrm>
                        <a:prstGeom prst="rect">
                          <a:avLst/>
                        </a:prstGeom>
                        <a:noFill/>
                        <a:ln w="9525">
                          <a:noFill/>
                          <a:miter lim="800000"/>
                          <a:headEnd/>
                          <a:tailEnd/>
                        </a:ln>
                      </wps:spPr>
                      <wps:txb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w:t>
                            </w:r>
                            <w:r>
                              <w:rPr>
                                <w:rFonts w:asciiTheme="majorHAnsi" w:hAnsiTheme="majorHAnsi"/>
                                <w:b/>
                                <w:i/>
                                <w:sz w:val="22"/>
                                <w:szCs w:val="22"/>
                              </w:rPr>
                              <w:t>1</w:t>
                            </w:r>
                            <w:r w:rsidRPr="00030FF8">
                              <w:rPr>
                                <w:rFonts w:asciiTheme="majorHAnsi" w:hAnsiTheme="majorHAnsi"/>
                                <w:b/>
                                <w:i/>
                                <w:sz w:val="22"/>
                                <w:szCs w:val="22"/>
                              </w:rPr>
                              <w:t>.6</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B8234" id="_x0000_s1031" type="#_x0000_t202" style="position:absolute;left:0;text-align:left;margin-left:329pt;margin-top:49.35pt;width:63.75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" filled="f" stroked="f">
                <v:textbox>
                  <w:txbxContent>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w:t>
                      </w:r>
                      <w:r>
                        <w:rPr>
                          <w:rFonts w:asciiTheme="majorHAnsi" w:hAnsiTheme="majorHAnsi"/>
                          <w:b/>
                          <w:i/>
                          <w:sz w:val="22"/>
                          <w:szCs w:val="22"/>
                        </w:rPr>
                        <w:t>1</w:t>
                      </w:r>
                      <w:r w:rsidRPr="00030FF8">
                        <w:rPr>
                          <w:rFonts w:asciiTheme="majorHAnsi" w:hAnsiTheme="majorHAnsi"/>
                          <w:b/>
                          <w:i/>
                          <w:sz w:val="22"/>
                          <w:szCs w:val="22"/>
                        </w:rPr>
                        <w:t>.6</w:t>
                      </w:r>
                    </w:p>
                    <w:p w:rsidR="00BD3847" w:rsidRPr="00030FF8" w:rsidRDefault="00BD3847" w:rsidP="00810E6F">
                      <w:pPr>
                        <w:spacing w:after="0" w:line="240" w:lineRule="auto"/>
                        <w:jc w:val="center"/>
                        <w:rPr>
                          <w:rFonts w:asciiTheme="majorHAnsi" w:hAnsiTheme="majorHAnsi"/>
                          <w:b/>
                          <w:i/>
                          <w:sz w:val="22"/>
                          <w:szCs w:val="22"/>
                        </w:rPr>
                      </w:pPr>
                      <w:r w:rsidRPr="00030FF8">
                        <w:rPr>
                          <w:rFonts w:asciiTheme="majorHAnsi" w:hAnsiTheme="majorHAnsi"/>
                          <w:b/>
                          <w:i/>
                          <w:sz w:val="22"/>
                          <w:szCs w:val="22"/>
                        </w:rPr>
                        <w:t>billion</w:t>
                      </w:r>
                    </w:p>
                  </w:txbxContent>
                </v:textbox>
              </v:shape>
            </w:pict>
          </mc:Fallback>
        </mc:AlternateContent>
      </w:r>
      <w:r>
        <w:rPr>
          <w:noProof/>
          <w:lang w:eastAsia="en-AU"/>
        </w:rPr>
        <w:drawing>
          <wp:inline distT="0" distB="0" distL="0" distR="0" wp14:anchorId="2BEAA1EE" wp14:editId="6353014C">
            <wp:extent cx="3147060" cy="1607820"/>
            <wp:effectExtent l="0" t="0" r="0" b="0"/>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E6BDE">
        <w:rPr>
          <w:noProof/>
          <w:lang w:eastAsia="en-AU"/>
        </w:rPr>
        <w:drawing>
          <wp:inline distT="0" distB="0" distL="0" distR="0" wp14:anchorId="0265B8A6" wp14:editId="13696B55">
            <wp:extent cx="2750820" cy="17373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0968" w:rsidRDefault="009C0968" w:rsidP="004A548D">
      <w:pPr>
        <w:spacing w:after="0" w:line="240" w:lineRule="auto"/>
        <w:jc w:val="center"/>
      </w:pPr>
    </w:p>
    <w:p w:rsidR="000F1F1A" w:rsidRDefault="000F1F1A" w:rsidP="004A548D">
      <w:pPr>
        <w:spacing w:after="0" w:line="240" w:lineRule="auto"/>
        <w:jc w:val="center"/>
      </w:pPr>
    </w:p>
    <w:p w:rsidR="009C0968" w:rsidRDefault="0003234D" w:rsidP="004A548D">
      <w:pPr>
        <w:spacing w:after="0" w:line="240" w:lineRule="auto"/>
        <w:jc w:val="center"/>
      </w:pPr>
      <w:r>
        <w:rPr>
          <w:noProof/>
          <w:lang w:eastAsia="en-AU"/>
        </w:rPr>
        <w:drawing>
          <wp:inline distT="0" distB="0" distL="0" distR="0" wp14:anchorId="4E476A1B" wp14:editId="24BE7091">
            <wp:extent cx="5734050" cy="79820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71954"/>
                    <a:stretch/>
                  </pic:blipFill>
                  <pic:spPr bwMode="auto">
                    <a:xfrm>
                      <a:off x="0" y="0"/>
                      <a:ext cx="5736590" cy="798558"/>
                    </a:xfrm>
                    <a:prstGeom prst="rect">
                      <a:avLst/>
                    </a:prstGeom>
                    <a:noFill/>
                    <a:ln>
                      <a:noFill/>
                    </a:ln>
                    <a:extLst>
                      <a:ext uri="{53640926-AAD7-44D8-BBD7-CCE9431645EC}">
                        <a14:shadowObscured xmlns:a14="http://schemas.microsoft.com/office/drawing/2010/main"/>
                      </a:ext>
                    </a:extLst>
                  </pic:spPr>
                </pic:pic>
              </a:graphicData>
            </a:graphic>
          </wp:inline>
        </w:drawing>
      </w:r>
    </w:p>
    <w:p w:rsidR="0003234D" w:rsidRDefault="0003234D" w:rsidP="004A548D">
      <w:pPr>
        <w:spacing w:after="0" w:line="240" w:lineRule="auto"/>
        <w:jc w:val="center"/>
      </w:pPr>
    </w:p>
    <w:p w:rsidR="004774F1" w:rsidRPr="004774F1" w:rsidRDefault="004774F1" w:rsidP="004A548D">
      <w:pPr>
        <w:spacing w:after="0" w:line="240" w:lineRule="auto"/>
        <w:jc w:val="center"/>
        <w:rPr>
          <w:sz w:val="8"/>
          <w:szCs w:val="8"/>
        </w:rPr>
      </w:pPr>
    </w:p>
    <w:p w:rsidR="004774F1" w:rsidRPr="004774F1" w:rsidRDefault="004774F1" w:rsidP="009028AB">
      <w:pPr>
        <w:pStyle w:val="BulletsL1"/>
        <w:shd w:val="clear" w:color="auto" w:fill="E5ECED" w:themeFill="accent4" w:themeFillTint="66"/>
        <w:spacing w:before="0" w:after="0" w:line="240" w:lineRule="auto"/>
        <w:rPr>
          <w:sz w:val="16"/>
          <w:szCs w:val="16"/>
          <w:lang w:val="en-AU"/>
        </w:rPr>
      </w:pPr>
    </w:p>
    <w:p w:rsidR="00DC0A8B" w:rsidRDefault="00DC0A8B" w:rsidP="001419CC">
      <w:pPr>
        <w:pStyle w:val="BulletsL1"/>
        <w:numPr>
          <w:ilvl w:val="0"/>
          <w:numId w:val="7"/>
        </w:numPr>
        <w:shd w:val="clear" w:color="auto" w:fill="E5ECED" w:themeFill="accent4" w:themeFillTint="66"/>
        <w:spacing w:line="276" w:lineRule="auto"/>
        <w:rPr>
          <w:lang w:val="en-AU"/>
        </w:rPr>
      </w:pPr>
      <w:r>
        <w:rPr>
          <w:lang w:val="en-AU"/>
        </w:rPr>
        <w:t xml:space="preserve">Universities </w:t>
      </w:r>
      <w:r w:rsidR="009028AB">
        <w:rPr>
          <w:lang w:val="en-AU"/>
        </w:rPr>
        <w:t xml:space="preserve">account for the majority of students in the sector </w:t>
      </w:r>
      <w:r>
        <w:rPr>
          <w:lang w:val="en-AU"/>
        </w:rPr>
        <w:t>and are largely reliant on government grant</w:t>
      </w:r>
      <w:r w:rsidR="000B274C">
        <w:rPr>
          <w:lang w:val="en-AU"/>
        </w:rPr>
        <w:t>s</w:t>
      </w:r>
      <w:r>
        <w:rPr>
          <w:lang w:val="en-AU"/>
        </w:rPr>
        <w:t xml:space="preserve"> and program</w:t>
      </w:r>
      <w:r w:rsidR="000B274C">
        <w:rPr>
          <w:lang w:val="en-AU"/>
        </w:rPr>
        <w:t>s</w:t>
      </w:r>
      <w:r>
        <w:rPr>
          <w:lang w:val="en-AU"/>
        </w:rPr>
        <w:t xml:space="preserve"> revenue.</w:t>
      </w:r>
    </w:p>
    <w:p w:rsidR="0002421F" w:rsidRPr="004774F1" w:rsidRDefault="0002421F" w:rsidP="001419CC">
      <w:pPr>
        <w:pStyle w:val="BulletsL1"/>
        <w:numPr>
          <w:ilvl w:val="0"/>
          <w:numId w:val="7"/>
        </w:numPr>
        <w:shd w:val="clear" w:color="auto" w:fill="E5ECED" w:themeFill="accent4" w:themeFillTint="66"/>
        <w:spacing w:line="276" w:lineRule="auto"/>
        <w:ind w:left="357" w:hanging="357"/>
        <w:rPr>
          <w:lang w:val="en-AU"/>
        </w:rPr>
      </w:pPr>
      <w:r>
        <w:rPr>
          <w:lang w:val="en-AU"/>
        </w:rPr>
        <w:t xml:space="preserve">TAFE providers were the most reliant on </w:t>
      </w:r>
      <w:r w:rsidR="001419CC">
        <w:rPr>
          <w:lang w:val="en-AU"/>
        </w:rPr>
        <w:t xml:space="preserve">income from </w:t>
      </w:r>
      <w:r w:rsidR="002E0956">
        <w:rPr>
          <w:lang w:val="en-AU"/>
        </w:rPr>
        <w:t>government grants and programs which</w:t>
      </w:r>
      <w:r>
        <w:rPr>
          <w:lang w:val="en-AU"/>
        </w:rPr>
        <w:t xml:space="preserve"> </w:t>
      </w:r>
      <w:r w:rsidR="00DD2C23">
        <w:rPr>
          <w:lang w:val="en-AU"/>
        </w:rPr>
        <w:t>account</w:t>
      </w:r>
      <w:r w:rsidR="002E0956">
        <w:rPr>
          <w:lang w:val="en-AU"/>
        </w:rPr>
        <w:t>ed</w:t>
      </w:r>
      <w:r w:rsidR="00DD2C23">
        <w:rPr>
          <w:lang w:val="en-AU"/>
        </w:rPr>
        <w:t xml:space="preserve"> for 55% of revenue. </w:t>
      </w:r>
    </w:p>
    <w:p w:rsidR="00DC0A8B" w:rsidRDefault="00DC0A8B" w:rsidP="001419CC">
      <w:pPr>
        <w:pStyle w:val="BulletsL1"/>
        <w:numPr>
          <w:ilvl w:val="0"/>
          <w:numId w:val="7"/>
        </w:numPr>
        <w:shd w:val="clear" w:color="auto" w:fill="E5ECED" w:themeFill="accent4" w:themeFillTint="66"/>
        <w:spacing w:line="276" w:lineRule="auto"/>
        <w:rPr>
          <w:lang w:val="en-AU"/>
        </w:rPr>
      </w:pPr>
      <w:r>
        <w:rPr>
          <w:lang w:val="en-AU"/>
        </w:rPr>
        <w:t>Revenue generated by For-Profit providers is from a diverse range of sources</w:t>
      </w:r>
      <w:r w:rsidR="009D1096">
        <w:rPr>
          <w:lang w:val="en-AU"/>
        </w:rPr>
        <w:t>.</w:t>
      </w:r>
      <w:r w:rsidR="00CB4CB5">
        <w:rPr>
          <w:lang w:val="en-AU"/>
        </w:rPr>
        <w:t xml:space="preserve"> </w:t>
      </w:r>
      <w:r w:rsidR="009D1096">
        <w:rPr>
          <w:lang w:val="en-AU"/>
        </w:rPr>
        <w:t>I</w:t>
      </w:r>
      <w:r w:rsidR="00CB4CB5">
        <w:rPr>
          <w:lang w:val="en-AU"/>
        </w:rPr>
        <w:t>nternational</w:t>
      </w:r>
      <w:r w:rsidR="009D1096">
        <w:rPr>
          <w:lang w:val="en-AU"/>
        </w:rPr>
        <w:t xml:space="preserve"> students</w:t>
      </w:r>
      <w:r w:rsidR="00CB4CB5">
        <w:rPr>
          <w:lang w:val="en-AU"/>
        </w:rPr>
        <w:t>, domestic</w:t>
      </w:r>
      <w:r w:rsidR="009D1096">
        <w:rPr>
          <w:lang w:val="en-AU"/>
        </w:rPr>
        <w:t xml:space="preserve"> students and non-higher education delivery each accounted for approximately a third of revenue generated</w:t>
      </w:r>
      <w:r>
        <w:rPr>
          <w:lang w:val="en-AU"/>
        </w:rPr>
        <w:t>.</w:t>
      </w:r>
    </w:p>
    <w:p w:rsidR="004774F1" w:rsidRDefault="00DC0A8B" w:rsidP="001419CC">
      <w:pPr>
        <w:pStyle w:val="BulletsL1"/>
        <w:numPr>
          <w:ilvl w:val="0"/>
          <w:numId w:val="7"/>
        </w:numPr>
        <w:shd w:val="clear" w:color="auto" w:fill="E5ECED" w:themeFill="accent4" w:themeFillTint="66"/>
        <w:spacing w:line="276" w:lineRule="auto"/>
        <w:rPr>
          <w:lang w:val="en-AU"/>
        </w:rPr>
      </w:pPr>
      <w:r>
        <w:rPr>
          <w:lang w:val="en-AU"/>
        </w:rPr>
        <w:t xml:space="preserve">Not-For-Profit providers generated </w:t>
      </w:r>
      <w:r w:rsidRPr="00E64C76">
        <w:rPr>
          <w:lang w:val="en-AU"/>
        </w:rPr>
        <w:t>50%</w:t>
      </w:r>
      <w:r>
        <w:rPr>
          <w:lang w:val="en-AU"/>
        </w:rPr>
        <w:t xml:space="preserve"> of revenue from government </w:t>
      </w:r>
      <w:r w:rsidR="000B274C">
        <w:rPr>
          <w:lang w:val="en-AU"/>
        </w:rPr>
        <w:t>grants and programs</w:t>
      </w:r>
      <w:r w:rsidR="00D47B42">
        <w:rPr>
          <w:lang w:val="en-AU"/>
        </w:rPr>
        <w:t>. H</w:t>
      </w:r>
      <w:r w:rsidR="009D1096">
        <w:rPr>
          <w:lang w:val="en-AU"/>
        </w:rPr>
        <w:t>owever</w:t>
      </w:r>
      <w:r w:rsidR="00D47B42">
        <w:rPr>
          <w:lang w:val="en-AU"/>
        </w:rPr>
        <w:t>,</w:t>
      </w:r>
      <w:r w:rsidR="009D1096">
        <w:rPr>
          <w:lang w:val="en-AU"/>
        </w:rPr>
        <w:t xml:space="preserve"> this is influenced by a </w:t>
      </w:r>
      <w:r w:rsidR="00D47B42">
        <w:rPr>
          <w:lang w:val="en-AU"/>
        </w:rPr>
        <w:t xml:space="preserve">handful of </w:t>
      </w:r>
      <w:r w:rsidR="009D1096">
        <w:rPr>
          <w:lang w:val="en-AU"/>
        </w:rPr>
        <w:t>provider</w:t>
      </w:r>
      <w:r w:rsidR="00D47B42">
        <w:rPr>
          <w:lang w:val="en-AU"/>
        </w:rPr>
        <w:t>s</w:t>
      </w:r>
      <w:r w:rsidR="009D1096">
        <w:rPr>
          <w:lang w:val="en-AU"/>
        </w:rPr>
        <w:t xml:space="preserve"> which ha</w:t>
      </w:r>
      <w:r w:rsidR="0089015D">
        <w:rPr>
          <w:lang w:val="en-AU"/>
        </w:rPr>
        <w:t>ve</w:t>
      </w:r>
      <w:r w:rsidR="009D1096">
        <w:rPr>
          <w:lang w:val="en-AU"/>
        </w:rPr>
        <w:t xml:space="preserve"> a heavy reliance on government grant</w:t>
      </w:r>
      <w:r w:rsidR="003646EF">
        <w:rPr>
          <w:lang w:val="en-AU"/>
        </w:rPr>
        <w:t>s</w:t>
      </w:r>
      <w:r>
        <w:rPr>
          <w:lang w:val="en-AU"/>
        </w:rPr>
        <w:t>.</w:t>
      </w:r>
    </w:p>
    <w:p w:rsidR="008B72ED" w:rsidRPr="00130AB7" w:rsidRDefault="008B72ED" w:rsidP="009028AB">
      <w:pPr>
        <w:pStyle w:val="BulletsL1"/>
        <w:shd w:val="clear" w:color="auto" w:fill="E5ECED" w:themeFill="accent4" w:themeFillTint="66"/>
        <w:spacing w:before="0" w:after="0" w:line="240" w:lineRule="auto"/>
        <w:ind w:left="0" w:firstLine="0"/>
        <w:rPr>
          <w:sz w:val="16"/>
          <w:szCs w:val="16"/>
          <w:lang w:val="en-AU"/>
        </w:rPr>
      </w:pPr>
    </w:p>
    <w:p w:rsidR="00D3695F" w:rsidRDefault="00D3695F">
      <w:pPr>
        <w:spacing w:after="0" w:line="240" w:lineRule="auto"/>
        <w:rPr>
          <w:sz w:val="40"/>
          <w:szCs w:val="40"/>
        </w:rPr>
      </w:pPr>
      <w:r>
        <w:rPr>
          <w:sz w:val="40"/>
          <w:szCs w:val="40"/>
        </w:rPr>
        <w:br w:type="page"/>
      </w:r>
    </w:p>
    <w:p w:rsidR="005A220D" w:rsidRPr="00196E8A" w:rsidRDefault="005A220D" w:rsidP="00D554EE">
      <w:pPr>
        <w:pStyle w:val="H3"/>
      </w:pPr>
      <w:r>
        <w:lastRenderedPageBreak/>
        <w:t xml:space="preserve">Expenses by provider type  </w:t>
      </w:r>
    </w:p>
    <w:p w:rsidR="00952D7C" w:rsidRDefault="00952D7C" w:rsidP="00952D7C">
      <w:pPr>
        <w:pStyle w:val="H2"/>
        <w:spacing w:after="120"/>
        <w:rPr>
          <w:rFonts w:ascii="Arial" w:hAnsi="Arial" w:cstheme="minorBidi"/>
          <w:b w:val="0"/>
          <w:bCs w:val="0"/>
          <w:color w:val="auto"/>
          <w:sz w:val="22"/>
          <w:szCs w:val="22"/>
          <w:lang w:val="en-AU"/>
        </w:rPr>
      </w:pPr>
      <w:r>
        <w:rPr>
          <w:rFonts w:ascii="Arial" w:hAnsi="Arial" w:cstheme="minorBidi"/>
          <w:b w:val="0"/>
          <w:bCs w:val="0"/>
          <w:color w:val="auto"/>
          <w:sz w:val="22"/>
          <w:szCs w:val="22"/>
          <w:lang w:val="en-AU"/>
        </w:rPr>
        <w:t xml:space="preserve">Figure </w:t>
      </w:r>
      <w:r w:rsidR="001419CC">
        <w:rPr>
          <w:rFonts w:ascii="Arial" w:hAnsi="Arial" w:cstheme="minorBidi"/>
          <w:b w:val="0"/>
          <w:bCs w:val="0"/>
          <w:color w:val="auto"/>
          <w:sz w:val="22"/>
          <w:szCs w:val="22"/>
          <w:lang w:val="en-AU"/>
        </w:rPr>
        <w:t>3</w:t>
      </w:r>
      <w:r w:rsidR="0002421F">
        <w:rPr>
          <w:rFonts w:ascii="Arial" w:hAnsi="Arial" w:cstheme="minorBidi"/>
          <w:b w:val="0"/>
          <w:bCs w:val="0"/>
          <w:color w:val="auto"/>
          <w:sz w:val="22"/>
          <w:szCs w:val="22"/>
          <w:lang w:val="en-AU"/>
        </w:rPr>
        <w:t xml:space="preserve"> below</w:t>
      </w:r>
      <w:r>
        <w:rPr>
          <w:rFonts w:ascii="Arial" w:hAnsi="Arial" w:cstheme="minorBidi"/>
          <w:b w:val="0"/>
          <w:bCs w:val="0"/>
          <w:color w:val="auto"/>
          <w:sz w:val="22"/>
          <w:szCs w:val="22"/>
          <w:lang w:val="en-AU"/>
        </w:rPr>
        <w:t xml:space="preserve"> </w:t>
      </w:r>
      <w:r w:rsidR="0002421F">
        <w:rPr>
          <w:rFonts w:ascii="Arial" w:hAnsi="Arial" w:cstheme="minorBidi"/>
          <w:b w:val="0"/>
          <w:bCs w:val="0"/>
          <w:color w:val="auto"/>
          <w:sz w:val="22"/>
          <w:szCs w:val="22"/>
          <w:lang w:val="en-AU"/>
        </w:rPr>
        <w:t>shows</w:t>
      </w:r>
      <w:r>
        <w:rPr>
          <w:rFonts w:ascii="Arial" w:hAnsi="Arial" w:cstheme="minorBidi"/>
          <w:b w:val="0"/>
          <w:bCs w:val="0"/>
          <w:color w:val="auto"/>
          <w:sz w:val="22"/>
          <w:szCs w:val="22"/>
          <w:lang w:val="en-AU"/>
        </w:rPr>
        <w:t xml:space="preserve"> the breakdown of</w:t>
      </w:r>
      <w:r w:rsidR="009D1096">
        <w:rPr>
          <w:rFonts w:ascii="Arial" w:hAnsi="Arial" w:cstheme="minorBidi"/>
          <w:b w:val="0"/>
          <w:bCs w:val="0"/>
          <w:color w:val="auto"/>
          <w:sz w:val="22"/>
          <w:szCs w:val="22"/>
          <w:lang w:val="en-AU"/>
        </w:rPr>
        <w:t xml:space="preserve"> key</w:t>
      </w:r>
      <w:r>
        <w:rPr>
          <w:rFonts w:ascii="Arial" w:hAnsi="Arial" w:cstheme="minorBidi"/>
          <w:b w:val="0"/>
          <w:bCs w:val="0"/>
          <w:color w:val="auto"/>
          <w:sz w:val="22"/>
          <w:szCs w:val="22"/>
          <w:lang w:val="en-AU"/>
        </w:rPr>
        <w:t xml:space="preserve"> expenses</w:t>
      </w:r>
      <w:r w:rsidR="009D1096">
        <w:rPr>
          <w:rFonts w:ascii="Arial" w:hAnsi="Arial" w:cstheme="minorBidi"/>
          <w:b w:val="0"/>
          <w:bCs w:val="0"/>
          <w:color w:val="auto"/>
          <w:sz w:val="22"/>
          <w:szCs w:val="22"/>
          <w:lang w:val="en-AU"/>
        </w:rPr>
        <w:t xml:space="preserve"> as a proportion of total expenditure </w:t>
      </w:r>
      <w:r>
        <w:rPr>
          <w:rFonts w:ascii="Arial" w:hAnsi="Arial" w:cstheme="minorBidi"/>
          <w:b w:val="0"/>
          <w:bCs w:val="0"/>
          <w:color w:val="auto"/>
          <w:sz w:val="22"/>
          <w:szCs w:val="22"/>
          <w:lang w:val="en-AU"/>
        </w:rPr>
        <w:t>by</w:t>
      </w:r>
      <w:r w:rsidR="009D1096">
        <w:rPr>
          <w:rFonts w:ascii="Arial" w:hAnsi="Arial" w:cstheme="minorBidi"/>
          <w:b w:val="0"/>
          <w:bCs w:val="0"/>
          <w:color w:val="auto"/>
          <w:sz w:val="22"/>
          <w:szCs w:val="22"/>
          <w:lang w:val="en-AU"/>
        </w:rPr>
        <w:t xml:space="preserve"> each</w:t>
      </w:r>
      <w:r>
        <w:rPr>
          <w:rFonts w:ascii="Arial" w:hAnsi="Arial" w:cstheme="minorBidi"/>
          <w:b w:val="0"/>
          <w:bCs w:val="0"/>
          <w:color w:val="auto"/>
          <w:sz w:val="22"/>
          <w:szCs w:val="22"/>
          <w:lang w:val="en-AU"/>
        </w:rPr>
        <w:t xml:space="preserve"> provider type. </w:t>
      </w:r>
    </w:p>
    <w:p w:rsidR="00BD5C55" w:rsidRDefault="00BD5C55" w:rsidP="00BD5C55">
      <w:pPr>
        <w:rPr>
          <w:rFonts w:ascii="Georgia" w:hAnsi="Georgia" w:cs="Arial"/>
          <w:b/>
          <w:color w:val="004855" w:themeColor="text1"/>
          <w:sz w:val="20"/>
          <w:szCs w:val="20"/>
          <w:lang w:val="en-US"/>
        </w:rPr>
      </w:pPr>
      <w:r w:rsidRPr="00952D7C">
        <w:rPr>
          <w:rFonts w:ascii="Georgia" w:hAnsi="Georgia" w:cs="Arial"/>
          <w:b/>
          <w:color w:val="004855" w:themeColor="text1"/>
          <w:sz w:val="20"/>
          <w:szCs w:val="20"/>
          <w:lang w:val="en-US"/>
        </w:rPr>
        <w:t xml:space="preserve">Figure </w:t>
      </w:r>
      <w:r w:rsidR="0002421F">
        <w:rPr>
          <w:rFonts w:ascii="Georgia" w:hAnsi="Georgia" w:cs="Arial"/>
          <w:b/>
          <w:color w:val="004855" w:themeColor="text1"/>
          <w:sz w:val="20"/>
          <w:szCs w:val="20"/>
          <w:lang w:val="en-US"/>
        </w:rPr>
        <w:t>3</w:t>
      </w:r>
      <w:r w:rsidRPr="00952D7C">
        <w:rPr>
          <w:rFonts w:ascii="Georgia" w:hAnsi="Georgia" w:cs="Arial"/>
          <w:b/>
          <w:color w:val="004855" w:themeColor="text1"/>
          <w:sz w:val="20"/>
          <w:szCs w:val="20"/>
          <w:lang w:val="en-US"/>
        </w:rPr>
        <w:t xml:space="preserve">: </w:t>
      </w:r>
      <w:r w:rsidR="00952D7C" w:rsidRPr="00952D7C">
        <w:rPr>
          <w:rFonts w:ascii="Georgia" w:hAnsi="Georgia" w:cs="Arial"/>
          <w:b/>
          <w:color w:val="004855" w:themeColor="text1"/>
          <w:sz w:val="20"/>
          <w:szCs w:val="20"/>
          <w:lang w:val="en-US"/>
        </w:rPr>
        <w:t>Expenses</w:t>
      </w:r>
      <w:r w:rsidRPr="00952D7C">
        <w:rPr>
          <w:rFonts w:ascii="Georgia" w:hAnsi="Georgia" w:cs="Arial"/>
          <w:b/>
          <w:color w:val="004855" w:themeColor="text1"/>
          <w:sz w:val="20"/>
          <w:szCs w:val="20"/>
          <w:lang w:val="en-US"/>
        </w:rPr>
        <w:t>, by provider type</w:t>
      </w:r>
    </w:p>
    <w:p w:rsidR="00952D7C" w:rsidRPr="008249DC" w:rsidRDefault="00952D7C" w:rsidP="00952D7C">
      <w:pPr>
        <w:spacing w:after="0"/>
        <w:ind w:left="1440" w:firstLine="720"/>
        <w:rPr>
          <w:rFonts w:ascii="Georgia" w:hAnsi="Georgia" w:cs="Arial"/>
          <w:b/>
          <w:color w:val="004855" w:themeColor="text1"/>
          <w:sz w:val="20"/>
          <w:szCs w:val="20"/>
          <w:lang w:val="en-US"/>
        </w:rPr>
      </w:pPr>
      <w:r>
        <w:rPr>
          <w:rFonts w:ascii="Georgia" w:hAnsi="Georgia" w:cs="Arial"/>
          <w:b/>
          <w:color w:val="004855" w:themeColor="text1"/>
          <w:sz w:val="20"/>
          <w:szCs w:val="20"/>
          <w:lang w:val="en-US"/>
        </w:rPr>
        <w:t xml:space="preserve">Universities                                                         </w:t>
      </w:r>
      <w:r w:rsidR="005C15FE">
        <w:rPr>
          <w:rFonts w:ascii="Georgia" w:hAnsi="Georgia" w:cs="Arial"/>
          <w:b/>
          <w:color w:val="004855" w:themeColor="text1"/>
          <w:sz w:val="20"/>
          <w:szCs w:val="20"/>
          <w:lang w:val="en-US"/>
        </w:rPr>
        <w:t xml:space="preserve">      </w:t>
      </w:r>
      <w:r>
        <w:rPr>
          <w:rFonts w:ascii="Georgia" w:hAnsi="Georgia" w:cs="Arial"/>
          <w:b/>
          <w:color w:val="004855" w:themeColor="text1"/>
          <w:sz w:val="20"/>
          <w:szCs w:val="20"/>
          <w:lang w:val="en-US"/>
        </w:rPr>
        <w:t xml:space="preserve"> TAFE</w:t>
      </w:r>
    </w:p>
    <w:p w:rsidR="00952D7C" w:rsidRDefault="005C15FE">
      <w:pPr>
        <w:spacing w:after="0" w:line="240" w:lineRule="auto"/>
        <w:rPr>
          <w:sz w:val="40"/>
          <w:szCs w:val="40"/>
        </w:rPr>
      </w:pPr>
      <w:r w:rsidRPr="00952D7C">
        <w:rPr>
          <w:noProof/>
          <w:lang w:eastAsia="en-AU"/>
        </w:rPr>
        <mc:AlternateContent>
          <mc:Choice Requires="wps">
            <w:drawing>
              <wp:anchor distT="0" distB="0" distL="114300" distR="114300" simplePos="0" relativeHeight="251666944" behindDoc="0" locked="0" layoutInCell="1" allowOverlap="1" wp14:anchorId="497C76A6" wp14:editId="46E0AA5A">
                <wp:simplePos x="0" y="0"/>
                <wp:positionH relativeFrom="column">
                  <wp:posOffset>1199515</wp:posOffset>
                </wp:positionH>
                <wp:positionV relativeFrom="paragraph">
                  <wp:posOffset>766445</wp:posOffset>
                </wp:positionV>
                <wp:extent cx="783590" cy="1403985"/>
                <wp:effectExtent l="0" t="0" r="0" b="127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03985"/>
                        </a:xfrm>
                        <a:prstGeom prst="rect">
                          <a:avLst/>
                        </a:prstGeom>
                        <a:noFill/>
                        <a:ln w="9525">
                          <a:noFill/>
                          <a:miter lim="800000"/>
                          <a:headEnd/>
                          <a:tailEnd/>
                        </a:ln>
                      </wps:spPr>
                      <wps:txbx>
                        <w:txbxContent>
                          <w:p w:rsidR="00BD3847" w:rsidRPr="00952D7C" w:rsidRDefault="00BD3847" w:rsidP="00952D7C">
                            <w:pPr>
                              <w:spacing w:after="0" w:line="240" w:lineRule="auto"/>
                              <w:jc w:val="center"/>
                              <w:rPr>
                                <w:rFonts w:asciiTheme="majorHAnsi" w:hAnsiTheme="majorHAnsi"/>
                                <w:b/>
                                <w:i/>
                                <w:sz w:val="22"/>
                                <w:szCs w:val="22"/>
                              </w:rPr>
                            </w:pPr>
                            <w:r w:rsidRPr="00952D7C">
                              <w:rPr>
                                <w:rFonts w:asciiTheme="majorHAnsi" w:hAnsiTheme="majorHAnsi"/>
                                <w:b/>
                                <w:i/>
                                <w:sz w:val="22"/>
                                <w:szCs w:val="22"/>
                              </w:rPr>
                              <w:t>$26.0 billion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C76A6" id="_x0000_s1032" type="#_x0000_t202" style="position:absolute;margin-left:94.45pt;margin-top:60.35pt;width:61.7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" filled="f" stroked="f">
                <v:textbox style="mso-fit-shape-to-text:t">
                  <w:txbxContent>
                    <w:p w:rsidR="00BD3847" w:rsidRPr="00952D7C" w:rsidRDefault="00BD3847" w:rsidP="00952D7C">
                      <w:pPr>
                        <w:spacing w:after="0" w:line="240" w:lineRule="auto"/>
                        <w:jc w:val="center"/>
                        <w:rPr>
                          <w:rFonts w:asciiTheme="majorHAnsi" w:hAnsiTheme="majorHAnsi"/>
                          <w:b/>
                          <w:i/>
                          <w:sz w:val="22"/>
                          <w:szCs w:val="22"/>
                        </w:rPr>
                      </w:pPr>
                      <w:r w:rsidRPr="00952D7C">
                        <w:rPr>
                          <w:rFonts w:asciiTheme="majorHAnsi" w:hAnsiTheme="majorHAnsi"/>
                          <w:b/>
                          <w:i/>
                          <w:sz w:val="22"/>
                          <w:szCs w:val="22"/>
                        </w:rPr>
                        <w:t>$26.0 billion</w:t>
                      </w:r>
                    </w:p>
                  </w:txbxContent>
                </v:textbox>
              </v:shape>
            </w:pict>
          </mc:Fallback>
        </mc:AlternateContent>
      </w:r>
      <w:r w:rsidR="009001EB" w:rsidRPr="00952D7C">
        <w:rPr>
          <w:noProof/>
          <w:lang w:eastAsia="en-AU"/>
        </w:rPr>
        <mc:AlternateContent>
          <mc:Choice Requires="wps">
            <w:drawing>
              <wp:anchor distT="0" distB="0" distL="114300" distR="114300" simplePos="0" relativeHeight="251667968" behindDoc="0" locked="0" layoutInCell="1" allowOverlap="1" wp14:anchorId="025D07AA" wp14:editId="45FBC6C5">
                <wp:simplePos x="0" y="0"/>
                <wp:positionH relativeFrom="column">
                  <wp:posOffset>3996055</wp:posOffset>
                </wp:positionH>
                <wp:positionV relativeFrom="paragraph">
                  <wp:posOffset>764540</wp:posOffset>
                </wp:positionV>
                <wp:extent cx="783590" cy="1403985"/>
                <wp:effectExtent l="0" t="0" r="0" b="127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03985"/>
                        </a:xfrm>
                        <a:prstGeom prst="rect">
                          <a:avLst/>
                        </a:prstGeom>
                        <a:noFill/>
                        <a:ln w="9525">
                          <a:noFill/>
                          <a:miter lim="800000"/>
                          <a:headEnd/>
                          <a:tailEnd/>
                        </a:ln>
                      </wps:spPr>
                      <wps:txbx>
                        <w:txbxContent>
                          <w:p w:rsidR="00BD3847" w:rsidRPr="00952D7C" w:rsidRDefault="00BD3847" w:rsidP="008924AE">
                            <w:pPr>
                              <w:spacing w:after="0" w:line="240" w:lineRule="auto"/>
                              <w:jc w:val="center"/>
                              <w:rPr>
                                <w:rFonts w:asciiTheme="majorHAnsi" w:hAnsiTheme="majorHAnsi"/>
                                <w:b/>
                                <w:i/>
                                <w:sz w:val="22"/>
                                <w:szCs w:val="22"/>
                              </w:rPr>
                            </w:pPr>
                            <w:r w:rsidRPr="00952D7C">
                              <w:rPr>
                                <w:rFonts w:asciiTheme="majorHAnsi" w:hAnsiTheme="majorHAnsi"/>
                                <w:b/>
                                <w:i/>
                                <w:sz w:val="22"/>
                                <w:szCs w:val="22"/>
                              </w:rPr>
                              <w:t>$</w:t>
                            </w:r>
                            <w:r>
                              <w:rPr>
                                <w:rFonts w:asciiTheme="majorHAnsi" w:hAnsiTheme="majorHAnsi"/>
                                <w:b/>
                                <w:i/>
                                <w:sz w:val="22"/>
                                <w:szCs w:val="22"/>
                              </w:rPr>
                              <w:t>3.7</w:t>
                            </w:r>
                            <w:r w:rsidRPr="00952D7C">
                              <w:rPr>
                                <w:rFonts w:asciiTheme="majorHAnsi" w:hAnsiTheme="majorHAnsi"/>
                                <w:b/>
                                <w:i/>
                                <w:sz w:val="22"/>
                                <w:szCs w:val="22"/>
                              </w:rPr>
                              <w:t xml:space="preserve"> billion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D07AA" id="_x0000_s1033" type="#_x0000_t202" style="position:absolute;margin-left:314.65pt;margin-top:60.2pt;width:61.7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" filled="f" stroked="f">
                <v:textbox style="mso-fit-shape-to-text:t">
                  <w:txbxContent>
                    <w:p w:rsidR="00BD3847" w:rsidRPr="00952D7C" w:rsidRDefault="00BD3847" w:rsidP="008924AE">
                      <w:pPr>
                        <w:spacing w:after="0" w:line="240" w:lineRule="auto"/>
                        <w:jc w:val="center"/>
                        <w:rPr>
                          <w:rFonts w:asciiTheme="majorHAnsi" w:hAnsiTheme="majorHAnsi"/>
                          <w:b/>
                          <w:i/>
                          <w:sz w:val="22"/>
                          <w:szCs w:val="22"/>
                        </w:rPr>
                      </w:pPr>
                      <w:r w:rsidRPr="00952D7C">
                        <w:rPr>
                          <w:rFonts w:asciiTheme="majorHAnsi" w:hAnsiTheme="majorHAnsi"/>
                          <w:b/>
                          <w:i/>
                          <w:sz w:val="22"/>
                          <w:szCs w:val="22"/>
                        </w:rPr>
                        <w:t>$</w:t>
                      </w:r>
                      <w:r>
                        <w:rPr>
                          <w:rFonts w:asciiTheme="majorHAnsi" w:hAnsiTheme="majorHAnsi"/>
                          <w:b/>
                          <w:i/>
                          <w:sz w:val="22"/>
                          <w:szCs w:val="22"/>
                        </w:rPr>
                        <w:t>3.7</w:t>
                      </w:r>
                      <w:r w:rsidRPr="00952D7C">
                        <w:rPr>
                          <w:rFonts w:asciiTheme="majorHAnsi" w:hAnsiTheme="majorHAnsi"/>
                          <w:b/>
                          <w:i/>
                          <w:sz w:val="22"/>
                          <w:szCs w:val="22"/>
                        </w:rPr>
                        <w:t xml:space="preserve"> billion</w:t>
                      </w:r>
                    </w:p>
                  </w:txbxContent>
                </v:textbox>
              </v:shape>
            </w:pict>
          </mc:Fallback>
        </mc:AlternateContent>
      </w:r>
      <w:r w:rsidR="009001EB">
        <w:rPr>
          <w:noProof/>
          <w:lang w:eastAsia="en-AU"/>
        </w:rPr>
        <w:drawing>
          <wp:inline distT="0" distB="0" distL="0" distR="0" wp14:anchorId="67054E61" wp14:editId="519CD5C6">
            <wp:extent cx="2545080" cy="193548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03B35" w:rsidRPr="0002421F">
        <w:rPr>
          <w:rFonts w:ascii="Georgia" w:hAnsi="Georgia" w:cs="Arial"/>
          <w:b/>
          <w:noProof/>
          <w:color w:val="004855" w:themeColor="text1"/>
          <w:sz w:val="20"/>
          <w:szCs w:val="20"/>
          <w:lang w:eastAsia="en-AU"/>
        </w:rPr>
        <mc:AlternateContent>
          <mc:Choice Requires="wps">
            <w:drawing>
              <wp:anchor distT="0" distB="0" distL="114300" distR="114300" simplePos="0" relativeHeight="251665920" behindDoc="0" locked="0" layoutInCell="1" allowOverlap="1" wp14:anchorId="08C1F469" wp14:editId="13CA0DB4">
                <wp:simplePos x="0" y="0"/>
                <wp:positionH relativeFrom="column">
                  <wp:posOffset>2334260</wp:posOffset>
                </wp:positionH>
                <wp:positionV relativeFrom="paragraph">
                  <wp:posOffset>1659255</wp:posOffset>
                </wp:positionV>
                <wp:extent cx="1362710" cy="899160"/>
                <wp:effectExtent l="76200" t="76200" r="104140" b="9144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899160"/>
                        </a:xfrm>
                        <a:prstGeom prst="rect">
                          <a:avLst/>
                        </a:prstGeom>
                        <a:noFill/>
                        <a:ln w="9525">
                          <a:solidFill>
                            <a:srgbClr val="000000"/>
                          </a:solidFill>
                          <a:miter lim="800000"/>
                          <a:headEnd/>
                          <a:tailEnd/>
                        </a:ln>
                        <a:effectLst>
                          <a:glow rad="63500">
                            <a:schemeClr val="accent1">
                              <a:satMod val="175000"/>
                              <a:alpha val="40000"/>
                            </a:schemeClr>
                          </a:glow>
                        </a:effectLst>
                      </wps:spPr>
                      <wps:txbx>
                        <w:txbxContent>
                          <w:p w:rsidR="00BD3847" w:rsidRPr="00473E4B" w:rsidRDefault="00BD3847" w:rsidP="00952D7C">
                            <w:pPr>
                              <w:jc w:val="center"/>
                              <w:rPr>
                                <w:rFonts w:asciiTheme="majorHAnsi" w:hAnsiTheme="majorHAnsi"/>
                                <w:b/>
                                <w:color w:val="004855" w:themeColor="text1"/>
                                <w:szCs w:val="36"/>
                              </w:rPr>
                            </w:pPr>
                            <w:r w:rsidRPr="00473E4B">
                              <w:rPr>
                                <w:rFonts w:asciiTheme="majorHAnsi" w:hAnsiTheme="majorHAnsi"/>
                                <w:b/>
                                <w:color w:val="004855" w:themeColor="text1"/>
                                <w:szCs w:val="36"/>
                              </w:rPr>
                              <w:t xml:space="preserve">Total sector </w:t>
                            </w:r>
                            <w:r>
                              <w:rPr>
                                <w:rFonts w:asciiTheme="majorHAnsi" w:hAnsiTheme="majorHAnsi"/>
                                <w:b/>
                                <w:color w:val="004855" w:themeColor="text1"/>
                                <w:szCs w:val="36"/>
                              </w:rPr>
                              <w:t>expense:</w:t>
                            </w:r>
                          </w:p>
                          <w:p w:rsidR="00BD3847" w:rsidRPr="00473E4B" w:rsidRDefault="00BD3847" w:rsidP="00952D7C">
                            <w:pPr>
                              <w:jc w:val="center"/>
                              <w:rPr>
                                <w:rFonts w:asciiTheme="majorHAnsi" w:hAnsiTheme="majorHAnsi"/>
                                <w:b/>
                                <w:color w:val="004855" w:themeColor="text1"/>
                                <w:szCs w:val="36"/>
                              </w:rPr>
                            </w:pPr>
                            <w:r w:rsidRPr="00473E4B">
                              <w:rPr>
                                <w:rFonts w:asciiTheme="majorHAnsi" w:hAnsiTheme="majorHAnsi"/>
                                <w:b/>
                                <w:color w:val="004855" w:themeColor="text1"/>
                                <w:szCs w:val="36"/>
                              </w:rPr>
                              <w:t>$3</w:t>
                            </w:r>
                            <w:r>
                              <w:rPr>
                                <w:rFonts w:asciiTheme="majorHAnsi" w:hAnsiTheme="majorHAnsi"/>
                                <w:b/>
                                <w:color w:val="004855" w:themeColor="text1"/>
                                <w:szCs w:val="36"/>
                              </w:rPr>
                              <w:t>2</w:t>
                            </w:r>
                            <w:r w:rsidRPr="00473E4B">
                              <w:rPr>
                                <w:rFonts w:asciiTheme="majorHAnsi" w:hAnsiTheme="majorHAnsi"/>
                                <w:b/>
                                <w:color w:val="004855" w:themeColor="text1"/>
                                <w:szCs w:val="36"/>
                              </w:rPr>
                              <w:t>.</w:t>
                            </w:r>
                            <w:r>
                              <w:rPr>
                                <w:rFonts w:asciiTheme="majorHAnsi" w:hAnsiTheme="majorHAnsi"/>
                                <w:b/>
                                <w:color w:val="004855" w:themeColor="text1"/>
                                <w:szCs w:val="36"/>
                              </w:rPr>
                              <w:t xml:space="preserve">5 </w:t>
                            </w:r>
                            <w:r w:rsidRPr="00473E4B">
                              <w:rPr>
                                <w:rFonts w:asciiTheme="majorHAnsi" w:hAnsiTheme="majorHAnsi"/>
                                <w:b/>
                                <w:color w:val="004855" w:themeColor="text1"/>
                                <w:szCs w:val="36"/>
                              </w:rPr>
                              <w:t>billion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C1F469" id="_x0000_s1034" type="#_x0000_t202" style="position:absolute;margin-left:183.8pt;margin-top:130.65pt;width:107.3pt;height:7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" filled="f">
                <v:textbox>
                  <w:txbxContent>
                    <w:p w:rsidR="00BD3847" w:rsidRPr="00473E4B" w:rsidRDefault="00BD3847" w:rsidP="00952D7C">
                      <w:pPr>
                        <w:jc w:val="center"/>
                        <w:rPr>
                          <w:rFonts w:asciiTheme="majorHAnsi" w:hAnsiTheme="majorHAnsi"/>
                          <w:b/>
                          <w:color w:val="004855" w:themeColor="text1"/>
                          <w:szCs w:val="36"/>
                        </w:rPr>
                      </w:pPr>
                      <w:r w:rsidRPr="00473E4B">
                        <w:rPr>
                          <w:rFonts w:asciiTheme="majorHAnsi" w:hAnsiTheme="majorHAnsi"/>
                          <w:b/>
                          <w:color w:val="004855" w:themeColor="text1"/>
                          <w:szCs w:val="36"/>
                        </w:rPr>
                        <w:t xml:space="preserve">Total sector </w:t>
                      </w:r>
                      <w:r>
                        <w:rPr>
                          <w:rFonts w:asciiTheme="majorHAnsi" w:hAnsiTheme="majorHAnsi"/>
                          <w:b/>
                          <w:color w:val="004855" w:themeColor="text1"/>
                          <w:szCs w:val="36"/>
                        </w:rPr>
                        <w:t>expense:</w:t>
                      </w:r>
                    </w:p>
                    <w:p w:rsidR="00BD3847" w:rsidRPr="00473E4B" w:rsidRDefault="00BD3847" w:rsidP="00952D7C">
                      <w:pPr>
                        <w:jc w:val="center"/>
                        <w:rPr>
                          <w:rFonts w:asciiTheme="majorHAnsi" w:hAnsiTheme="majorHAnsi"/>
                          <w:b/>
                          <w:color w:val="004855" w:themeColor="text1"/>
                          <w:szCs w:val="36"/>
                        </w:rPr>
                      </w:pPr>
                      <w:r w:rsidRPr="00473E4B">
                        <w:rPr>
                          <w:rFonts w:asciiTheme="majorHAnsi" w:hAnsiTheme="majorHAnsi"/>
                          <w:b/>
                          <w:color w:val="004855" w:themeColor="text1"/>
                          <w:szCs w:val="36"/>
                        </w:rPr>
                        <w:t>$3</w:t>
                      </w:r>
                      <w:r>
                        <w:rPr>
                          <w:rFonts w:asciiTheme="majorHAnsi" w:hAnsiTheme="majorHAnsi"/>
                          <w:b/>
                          <w:color w:val="004855" w:themeColor="text1"/>
                          <w:szCs w:val="36"/>
                        </w:rPr>
                        <w:t>2</w:t>
                      </w:r>
                      <w:r w:rsidRPr="00473E4B">
                        <w:rPr>
                          <w:rFonts w:asciiTheme="majorHAnsi" w:hAnsiTheme="majorHAnsi"/>
                          <w:b/>
                          <w:color w:val="004855" w:themeColor="text1"/>
                          <w:szCs w:val="36"/>
                        </w:rPr>
                        <w:t>.</w:t>
                      </w:r>
                      <w:r>
                        <w:rPr>
                          <w:rFonts w:asciiTheme="majorHAnsi" w:hAnsiTheme="majorHAnsi"/>
                          <w:b/>
                          <w:color w:val="004855" w:themeColor="text1"/>
                          <w:szCs w:val="36"/>
                        </w:rPr>
                        <w:t xml:space="preserve">5 </w:t>
                      </w:r>
                      <w:r w:rsidRPr="00473E4B">
                        <w:rPr>
                          <w:rFonts w:asciiTheme="majorHAnsi" w:hAnsiTheme="majorHAnsi"/>
                          <w:b/>
                          <w:color w:val="004855" w:themeColor="text1"/>
                          <w:szCs w:val="36"/>
                        </w:rPr>
                        <w:t>billion</w:t>
                      </w:r>
                    </w:p>
                  </w:txbxContent>
                </v:textbox>
              </v:shape>
            </w:pict>
          </mc:Fallback>
        </mc:AlternateContent>
      </w:r>
      <w:r w:rsidR="00952D7C" w:rsidRPr="00952D7C">
        <w:rPr>
          <w:noProof/>
          <w:lang w:eastAsia="en-AU"/>
        </w:rPr>
        <w:t xml:space="preserve"> </w:t>
      </w:r>
      <w:r w:rsidR="009001EB">
        <w:rPr>
          <w:noProof/>
          <w:lang w:eastAsia="en-AU"/>
        </w:rPr>
        <w:drawing>
          <wp:inline distT="0" distB="0" distL="0" distR="0" wp14:anchorId="12851935" wp14:editId="75AB7B7A">
            <wp:extent cx="3139440" cy="188976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50A2" w:rsidRDefault="00952D7C" w:rsidP="00952D7C">
      <w:pPr>
        <w:spacing w:after="0"/>
        <w:ind w:left="720" w:firstLine="720"/>
        <w:rPr>
          <w:rFonts w:ascii="Georgia" w:hAnsi="Georgia" w:cs="Arial"/>
          <w:b/>
          <w:color w:val="004855" w:themeColor="text1"/>
          <w:sz w:val="20"/>
          <w:szCs w:val="20"/>
          <w:lang w:val="en-US"/>
        </w:rPr>
      </w:pPr>
      <w:r>
        <w:rPr>
          <w:rFonts w:ascii="Georgia" w:hAnsi="Georgia" w:cs="Arial"/>
          <w:b/>
          <w:color w:val="004855" w:themeColor="text1"/>
          <w:sz w:val="20"/>
          <w:szCs w:val="20"/>
          <w:lang w:val="en-US"/>
        </w:rPr>
        <w:t xml:space="preserve">               </w:t>
      </w:r>
    </w:p>
    <w:p w:rsidR="00952D7C" w:rsidRDefault="00952D7C" w:rsidP="005B50A2">
      <w:pPr>
        <w:spacing w:after="0"/>
        <w:ind w:left="1440" w:firstLine="720"/>
        <w:rPr>
          <w:rFonts w:ascii="Georgia" w:hAnsi="Georgia" w:cs="Arial"/>
          <w:b/>
          <w:color w:val="004855" w:themeColor="text1"/>
          <w:sz w:val="20"/>
          <w:szCs w:val="20"/>
          <w:lang w:val="en-US"/>
        </w:rPr>
      </w:pPr>
      <w:r>
        <w:rPr>
          <w:rFonts w:ascii="Georgia" w:hAnsi="Georgia" w:cs="Arial"/>
          <w:b/>
          <w:color w:val="004855" w:themeColor="text1"/>
          <w:sz w:val="20"/>
          <w:szCs w:val="20"/>
          <w:lang w:val="en-US"/>
        </w:rPr>
        <w:t xml:space="preserve"> For-Profit                                                       </w:t>
      </w:r>
      <w:r w:rsidR="00DC453D">
        <w:rPr>
          <w:rFonts w:ascii="Georgia" w:hAnsi="Georgia" w:cs="Arial"/>
          <w:b/>
          <w:color w:val="004855" w:themeColor="text1"/>
          <w:sz w:val="20"/>
          <w:szCs w:val="20"/>
          <w:lang w:val="en-US"/>
        </w:rPr>
        <w:t xml:space="preserve">   </w:t>
      </w:r>
      <w:r>
        <w:rPr>
          <w:rFonts w:ascii="Georgia" w:hAnsi="Georgia" w:cs="Arial"/>
          <w:b/>
          <w:color w:val="004855" w:themeColor="text1"/>
          <w:sz w:val="20"/>
          <w:szCs w:val="20"/>
          <w:lang w:val="en-US"/>
        </w:rPr>
        <w:t>Not-For-Profit</w:t>
      </w:r>
    </w:p>
    <w:p w:rsidR="00952D7C" w:rsidRDefault="005C15FE">
      <w:pPr>
        <w:spacing w:after="0" w:line="240" w:lineRule="auto"/>
        <w:rPr>
          <w:noProof/>
          <w:lang w:eastAsia="en-AU"/>
        </w:rPr>
      </w:pPr>
      <w:r w:rsidRPr="00952D7C">
        <w:rPr>
          <w:noProof/>
          <w:lang w:eastAsia="en-AU"/>
        </w:rPr>
        <mc:AlternateContent>
          <mc:Choice Requires="wps">
            <w:drawing>
              <wp:anchor distT="0" distB="0" distL="114300" distR="114300" simplePos="0" relativeHeight="251670016" behindDoc="0" locked="0" layoutInCell="1" allowOverlap="1" wp14:anchorId="2F94E9C1" wp14:editId="7ED87032">
                <wp:simplePos x="0" y="0"/>
                <wp:positionH relativeFrom="column">
                  <wp:posOffset>4091940</wp:posOffset>
                </wp:positionH>
                <wp:positionV relativeFrom="paragraph">
                  <wp:posOffset>570865</wp:posOffset>
                </wp:positionV>
                <wp:extent cx="783590" cy="1403985"/>
                <wp:effectExtent l="0" t="0" r="0" b="127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03985"/>
                        </a:xfrm>
                        <a:prstGeom prst="rect">
                          <a:avLst/>
                        </a:prstGeom>
                        <a:noFill/>
                        <a:ln w="9525">
                          <a:noFill/>
                          <a:miter lim="800000"/>
                          <a:headEnd/>
                          <a:tailEnd/>
                        </a:ln>
                      </wps:spPr>
                      <wps:txbx>
                        <w:txbxContent>
                          <w:p w:rsidR="00BD3847" w:rsidRPr="00952D7C" w:rsidRDefault="00BD3847" w:rsidP="008924AE">
                            <w:pPr>
                              <w:spacing w:after="0" w:line="240" w:lineRule="auto"/>
                              <w:jc w:val="center"/>
                              <w:rPr>
                                <w:rFonts w:asciiTheme="majorHAnsi" w:hAnsiTheme="majorHAnsi"/>
                                <w:b/>
                                <w:i/>
                                <w:sz w:val="22"/>
                                <w:szCs w:val="22"/>
                              </w:rPr>
                            </w:pPr>
                            <w:r w:rsidRPr="00952D7C">
                              <w:rPr>
                                <w:rFonts w:asciiTheme="majorHAnsi" w:hAnsiTheme="majorHAnsi"/>
                                <w:b/>
                                <w:i/>
                                <w:sz w:val="22"/>
                                <w:szCs w:val="22"/>
                              </w:rPr>
                              <w:t>$</w:t>
                            </w:r>
                            <w:r>
                              <w:rPr>
                                <w:rFonts w:asciiTheme="majorHAnsi" w:hAnsiTheme="majorHAnsi"/>
                                <w:b/>
                                <w:i/>
                                <w:sz w:val="22"/>
                                <w:szCs w:val="22"/>
                              </w:rPr>
                              <w:t>1.6</w:t>
                            </w:r>
                            <w:r w:rsidRPr="00952D7C">
                              <w:rPr>
                                <w:rFonts w:asciiTheme="majorHAnsi" w:hAnsiTheme="majorHAnsi"/>
                                <w:b/>
                                <w:i/>
                                <w:sz w:val="22"/>
                                <w:szCs w:val="22"/>
                              </w:rPr>
                              <w:t xml:space="preserve"> billion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4E9C1" id="_x0000_s1035" type="#_x0000_t202" style="position:absolute;margin-left:322.2pt;margin-top:44.95pt;width:61.7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" filled="f" stroked="f">
                <v:textbox style="mso-fit-shape-to-text:t">
                  <w:txbxContent>
                    <w:p w:rsidR="00BD3847" w:rsidRPr="00952D7C" w:rsidRDefault="00BD3847" w:rsidP="008924AE">
                      <w:pPr>
                        <w:spacing w:after="0" w:line="240" w:lineRule="auto"/>
                        <w:jc w:val="center"/>
                        <w:rPr>
                          <w:rFonts w:asciiTheme="majorHAnsi" w:hAnsiTheme="majorHAnsi"/>
                          <w:b/>
                          <w:i/>
                          <w:sz w:val="22"/>
                          <w:szCs w:val="22"/>
                        </w:rPr>
                      </w:pPr>
                      <w:r w:rsidRPr="00952D7C">
                        <w:rPr>
                          <w:rFonts w:asciiTheme="majorHAnsi" w:hAnsiTheme="majorHAnsi"/>
                          <w:b/>
                          <w:i/>
                          <w:sz w:val="22"/>
                          <w:szCs w:val="22"/>
                        </w:rPr>
                        <w:t>$</w:t>
                      </w:r>
                      <w:r>
                        <w:rPr>
                          <w:rFonts w:asciiTheme="majorHAnsi" w:hAnsiTheme="majorHAnsi"/>
                          <w:b/>
                          <w:i/>
                          <w:sz w:val="22"/>
                          <w:szCs w:val="22"/>
                        </w:rPr>
                        <w:t>1.6</w:t>
                      </w:r>
                      <w:r w:rsidRPr="00952D7C">
                        <w:rPr>
                          <w:rFonts w:asciiTheme="majorHAnsi" w:hAnsiTheme="majorHAnsi"/>
                          <w:b/>
                          <w:i/>
                          <w:sz w:val="22"/>
                          <w:szCs w:val="22"/>
                        </w:rPr>
                        <w:t xml:space="preserve"> billion</w:t>
                      </w:r>
                    </w:p>
                  </w:txbxContent>
                </v:textbox>
              </v:shape>
            </w:pict>
          </mc:Fallback>
        </mc:AlternateContent>
      </w:r>
      <w:r w:rsidRPr="00952D7C">
        <w:rPr>
          <w:noProof/>
          <w:lang w:eastAsia="en-AU"/>
        </w:rPr>
        <mc:AlternateContent>
          <mc:Choice Requires="wps">
            <w:drawing>
              <wp:anchor distT="0" distB="0" distL="114300" distR="114300" simplePos="0" relativeHeight="251668992" behindDoc="0" locked="0" layoutInCell="1" allowOverlap="1" wp14:anchorId="06E4A745" wp14:editId="0CF1B40C">
                <wp:simplePos x="0" y="0"/>
                <wp:positionH relativeFrom="column">
                  <wp:posOffset>1243965</wp:posOffset>
                </wp:positionH>
                <wp:positionV relativeFrom="paragraph">
                  <wp:posOffset>566420</wp:posOffset>
                </wp:positionV>
                <wp:extent cx="783590" cy="1403985"/>
                <wp:effectExtent l="0" t="0" r="0" b="127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03985"/>
                        </a:xfrm>
                        <a:prstGeom prst="rect">
                          <a:avLst/>
                        </a:prstGeom>
                        <a:noFill/>
                        <a:ln w="9525">
                          <a:noFill/>
                          <a:miter lim="800000"/>
                          <a:headEnd/>
                          <a:tailEnd/>
                        </a:ln>
                      </wps:spPr>
                      <wps:txbx>
                        <w:txbxContent>
                          <w:p w:rsidR="00BD3847" w:rsidRPr="00952D7C" w:rsidRDefault="00BD3847" w:rsidP="008924AE">
                            <w:pPr>
                              <w:spacing w:after="0" w:line="240" w:lineRule="auto"/>
                              <w:jc w:val="center"/>
                              <w:rPr>
                                <w:rFonts w:asciiTheme="majorHAnsi" w:hAnsiTheme="majorHAnsi"/>
                                <w:b/>
                                <w:i/>
                                <w:sz w:val="22"/>
                                <w:szCs w:val="22"/>
                              </w:rPr>
                            </w:pPr>
                            <w:r w:rsidRPr="00952D7C">
                              <w:rPr>
                                <w:rFonts w:asciiTheme="majorHAnsi" w:hAnsiTheme="majorHAnsi"/>
                                <w:b/>
                                <w:i/>
                                <w:sz w:val="22"/>
                                <w:szCs w:val="22"/>
                              </w:rPr>
                              <w:t>$</w:t>
                            </w:r>
                            <w:r>
                              <w:rPr>
                                <w:rFonts w:asciiTheme="majorHAnsi" w:hAnsiTheme="majorHAnsi"/>
                                <w:b/>
                                <w:i/>
                                <w:sz w:val="22"/>
                                <w:szCs w:val="22"/>
                              </w:rPr>
                              <w:t>1.2</w:t>
                            </w:r>
                            <w:r w:rsidRPr="00952D7C">
                              <w:rPr>
                                <w:rFonts w:asciiTheme="majorHAnsi" w:hAnsiTheme="majorHAnsi"/>
                                <w:b/>
                                <w:i/>
                                <w:sz w:val="22"/>
                                <w:szCs w:val="22"/>
                              </w:rPr>
                              <w:t xml:space="preserve"> billion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4A745" id="_x0000_s1036" type="#_x0000_t202" style="position:absolute;margin-left:97.95pt;margin-top:44.6pt;width:61.7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" filled="f" stroked="f">
                <v:textbox style="mso-fit-shape-to-text:t">
                  <w:txbxContent>
                    <w:p w:rsidR="00BD3847" w:rsidRPr="00952D7C" w:rsidRDefault="00BD3847" w:rsidP="008924AE">
                      <w:pPr>
                        <w:spacing w:after="0" w:line="240" w:lineRule="auto"/>
                        <w:jc w:val="center"/>
                        <w:rPr>
                          <w:rFonts w:asciiTheme="majorHAnsi" w:hAnsiTheme="majorHAnsi"/>
                          <w:b/>
                          <w:i/>
                          <w:sz w:val="22"/>
                          <w:szCs w:val="22"/>
                        </w:rPr>
                      </w:pPr>
                      <w:r w:rsidRPr="00952D7C">
                        <w:rPr>
                          <w:rFonts w:asciiTheme="majorHAnsi" w:hAnsiTheme="majorHAnsi"/>
                          <w:b/>
                          <w:i/>
                          <w:sz w:val="22"/>
                          <w:szCs w:val="22"/>
                        </w:rPr>
                        <w:t>$</w:t>
                      </w:r>
                      <w:r>
                        <w:rPr>
                          <w:rFonts w:asciiTheme="majorHAnsi" w:hAnsiTheme="majorHAnsi"/>
                          <w:b/>
                          <w:i/>
                          <w:sz w:val="22"/>
                          <w:szCs w:val="22"/>
                        </w:rPr>
                        <w:t>1.2</w:t>
                      </w:r>
                      <w:r w:rsidRPr="00952D7C">
                        <w:rPr>
                          <w:rFonts w:asciiTheme="majorHAnsi" w:hAnsiTheme="majorHAnsi"/>
                          <w:b/>
                          <w:i/>
                          <w:sz w:val="22"/>
                          <w:szCs w:val="22"/>
                        </w:rPr>
                        <w:t xml:space="preserve"> billion</w:t>
                      </w:r>
                    </w:p>
                  </w:txbxContent>
                </v:textbox>
              </v:shape>
            </w:pict>
          </mc:Fallback>
        </mc:AlternateContent>
      </w:r>
      <w:r w:rsidR="009001EB">
        <w:rPr>
          <w:noProof/>
          <w:lang w:eastAsia="en-AU"/>
        </w:rPr>
        <w:drawing>
          <wp:inline distT="0" distB="0" distL="0" distR="0" wp14:anchorId="41C00C14" wp14:editId="7F9C44E9">
            <wp:extent cx="2705100" cy="1631950"/>
            <wp:effectExtent l="0" t="0" r="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52D7C" w:rsidRPr="00952D7C">
        <w:rPr>
          <w:noProof/>
          <w:lang w:eastAsia="en-AU"/>
        </w:rPr>
        <w:t xml:space="preserve"> </w:t>
      </w:r>
      <w:r w:rsidR="009D1096">
        <w:rPr>
          <w:noProof/>
          <w:lang w:eastAsia="en-AU"/>
        </w:rPr>
        <w:t xml:space="preserve">        </w:t>
      </w:r>
      <w:r>
        <w:rPr>
          <w:noProof/>
          <w:lang w:eastAsia="en-AU"/>
        </w:rPr>
        <w:drawing>
          <wp:inline distT="0" distB="0" distL="0" distR="0" wp14:anchorId="75C40341" wp14:editId="3DD65972">
            <wp:extent cx="2768600" cy="1670050"/>
            <wp:effectExtent l="0" t="0" r="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2334" w:rsidRPr="00262334" w:rsidRDefault="003D0CCA" w:rsidP="00262334">
      <w:pPr>
        <w:spacing w:after="0" w:line="240" w:lineRule="auto"/>
        <w:jc w:val="center"/>
        <w:rPr>
          <w:sz w:val="16"/>
          <w:szCs w:val="16"/>
        </w:rPr>
      </w:pPr>
      <w:r>
        <w:rPr>
          <w:noProof/>
          <w:sz w:val="16"/>
          <w:szCs w:val="16"/>
          <w:lang w:eastAsia="en-AU"/>
        </w:rPr>
        <w:drawing>
          <wp:inline distT="0" distB="0" distL="0" distR="0" wp14:anchorId="66154CC5">
            <wp:extent cx="4556216" cy="622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11712"/>
                    <a:stretch/>
                  </pic:blipFill>
                  <pic:spPr bwMode="auto">
                    <a:xfrm>
                      <a:off x="0" y="0"/>
                      <a:ext cx="4572635" cy="624543"/>
                    </a:xfrm>
                    <a:prstGeom prst="rect">
                      <a:avLst/>
                    </a:prstGeom>
                    <a:noFill/>
                    <a:ln>
                      <a:noFill/>
                    </a:ln>
                    <a:extLst>
                      <a:ext uri="{53640926-AAD7-44D8-BBD7-CCE9431645EC}">
                        <a14:shadowObscured xmlns:a14="http://schemas.microsoft.com/office/drawing/2010/main"/>
                      </a:ext>
                    </a:extLst>
                  </pic:spPr>
                </pic:pic>
              </a:graphicData>
            </a:graphic>
          </wp:inline>
        </w:drawing>
      </w:r>
    </w:p>
    <w:p w:rsidR="008924AE" w:rsidRPr="004774F1" w:rsidRDefault="008924AE" w:rsidP="008924AE">
      <w:pPr>
        <w:spacing w:after="0" w:line="240" w:lineRule="auto"/>
        <w:jc w:val="center"/>
        <w:rPr>
          <w:sz w:val="8"/>
          <w:szCs w:val="8"/>
        </w:rPr>
      </w:pPr>
    </w:p>
    <w:p w:rsidR="008924AE" w:rsidRPr="004774F1" w:rsidRDefault="008924AE" w:rsidP="008924AE">
      <w:pPr>
        <w:pStyle w:val="BulletsL1"/>
        <w:shd w:val="clear" w:color="auto" w:fill="E5ECED" w:themeFill="accent4" w:themeFillTint="66"/>
        <w:spacing w:before="0" w:after="0" w:line="240" w:lineRule="auto"/>
        <w:rPr>
          <w:sz w:val="16"/>
          <w:szCs w:val="16"/>
          <w:lang w:val="en-AU"/>
        </w:rPr>
      </w:pPr>
    </w:p>
    <w:p w:rsidR="008924AE" w:rsidRPr="00143E14" w:rsidRDefault="008924AE" w:rsidP="001419CC">
      <w:pPr>
        <w:pStyle w:val="BulletsL1"/>
        <w:numPr>
          <w:ilvl w:val="0"/>
          <w:numId w:val="7"/>
        </w:numPr>
        <w:shd w:val="clear" w:color="auto" w:fill="E5ECED" w:themeFill="accent4" w:themeFillTint="66"/>
        <w:spacing w:line="276" w:lineRule="auto"/>
        <w:ind w:left="357" w:hanging="357"/>
        <w:rPr>
          <w:sz w:val="16"/>
          <w:szCs w:val="16"/>
          <w:lang w:val="en-AU"/>
        </w:rPr>
      </w:pPr>
      <w:r>
        <w:rPr>
          <w:lang w:val="en-AU"/>
        </w:rPr>
        <w:t>Staff spending was the largest expense for all provider types, except for For-Profit</w:t>
      </w:r>
      <w:r w:rsidR="009D1096">
        <w:rPr>
          <w:lang w:val="en-AU"/>
        </w:rPr>
        <w:t xml:space="preserve"> providers where other expenses such as occupancy, administration, travel and </w:t>
      </w:r>
      <w:r w:rsidR="00DC28B1">
        <w:rPr>
          <w:lang w:val="en-AU"/>
        </w:rPr>
        <w:t>IT accounted</w:t>
      </w:r>
      <w:r w:rsidR="005E13B0">
        <w:rPr>
          <w:lang w:val="en-AU"/>
        </w:rPr>
        <w:t xml:space="preserve"> for the largest area of expenditure.</w:t>
      </w:r>
    </w:p>
    <w:p w:rsidR="005E13B0" w:rsidRPr="003B6D8C" w:rsidRDefault="008924AE" w:rsidP="001419CC">
      <w:pPr>
        <w:pStyle w:val="BulletsL1"/>
        <w:numPr>
          <w:ilvl w:val="0"/>
          <w:numId w:val="7"/>
        </w:numPr>
        <w:shd w:val="clear" w:color="auto" w:fill="E5ECED" w:themeFill="accent4" w:themeFillTint="66"/>
        <w:spacing w:line="276" w:lineRule="auto"/>
        <w:ind w:left="357" w:hanging="357"/>
        <w:rPr>
          <w:sz w:val="16"/>
          <w:szCs w:val="16"/>
          <w:lang w:val="en-AU"/>
        </w:rPr>
      </w:pPr>
      <w:r>
        <w:rPr>
          <w:lang w:val="en-AU"/>
        </w:rPr>
        <w:t xml:space="preserve">Marketing and promotion </w:t>
      </w:r>
      <w:r w:rsidR="005E13B0">
        <w:rPr>
          <w:lang w:val="en-AU"/>
        </w:rPr>
        <w:t>expenditure accounted for 15% of For-Profit provider expenditure</w:t>
      </w:r>
      <w:r w:rsidR="003646EF">
        <w:rPr>
          <w:lang w:val="en-AU"/>
        </w:rPr>
        <w:t xml:space="preserve">. However, this </w:t>
      </w:r>
      <w:r w:rsidR="005E13B0">
        <w:rPr>
          <w:lang w:val="en-AU"/>
        </w:rPr>
        <w:t>accounted for a relatively small area of expenditure for all other provider types.</w:t>
      </w:r>
    </w:p>
    <w:p w:rsidR="008924AE" w:rsidRPr="00143E14" w:rsidRDefault="005E13B0" w:rsidP="001419CC">
      <w:pPr>
        <w:pStyle w:val="BulletsL1"/>
        <w:numPr>
          <w:ilvl w:val="0"/>
          <w:numId w:val="7"/>
        </w:numPr>
        <w:shd w:val="clear" w:color="auto" w:fill="E5ECED" w:themeFill="accent4" w:themeFillTint="66"/>
        <w:spacing w:line="276" w:lineRule="auto"/>
        <w:ind w:left="357" w:hanging="357"/>
        <w:rPr>
          <w:sz w:val="16"/>
          <w:szCs w:val="16"/>
          <w:lang w:val="en-AU"/>
        </w:rPr>
      </w:pPr>
      <w:r>
        <w:rPr>
          <w:lang w:val="en-AU"/>
        </w:rPr>
        <w:t>Total expenditure for TAFE providers of $3.7 billion exceeded total revenue generated by TAFE providers</w:t>
      </w:r>
      <w:r w:rsidR="00CA2AFE">
        <w:rPr>
          <w:lang w:val="en-AU"/>
        </w:rPr>
        <w:t>,</w:t>
      </w:r>
      <w:r>
        <w:rPr>
          <w:lang w:val="en-AU"/>
        </w:rPr>
        <w:t xml:space="preserve"> indicating that collectively TAFE providers generated a deficit. Profitability is analysed in further detail at </w:t>
      </w:r>
      <w:r w:rsidR="003646EF">
        <w:rPr>
          <w:lang w:val="en-AU"/>
        </w:rPr>
        <w:t>S</w:t>
      </w:r>
      <w:r>
        <w:rPr>
          <w:lang w:val="en-AU"/>
        </w:rPr>
        <w:t xml:space="preserve">ection 4.2.  </w:t>
      </w:r>
    </w:p>
    <w:p w:rsidR="008924AE" w:rsidRPr="00130AB7" w:rsidRDefault="008924AE" w:rsidP="00143E14">
      <w:pPr>
        <w:pStyle w:val="BulletsL1"/>
        <w:shd w:val="clear" w:color="auto" w:fill="E5ECED" w:themeFill="accent4" w:themeFillTint="66"/>
        <w:spacing w:before="0" w:after="0" w:line="276" w:lineRule="auto"/>
        <w:ind w:left="0" w:firstLine="0"/>
        <w:rPr>
          <w:sz w:val="16"/>
          <w:szCs w:val="16"/>
          <w:lang w:val="en-AU"/>
        </w:rPr>
      </w:pPr>
    </w:p>
    <w:p w:rsidR="001C5522" w:rsidRPr="002705E2" w:rsidRDefault="00344667" w:rsidP="001C5522">
      <w:pPr>
        <w:pStyle w:val="H1"/>
        <w:spacing w:after="240"/>
        <w:rPr>
          <w:sz w:val="40"/>
          <w:szCs w:val="40"/>
        </w:rPr>
      </w:pPr>
      <w:r>
        <w:rPr>
          <w:sz w:val="40"/>
          <w:szCs w:val="40"/>
        </w:rPr>
        <w:br w:type="page"/>
      </w:r>
      <w:bookmarkStart w:id="17" w:name="_Toc467075174"/>
      <w:r w:rsidR="001C5522" w:rsidRPr="002705E2">
        <w:rPr>
          <w:sz w:val="40"/>
          <w:szCs w:val="40"/>
        </w:rPr>
        <w:lastRenderedPageBreak/>
        <w:t>3. Provider type</w:t>
      </w:r>
      <w:bookmarkEnd w:id="17"/>
    </w:p>
    <w:p w:rsidR="001C5522" w:rsidRDefault="001C5522" w:rsidP="001C5522">
      <w:pPr>
        <w:rPr>
          <w:rFonts w:asciiTheme="minorHAnsi" w:hAnsiTheme="minorHAnsi" w:cstheme="minorHAnsi"/>
          <w:sz w:val="22"/>
          <w:szCs w:val="22"/>
          <w:lang w:val="en-US"/>
        </w:rPr>
      </w:pPr>
      <w:r>
        <w:rPr>
          <w:rFonts w:asciiTheme="minorHAnsi" w:hAnsiTheme="minorHAnsi" w:cstheme="minorHAnsi"/>
          <w:sz w:val="22"/>
          <w:szCs w:val="22"/>
          <w:lang w:val="en-US"/>
        </w:rPr>
        <w:t xml:space="preserve">In this report, providers have been grouped according to type. </w:t>
      </w:r>
    </w:p>
    <w:p w:rsidR="001C5522" w:rsidRDefault="001C5522" w:rsidP="001C5522">
      <w:pPr>
        <w:rPr>
          <w:rFonts w:asciiTheme="minorHAnsi" w:hAnsiTheme="minorHAnsi" w:cstheme="minorHAnsi"/>
          <w:sz w:val="22"/>
          <w:szCs w:val="22"/>
          <w:lang w:val="en-US"/>
        </w:rPr>
      </w:pPr>
      <w:r>
        <w:rPr>
          <w:rFonts w:asciiTheme="minorHAnsi" w:hAnsiTheme="minorHAnsi" w:cstheme="minorHAnsi"/>
          <w:sz w:val="22"/>
          <w:szCs w:val="22"/>
          <w:lang w:val="en-US"/>
        </w:rPr>
        <w:t>The provider groupings used in this report are: Universities</w:t>
      </w:r>
      <w:r w:rsidR="00350BA0" w:rsidRPr="00350BA0">
        <w:rPr>
          <w:rStyle w:val="FootnoteReference"/>
          <w:rFonts w:asciiTheme="minorHAnsi" w:hAnsiTheme="minorHAnsi" w:cstheme="minorHAnsi"/>
          <w:sz w:val="22"/>
          <w:szCs w:val="22"/>
          <w:lang w:val="en-US"/>
        </w:rPr>
        <w:footnoteReference w:id="7"/>
      </w:r>
      <w:r w:rsidR="00AE57AF">
        <w:rPr>
          <w:rFonts w:asciiTheme="minorHAnsi" w:hAnsiTheme="minorHAnsi" w:cstheme="minorHAnsi"/>
          <w:sz w:val="22"/>
          <w:szCs w:val="22"/>
          <w:lang w:val="en-US"/>
        </w:rPr>
        <w:t>, TAFE, For-P</w:t>
      </w:r>
      <w:r>
        <w:rPr>
          <w:rFonts w:asciiTheme="minorHAnsi" w:hAnsiTheme="minorHAnsi" w:cstheme="minorHAnsi"/>
          <w:sz w:val="22"/>
          <w:szCs w:val="22"/>
          <w:lang w:val="en-US"/>
        </w:rPr>
        <w:t>rofit and Not-For-Profit. Table 2</w:t>
      </w:r>
      <w:r w:rsidRPr="00974FDE">
        <w:rPr>
          <w:rFonts w:asciiTheme="minorHAnsi" w:hAnsiTheme="minorHAnsi" w:cstheme="minorHAnsi"/>
          <w:sz w:val="22"/>
          <w:szCs w:val="22"/>
          <w:lang w:val="en-US"/>
        </w:rPr>
        <w:t xml:space="preserve"> provides detail</w:t>
      </w:r>
      <w:r>
        <w:rPr>
          <w:rFonts w:asciiTheme="minorHAnsi" w:hAnsiTheme="minorHAnsi" w:cstheme="minorHAnsi"/>
          <w:sz w:val="22"/>
          <w:szCs w:val="22"/>
          <w:lang w:val="en-US"/>
        </w:rPr>
        <w:t>s</w:t>
      </w:r>
      <w:r w:rsidRPr="00974FDE">
        <w:rPr>
          <w:rFonts w:asciiTheme="minorHAnsi" w:hAnsiTheme="minorHAnsi" w:cstheme="minorHAnsi"/>
          <w:sz w:val="22"/>
          <w:szCs w:val="22"/>
          <w:lang w:val="en-US"/>
        </w:rPr>
        <w:t xml:space="preserve"> on the </w:t>
      </w:r>
      <w:r>
        <w:rPr>
          <w:rFonts w:asciiTheme="minorHAnsi" w:hAnsiTheme="minorHAnsi" w:cstheme="minorHAnsi"/>
          <w:sz w:val="22"/>
          <w:szCs w:val="22"/>
          <w:lang w:val="en-US"/>
        </w:rPr>
        <w:t xml:space="preserve">proportion of student load and higher education revenue to the overall sector total by </w:t>
      </w:r>
      <w:r w:rsidRPr="00974FDE">
        <w:rPr>
          <w:rFonts w:asciiTheme="minorHAnsi" w:hAnsiTheme="minorHAnsi" w:cstheme="minorHAnsi"/>
          <w:sz w:val="22"/>
          <w:szCs w:val="22"/>
          <w:lang w:val="en-US"/>
        </w:rPr>
        <w:t xml:space="preserve">each provider </w:t>
      </w:r>
      <w:r>
        <w:rPr>
          <w:rFonts w:asciiTheme="minorHAnsi" w:hAnsiTheme="minorHAnsi" w:cstheme="minorHAnsi"/>
          <w:sz w:val="22"/>
          <w:szCs w:val="22"/>
          <w:lang w:val="en-US"/>
        </w:rPr>
        <w:t xml:space="preserve">type, as at 12 August 2016. </w:t>
      </w:r>
      <w:r w:rsidRPr="006F7CD4">
        <w:rPr>
          <w:rFonts w:asciiTheme="minorHAnsi" w:hAnsiTheme="minorHAnsi" w:cstheme="minorHAnsi"/>
          <w:sz w:val="22"/>
          <w:szCs w:val="22"/>
          <w:lang w:val="en-US"/>
        </w:rPr>
        <w:t>Student data relates to 2014</w:t>
      </w:r>
      <w:r>
        <w:rPr>
          <w:rStyle w:val="FootnoteReference"/>
          <w:rFonts w:asciiTheme="minorHAnsi" w:hAnsiTheme="minorHAnsi" w:cstheme="minorHAnsi"/>
          <w:sz w:val="22"/>
          <w:szCs w:val="22"/>
          <w:lang w:val="en-US"/>
        </w:rPr>
        <w:footnoteReference w:id="8"/>
      </w:r>
      <w:r>
        <w:rPr>
          <w:rFonts w:asciiTheme="minorHAnsi" w:hAnsiTheme="minorHAnsi" w:cstheme="minorHAnsi"/>
          <w:sz w:val="22"/>
          <w:szCs w:val="22"/>
          <w:lang w:val="en-US"/>
        </w:rPr>
        <w:t>.</w:t>
      </w:r>
    </w:p>
    <w:p w:rsidR="001C5522" w:rsidRPr="00E23F9A" w:rsidRDefault="001C5522" w:rsidP="001C5522">
      <w:pPr>
        <w:rPr>
          <w:rFonts w:ascii="Georgia" w:hAnsi="Georgia" w:cs="Arial"/>
          <w:b/>
          <w:color w:val="004855" w:themeColor="text1"/>
          <w:sz w:val="20"/>
          <w:szCs w:val="20"/>
          <w:lang w:val="en-US"/>
        </w:rPr>
      </w:pPr>
      <w:r w:rsidRPr="004130E8">
        <w:rPr>
          <w:rFonts w:ascii="Georgia" w:hAnsi="Georgia" w:cs="Arial"/>
          <w:b/>
          <w:color w:val="004855" w:themeColor="text1"/>
          <w:sz w:val="20"/>
          <w:szCs w:val="20"/>
          <w:lang w:val="en-US"/>
        </w:rPr>
        <w:t>Table 2: Breakdown of providers, by type</w:t>
      </w:r>
    </w:p>
    <w:tbl>
      <w:tblPr>
        <w:tblW w:w="5001" w:type="pct"/>
        <w:tblLook w:val="04A0" w:firstRow="1" w:lastRow="0" w:firstColumn="1" w:lastColumn="0" w:noHBand="0" w:noVBand="1"/>
      </w:tblPr>
      <w:tblGrid>
        <w:gridCol w:w="4251"/>
        <w:gridCol w:w="1832"/>
        <w:gridCol w:w="1645"/>
        <w:gridCol w:w="1846"/>
      </w:tblGrid>
      <w:tr w:rsidR="001C5522" w:rsidRPr="002E26F8" w:rsidTr="005A220D">
        <w:trPr>
          <w:trHeight w:val="288"/>
        </w:trPr>
        <w:tc>
          <w:tcPr>
            <w:tcW w:w="2220" w:type="pct"/>
            <w:shd w:val="clear" w:color="auto" w:fill="004855" w:themeFill="accent1"/>
            <w:noWrap/>
            <w:vAlign w:val="center"/>
          </w:tcPr>
          <w:p w:rsidR="001C5522" w:rsidRPr="008466EE" w:rsidRDefault="001C5522" w:rsidP="005A220D">
            <w:pPr>
              <w:spacing w:before="60" w:after="60" w:line="240" w:lineRule="auto"/>
              <w:rPr>
                <w:rFonts w:asciiTheme="minorHAnsi" w:hAnsiTheme="minorHAnsi" w:cstheme="minorHAnsi"/>
                <w:b/>
                <w:color w:val="FFFFFF" w:themeColor="background2"/>
                <w:sz w:val="20"/>
                <w:szCs w:val="22"/>
              </w:rPr>
            </w:pPr>
            <w:r w:rsidRPr="008466EE">
              <w:rPr>
                <w:rFonts w:asciiTheme="minorHAnsi" w:hAnsiTheme="minorHAnsi" w:cstheme="minorHAnsi"/>
                <w:b/>
                <w:color w:val="FFFFFF" w:themeColor="background2"/>
                <w:sz w:val="20"/>
                <w:szCs w:val="22"/>
              </w:rPr>
              <w:t>Provider type</w:t>
            </w:r>
          </w:p>
        </w:tc>
        <w:tc>
          <w:tcPr>
            <w:tcW w:w="957" w:type="pct"/>
            <w:shd w:val="clear" w:color="auto" w:fill="004855" w:themeFill="accent1"/>
            <w:noWrap/>
            <w:vAlign w:val="center"/>
          </w:tcPr>
          <w:p w:rsidR="001C5522" w:rsidRPr="003653F7" w:rsidRDefault="001C5522" w:rsidP="005A220D">
            <w:pPr>
              <w:spacing w:before="60" w:after="60" w:line="240" w:lineRule="auto"/>
              <w:jc w:val="right"/>
              <w:rPr>
                <w:rFonts w:asciiTheme="minorHAnsi" w:hAnsiTheme="minorHAnsi" w:cstheme="minorHAnsi"/>
                <w:b/>
                <w:color w:val="FFFFFF" w:themeColor="background2"/>
                <w:sz w:val="20"/>
                <w:szCs w:val="22"/>
              </w:rPr>
            </w:pPr>
            <w:r w:rsidRPr="003653F7">
              <w:rPr>
                <w:rFonts w:asciiTheme="minorHAnsi" w:hAnsiTheme="minorHAnsi" w:cstheme="minorHAnsi"/>
                <w:b/>
                <w:color w:val="FFFFFF" w:themeColor="background2"/>
                <w:sz w:val="20"/>
                <w:szCs w:val="22"/>
              </w:rPr>
              <w:t xml:space="preserve">Number of </w:t>
            </w:r>
            <w:r w:rsidRPr="003653F7">
              <w:rPr>
                <w:rFonts w:asciiTheme="minorHAnsi" w:hAnsiTheme="minorHAnsi" w:cstheme="minorHAnsi"/>
                <w:b/>
                <w:color w:val="FFFFFF" w:themeColor="background2"/>
                <w:sz w:val="20"/>
                <w:szCs w:val="22"/>
              </w:rPr>
              <w:br/>
              <w:t>providers</w:t>
            </w:r>
          </w:p>
        </w:tc>
        <w:tc>
          <w:tcPr>
            <w:tcW w:w="859" w:type="pct"/>
            <w:shd w:val="clear" w:color="auto" w:fill="004855" w:themeFill="accent1"/>
            <w:vAlign w:val="center"/>
          </w:tcPr>
          <w:p w:rsidR="001C5522" w:rsidRPr="003653F7" w:rsidRDefault="001C5522" w:rsidP="005A220D">
            <w:pPr>
              <w:spacing w:before="60" w:after="60" w:line="240" w:lineRule="auto"/>
              <w:jc w:val="right"/>
              <w:rPr>
                <w:rFonts w:asciiTheme="minorHAnsi" w:hAnsiTheme="minorHAnsi" w:cstheme="minorHAnsi"/>
                <w:b/>
                <w:color w:val="FFFFFF" w:themeColor="background2"/>
                <w:sz w:val="20"/>
                <w:szCs w:val="22"/>
              </w:rPr>
            </w:pPr>
            <w:r w:rsidRPr="003653F7">
              <w:rPr>
                <w:rFonts w:asciiTheme="minorHAnsi" w:hAnsiTheme="minorHAnsi" w:cstheme="minorHAnsi"/>
                <w:b/>
                <w:color w:val="FFFFFF" w:themeColor="background2"/>
                <w:sz w:val="20"/>
                <w:szCs w:val="22"/>
              </w:rPr>
              <w:t xml:space="preserve">% of </w:t>
            </w:r>
            <w:r w:rsidRPr="003653F7">
              <w:rPr>
                <w:rFonts w:asciiTheme="minorHAnsi" w:hAnsiTheme="minorHAnsi" w:cstheme="minorHAnsi"/>
                <w:b/>
                <w:color w:val="FFFFFF" w:themeColor="background2"/>
                <w:sz w:val="20"/>
                <w:szCs w:val="22"/>
              </w:rPr>
              <w:br/>
              <w:t>students</w:t>
            </w:r>
          </w:p>
        </w:tc>
        <w:tc>
          <w:tcPr>
            <w:tcW w:w="964" w:type="pct"/>
            <w:shd w:val="clear" w:color="auto" w:fill="004855" w:themeFill="accent1"/>
            <w:vAlign w:val="center"/>
          </w:tcPr>
          <w:p w:rsidR="001C5522" w:rsidRDefault="001C5522" w:rsidP="005A220D">
            <w:pPr>
              <w:spacing w:before="60" w:after="60" w:line="240" w:lineRule="auto"/>
              <w:jc w:val="right"/>
              <w:rPr>
                <w:rFonts w:asciiTheme="minorHAnsi" w:hAnsiTheme="minorHAnsi" w:cstheme="minorHAnsi"/>
                <w:b/>
                <w:color w:val="FFFFFF" w:themeColor="background2"/>
                <w:sz w:val="20"/>
                <w:szCs w:val="22"/>
              </w:rPr>
            </w:pPr>
            <w:r w:rsidRPr="00446F9F">
              <w:rPr>
                <w:rFonts w:asciiTheme="minorHAnsi" w:hAnsiTheme="minorHAnsi" w:cstheme="minorHAnsi"/>
                <w:b/>
                <w:color w:val="FFFFFF" w:themeColor="background2"/>
                <w:sz w:val="20"/>
                <w:szCs w:val="22"/>
              </w:rPr>
              <w:t xml:space="preserve">% of HE </w:t>
            </w:r>
          </w:p>
          <w:p w:rsidR="001C5522" w:rsidRPr="00446F9F" w:rsidRDefault="001C5522" w:rsidP="005A220D">
            <w:pPr>
              <w:spacing w:before="60" w:after="60" w:line="240" w:lineRule="auto"/>
              <w:jc w:val="right"/>
              <w:rPr>
                <w:rFonts w:asciiTheme="minorHAnsi" w:hAnsiTheme="minorHAnsi" w:cstheme="minorHAnsi"/>
                <w:b/>
                <w:color w:val="FFFFFF" w:themeColor="background2"/>
                <w:sz w:val="20"/>
                <w:szCs w:val="22"/>
              </w:rPr>
            </w:pPr>
            <w:r w:rsidRPr="00446F9F">
              <w:rPr>
                <w:rFonts w:asciiTheme="minorHAnsi" w:hAnsiTheme="minorHAnsi" w:cstheme="minorHAnsi"/>
                <w:b/>
                <w:color w:val="FFFFFF" w:themeColor="background2"/>
                <w:sz w:val="20"/>
                <w:szCs w:val="22"/>
              </w:rPr>
              <w:t>revenue</w:t>
            </w:r>
            <w:r>
              <w:rPr>
                <w:rFonts w:asciiTheme="minorHAnsi" w:hAnsiTheme="minorHAnsi" w:cstheme="minorHAnsi"/>
                <w:b/>
                <w:color w:val="FFFFFF" w:themeColor="background2"/>
                <w:sz w:val="20"/>
                <w:szCs w:val="22"/>
              </w:rPr>
              <w:t xml:space="preserve">    </w:t>
            </w:r>
          </w:p>
        </w:tc>
      </w:tr>
      <w:tr w:rsidR="001C5522" w:rsidRPr="00DE2F04" w:rsidTr="0089015D">
        <w:trPr>
          <w:trHeight w:val="288"/>
        </w:trPr>
        <w:tc>
          <w:tcPr>
            <w:tcW w:w="2220" w:type="pct"/>
            <w:tcBorders>
              <w:bottom w:val="single" w:sz="4" w:space="0" w:color="366092"/>
            </w:tcBorders>
            <w:shd w:val="clear" w:color="auto" w:fill="auto"/>
            <w:noWrap/>
            <w:vAlign w:val="bottom"/>
            <w:hideMark/>
          </w:tcPr>
          <w:p w:rsidR="001C5522" w:rsidRPr="0089015D" w:rsidRDefault="001C5522" w:rsidP="0089015D">
            <w:pPr>
              <w:spacing w:after="0"/>
              <w:rPr>
                <w:rFonts w:asciiTheme="minorHAnsi" w:hAnsiTheme="minorHAnsi" w:cstheme="minorHAnsi"/>
                <w:sz w:val="20"/>
                <w:szCs w:val="20"/>
              </w:rPr>
            </w:pPr>
            <w:r w:rsidRPr="0089015D">
              <w:rPr>
                <w:rFonts w:asciiTheme="minorHAnsi" w:hAnsiTheme="minorHAnsi" w:cstheme="minorHAnsi"/>
                <w:sz w:val="20"/>
                <w:szCs w:val="20"/>
              </w:rPr>
              <w:t xml:space="preserve"> Universities </w:t>
            </w:r>
          </w:p>
        </w:tc>
        <w:tc>
          <w:tcPr>
            <w:tcW w:w="957" w:type="pct"/>
            <w:tcBorders>
              <w:bottom w:val="single" w:sz="4" w:space="0" w:color="366092"/>
            </w:tcBorders>
            <w:shd w:val="clear" w:color="auto" w:fill="auto"/>
            <w:noWrap/>
            <w:vAlign w:val="bottom"/>
            <w:hideMark/>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43</w:t>
            </w:r>
          </w:p>
        </w:tc>
        <w:tc>
          <w:tcPr>
            <w:tcW w:w="859" w:type="pct"/>
            <w:tcBorders>
              <w:bottom w:val="single" w:sz="4" w:space="0" w:color="366092"/>
            </w:tcBorders>
            <w:vAlign w:val="bottom"/>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93.3</w:t>
            </w:r>
          </w:p>
        </w:tc>
        <w:tc>
          <w:tcPr>
            <w:tcW w:w="964" w:type="pct"/>
            <w:tcBorders>
              <w:bottom w:val="single" w:sz="4" w:space="0" w:color="366092"/>
            </w:tcBorders>
            <w:vAlign w:val="bottom"/>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94.4</w:t>
            </w:r>
          </w:p>
        </w:tc>
      </w:tr>
      <w:tr w:rsidR="009D7929" w:rsidRPr="00940B20" w:rsidTr="0089015D">
        <w:trPr>
          <w:trHeight w:val="288"/>
        </w:trPr>
        <w:tc>
          <w:tcPr>
            <w:tcW w:w="2220" w:type="pct"/>
            <w:tcBorders>
              <w:top w:val="single" w:sz="4" w:space="0" w:color="366092"/>
              <w:bottom w:val="single" w:sz="4" w:space="0" w:color="366092"/>
            </w:tcBorders>
            <w:shd w:val="clear" w:color="auto" w:fill="auto"/>
            <w:noWrap/>
            <w:vAlign w:val="bottom"/>
            <w:hideMark/>
          </w:tcPr>
          <w:p w:rsidR="009D7929" w:rsidRPr="0089015D" w:rsidRDefault="009D7929" w:rsidP="0089015D">
            <w:pPr>
              <w:spacing w:after="0"/>
              <w:rPr>
                <w:rFonts w:asciiTheme="minorHAnsi" w:hAnsiTheme="minorHAnsi" w:cstheme="minorHAnsi"/>
                <w:sz w:val="20"/>
                <w:szCs w:val="20"/>
              </w:rPr>
            </w:pPr>
            <w:r w:rsidRPr="0089015D">
              <w:rPr>
                <w:rFonts w:asciiTheme="minorHAnsi" w:hAnsiTheme="minorHAnsi" w:cstheme="minorHAnsi"/>
                <w:sz w:val="20"/>
                <w:szCs w:val="20"/>
              </w:rPr>
              <w:t xml:space="preserve"> TAFE </w:t>
            </w:r>
          </w:p>
        </w:tc>
        <w:tc>
          <w:tcPr>
            <w:tcW w:w="957" w:type="pct"/>
            <w:tcBorders>
              <w:top w:val="single" w:sz="4" w:space="0" w:color="366092"/>
              <w:bottom w:val="single" w:sz="4" w:space="0" w:color="366092"/>
            </w:tcBorders>
            <w:shd w:val="clear" w:color="auto" w:fill="auto"/>
            <w:noWrap/>
            <w:vAlign w:val="bottom"/>
            <w:hideMark/>
          </w:tcPr>
          <w:p w:rsidR="009D7929" w:rsidRPr="0089015D" w:rsidRDefault="009D7929"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11</w:t>
            </w:r>
          </w:p>
        </w:tc>
        <w:tc>
          <w:tcPr>
            <w:tcW w:w="859" w:type="pct"/>
            <w:tcBorders>
              <w:top w:val="single" w:sz="4" w:space="0" w:color="366092"/>
              <w:bottom w:val="single" w:sz="4" w:space="0" w:color="366092"/>
            </w:tcBorders>
            <w:vAlign w:val="bottom"/>
          </w:tcPr>
          <w:p w:rsidR="009D7929" w:rsidRPr="0089015D" w:rsidRDefault="009D7929"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0.4</w:t>
            </w:r>
          </w:p>
        </w:tc>
        <w:tc>
          <w:tcPr>
            <w:tcW w:w="964" w:type="pct"/>
            <w:tcBorders>
              <w:top w:val="single" w:sz="4" w:space="0" w:color="366092"/>
              <w:bottom w:val="single" w:sz="4" w:space="0" w:color="366092"/>
            </w:tcBorders>
            <w:vAlign w:val="bottom"/>
          </w:tcPr>
          <w:p w:rsidR="009D7929" w:rsidRPr="0089015D" w:rsidRDefault="009D7929"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0.2</w:t>
            </w:r>
          </w:p>
        </w:tc>
      </w:tr>
      <w:tr w:rsidR="001C5522" w:rsidRPr="00DE2F04" w:rsidTr="0089015D">
        <w:trPr>
          <w:trHeight w:val="288"/>
        </w:trPr>
        <w:tc>
          <w:tcPr>
            <w:tcW w:w="2220" w:type="pct"/>
            <w:tcBorders>
              <w:top w:val="single" w:sz="4" w:space="0" w:color="366092"/>
              <w:bottom w:val="single" w:sz="4" w:space="0" w:color="366092"/>
            </w:tcBorders>
            <w:shd w:val="clear" w:color="auto" w:fill="auto"/>
            <w:noWrap/>
            <w:vAlign w:val="bottom"/>
            <w:hideMark/>
          </w:tcPr>
          <w:p w:rsidR="001C5522" w:rsidRPr="0089015D" w:rsidRDefault="001C5522" w:rsidP="0089015D">
            <w:pPr>
              <w:spacing w:after="0"/>
              <w:rPr>
                <w:rFonts w:asciiTheme="minorHAnsi" w:hAnsiTheme="minorHAnsi" w:cstheme="minorHAnsi"/>
                <w:sz w:val="20"/>
                <w:szCs w:val="20"/>
              </w:rPr>
            </w:pPr>
            <w:r w:rsidRPr="0089015D">
              <w:rPr>
                <w:rFonts w:asciiTheme="minorHAnsi" w:hAnsiTheme="minorHAnsi" w:cstheme="minorHAnsi"/>
                <w:sz w:val="20"/>
                <w:szCs w:val="20"/>
              </w:rPr>
              <w:t xml:space="preserve"> For-Profit</w:t>
            </w:r>
          </w:p>
        </w:tc>
        <w:tc>
          <w:tcPr>
            <w:tcW w:w="957" w:type="pct"/>
            <w:tcBorders>
              <w:top w:val="single" w:sz="4" w:space="0" w:color="366092"/>
              <w:bottom w:val="single" w:sz="4" w:space="0" w:color="366092"/>
            </w:tcBorders>
            <w:shd w:val="clear" w:color="auto" w:fill="auto"/>
            <w:noWrap/>
            <w:vAlign w:val="bottom"/>
            <w:hideMark/>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63</w:t>
            </w:r>
          </w:p>
        </w:tc>
        <w:tc>
          <w:tcPr>
            <w:tcW w:w="859" w:type="pct"/>
            <w:tcBorders>
              <w:top w:val="single" w:sz="4" w:space="0" w:color="366092"/>
              <w:bottom w:val="single" w:sz="4" w:space="0" w:color="366092"/>
            </w:tcBorders>
            <w:vAlign w:val="bottom"/>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4.5</w:t>
            </w:r>
          </w:p>
        </w:tc>
        <w:tc>
          <w:tcPr>
            <w:tcW w:w="964" w:type="pct"/>
            <w:tcBorders>
              <w:top w:val="single" w:sz="4" w:space="0" w:color="366092"/>
              <w:bottom w:val="single" w:sz="4" w:space="0" w:color="366092"/>
            </w:tcBorders>
            <w:vAlign w:val="bottom"/>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3.8</w:t>
            </w:r>
          </w:p>
        </w:tc>
      </w:tr>
      <w:tr w:rsidR="001C5522" w:rsidRPr="00DE2F04" w:rsidTr="0089015D">
        <w:trPr>
          <w:trHeight w:val="288"/>
        </w:trPr>
        <w:tc>
          <w:tcPr>
            <w:tcW w:w="2220" w:type="pct"/>
            <w:tcBorders>
              <w:top w:val="single" w:sz="4" w:space="0" w:color="366092"/>
              <w:bottom w:val="single" w:sz="4" w:space="0" w:color="366092"/>
            </w:tcBorders>
            <w:shd w:val="clear" w:color="auto" w:fill="auto"/>
            <w:noWrap/>
            <w:vAlign w:val="bottom"/>
            <w:hideMark/>
          </w:tcPr>
          <w:p w:rsidR="001C5522" w:rsidRPr="0089015D" w:rsidRDefault="001C5522" w:rsidP="0089015D">
            <w:pPr>
              <w:spacing w:after="0"/>
              <w:rPr>
                <w:rFonts w:asciiTheme="minorHAnsi" w:hAnsiTheme="minorHAnsi" w:cstheme="minorHAnsi"/>
                <w:sz w:val="20"/>
                <w:szCs w:val="20"/>
              </w:rPr>
            </w:pPr>
            <w:r w:rsidRPr="0089015D">
              <w:rPr>
                <w:rFonts w:asciiTheme="minorHAnsi" w:hAnsiTheme="minorHAnsi" w:cstheme="minorHAnsi"/>
                <w:sz w:val="20"/>
                <w:szCs w:val="20"/>
              </w:rPr>
              <w:t xml:space="preserve"> Not-For-Profit</w:t>
            </w:r>
          </w:p>
        </w:tc>
        <w:tc>
          <w:tcPr>
            <w:tcW w:w="957" w:type="pct"/>
            <w:tcBorders>
              <w:top w:val="single" w:sz="4" w:space="0" w:color="366092"/>
              <w:bottom w:val="single" w:sz="4" w:space="0" w:color="366092"/>
            </w:tcBorders>
            <w:shd w:val="clear" w:color="auto" w:fill="auto"/>
            <w:noWrap/>
            <w:vAlign w:val="bottom"/>
            <w:hideMark/>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53</w:t>
            </w:r>
          </w:p>
        </w:tc>
        <w:tc>
          <w:tcPr>
            <w:tcW w:w="859" w:type="pct"/>
            <w:tcBorders>
              <w:top w:val="single" w:sz="4" w:space="0" w:color="366092"/>
              <w:bottom w:val="single" w:sz="4" w:space="0" w:color="366092"/>
            </w:tcBorders>
            <w:vAlign w:val="bottom"/>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1.8</w:t>
            </w:r>
          </w:p>
        </w:tc>
        <w:tc>
          <w:tcPr>
            <w:tcW w:w="964" w:type="pct"/>
            <w:tcBorders>
              <w:top w:val="single" w:sz="4" w:space="0" w:color="366092"/>
              <w:bottom w:val="single" w:sz="4" w:space="0" w:color="366092"/>
            </w:tcBorders>
            <w:vAlign w:val="bottom"/>
          </w:tcPr>
          <w:p w:rsidR="001C5522" w:rsidRPr="0089015D" w:rsidRDefault="001C5522" w:rsidP="0089015D">
            <w:pPr>
              <w:spacing w:after="0"/>
              <w:jc w:val="right"/>
              <w:rPr>
                <w:rFonts w:asciiTheme="minorHAnsi" w:hAnsiTheme="minorHAnsi" w:cstheme="minorHAnsi"/>
                <w:sz w:val="20"/>
                <w:szCs w:val="20"/>
              </w:rPr>
            </w:pPr>
            <w:r w:rsidRPr="0089015D">
              <w:rPr>
                <w:rFonts w:asciiTheme="minorHAnsi" w:hAnsiTheme="minorHAnsi" w:cstheme="minorHAnsi"/>
                <w:sz w:val="20"/>
                <w:szCs w:val="20"/>
              </w:rPr>
              <w:t>1.6</w:t>
            </w:r>
          </w:p>
        </w:tc>
      </w:tr>
    </w:tbl>
    <w:p w:rsidR="001C5522" w:rsidRDefault="001C5522" w:rsidP="001C5522">
      <w:pPr>
        <w:spacing w:after="0" w:line="240" w:lineRule="auto"/>
        <w:rPr>
          <w:rFonts w:ascii="Arial" w:hAnsi="Arial" w:cs="Arial"/>
          <w:i/>
          <w:sz w:val="16"/>
          <w:szCs w:val="16"/>
        </w:rPr>
      </w:pPr>
      <w:r w:rsidRPr="004130E8">
        <w:rPr>
          <w:rFonts w:ascii="Arial" w:hAnsi="Arial" w:cs="Arial"/>
          <w:i/>
          <w:sz w:val="16"/>
          <w:szCs w:val="16"/>
        </w:rPr>
        <w:t>Source: TEQSA National Register</w:t>
      </w:r>
      <w:r>
        <w:rPr>
          <w:rFonts w:ascii="Arial" w:hAnsi="Arial" w:cs="Arial"/>
          <w:i/>
          <w:sz w:val="16"/>
          <w:szCs w:val="16"/>
        </w:rPr>
        <w:t xml:space="preserve"> - 12</w:t>
      </w:r>
      <w:r w:rsidRPr="004130E8">
        <w:rPr>
          <w:rFonts w:ascii="Arial" w:hAnsi="Arial" w:cs="Arial"/>
          <w:i/>
          <w:sz w:val="16"/>
          <w:szCs w:val="16"/>
        </w:rPr>
        <w:t xml:space="preserve"> August</w:t>
      </w:r>
      <w:r>
        <w:rPr>
          <w:rFonts w:ascii="Arial" w:hAnsi="Arial" w:cs="Arial"/>
          <w:i/>
          <w:sz w:val="16"/>
          <w:szCs w:val="16"/>
        </w:rPr>
        <w:t xml:space="preserve"> </w:t>
      </w:r>
      <w:r w:rsidRPr="004130E8">
        <w:rPr>
          <w:rFonts w:ascii="Arial" w:hAnsi="Arial" w:cs="Arial"/>
          <w:i/>
          <w:sz w:val="16"/>
          <w:szCs w:val="16"/>
        </w:rPr>
        <w:t>2016; TEQSA analysis; 2015 PIR; Department of Education and Training; provider financial statements</w:t>
      </w:r>
      <w:r>
        <w:rPr>
          <w:rFonts w:ascii="Arial" w:hAnsi="Arial" w:cs="Arial"/>
          <w:i/>
          <w:sz w:val="16"/>
          <w:szCs w:val="16"/>
        </w:rPr>
        <w:t>.</w:t>
      </w:r>
    </w:p>
    <w:p w:rsidR="001C5522" w:rsidRDefault="001C5522" w:rsidP="001C5522">
      <w:pPr>
        <w:spacing w:after="0" w:line="240" w:lineRule="auto"/>
        <w:rPr>
          <w:rFonts w:ascii="Arial" w:hAnsi="Arial" w:cs="Arial"/>
          <w:i/>
          <w:sz w:val="16"/>
          <w:szCs w:val="16"/>
        </w:rPr>
      </w:pPr>
    </w:p>
    <w:p w:rsidR="001C5522" w:rsidRPr="00053612" w:rsidRDefault="001C5522" w:rsidP="00C55B83">
      <w:pPr>
        <w:pStyle w:val="ListParagraph"/>
        <w:shd w:val="clear" w:color="auto" w:fill="E5ECED" w:themeFill="accent4" w:themeFillTint="66"/>
        <w:spacing w:before="40" w:after="120" w:line="240" w:lineRule="auto"/>
        <w:ind w:left="0"/>
        <w:rPr>
          <w:rFonts w:asciiTheme="majorHAnsi" w:eastAsiaTheme="majorEastAsia" w:hAnsiTheme="majorHAnsi" w:cstheme="majorBidi"/>
          <w:b/>
          <w:bCs/>
          <w:noProof/>
          <w:color w:val="00353F" w:themeColor="accent1" w:themeShade="BF"/>
          <w:sz w:val="16"/>
          <w:szCs w:val="16"/>
          <w:lang w:eastAsia="en-AU"/>
        </w:rPr>
      </w:pPr>
    </w:p>
    <w:p w:rsidR="001C5522" w:rsidRPr="009249EB" w:rsidRDefault="001C5522" w:rsidP="00C55B83">
      <w:pPr>
        <w:pStyle w:val="ListParagraph"/>
        <w:numPr>
          <w:ilvl w:val="0"/>
          <w:numId w:val="7"/>
        </w:numPr>
        <w:shd w:val="clear" w:color="auto" w:fill="E5ECED" w:themeFill="accent4" w:themeFillTint="66"/>
        <w:spacing w:before="40" w:after="120" w:line="276" w:lineRule="auto"/>
        <w:ind w:left="357" w:hanging="357"/>
        <w:rPr>
          <w:rFonts w:asciiTheme="majorHAnsi" w:eastAsiaTheme="majorEastAsia" w:hAnsiTheme="majorHAnsi" w:cstheme="majorBidi"/>
          <w:b/>
          <w:bCs/>
          <w:noProof/>
          <w:color w:val="00353F" w:themeColor="accent1" w:themeShade="BF"/>
          <w:sz w:val="44"/>
          <w:szCs w:val="44"/>
          <w:lang w:eastAsia="en-AU"/>
        </w:rPr>
      </w:pPr>
      <w:r w:rsidRPr="004130E8">
        <w:rPr>
          <w:rFonts w:asciiTheme="minorHAnsi" w:eastAsiaTheme="majorEastAsia" w:hAnsiTheme="minorHAnsi" w:cstheme="minorHAnsi"/>
          <w:bCs/>
          <w:noProof/>
          <w:sz w:val="22"/>
          <w:szCs w:val="44"/>
          <w:lang w:eastAsia="en-AU"/>
        </w:rPr>
        <w:t xml:space="preserve">Universities </w:t>
      </w:r>
      <w:r>
        <w:rPr>
          <w:rFonts w:asciiTheme="minorHAnsi" w:eastAsiaTheme="majorEastAsia" w:hAnsiTheme="minorHAnsi" w:cstheme="minorHAnsi"/>
          <w:bCs/>
          <w:noProof/>
          <w:sz w:val="22"/>
          <w:szCs w:val="44"/>
          <w:lang w:eastAsia="en-AU"/>
        </w:rPr>
        <w:t xml:space="preserve">represent </w:t>
      </w:r>
      <w:r w:rsidRPr="004130E8">
        <w:rPr>
          <w:rFonts w:asciiTheme="minorHAnsi" w:eastAsiaTheme="majorEastAsia" w:hAnsiTheme="minorHAnsi" w:cstheme="minorHAnsi"/>
          <w:bCs/>
          <w:noProof/>
          <w:sz w:val="22"/>
          <w:szCs w:val="44"/>
          <w:lang w:eastAsia="en-AU"/>
        </w:rPr>
        <w:t xml:space="preserve">a quarter of all higher education providers, </w:t>
      </w:r>
      <w:r>
        <w:rPr>
          <w:rFonts w:asciiTheme="minorHAnsi" w:eastAsiaTheme="majorEastAsia" w:hAnsiTheme="minorHAnsi" w:cstheme="minorHAnsi"/>
          <w:bCs/>
          <w:noProof/>
          <w:sz w:val="22"/>
          <w:szCs w:val="44"/>
          <w:lang w:eastAsia="en-AU"/>
        </w:rPr>
        <w:t>but</w:t>
      </w:r>
      <w:r w:rsidRPr="004130E8">
        <w:rPr>
          <w:rFonts w:asciiTheme="minorHAnsi" w:eastAsiaTheme="majorEastAsia" w:hAnsiTheme="minorHAnsi" w:cstheme="minorHAnsi"/>
          <w:bCs/>
          <w:noProof/>
          <w:sz w:val="22"/>
          <w:szCs w:val="44"/>
          <w:lang w:eastAsia="en-AU"/>
        </w:rPr>
        <w:t xml:space="preserve"> account for the</w:t>
      </w:r>
      <w:r>
        <w:rPr>
          <w:rFonts w:asciiTheme="minorHAnsi" w:eastAsiaTheme="majorEastAsia" w:hAnsiTheme="minorHAnsi" w:cstheme="minorHAnsi"/>
          <w:bCs/>
          <w:noProof/>
          <w:sz w:val="22"/>
          <w:szCs w:val="44"/>
          <w:lang w:eastAsia="en-AU"/>
        </w:rPr>
        <w:t xml:space="preserve"> overwhelming m</w:t>
      </w:r>
      <w:r w:rsidRPr="004130E8">
        <w:rPr>
          <w:rFonts w:asciiTheme="minorHAnsi" w:eastAsiaTheme="majorEastAsia" w:hAnsiTheme="minorHAnsi" w:cstheme="minorHAnsi"/>
          <w:bCs/>
          <w:noProof/>
          <w:sz w:val="22"/>
          <w:szCs w:val="44"/>
          <w:lang w:eastAsia="en-AU"/>
        </w:rPr>
        <w:t>ajority of students and higher education revenue in the sector.</w:t>
      </w:r>
    </w:p>
    <w:p w:rsidR="001C5522" w:rsidRPr="004130E8" w:rsidRDefault="001C5522" w:rsidP="00C55B83">
      <w:pPr>
        <w:pStyle w:val="ListParagraph"/>
        <w:numPr>
          <w:ilvl w:val="0"/>
          <w:numId w:val="7"/>
        </w:numPr>
        <w:shd w:val="clear" w:color="auto" w:fill="E5ECED" w:themeFill="accent4" w:themeFillTint="66"/>
        <w:spacing w:before="40" w:after="120" w:line="276" w:lineRule="auto"/>
        <w:ind w:left="357" w:hanging="357"/>
        <w:rPr>
          <w:rFonts w:asciiTheme="majorHAnsi" w:eastAsiaTheme="majorEastAsia" w:hAnsiTheme="majorHAnsi" w:cstheme="majorBidi"/>
          <w:b/>
          <w:bCs/>
          <w:noProof/>
          <w:color w:val="00353F" w:themeColor="accent1" w:themeShade="BF"/>
          <w:sz w:val="44"/>
          <w:szCs w:val="44"/>
          <w:lang w:eastAsia="en-AU"/>
        </w:rPr>
      </w:pPr>
      <w:r w:rsidRPr="004130E8">
        <w:rPr>
          <w:rFonts w:asciiTheme="minorHAnsi" w:eastAsiaTheme="majorEastAsia" w:hAnsiTheme="minorHAnsi" w:cstheme="minorHAnsi"/>
          <w:bCs/>
          <w:noProof/>
          <w:sz w:val="22"/>
          <w:szCs w:val="44"/>
          <w:lang w:eastAsia="en-AU"/>
        </w:rPr>
        <w:t xml:space="preserve">Non-university providers </w:t>
      </w:r>
      <w:r>
        <w:rPr>
          <w:rFonts w:asciiTheme="minorHAnsi" w:eastAsiaTheme="majorEastAsia" w:hAnsiTheme="minorHAnsi" w:cstheme="minorHAnsi"/>
          <w:bCs/>
          <w:noProof/>
          <w:sz w:val="22"/>
          <w:szCs w:val="44"/>
          <w:lang w:eastAsia="en-AU"/>
        </w:rPr>
        <w:t xml:space="preserve">represent </w:t>
      </w:r>
      <w:r w:rsidRPr="004130E8">
        <w:rPr>
          <w:rFonts w:asciiTheme="minorHAnsi" w:eastAsiaTheme="majorEastAsia" w:hAnsiTheme="minorHAnsi" w:cstheme="minorHAnsi"/>
          <w:bCs/>
          <w:noProof/>
          <w:sz w:val="22"/>
          <w:szCs w:val="44"/>
          <w:lang w:eastAsia="en-AU"/>
        </w:rPr>
        <w:t xml:space="preserve">three quarters of providers yet account for only </w:t>
      </w:r>
      <w:r w:rsidRPr="00644CE0">
        <w:rPr>
          <w:rFonts w:asciiTheme="minorHAnsi" w:eastAsiaTheme="majorEastAsia" w:hAnsiTheme="minorHAnsi" w:cstheme="minorHAnsi"/>
          <w:bCs/>
          <w:noProof/>
          <w:sz w:val="22"/>
          <w:szCs w:val="44"/>
          <w:lang w:eastAsia="en-AU"/>
        </w:rPr>
        <w:t>6.7%</w:t>
      </w:r>
      <w:r>
        <w:rPr>
          <w:rFonts w:asciiTheme="minorHAnsi" w:eastAsiaTheme="majorEastAsia" w:hAnsiTheme="minorHAnsi" w:cstheme="minorHAnsi"/>
          <w:bCs/>
          <w:noProof/>
          <w:sz w:val="22"/>
          <w:szCs w:val="44"/>
          <w:lang w:eastAsia="en-AU"/>
        </w:rPr>
        <w:t xml:space="preserve"> of students and 5.6</w:t>
      </w:r>
      <w:r w:rsidRPr="004130E8">
        <w:rPr>
          <w:rFonts w:asciiTheme="minorHAnsi" w:eastAsiaTheme="majorEastAsia" w:hAnsiTheme="minorHAnsi" w:cstheme="minorHAnsi"/>
          <w:bCs/>
          <w:noProof/>
          <w:sz w:val="22"/>
          <w:szCs w:val="44"/>
          <w:lang w:eastAsia="en-AU"/>
        </w:rPr>
        <w:t xml:space="preserve">% of </w:t>
      </w:r>
      <w:r>
        <w:rPr>
          <w:rFonts w:asciiTheme="minorHAnsi" w:eastAsiaTheme="majorEastAsia" w:hAnsiTheme="minorHAnsi" w:cstheme="minorHAnsi"/>
          <w:bCs/>
          <w:noProof/>
          <w:sz w:val="22"/>
          <w:szCs w:val="44"/>
          <w:lang w:eastAsia="en-AU"/>
        </w:rPr>
        <w:t>higher education</w:t>
      </w:r>
      <w:r w:rsidRPr="004130E8">
        <w:rPr>
          <w:rFonts w:asciiTheme="minorHAnsi" w:eastAsiaTheme="majorEastAsia" w:hAnsiTheme="minorHAnsi" w:cstheme="minorHAnsi"/>
          <w:bCs/>
          <w:noProof/>
          <w:sz w:val="22"/>
          <w:szCs w:val="44"/>
          <w:lang w:eastAsia="en-AU"/>
        </w:rPr>
        <w:t xml:space="preserve"> revenue.</w:t>
      </w:r>
    </w:p>
    <w:p w:rsidR="001C5522" w:rsidRPr="00053612" w:rsidRDefault="001C5522" w:rsidP="00C55B83">
      <w:pPr>
        <w:pStyle w:val="ListParagraph"/>
        <w:shd w:val="clear" w:color="auto" w:fill="E5ECED" w:themeFill="accent4" w:themeFillTint="66"/>
        <w:spacing w:before="40" w:after="120" w:line="240" w:lineRule="auto"/>
        <w:ind w:left="0"/>
        <w:rPr>
          <w:rFonts w:asciiTheme="majorHAnsi" w:eastAsiaTheme="majorEastAsia" w:hAnsiTheme="majorHAnsi" w:cstheme="majorBidi"/>
          <w:b/>
          <w:bCs/>
          <w:noProof/>
          <w:color w:val="00353F" w:themeColor="accent1" w:themeShade="BF"/>
          <w:sz w:val="16"/>
          <w:szCs w:val="16"/>
          <w:lang w:eastAsia="en-AU"/>
        </w:rPr>
      </w:pPr>
    </w:p>
    <w:p w:rsidR="00B8785D" w:rsidRDefault="00B8785D" w:rsidP="001C5522">
      <w:pPr>
        <w:rPr>
          <w:rFonts w:ascii="Arial" w:hAnsi="Arial" w:cs="Arial"/>
          <w:sz w:val="22"/>
          <w:szCs w:val="20"/>
          <w:lang w:val="en-US"/>
        </w:rPr>
      </w:pPr>
    </w:p>
    <w:p w:rsidR="001C5522" w:rsidRPr="00053612" w:rsidRDefault="001C5522" w:rsidP="001C5522">
      <w:pPr>
        <w:rPr>
          <w:rFonts w:ascii="Arial" w:hAnsi="Arial" w:cs="Arial"/>
          <w:color w:val="004855" w:themeColor="text1"/>
          <w:sz w:val="22"/>
          <w:szCs w:val="20"/>
          <w:lang w:val="en-US"/>
        </w:rPr>
      </w:pPr>
      <w:r w:rsidRPr="00B87A49">
        <w:rPr>
          <w:rFonts w:ascii="Arial" w:hAnsi="Arial" w:cs="Arial"/>
          <w:sz w:val="22"/>
          <w:szCs w:val="20"/>
          <w:lang w:val="en-US"/>
        </w:rPr>
        <w:t>Table 3 below summarises the</w:t>
      </w:r>
      <w:r>
        <w:rPr>
          <w:rFonts w:ascii="Arial" w:hAnsi="Arial" w:cs="Arial"/>
          <w:sz w:val="22"/>
          <w:szCs w:val="20"/>
          <w:lang w:val="en-US"/>
        </w:rPr>
        <w:t xml:space="preserve"> revenue range for each provider </w:t>
      </w:r>
      <w:r w:rsidR="00C55B83">
        <w:rPr>
          <w:rFonts w:ascii="Arial" w:hAnsi="Arial" w:cs="Arial"/>
          <w:sz w:val="22"/>
          <w:szCs w:val="20"/>
          <w:lang w:val="en-US"/>
        </w:rPr>
        <w:t>type</w:t>
      </w:r>
      <w:r>
        <w:rPr>
          <w:rFonts w:ascii="Arial" w:hAnsi="Arial" w:cs="Arial"/>
          <w:sz w:val="22"/>
          <w:szCs w:val="20"/>
          <w:lang w:val="en-US"/>
        </w:rPr>
        <w:t>.</w:t>
      </w:r>
      <w:r>
        <w:rPr>
          <w:rFonts w:ascii="Arial" w:hAnsi="Arial" w:cs="Arial"/>
          <w:color w:val="004855" w:themeColor="text1"/>
          <w:sz w:val="22"/>
          <w:szCs w:val="20"/>
          <w:lang w:val="en-US"/>
        </w:rPr>
        <w:t xml:space="preserve"> </w:t>
      </w:r>
    </w:p>
    <w:p w:rsidR="001C5522" w:rsidRPr="008249DC" w:rsidRDefault="001C5522" w:rsidP="001C5522">
      <w:pPr>
        <w:rPr>
          <w:rFonts w:ascii="Georgia" w:hAnsi="Georgia" w:cs="Arial"/>
          <w:b/>
          <w:color w:val="004855" w:themeColor="text1"/>
          <w:sz w:val="20"/>
          <w:szCs w:val="20"/>
          <w:lang w:val="en-US"/>
        </w:rPr>
      </w:pPr>
      <w:r>
        <w:rPr>
          <w:rFonts w:ascii="Georgia" w:hAnsi="Georgia" w:cs="Arial"/>
          <w:b/>
          <w:color w:val="004855" w:themeColor="text1"/>
          <w:sz w:val="20"/>
          <w:szCs w:val="20"/>
          <w:lang w:val="en-US"/>
        </w:rPr>
        <w:t>Table 3</w:t>
      </w:r>
      <w:r w:rsidRPr="008249DC">
        <w:rPr>
          <w:rFonts w:ascii="Georgia" w:hAnsi="Georgia" w:cs="Arial"/>
          <w:b/>
          <w:color w:val="004855" w:themeColor="text1"/>
          <w:sz w:val="20"/>
          <w:szCs w:val="20"/>
          <w:lang w:val="en-US"/>
        </w:rPr>
        <w:t xml:space="preserve">: </w:t>
      </w:r>
      <w:r>
        <w:rPr>
          <w:rFonts w:ascii="Georgia" w:hAnsi="Georgia" w:cs="Arial"/>
          <w:b/>
          <w:color w:val="004855" w:themeColor="text1"/>
          <w:sz w:val="20"/>
          <w:szCs w:val="20"/>
          <w:lang w:val="en-US"/>
        </w:rPr>
        <w:t>Total revenue range</w:t>
      </w:r>
      <w:r w:rsidRPr="008249DC">
        <w:rPr>
          <w:rFonts w:ascii="Georgia" w:hAnsi="Georgia" w:cs="Arial"/>
          <w:b/>
          <w:color w:val="004855" w:themeColor="text1"/>
          <w:sz w:val="20"/>
          <w:szCs w:val="20"/>
          <w:lang w:val="en-US"/>
        </w:rPr>
        <w:t>, by provider type</w:t>
      </w:r>
    </w:p>
    <w:tbl>
      <w:tblPr>
        <w:tblW w:w="4942" w:type="pct"/>
        <w:tblInd w:w="108" w:type="dxa"/>
        <w:tblLook w:val="04A0" w:firstRow="1" w:lastRow="0" w:firstColumn="1" w:lastColumn="0" w:noHBand="0" w:noVBand="1"/>
      </w:tblPr>
      <w:tblGrid>
        <w:gridCol w:w="2173"/>
        <w:gridCol w:w="1427"/>
        <w:gridCol w:w="1593"/>
        <w:gridCol w:w="11"/>
        <w:gridCol w:w="1366"/>
        <w:gridCol w:w="1495"/>
        <w:gridCol w:w="1396"/>
      </w:tblGrid>
      <w:tr w:rsidR="001C5522" w:rsidRPr="00797118" w:rsidTr="005A220D">
        <w:trPr>
          <w:trHeight w:val="300"/>
        </w:trPr>
        <w:tc>
          <w:tcPr>
            <w:tcW w:w="1148" w:type="pct"/>
            <w:tcBorders>
              <w:top w:val="nil"/>
              <w:left w:val="nil"/>
              <w:bottom w:val="single" w:sz="4" w:space="0" w:color="366092"/>
              <w:right w:val="nil"/>
            </w:tcBorders>
            <w:shd w:val="clear" w:color="auto" w:fill="004855"/>
            <w:noWrap/>
            <w:vAlign w:val="center"/>
          </w:tcPr>
          <w:p w:rsidR="001C5522" w:rsidRPr="00797118" w:rsidRDefault="001C5522" w:rsidP="005A220D">
            <w:pPr>
              <w:spacing w:after="0"/>
              <w:rPr>
                <w:rFonts w:asciiTheme="minorHAnsi" w:hAnsiTheme="minorHAnsi" w:cstheme="minorHAnsi"/>
                <w:b/>
                <w:sz w:val="20"/>
                <w:szCs w:val="20"/>
              </w:rPr>
            </w:pPr>
            <w:r>
              <w:rPr>
                <w:rFonts w:asciiTheme="minorHAnsi" w:hAnsiTheme="minorHAnsi" w:cstheme="minorHAnsi"/>
                <w:b/>
                <w:sz w:val="20"/>
                <w:szCs w:val="20"/>
              </w:rPr>
              <w:t>$ million</w:t>
            </w:r>
          </w:p>
        </w:tc>
        <w:tc>
          <w:tcPr>
            <w:tcW w:w="754" w:type="pct"/>
            <w:tcBorders>
              <w:top w:val="nil"/>
              <w:left w:val="nil"/>
              <w:bottom w:val="single" w:sz="4" w:space="0" w:color="366092"/>
              <w:right w:val="nil"/>
            </w:tcBorders>
            <w:shd w:val="clear" w:color="auto" w:fill="004855"/>
            <w:noWrap/>
            <w:vAlign w:val="center"/>
          </w:tcPr>
          <w:p w:rsidR="001C5522" w:rsidRPr="00797118" w:rsidRDefault="001C5522" w:rsidP="00C55B83">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42" w:type="pct"/>
            <w:tcBorders>
              <w:top w:val="nil"/>
              <w:left w:val="nil"/>
              <w:bottom w:val="single" w:sz="4" w:space="0" w:color="366092"/>
              <w:right w:val="nil"/>
            </w:tcBorders>
            <w:shd w:val="clear" w:color="auto" w:fill="004855"/>
            <w:vAlign w:val="center"/>
          </w:tcPr>
          <w:p w:rsidR="001C5522" w:rsidRPr="00797118" w:rsidRDefault="001C5522" w:rsidP="00C55B83">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8" w:type="pct"/>
            <w:gridSpan w:val="2"/>
            <w:tcBorders>
              <w:top w:val="nil"/>
              <w:left w:val="nil"/>
              <w:bottom w:val="single" w:sz="4" w:space="0" w:color="366092"/>
              <w:right w:val="nil"/>
            </w:tcBorders>
            <w:shd w:val="clear" w:color="auto" w:fill="004855"/>
            <w:noWrap/>
            <w:vAlign w:val="center"/>
          </w:tcPr>
          <w:p w:rsidR="001C5522" w:rsidRPr="00797118" w:rsidRDefault="001C5522" w:rsidP="00C55B83">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0" w:type="pct"/>
            <w:tcBorders>
              <w:top w:val="nil"/>
              <w:left w:val="nil"/>
              <w:bottom w:val="single" w:sz="4" w:space="0" w:color="366092"/>
              <w:right w:val="nil"/>
            </w:tcBorders>
            <w:shd w:val="clear" w:color="auto" w:fill="004855"/>
            <w:noWrap/>
            <w:vAlign w:val="center"/>
          </w:tcPr>
          <w:p w:rsidR="001C5522" w:rsidRPr="00797118" w:rsidRDefault="001C5522" w:rsidP="00C55B83">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8" w:type="pct"/>
            <w:tcBorders>
              <w:top w:val="nil"/>
              <w:left w:val="nil"/>
              <w:bottom w:val="single" w:sz="4" w:space="0" w:color="366092"/>
              <w:right w:val="nil"/>
            </w:tcBorders>
            <w:shd w:val="clear" w:color="auto" w:fill="004855"/>
            <w:vAlign w:val="center"/>
          </w:tcPr>
          <w:p w:rsidR="001C5522" w:rsidRPr="00797118" w:rsidRDefault="001C5522" w:rsidP="00C55B83">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1C5522" w:rsidRPr="00797118" w:rsidTr="005A220D">
        <w:trPr>
          <w:trHeight w:val="300"/>
        </w:trPr>
        <w:tc>
          <w:tcPr>
            <w:tcW w:w="1148" w:type="pct"/>
            <w:tcBorders>
              <w:top w:val="nil"/>
              <w:left w:val="nil"/>
              <w:bottom w:val="single" w:sz="4" w:space="0" w:color="366092"/>
              <w:right w:val="nil"/>
            </w:tcBorders>
            <w:shd w:val="clear" w:color="auto" w:fill="auto"/>
            <w:noWrap/>
            <w:vAlign w:val="center"/>
          </w:tcPr>
          <w:p w:rsidR="001C5522" w:rsidRPr="00296D08" w:rsidRDefault="001C5522" w:rsidP="005A220D">
            <w:pPr>
              <w:spacing w:after="0"/>
              <w:rPr>
                <w:rFonts w:asciiTheme="minorHAnsi" w:hAnsiTheme="minorHAnsi" w:cstheme="minorHAnsi"/>
                <w:sz w:val="20"/>
                <w:szCs w:val="20"/>
              </w:rPr>
            </w:pPr>
            <w:r w:rsidRPr="00296D08">
              <w:rPr>
                <w:rFonts w:asciiTheme="minorHAnsi" w:hAnsiTheme="minorHAnsi" w:cstheme="minorHAnsi"/>
                <w:sz w:val="20"/>
                <w:szCs w:val="20"/>
              </w:rPr>
              <w:t>Universit</w:t>
            </w:r>
            <w:r>
              <w:rPr>
                <w:rFonts w:asciiTheme="minorHAnsi" w:hAnsiTheme="minorHAnsi" w:cstheme="minorHAnsi"/>
                <w:sz w:val="20"/>
                <w:szCs w:val="20"/>
              </w:rPr>
              <w:t>ies</w:t>
            </w:r>
          </w:p>
        </w:tc>
        <w:tc>
          <w:tcPr>
            <w:tcW w:w="754" w:type="pct"/>
            <w:tcBorders>
              <w:top w:val="nil"/>
              <w:left w:val="nil"/>
              <w:bottom w:val="single" w:sz="4" w:space="0" w:color="366092"/>
              <w:right w:val="nil"/>
            </w:tcBorders>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1.5</w:t>
            </w:r>
          </w:p>
        </w:tc>
        <w:tc>
          <w:tcPr>
            <w:tcW w:w="848" w:type="pct"/>
            <w:gridSpan w:val="2"/>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287.5</w:t>
            </w:r>
          </w:p>
        </w:tc>
        <w:tc>
          <w:tcPr>
            <w:tcW w:w="722" w:type="pct"/>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520.9</w:t>
            </w:r>
          </w:p>
        </w:tc>
        <w:tc>
          <w:tcPr>
            <w:tcW w:w="790" w:type="pct"/>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843.5</w:t>
            </w:r>
          </w:p>
        </w:tc>
        <w:tc>
          <w:tcPr>
            <w:tcW w:w="738" w:type="pct"/>
            <w:tcBorders>
              <w:top w:val="nil"/>
              <w:left w:val="nil"/>
              <w:bottom w:val="single" w:sz="4" w:space="0" w:color="366092"/>
              <w:right w:val="nil"/>
            </w:tcBorders>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2,108.4</w:t>
            </w:r>
          </w:p>
        </w:tc>
      </w:tr>
      <w:tr w:rsidR="009D7929" w:rsidRPr="00797118" w:rsidTr="0089015D">
        <w:trPr>
          <w:trHeight w:val="300"/>
        </w:trPr>
        <w:tc>
          <w:tcPr>
            <w:tcW w:w="1148" w:type="pct"/>
            <w:tcBorders>
              <w:top w:val="nil"/>
              <w:left w:val="nil"/>
              <w:bottom w:val="single" w:sz="4" w:space="0" w:color="366092"/>
              <w:right w:val="nil"/>
            </w:tcBorders>
            <w:shd w:val="clear" w:color="auto" w:fill="auto"/>
            <w:noWrap/>
            <w:vAlign w:val="center"/>
          </w:tcPr>
          <w:p w:rsidR="009D7929" w:rsidRPr="00296D08" w:rsidRDefault="009D7929"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754" w:type="pct"/>
            <w:tcBorders>
              <w:top w:val="nil"/>
              <w:left w:val="nil"/>
              <w:bottom w:val="single" w:sz="4" w:space="0" w:color="366092"/>
              <w:right w:val="nil"/>
            </w:tcBorders>
          </w:tcPr>
          <w:p w:rsidR="009D7929" w:rsidRPr="000B07C2" w:rsidRDefault="009D7929" w:rsidP="0089015D">
            <w:pPr>
              <w:spacing w:after="0"/>
              <w:jc w:val="right"/>
              <w:rPr>
                <w:rFonts w:asciiTheme="minorHAnsi" w:hAnsiTheme="minorHAnsi" w:cstheme="minorHAnsi"/>
                <w:sz w:val="20"/>
                <w:szCs w:val="20"/>
              </w:rPr>
            </w:pPr>
            <w:r w:rsidRPr="009C51B0">
              <w:rPr>
                <w:rFonts w:asciiTheme="minorHAnsi" w:hAnsiTheme="minorHAnsi" w:cstheme="minorHAnsi"/>
                <w:sz w:val="20"/>
                <w:szCs w:val="20"/>
              </w:rPr>
              <w:t>39.8</w:t>
            </w:r>
          </w:p>
        </w:tc>
        <w:tc>
          <w:tcPr>
            <w:tcW w:w="848" w:type="pct"/>
            <w:gridSpan w:val="2"/>
            <w:tcBorders>
              <w:top w:val="nil"/>
              <w:left w:val="nil"/>
              <w:bottom w:val="single" w:sz="4" w:space="0" w:color="366092"/>
              <w:right w:val="nil"/>
            </w:tcBorders>
            <w:shd w:val="clear" w:color="auto" w:fill="auto"/>
            <w:noWrap/>
          </w:tcPr>
          <w:p w:rsidR="009D7929" w:rsidRPr="000B07C2" w:rsidRDefault="009D7929" w:rsidP="0089015D">
            <w:pPr>
              <w:spacing w:after="0"/>
              <w:jc w:val="right"/>
              <w:rPr>
                <w:rFonts w:asciiTheme="minorHAnsi" w:hAnsiTheme="minorHAnsi" w:cstheme="minorHAnsi"/>
                <w:sz w:val="20"/>
                <w:szCs w:val="20"/>
              </w:rPr>
            </w:pPr>
            <w:r w:rsidRPr="009C51B0">
              <w:rPr>
                <w:rFonts w:asciiTheme="minorHAnsi" w:hAnsiTheme="minorHAnsi" w:cstheme="minorHAnsi"/>
                <w:sz w:val="20"/>
                <w:szCs w:val="20"/>
              </w:rPr>
              <w:t>109.6</w:t>
            </w:r>
          </w:p>
        </w:tc>
        <w:tc>
          <w:tcPr>
            <w:tcW w:w="722" w:type="pct"/>
            <w:tcBorders>
              <w:top w:val="nil"/>
              <w:left w:val="nil"/>
              <w:bottom w:val="single" w:sz="4" w:space="0" w:color="366092"/>
              <w:right w:val="nil"/>
            </w:tcBorders>
            <w:shd w:val="clear" w:color="auto" w:fill="auto"/>
            <w:noWrap/>
          </w:tcPr>
          <w:p w:rsidR="009D7929" w:rsidRPr="000B07C2" w:rsidRDefault="009D7929" w:rsidP="0089015D">
            <w:pPr>
              <w:spacing w:after="0"/>
              <w:jc w:val="right"/>
              <w:rPr>
                <w:rFonts w:asciiTheme="minorHAnsi" w:hAnsiTheme="minorHAnsi" w:cstheme="minorHAnsi"/>
                <w:sz w:val="20"/>
                <w:szCs w:val="20"/>
              </w:rPr>
            </w:pPr>
            <w:r w:rsidRPr="009C51B0">
              <w:rPr>
                <w:rFonts w:asciiTheme="minorHAnsi" w:hAnsiTheme="minorHAnsi" w:cstheme="minorHAnsi"/>
                <w:sz w:val="20"/>
                <w:szCs w:val="20"/>
              </w:rPr>
              <w:t>121.5</w:t>
            </w:r>
          </w:p>
        </w:tc>
        <w:tc>
          <w:tcPr>
            <w:tcW w:w="790" w:type="pct"/>
            <w:tcBorders>
              <w:top w:val="nil"/>
              <w:left w:val="nil"/>
              <w:bottom w:val="single" w:sz="4" w:space="0" w:color="366092"/>
              <w:right w:val="nil"/>
            </w:tcBorders>
            <w:shd w:val="clear" w:color="auto" w:fill="auto"/>
            <w:noWrap/>
          </w:tcPr>
          <w:p w:rsidR="009D7929" w:rsidRPr="000B07C2" w:rsidRDefault="009D7929" w:rsidP="0089015D">
            <w:pPr>
              <w:spacing w:after="0"/>
              <w:jc w:val="right"/>
              <w:rPr>
                <w:rFonts w:asciiTheme="minorHAnsi" w:hAnsiTheme="minorHAnsi" w:cstheme="minorHAnsi"/>
                <w:sz w:val="20"/>
                <w:szCs w:val="20"/>
              </w:rPr>
            </w:pPr>
            <w:r w:rsidRPr="009C51B0">
              <w:rPr>
                <w:rFonts w:asciiTheme="minorHAnsi" w:hAnsiTheme="minorHAnsi" w:cstheme="minorHAnsi"/>
                <w:sz w:val="20"/>
                <w:szCs w:val="20"/>
              </w:rPr>
              <w:t>241.7</w:t>
            </w:r>
          </w:p>
        </w:tc>
        <w:tc>
          <w:tcPr>
            <w:tcW w:w="738" w:type="pct"/>
            <w:tcBorders>
              <w:top w:val="nil"/>
              <w:left w:val="nil"/>
              <w:bottom w:val="single" w:sz="4" w:space="0" w:color="366092"/>
              <w:right w:val="nil"/>
            </w:tcBorders>
          </w:tcPr>
          <w:p w:rsidR="009D7929" w:rsidRPr="000B07C2" w:rsidRDefault="009D7929" w:rsidP="0089015D">
            <w:pPr>
              <w:spacing w:after="0"/>
              <w:jc w:val="right"/>
              <w:rPr>
                <w:rFonts w:asciiTheme="minorHAnsi" w:hAnsiTheme="minorHAnsi" w:cstheme="minorHAnsi"/>
                <w:sz w:val="20"/>
                <w:szCs w:val="20"/>
              </w:rPr>
            </w:pPr>
            <w:r w:rsidRPr="009C51B0">
              <w:rPr>
                <w:rFonts w:asciiTheme="minorHAnsi" w:hAnsiTheme="minorHAnsi" w:cstheme="minorHAnsi"/>
                <w:sz w:val="20"/>
                <w:szCs w:val="20"/>
              </w:rPr>
              <w:t>1,901.4</w:t>
            </w:r>
          </w:p>
        </w:tc>
      </w:tr>
      <w:tr w:rsidR="001C5522" w:rsidRPr="00797118" w:rsidTr="005A220D">
        <w:trPr>
          <w:trHeight w:val="300"/>
        </w:trPr>
        <w:tc>
          <w:tcPr>
            <w:tcW w:w="1148" w:type="pct"/>
            <w:tcBorders>
              <w:top w:val="nil"/>
              <w:left w:val="nil"/>
              <w:bottom w:val="single" w:sz="4" w:space="0" w:color="366092"/>
              <w:right w:val="nil"/>
            </w:tcBorders>
            <w:shd w:val="clear" w:color="auto" w:fill="auto"/>
            <w:noWrap/>
            <w:vAlign w:val="center"/>
          </w:tcPr>
          <w:p w:rsidR="001C5522" w:rsidRPr="00296D08" w:rsidRDefault="001C5522" w:rsidP="005A220D">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54" w:type="pct"/>
            <w:tcBorders>
              <w:top w:val="nil"/>
              <w:left w:val="nil"/>
              <w:bottom w:val="single" w:sz="4" w:space="0" w:color="366092"/>
              <w:right w:val="nil"/>
            </w:tcBorders>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0.3</w:t>
            </w:r>
          </w:p>
        </w:tc>
        <w:tc>
          <w:tcPr>
            <w:tcW w:w="848" w:type="pct"/>
            <w:gridSpan w:val="2"/>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5.1</w:t>
            </w:r>
          </w:p>
        </w:tc>
        <w:tc>
          <w:tcPr>
            <w:tcW w:w="722" w:type="pct"/>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14.4</w:t>
            </w:r>
          </w:p>
        </w:tc>
        <w:tc>
          <w:tcPr>
            <w:tcW w:w="790" w:type="pct"/>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31.0</w:t>
            </w:r>
          </w:p>
        </w:tc>
        <w:tc>
          <w:tcPr>
            <w:tcW w:w="738" w:type="pct"/>
            <w:tcBorders>
              <w:top w:val="nil"/>
              <w:left w:val="nil"/>
              <w:bottom w:val="single" w:sz="4" w:space="0" w:color="366092"/>
              <w:right w:val="nil"/>
            </w:tcBorders>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191.9</w:t>
            </w:r>
          </w:p>
        </w:tc>
      </w:tr>
      <w:tr w:rsidR="001C5522" w:rsidRPr="00797118" w:rsidTr="005A220D">
        <w:trPr>
          <w:trHeight w:val="300"/>
        </w:trPr>
        <w:tc>
          <w:tcPr>
            <w:tcW w:w="1148" w:type="pct"/>
            <w:tcBorders>
              <w:top w:val="nil"/>
              <w:left w:val="nil"/>
              <w:bottom w:val="single" w:sz="4" w:space="0" w:color="366092"/>
              <w:right w:val="nil"/>
            </w:tcBorders>
            <w:shd w:val="clear" w:color="auto" w:fill="auto"/>
            <w:noWrap/>
            <w:vAlign w:val="center"/>
          </w:tcPr>
          <w:p w:rsidR="001C5522" w:rsidRPr="00296D08" w:rsidRDefault="001C5522" w:rsidP="005A220D">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54" w:type="pct"/>
            <w:tcBorders>
              <w:top w:val="nil"/>
              <w:left w:val="nil"/>
              <w:bottom w:val="single" w:sz="4" w:space="0" w:color="366092"/>
              <w:right w:val="nil"/>
            </w:tcBorders>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0.1</w:t>
            </w:r>
          </w:p>
        </w:tc>
        <w:tc>
          <w:tcPr>
            <w:tcW w:w="848" w:type="pct"/>
            <w:gridSpan w:val="2"/>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1.6</w:t>
            </w:r>
          </w:p>
        </w:tc>
        <w:tc>
          <w:tcPr>
            <w:tcW w:w="722" w:type="pct"/>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6.0</w:t>
            </w:r>
          </w:p>
        </w:tc>
        <w:tc>
          <w:tcPr>
            <w:tcW w:w="790" w:type="pct"/>
            <w:tcBorders>
              <w:top w:val="nil"/>
              <w:left w:val="nil"/>
              <w:bottom w:val="single" w:sz="4" w:space="0" w:color="366092"/>
              <w:right w:val="nil"/>
            </w:tcBorders>
            <w:shd w:val="clear" w:color="auto" w:fill="auto"/>
            <w:noWrap/>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17.9</w:t>
            </w:r>
          </w:p>
        </w:tc>
        <w:tc>
          <w:tcPr>
            <w:tcW w:w="738" w:type="pct"/>
            <w:tcBorders>
              <w:top w:val="nil"/>
              <w:left w:val="nil"/>
              <w:bottom w:val="single" w:sz="4" w:space="0" w:color="366092"/>
              <w:right w:val="nil"/>
            </w:tcBorders>
          </w:tcPr>
          <w:p w:rsidR="001C5522" w:rsidRPr="000B07C2"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820.4</w:t>
            </w:r>
          </w:p>
        </w:tc>
      </w:tr>
      <w:tr w:rsidR="001C5522" w:rsidRPr="002922C1" w:rsidTr="005A220D">
        <w:trPr>
          <w:trHeight w:val="283"/>
        </w:trPr>
        <w:tc>
          <w:tcPr>
            <w:tcW w:w="1148" w:type="pct"/>
            <w:tcBorders>
              <w:top w:val="single" w:sz="4" w:space="0" w:color="366092"/>
              <w:left w:val="nil"/>
              <w:bottom w:val="single" w:sz="4" w:space="0" w:color="366092"/>
              <w:right w:val="nil"/>
            </w:tcBorders>
            <w:shd w:val="clear" w:color="000000" w:fill="E5F6F6"/>
            <w:noWrap/>
            <w:vAlign w:val="center"/>
          </w:tcPr>
          <w:p w:rsidR="001C5522" w:rsidRPr="002922C1" w:rsidRDefault="001C5522" w:rsidP="005A220D">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54" w:type="pct"/>
            <w:tcBorders>
              <w:top w:val="single" w:sz="4" w:space="0" w:color="366092"/>
              <w:left w:val="nil"/>
              <w:bottom w:val="single" w:sz="4" w:space="0" w:color="366092"/>
              <w:right w:val="nil"/>
            </w:tcBorders>
            <w:shd w:val="clear" w:color="000000" w:fill="E5F6F6"/>
          </w:tcPr>
          <w:p w:rsidR="001C5522" w:rsidRPr="009C51B0"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0.1</w:t>
            </w:r>
          </w:p>
        </w:tc>
        <w:tc>
          <w:tcPr>
            <w:tcW w:w="848" w:type="pct"/>
            <w:gridSpan w:val="2"/>
            <w:tcBorders>
              <w:top w:val="single" w:sz="4" w:space="0" w:color="366092"/>
              <w:left w:val="nil"/>
              <w:bottom w:val="single" w:sz="4" w:space="0" w:color="366092"/>
              <w:right w:val="nil"/>
            </w:tcBorders>
            <w:shd w:val="clear" w:color="000000" w:fill="E5F6F6"/>
            <w:noWrap/>
          </w:tcPr>
          <w:p w:rsidR="001C5522" w:rsidRPr="009C51B0"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5.1</w:t>
            </w:r>
          </w:p>
        </w:tc>
        <w:tc>
          <w:tcPr>
            <w:tcW w:w="722" w:type="pct"/>
            <w:tcBorders>
              <w:top w:val="single" w:sz="4" w:space="0" w:color="366092"/>
              <w:left w:val="nil"/>
              <w:bottom w:val="single" w:sz="4" w:space="0" w:color="366092"/>
              <w:right w:val="nil"/>
            </w:tcBorders>
            <w:shd w:val="clear" w:color="000000" w:fill="E5F6F6"/>
            <w:noWrap/>
          </w:tcPr>
          <w:p w:rsidR="001C5522" w:rsidRPr="009C51B0"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23.6</w:t>
            </w:r>
          </w:p>
        </w:tc>
        <w:tc>
          <w:tcPr>
            <w:tcW w:w="790" w:type="pct"/>
            <w:tcBorders>
              <w:top w:val="single" w:sz="4" w:space="0" w:color="366092"/>
              <w:left w:val="nil"/>
              <w:bottom w:val="single" w:sz="4" w:space="0" w:color="366092"/>
              <w:right w:val="nil"/>
            </w:tcBorders>
            <w:shd w:val="clear" w:color="000000" w:fill="E5F6F6"/>
            <w:noWrap/>
          </w:tcPr>
          <w:p w:rsidR="001C5522" w:rsidRPr="009C51B0"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191.6</w:t>
            </w:r>
          </w:p>
        </w:tc>
        <w:tc>
          <w:tcPr>
            <w:tcW w:w="738" w:type="pct"/>
            <w:tcBorders>
              <w:top w:val="single" w:sz="4" w:space="0" w:color="366092"/>
              <w:left w:val="nil"/>
              <w:bottom w:val="single" w:sz="4" w:space="0" w:color="366092"/>
              <w:right w:val="nil"/>
            </w:tcBorders>
            <w:shd w:val="clear" w:color="000000" w:fill="E5F6F6"/>
          </w:tcPr>
          <w:p w:rsidR="001C5522" w:rsidRPr="009C51B0" w:rsidRDefault="001C5522" w:rsidP="00C55B83">
            <w:pPr>
              <w:spacing w:after="0"/>
              <w:jc w:val="right"/>
              <w:rPr>
                <w:rFonts w:asciiTheme="minorHAnsi" w:hAnsiTheme="minorHAnsi" w:cstheme="minorHAnsi"/>
                <w:sz w:val="20"/>
                <w:szCs w:val="20"/>
              </w:rPr>
            </w:pPr>
            <w:r w:rsidRPr="009C51B0">
              <w:rPr>
                <w:rFonts w:asciiTheme="minorHAnsi" w:hAnsiTheme="minorHAnsi" w:cstheme="minorHAnsi"/>
                <w:sz w:val="20"/>
                <w:szCs w:val="20"/>
              </w:rPr>
              <w:t>2,108.4</w:t>
            </w:r>
          </w:p>
        </w:tc>
      </w:tr>
    </w:tbl>
    <w:p w:rsidR="001C5522" w:rsidRPr="004774F1" w:rsidRDefault="001C5522" w:rsidP="001C5522">
      <w:pPr>
        <w:spacing w:after="0" w:line="240" w:lineRule="auto"/>
        <w:jc w:val="center"/>
        <w:rPr>
          <w:sz w:val="8"/>
          <w:szCs w:val="8"/>
        </w:rPr>
      </w:pPr>
    </w:p>
    <w:p w:rsidR="001C5522" w:rsidRDefault="001C5522" w:rsidP="001C5522">
      <w:pPr>
        <w:pStyle w:val="BulletsL1"/>
        <w:spacing w:before="0" w:after="0" w:line="240" w:lineRule="auto"/>
        <w:rPr>
          <w:sz w:val="16"/>
          <w:szCs w:val="16"/>
          <w:lang w:val="en-AU"/>
        </w:rPr>
      </w:pPr>
    </w:p>
    <w:p w:rsidR="001C5522" w:rsidRPr="004774F1" w:rsidRDefault="001C5522" w:rsidP="00C55B83">
      <w:pPr>
        <w:pStyle w:val="BulletsL1"/>
        <w:shd w:val="clear" w:color="auto" w:fill="E5ECED" w:themeFill="accent4" w:themeFillTint="66"/>
        <w:spacing w:line="240" w:lineRule="auto"/>
        <w:rPr>
          <w:sz w:val="16"/>
          <w:szCs w:val="16"/>
          <w:lang w:val="en-AU"/>
        </w:rPr>
      </w:pPr>
    </w:p>
    <w:p w:rsidR="001C5522" w:rsidRDefault="001C5522" w:rsidP="00C55B83">
      <w:pPr>
        <w:pStyle w:val="BulletsL1"/>
        <w:numPr>
          <w:ilvl w:val="0"/>
          <w:numId w:val="7"/>
        </w:numPr>
        <w:shd w:val="clear" w:color="auto" w:fill="E5ECED" w:themeFill="accent4" w:themeFillTint="66"/>
        <w:spacing w:line="276" w:lineRule="auto"/>
        <w:rPr>
          <w:lang w:val="en-AU"/>
        </w:rPr>
      </w:pPr>
      <w:r>
        <w:rPr>
          <w:lang w:val="en-AU"/>
        </w:rPr>
        <w:t xml:space="preserve">The median provider generated $23.6 million in </w:t>
      </w:r>
      <w:r w:rsidR="00C55B83">
        <w:rPr>
          <w:lang w:val="en-AU"/>
        </w:rPr>
        <w:t xml:space="preserve">total </w:t>
      </w:r>
      <w:r>
        <w:rPr>
          <w:lang w:val="en-AU"/>
        </w:rPr>
        <w:t>revenue.</w:t>
      </w:r>
    </w:p>
    <w:p w:rsidR="001C5522" w:rsidRDefault="005E13B0" w:rsidP="00C55B83">
      <w:pPr>
        <w:pStyle w:val="BulletsL1"/>
        <w:numPr>
          <w:ilvl w:val="0"/>
          <w:numId w:val="7"/>
        </w:numPr>
        <w:shd w:val="clear" w:color="auto" w:fill="E5ECED" w:themeFill="accent4" w:themeFillTint="66"/>
        <w:spacing w:line="276" w:lineRule="auto"/>
        <w:rPr>
          <w:lang w:val="en-AU"/>
        </w:rPr>
      </w:pPr>
      <w:r>
        <w:rPr>
          <w:lang w:val="en-AU"/>
        </w:rPr>
        <w:t xml:space="preserve">There was a great deal of diversity in the total revenue generated by providers with universities and TAFEs generally </w:t>
      </w:r>
      <w:r w:rsidR="00BF4954">
        <w:rPr>
          <w:lang w:val="en-AU"/>
        </w:rPr>
        <w:t xml:space="preserve">earning </w:t>
      </w:r>
      <w:r>
        <w:rPr>
          <w:lang w:val="en-AU"/>
        </w:rPr>
        <w:t>larger</w:t>
      </w:r>
      <w:r w:rsidR="00BF4954">
        <w:rPr>
          <w:lang w:val="en-AU"/>
        </w:rPr>
        <w:t xml:space="preserve"> amount</w:t>
      </w:r>
      <w:r w:rsidR="00697F8A">
        <w:rPr>
          <w:lang w:val="en-AU"/>
        </w:rPr>
        <w:t>s</w:t>
      </w:r>
      <w:r w:rsidR="00BF4954">
        <w:rPr>
          <w:lang w:val="en-AU"/>
        </w:rPr>
        <w:t xml:space="preserve"> in revenue</w:t>
      </w:r>
      <w:r>
        <w:rPr>
          <w:lang w:val="en-AU"/>
        </w:rPr>
        <w:t xml:space="preserve"> than For-Profit and Not-For-Profit providers</w:t>
      </w:r>
      <w:r w:rsidR="001C5522">
        <w:rPr>
          <w:lang w:val="en-AU"/>
        </w:rPr>
        <w:t xml:space="preserve">.  </w:t>
      </w:r>
    </w:p>
    <w:p w:rsidR="001C5522" w:rsidRDefault="001C5522" w:rsidP="00C55B83">
      <w:pPr>
        <w:pStyle w:val="BulletsL1"/>
        <w:shd w:val="clear" w:color="auto" w:fill="E5ECED" w:themeFill="accent4" w:themeFillTint="66"/>
        <w:spacing w:line="276" w:lineRule="auto"/>
        <w:ind w:left="0" w:firstLine="0"/>
        <w:rPr>
          <w:lang w:val="en-AU"/>
        </w:rPr>
      </w:pPr>
    </w:p>
    <w:p w:rsidR="001C5522" w:rsidRDefault="001C5522" w:rsidP="001C5522">
      <w:pPr>
        <w:spacing w:after="0" w:line="240" w:lineRule="auto"/>
        <w:rPr>
          <w:rFonts w:asciiTheme="minorHAnsi" w:eastAsiaTheme="minorHAnsi" w:hAnsiTheme="minorHAnsi" w:cstheme="minorHAnsi"/>
          <w:b/>
          <w:bCs/>
          <w:color w:val="407680" w:themeColor="accent2"/>
          <w:sz w:val="26"/>
          <w:szCs w:val="26"/>
          <w:lang w:val="en-GB"/>
        </w:rPr>
      </w:pPr>
      <w:r>
        <w:rPr>
          <w:rFonts w:asciiTheme="minorHAnsi" w:eastAsiaTheme="minorHAnsi" w:hAnsiTheme="minorHAnsi" w:cstheme="minorHAnsi"/>
          <w:b/>
          <w:bCs/>
          <w:color w:val="407680" w:themeColor="accent2"/>
          <w:sz w:val="26"/>
          <w:szCs w:val="26"/>
          <w:lang w:val="en-GB"/>
        </w:rPr>
        <w:br w:type="page"/>
      </w:r>
    </w:p>
    <w:p w:rsidR="001C5522" w:rsidRDefault="001C5522" w:rsidP="001C5522">
      <w:pPr>
        <w:spacing w:after="0" w:line="240" w:lineRule="auto"/>
        <w:rPr>
          <w:rFonts w:asciiTheme="minorHAnsi" w:eastAsiaTheme="minorHAnsi" w:hAnsiTheme="minorHAnsi" w:cstheme="minorHAnsi"/>
          <w:b/>
          <w:bCs/>
          <w:color w:val="407680" w:themeColor="accent2"/>
          <w:sz w:val="26"/>
          <w:szCs w:val="26"/>
          <w:lang w:val="en-GB"/>
        </w:rPr>
      </w:pPr>
    </w:p>
    <w:p w:rsidR="001C5522" w:rsidRDefault="001C5522" w:rsidP="001C5522">
      <w:pPr>
        <w:rPr>
          <w:rFonts w:asciiTheme="minorHAnsi" w:hAnsiTheme="minorHAnsi" w:cstheme="minorHAnsi"/>
          <w:sz w:val="22"/>
          <w:szCs w:val="22"/>
          <w:lang w:val="en-US"/>
        </w:rPr>
      </w:pPr>
      <w:r>
        <w:rPr>
          <w:rFonts w:asciiTheme="minorHAnsi" w:hAnsiTheme="minorHAnsi" w:cstheme="minorHAnsi"/>
          <w:sz w:val="22"/>
          <w:szCs w:val="22"/>
          <w:lang w:val="en-US"/>
        </w:rPr>
        <w:t xml:space="preserve">In addition to provider type, providers have also been grouped according to EFTSL size bands. The analysis of the key financial metrics by provider size is included at </w:t>
      </w:r>
      <w:r>
        <w:rPr>
          <w:rFonts w:asciiTheme="minorHAnsi" w:hAnsiTheme="minorHAnsi" w:cstheme="minorHAnsi"/>
          <w:b/>
          <w:sz w:val="22"/>
          <w:szCs w:val="22"/>
          <w:lang w:val="en-US"/>
        </w:rPr>
        <w:t xml:space="preserve">Appendix </w:t>
      </w:r>
      <w:r w:rsidRPr="003A12A9">
        <w:rPr>
          <w:rFonts w:asciiTheme="minorHAnsi" w:hAnsiTheme="minorHAnsi" w:cstheme="minorHAnsi"/>
          <w:b/>
          <w:sz w:val="22"/>
          <w:szCs w:val="22"/>
          <w:lang w:val="en-US"/>
        </w:rPr>
        <w:t>E</w:t>
      </w:r>
      <w:r>
        <w:rPr>
          <w:rFonts w:asciiTheme="minorHAnsi" w:hAnsiTheme="minorHAnsi" w:cstheme="minorHAnsi"/>
          <w:sz w:val="22"/>
          <w:szCs w:val="22"/>
          <w:lang w:val="en-US"/>
        </w:rPr>
        <w:t>. Table 4 below</w:t>
      </w:r>
      <w:r w:rsidRPr="00974FDE">
        <w:rPr>
          <w:rFonts w:asciiTheme="minorHAnsi" w:hAnsiTheme="minorHAnsi" w:cstheme="minorHAnsi"/>
          <w:sz w:val="22"/>
          <w:szCs w:val="22"/>
          <w:lang w:val="en-US"/>
        </w:rPr>
        <w:t xml:space="preserve"> provides detail</w:t>
      </w:r>
      <w:r>
        <w:rPr>
          <w:rFonts w:asciiTheme="minorHAnsi" w:hAnsiTheme="minorHAnsi" w:cstheme="minorHAnsi"/>
          <w:sz w:val="22"/>
          <w:szCs w:val="22"/>
          <w:lang w:val="en-US"/>
        </w:rPr>
        <w:t>s</w:t>
      </w:r>
      <w:r w:rsidRPr="00974FDE">
        <w:rPr>
          <w:rFonts w:asciiTheme="minorHAnsi" w:hAnsiTheme="minorHAnsi" w:cstheme="minorHAnsi"/>
          <w:sz w:val="22"/>
          <w:szCs w:val="22"/>
          <w:lang w:val="en-US"/>
        </w:rPr>
        <w:t xml:space="preserve"> </w:t>
      </w:r>
      <w:r>
        <w:rPr>
          <w:rFonts w:asciiTheme="minorHAnsi" w:hAnsiTheme="minorHAnsi" w:cstheme="minorHAnsi"/>
          <w:sz w:val="22"/>
          <w:szCs w:val="22"/>
          <w:lang w:val="en-US"/>
        </w:rPr>
        <w:t>on the number of providers, students taught and total proportion of higher education revenue for each EFTS</w:t>
      </w:r>
      <w:r w:rsidR="00C55B83">
        <w:rPr>
          <w:rFonts w:asciiTheme="minorHAnsi" w:hAnsiTheme="minorHAnsi" w:cstheme="minorHAnsi"/>
          <w:sz w:val="22"/>
          <w:szCs w:val="22"/>
          <w:lang w:val="en-US"/>
        </w:rPr>
        <w:t>L</w:t>
      </w:r>
      <w:r>
        <w:rPr>
          <w:rFonts w:asciiTheme="minorHAnsi" w:hAnsiTheme="minorHAnsi" w:cstheme="minorHAnsi"/>
          <w:sz w:val="22"/>
          <w:szCs w:val="22"/>
          <w:lang w:val="en-US"/>
        </w:rPr>
        <w:t xml:space="preserve"> size band</w:t>
      </w:r>
      <w:r w:rsidRPr="00974FDE">
        <w:rPr>
          <w:rFonts w:asciiTheme="minorHAnsi" w:hAnsiTheme="minorHAnsi" w:cstheme="minorHAnsi"/>
          <w:sz w:val="22"/>
          <w:szCs w:val="22"/>
          <w:lang w:val="en-US"/>
        </w:rPr>
        <w:t>.</w:t>
      </w:r>
    </w:p>
    <w:p w:rsidR="001C5522" w:rsidRPr="00E23F9A" w:rsidRDefault="001C5522" w:rsidP="001C5522">
      <w:pPr>
        <w:rPr>
          <w:rFonts w:ascii="Georgia" w:hAnsi="Georgia" w:cs="Arial"/>
          <w:b/>
          <w:color w:val="004855" w:themeColor="text1"/>
          <w:sz w:val="20"/>
          <w:szCs w:val="20"/>
          <w:lang w:val="en-US"/>
        </w:rPr>
      </w:pPr>
      <w:r w:rsidRPr="004130E8">
        <w:rPr>
          <w:rFonts w:ascii="Georgia" w:hAnsi="Georgia" w:cs="Arial"/>
          <w:b/>
          <w:color w:val="004855" w:themeColor="text1"/>
          <w:sz w:val="20"/>
          <w:szCs w:val="20"/>
          <w:lang w:val="en-US"/>
        </w:rPr>
        <w:t xml:space="preserve">Table </w:t>
      </w:r>
      <w:r>
        <w:rPr>
          <w:rFonts w:ascii="Georgia" w:hAnsi="Georgia" w:cs="Arial"/>
          <w:b/>
          <w:color w:val="004855" w:themeColor="text1"/>
          <w:sz w:val="20"/>
          <w:szCs w:val="20"/>
          <w:lang w:val="en-US"/>
        </w:rPr>
        <w:t>4</w:t>
      </w:r>
      <w:r w:rsidRPr="004130E8">
        <w:rPr>
          <w:rFonts w:ascii="Georgia" w:hAnsi="Georgia" w:cs="Arial"/>
          <w:b/>
          <w:color w:val="004855" w:themeColor="text1"/>
          <w:sz w:val="20"/>
          <w:szCs w:val="20"/>
          <w:lang w:val="en-US"/>
        </w:rPr>
        <w:t>: Breakdown of providers, by total EFTSL bands</w:t>
      </w:r>
    </w:p>
    <w:tbl>
      <w:tblPr>
        <w:tblW w:w="5000" w:type="pct"/>
        <w:tblLook w:val="04A0" w:firstRow="1" w:lastRow="0" w:firstColumn="1" w:lastColumn="0" w:noHBand="0" w:noVBand="1"/>
      </w:tblPr>
      <w:tblGrid>
        <w:gridCol w:w="3101"/>
        <w:gridCol w:w="2435"/>
        <w:gridCol w:w="2194"/>
        <w:gridCol w:w="1842"/>
      </w:tblGrid>
      <w:tr w:rsidR="001C5522" w:rsidRPr="002E26F8" w:rsidTr="005A220D">
        <w:trPr>
          <w:trHeight w:val="603"/>
        </w:trPr>
        <w:tc>
          <w:tcPr>
            <w:tcW w:w="1620" w:type="pct"/>
            <w:shd w:val="clear" w:color="auto" w:fill="004855" w:themeFill="accent1"/>
            <w:noWrap/>
            <w:vAlign w:val="center"/>
          </w:tcPr>
          <w:p w:rsidR="001C5522" w:rsidRDefault="001C5522" w:rsidP="005A220D">
            <w:pPr>
              <w:spacing w:after="0" w:line="240" w:lineRule="auto"/>
              <w:rPr>
                <w:rFonts w:asciiTheme="minorHAnsi" w:hAnsiTheme="minorHAnsi" w:cstheme="minorHAnsi"/>
                <w:b/>
                <w:color w:val="FFFFFF" w:themeColor="background2"/>
                <w:sz w:val="20"/>
                <w:szCs w:val="22"/>
              </w:rPr>
            </w:pPr>
            <w:r w:rsidRPr="00113B80">
              <w:rPr>
                <w:rFonts w:asciiTheme="minorHAnsi" w:hAnsiTheme="minorHAnsi" w:cstheme="minorHAnsi"/>
                <w:b/>
                <w:color w:val="FFFFFF" w:themeColor="background2"/>
                <w:sz w:val="20"/>
                <w:szCs w:val="22"/>
              </w:rPr>
              <w:t xml:space="preserve">Provider </w:t>
            </w:r>
            <w:r>
              <w:rPr>
                <w:rFonts w:asciiTheme="minorHAnsi" w:hAnsiTheme="minorHAnsi" w:cstheme="minorHAnsi"/>
                <w:b/>
                <w:color w:val="FFFFFF" w:themeColor="background2"/>
                <w:sz w:val="20"/>
                <w:szCs w:val="22"/>
              </w:rPr>
              <w:t>size</w:t>
            </w:r>
          </w:p>
          <w:p w:rsidR="001C5522" w:rsidRPr="00113B80" w:rsidRDefault="001C5522" w:rsidP="005A220D">
            <w:pPr>
              <w:spacing w:after="0" w:line="240" w:lineRule="auto"/>
              <w:rPr>
                <w:rFonts w:asciiTheme="minorHAnsi" w:hAnsiTheme="minorHAnsi" w:cstheme="minorHAnsi"/>
                <w:b/>
                <w:color w:val="FFFFFF" w:themeColor="background2"/>
                <w:sz w:val="20"/>
                <w:szCs w:val="22"/>
              </w:rPr>
            </w:pPr>
            <w:r>
              <w:rPr>
                <w:rFonts w:asciiTheme="minorHAnsi" w:hAnsiTheme="minorHAnsi" w:cstheme="minorHAnsi"/>
                <w:b/>
                <w:color w:val="FFFFFF" w:themeColor="background2"/>
                <w:sz w:val="20"/>
                <w:szCs w:val="22"/>
              </w:rPr>
              <w:t>EFTSL</w:t>
            </w:r>
          </w:p>
        </w:tc>
        <w:tc>
          <w:tcPr>
            <w:tcW w:w="1272" w:type="pct"/>
            <w:shd w:val="clear" w:color="auto" w:fill="004855" w:themeFill="accent1"/>
            <w:noWrap/>
            <w:vAlign w:val="center"/>
          </w:tcPr>
          <w:p w:rsidR="001C5522" w:rsidRPr="00113B80" w:rsidRDefault="001C5522" w:rsidP="005A220D">
            <w:pPr>
              <w:spacing w:after="0" w:line="240" w:lineRule="auto"/>
              <w:jc w:val="right"/>
              <w:rPr>
                <w:rFonts w:asciiTheme="minorHAnsi" w:hAnsiTheme="minorHAnsi" w:cstheme="minorHAnsi"/>
                <w:b/>
                <w:color w:val="FFFFFF" w:themeColor="background2"/>
                <w:sz w:val="20"/>
                <w:szCs w:val="22"/>
              </w:rPr>
            </w:pPr>
            <w:r w:rsidRPr="00113B80">
              <w:rPr>
                <w:rFonts w:asciiTheme="minorHAnsi" w:hAnsiTheme="minorHAnsi" w:cstheme="minorHAnsi"/>
                <w:b/>
                <w:color w:val="FFFFFF" w:themeColor="background2"/>
                <w:sz w:val="20"/>
                <w:szCs w:val="22"/>
              </w:rPr>
              <w:t xml:space="preserve">Number of </w:t>
            </w:r>
            <w:r>
              <w:rPr>
                <w:rFonts w:asciiTheme="minorHAnsi" w:hAnsiTheme="minorHAnsi" w:cstheme="minorHAnsi"/>
                <w:b/>
                <w:color w:val="FFFFFF" w:themeColor="background2"/>
                <w:sz w:val="20"/>
                <w:szCs w:val="22"/>
              </w:rPr>
              <w:br/>
              <w:t>p</w:t>
            </w:r>
            <w:r w:rsidRPr="00113B80">
              <w:rPr>
                <w:rFonts w:asciiTheme="minorHAnsi" w:hAnsiTheme="minorHAnsi" w:cstheme="minorHAnsi"/>
                <w:b/>
                <w:color w:val="FFFFFF" w:themeColor="background2"/>
                <w:sz w:val="20"/>
                <w:szCs w:val="22"/>
              </w:rPr>
              <w:t>roviders</w:t>
            </w:r>
          </w:p>
        </w:tc>
        <w:tc>
          <w:tcPr>
            <w:tcW w:w="1146" w:type="pct"/>
            <w:shd w:val="clear" w:color="auto" w:fill="004855" w:themeFill="accent1"/>
            <w:vAlign w:val="center"/>
          </w:tcPr>
          <w:p w:rsidR="001C5522" w:rsidRPr="00113B80" w:rsidRDefault="001C5522" w:rsidP="005A220D">
            <w:pPr>
              <w:spacing w:after="0" w:line="240" w:lineRule="auto"/>
              <w:jc w:val="right"/>
              <w:rPr>
                <w:rFonts w:asciiTheme="minorHAnsi" w:hAnsiTheme="minorHAnsi" w:cstheme="minorHAnsi"/>
                <w:b/>
                <w:color w:val="FFFFFF" w:themeColor="background2"/>
                <w:sz w:val="20"/>
                <w:szCs w:val="22"/>
              </w:rPr>
            </w:pPr>
            <w:r w:rsidRPr="00113B80">
              <w:rPr>
                <w:rFonts w:asciiTheme="minorHAnsi" w:hAnsiTheme="minorHAnsi" w:cstheme="minorHAnsi"/>
                <w:b/>
                <w:color w:val="FFFFFF" w:themeColor="background2"/>
                <w:sz w:val="20"/>
                <w:szCs w:val="22"/>
              </w:rPr>
              <w:t xml:space="preserve">% of </w:t>
            </w:r>
            <w:r>
              <w:rPr>
                <w:rFonts w:asciiTheme="minorHAnsi" w:hAnsiTheme="minorHAnsi" w:cstheme="minorHAnsi"/>
                <w:b/>
                <w:color w:val="FFFFFF" w:themeColor="background2"/>
                <w:sz w:val="20"/>
                <w:szCs w:val="22"/>
              </w:rPr>
              <w:br/>
            </w:r>
            <w:r w:rsidRPr="00113B80">
              <w:rPr>
                <w:rFonts w:asciiTheme="minorHAnsi" w:hAnsiTheme="minorHAnsi" w:cstheme="minorHAnsi"/>
                <w:b/>
                <w:color w:val="FFFFFF" w:themeColor="background2"/>
                <w:sz w:val="20"/>
                <w:szCs w:val="22"/>
              </w:rPr>
              <w:t>students</w:t>
            </w:r>
          </w:p>
        </w:tc>
        <w:tc>
          <w:tcPr>
            <w:tcW w:w="962" w:type="pct"/>
            <w:shd w:val="clear" w:color="auto" w:fill="004855" w:themeFill="accent1"/>
            <w:vAlign w:val="center"/>
          </w:tcPr>
          <w:p w:rsidR="001C5522" w:rsidRDefault="001C5522" w:rsidP="005A220D">
            <w:pPr>
              <w:spacing w:after="0" w:line="240" w:lineRule="auto"/>
              <w:jc w:val="right"/>
              <w:rPr>
                <w:rFonts w:asciiTheme="minorHAnsi" w:hAnsiTheme="minorHAnsi" w:cstheme="minorHAnsi"/>
                <w:b/>
                <w:color w:val="FFFFFF" w:themeColor="background2"/>
                <w:sz w:val="20"/>
                <w:szCs w:val="22"/>
              </w:rPr>
            </w:pPr>
            <w:r>
              <w:rPr>
                <w:rFonts w:asciiTheme="minorHAnsi" w:hAnsiTheme="minorHAnsi" w:cstheme="minorHAnsi"/>
                <w:b/>
                <w:color w:val="FFFFFF" w:themeColor="background2"/>
                <w:sz w:val="20"/>
                <w:szCs w:val="22"/>
              </w:rPr>
              <w:t xml:space="preserve">% of higher education </w:t>
            </w:r>
          </w:p>
          <w:p w:rsidR="001C5522" w:rsidRPr="00113B80" w:rsidRDefault="001C5522" w:rsidP="005A220D">
            <w:pPr>
              <w:spacing w:after="0" w:line="240" w:lineRule="auto"/>
              <w:jc w:val="right"/>
              <w:rPr>
                <w:rFonts w:asciiTheme="minorHAnsi" w:hAnsiTheme="minorHAnsi" w:cstheme="minorHAnsi"/>
                <w:b/>
                <w:color w:val="FFFFFF" w:themeColor="background2"/>
                <w:sz w:val="20"/>
                <w:szCs w:val="22"/>
              </w:rPr>
            </w:pPr>
            <w:r>
              <w:rPr>
                <w:rFonts w:asciiTheme="minorHAnsi" w:hAnsiTheme="minorHAnsi" w:cstheme="minorHAnsi"/>
                <w:b/>
                <w:color w:val="FFFFFF" w:themeColor="background2"/>
                <w:sz w:val="20"/>
                <w:szCs w:val="22"/>
              </w:rPr>
              <w:t>revenue</w:t>
            </w:r>
          </w:p>
        </w:tc>
      </w:tr>
      <w:tr w:rsidR="001C5522" w:rsidRPr="00DE2F04" w:rsidTr="003B6D8C">
        <w:trPr>
          <w:trHeight w:val="288"/>
        </w:trPr>
        <w:tc>
          <w:tcPr>
            <w:tcW w:w="1620" w:type="pct"/>
            <w:tcBorders>
              <w:bottom w:val="single" w:sz="4" w:space="0" w:color="366092"/>
            </w:tcBorders>
            <w:shd w:val="clear" w:color="auto" w:fill="auto"/>
            <w:noWrap/>
            <w:vAlign w:val="center"/>
            <w:hideMark/>
          </w:tcPr>
          <w:p w:rsidR="001C5522" w:rsidRPr="00DE2F04" w:rsidRDefault="001C5522" w:rsidP="005A220D">
            <w:pPr>
              <w:spacing w:after="0" w:line="240" w:lineRule="auto"/>
              <w:rPr>
                <w:rFonts w:asciiTheme="minorHAnsi" w:hAnsiTheme="minorHAnsi" w:cstheme="minorHAnsi"/>
                <w:color w:val="000000"/>
                <w:sz w:val="20"/>
                <w:szCs w:val="22"/>
              </w:rPr>
            </w:pPr>
            <w:r w:rsidRPr="00DE2F04">
              <w:rPr>
                <w:rFonts w:asciiTheme="minorHAnsi" w:hAnsiTheme="minorHAnsi" w:cstheme="minorHAnsi"/>
                <w:color w:val="000000"/>
                <w:sz w:val="20"/>
                <w:szCs w:val="22"/>
              </w:rPr>
              <w:t>&lt; 100</w:t>
            </w:r>
          </w:p>
        </w:tc>
        <w:tc>
          <w:tcPr>
            <w:tcW w:w="1272" w:type="pct"/>
            <w:tcBorders>
              <w:bottom w:val="single" w:sz="4" w:space="0" w:color="366092"/>
            </w:tcBorders>
            <w:shd w:val="clear" w:color="auto" w:fill="auto"/>
            <w:noWrap/>
            <w:vAlign w:val="center"/>
            <w:hideMark/>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57</w:t>
            </w:r>
          </w:p>
        </w:tc>
        <w:tc>
          <w:tcPr>
            <w:tcW w:w="1146" w:type="pct"/>
            <w:tcBorders>
              <w:bottom w:val="single" w:sz="4" w:space="0" w:color="366092"/>
            </w:tcBorders>
            <w:shd w:val="clear" w:color="auto" w:fill="auto"/>
            <w:vAlign w:val="center"/>
          </w:tcPr>
          <w:p w:rsidR="001C5522" w:rsidRPr="00644CE0" w:rsidRDefault="001C5522" w:rsidP="005A220D">
            <w:pPr>
              <w:spacing w:after="0" w:line="240" w:lineRule="auto"/>
              <w:jc w:val="right"/>
              <w:rPr>
                <w:rFonts w:asciiTheme="minorHAnsi" w:hAnsiTheme="minorHAnsi" w:cstheme="minorHAnsi"/>
                <w:color w:val="000000"/>
                <w:sz w:val="20"/>
                <w:szCs w:val="22"/>
              </w:rPr>
            </w:pPr>
            <w:r w:rsidRPr="00644CE0">
              <w:rPr>
                <w:rFonts w:asciiTheme="minorHAnsi" w:hAnsiTheme="minorHAnsi" w:cstheme="minorHAnsi"/>
                <w:color w:val="000000"/>
                <w:sz w:val="20"/>
                <w:szCs w:val="22"/>
              </w:rPr>
              <w:t>0.2</w:t>
            </w:r>
          </w:p>
        </w:tc>
        <w:tc>
          <w:tcPr>
            <w:tcW w:w="962" w:type="pct"/>
            <w:tcBorders>
              <w:bottom w:val="single" w:sz="4" w:space="0" w:color="366092"/>
            </w:tcBorders>
            <w:vAlign w:val="center"/>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0.3</w:t>
            </w:r>
          </w:p>
        </w:tc>
      </w:tr>
      <w:tr w:rsidR="001C5522" w:rsidRPr="00DE2F04" w:rsidTr="003B6D8C">
        <w:trPr>
          <w:trHeight w:val="288"/>
        </w:trPr>
        <w:tc>
          <w:tcPr>
            <w:tcW w:w="1620" w:type="pct"/>
            <w:tcBorders>
              <w:top w:val="single" w:sz="4" w:space="0" w:color="366092"/>
              <w:bottom w:val="single" w:sz="4" w:space="0" w:color="366092"/>
            </w:tcBorders>
            <w:shd w:val="clear" w:color="auto" w:fill="auto"/>
            <w:noWrap/>
            <w:vAlign w:val="center"/>
            <w:hideMark/>
          </w:tcPr>
          <w:p w:rsidR="001C5522" w:rsidRPr="00DE2F04" w:rsidRDefault="001C5522" w:rsidP="00697F8A">
            <w:pPr>
              <w:spacing w:after="0" w:line="240" w:lineRule="auto"/>
              <w:rPr>
                <w:rFonts w:asciiTheme="minorHAnsi" w:hAnsiTheme="minorHAnsi" w:cstheme="minorHAnsi"/>
                <w:color w:val="000000"/>
                <w:sz w:val="20"/>
                <w:szCs w:val="22"/>
              </w:rPr>
            </w:pPr>
            <w:r w:rsidRPr="00DE2F04">
              <w:rPr>
                <w:rFonts w:asciiTheme="minorHAnsi" w:hAnsiTheme="minorHAnsi" w:cstheme="minorHAnsi"/>
                <w:color w:val="000000"/>
                <w:sz w:val="20"/>
                <w:szCs w:val="22"/>
              </w:rPr>
              <w:t xml:space="preserve">100 ≤ </w:t>
            </w:r>
            <w:r w:rsidR="00AE57AF">
              <w:rPr>
                <w:rFonts w:asciiTheme="minorHAnsi" w:hAnsiTheme="minorHAnsi" w:cstheme="minorHAnsi"/>
                <w:color w:val="000000"/>
                <w:sz w:val="20"/>
                <w:szCs w:val="22"/>
              </w:rPr>
              <w:t xml:space="preserve"> </w:t>
            </w:r>
            <w:r w:rsidRPr="00DE2F04">
              <w:rPr>
                <w:rFonts w:asciiTheme="minorHAnsi" w:hAnsiTheme="minorHAnsi" w:cstheme="minorHAnsi"/>
                <w:color w:val="000000"/>
                <w:sz w:val="20"/>
                <w:szCs w:val="22"/>
              </w:rPr>
              <w:t>499</w:t>
            </w:r>
          </w:p>
        </w:tc>
        <w:tc>
          <w:tcPr>
            <w:tcW w:w="1272" w:type="pct"/>
            <w:tcBorders>
              <w:top w:val="single" w:sz="4" w:space="0" w:color="366092"/>
              <w:bottom w:val="single" w:sz="4" w:space="0" w:color="366092"/>
            </w:tcBorders>
            <w:shd w:val="clear" w:color="auto" w:fill="auto"/>
            <w:noWrap/>
            <w:vAlign w:val="center"/>
            <w:hideMark/>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33</w:t>
            </w:r>
          </w:p>
        </w:tc>
        <w:tc>
          <w:tcPr>
            <w:tcW w:w="1146" w:type="pct"/>
            <w:tcBorders>
              <w:top w:val="single" w:sz="4" w:space="0" w:color="366092"/>
              <w:bottom w:val="single" w:sz="4" w:space="0" w:color="366092"/>
            </w:tcBorders>
            <w:shd w:val="clear" w:color="auto" w:fill="auto"/>
            <w:vAlign w:val="center"/>
          </w:tcPr>
          <w:p w:rsidR="001C5522" w:rsidRPr="00644CE0" w:rsidRDefault="001C5522" w:rsidP="005A220D">
            <w:pPr>
              <w:spacing w:after="0" w:line="240" w:lineRule="auto"/>
              <w:jc w:val="right"/>
              <w:rPr>
                <w:rFonts w:asciiTheme="minorHAnsi" w:hAnsiTheme="minorHAnsi" w:cstheme="minorHAnsi"/>
                <w:color w:val="000000"/>
                <w:sz w:val="20"/>
                <w:szCs w:val="22"/>
              </w:rPr>
            </w:pPr>
            <w:r w:rsidRPr="00644CE0">
              <w:rPr>
                <w:rFonts w:asciiTheme="minorHAnsi" w:hAnsiTheme="minorHAnsi" w:cstheme="minorHAnsi"/>
                <w:color w:val="000000"/>
                <w:sz w:val="20"/>
                <w:szCs w:val="22"/>
              </w:rPr>
              <w:t>0.9</w:t>
            </w:r>
          </w:p>
        </w:tc>
        <w:tc>
          <w:tcPr>
            <w:tcW w:w="962" w:type="pct"/>
            <w:tcBorders>
              <w:top w:val="single" w:sz="4" w:space="0" w:color="366092"/>
              <w:bottom w:val="single" w:sz="4" w:space="0" w:color="366092"/>
            </w:tcBorders>
            <w:vAlign w:val="center"/>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1.0</w:t>
            </w:r>
          </w:p>
        </w:tc>
      </w:tr>
      <w:tr w:rsidR="001C5522" w:rsidRPr="00DE2F04" w:rsidTr="003B6D8C">
        <w:trPr>
          <w:trHeight w:val="288"/>
        </w:trPr>
        <w:tc>
          <w:tcPr>
            <w:tcW w:w="1620" w:type="pct"/>
            <w:tcBorders>
              <w:top w:val="single" w:sz="4" w:space="0" w:color="366092"/>
              <w:bottom w:val="single" w:sz="4" w:space="0" w:color="366092"/>
            </w:tcBorders>
            <w:shd w:val="clear" w:color="auto" w:fill="auto"/>
            <w:noWrap/>
            <w:vAlign w:val="center"/>
            <w:hideMark/>
          </w:tcPr>
          <w:p w:rsidR="001C5522" w:rsidRPr="00DE2F04" w:rsidRDefault="001C5522" w:rsidP="00697F8A">
            <w:pPr>
              <w:spacing w:after="0" w:line="240" w:lineRule="auto"/>
              <w:rPr>
                <w:rFonts w:asciiTheme="minorHAnsi" w:hAnsiTheme="minorHAnsi" w:cstheme="minorHAnsi"/>
                <w:color w:val="000000"/>
                <w:sz w:val="20"/>
                <w:szCs w:val="22"/>
              </w:rPr>
            </w:pPr>
            <w:r w:rsidRPr="00DE2F04">
              <w:rPr>
                <w:rFonts w:asciiTheme="minorHAnsi" w:hAnsiTheme="minorHAnsi" w:cstheme="minorHAnsi"/>
                <w:color w:val="000000"/>
                <w:sz w:val="20"/>
                <w:szCs w:val="22"/>
              </w:rPr>
              <w:t xml:space="preserve">500 ≤ </w:t>
            </w:r>
            <w:r w:rsidR="00AE57AF">
              <w:rPr>
                <w:rFonts w:asciiTheme="minorHAnsi" w:hAnsiTheme="minorHAnsi" w:cstheme="minorHAnsi"/>
                <w:color w:val="000000"/>
                <w:sz w:val="20"/>
                <w:szCs w:val="22"/>
              </w:rPr>
              <w:t xml:space="preserve"> </w:t>
            </w:r>
            <w:r w:rsidRPr="00DE2F04">
              <w:rPr>
                <w:rFonts w:asciiTheme="minorHAnsi" w:hAnsiTheme="minorHAnsi" w:cstheme="minorHAnsi"/>
                <w:color w:val="000000"/>
                <w:sz w:val="20"/>
                <w:szCs w:val="22"/>
              </w:rPr>
              <w:t>4,999</w:t>
            </w:r>
          </w:p>
        </w:tc>
        <w:tc>
          <w:tcPr>
            <w:tcW w:w="1272" w:type="pct"/>
            <w:tcBorders>
              <w:top w:val="single" w:sz="4" w:space="0" w:color="366092"/>
              <w:bottom w:val="single" w:sz="4" w:space="0" w:color="366092"/>
            </w:tcBorders>
            <w:shd w:val="clear" w:color="auto" w:fill="auto"/>
            <w:noWrap/>
            <w:vAlign w:val="center"/>
            <w:hideMark/>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41</w:t>
            </w:r>
          </w:p>
        </w:tc>
        <w:tc>
          <w:tcPr>
            <w:tcW w:w="1146" w:type="pct"/>
            <w:tcBorders>
              <w:top w:val="single" w:sz="4" w:space="0" w:color="366092"/>
              <w:bottom w:val="single" w:sz="4" w:space="0" w:color="366092"/>
            </w:tcBorders>
            <w:shd w:val="clear" w:color="auto" w:fill="auto"/>
            <w:vAlign w:val="center"/>
          </w:tcPr>
          <w:p w:rsidR="001C5522" w:rsidRPr="00644CE0" w:rsidRDefault="001C5522" w:rsidP="005A220D">
            <w:pPr>
              <w:spacing w:after="0" w:line="240" w:lineRule="auto"/>
              <w:jc w:val="right"/>
              <w:rPr>
                <w:rFonts w:asciiTheme="minorHAnsi" w:hAnsiTheme="minorHAnsi" w:cstheme="minorHAnsi"/>
                <w:color w:val="000000"/>
                <w:sz w:val="20"/>
                <w:szCs w:val="22"/>
              </w:rPr>
            </w:pPr>
            <w:r w:rsidRPr="00644CE0">
              <w:rPr>
                <w:rFonts w:asciiTheme="minorHAnsi" w:hAnsiTheme="minorHAnsi" w:cstheme="minorHAnsi"/>
                <w:color w:val="000000"/>
                <w:sz w:val="20"/>
                <w:szCs w:val="22"/>
              </w:rPr>
              <w:t>5.7</w:t>
            </w:r>
          </w:p>
        </w:tc>
        <w:tc>
          <w:tcPr>
            <w:tcW w:w="962" w:type="pct"/>
            <w:tcBorders>
              <w:top w:val="single" w:sz="4" w:space="0" w:color="366092"/>
              <w:bottom w:val="single" w:sz="4" w:space="0" w:color="366092"/>
            </w:tcBorders>
            <w:vAlign w:val="center"/>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4.3</w:t>
            </w:r>
          </w:p>
        </w:tc>
      </w:tr>
      <w:tr w:rsidR="001C5522" w:rsidRPr="00DE2F04" w:rsidTr="003B6D8C">
        <w:trPr>
          <w:trHeight w:val="288"/>
        </w:trPr>
        <w:tc>
          <w:tcPr>
            <w:tcW w:w="1620" w:type="pct"/>
            <w:tcBorders>
              <w:top w:val="single" w:sz="4" w:space="0" w:color="366092"/>
              <w:bottom w:val="single" w:sz="4" w:space="0" w:color="366092"/>
            </w:tcBorders>
            <w:shd w:val="clear" w:color="auto" w:fill="auto"/>
            <w:noWrap/>
            <w:vAlign w:val="center"/>
          </w:tcPr>
          <w:p w:rsidR="001C5522" w:rsidRPr="00DE2F04" w:rsidRDefault="001C5522" w:rsidP="00697F8A">
            <w:pPr>
              <w:spacing w:after="0" w:line="240" w:lineRule="auto"/>
              <w:rPr>
                <w:rFonts w:asciiTheme="minorHAnsi" w:hAnsiTheme="minorHAnsi" w:cstheme="minorHAnsi"/>
                <w:color w:val="000000"/>
                <w:sz w:val="20"/>
                <w:szCs w:val="22"/>
              </w:rPr>
            </w:pPr>
            <w:r w:rsidRPr="00DE2F04">
              <w:rPr>
                <w:rFonts w:asciiTheme="minorHAnsi" w:hAnsiTheme="minorHAnsi" w:cstheme="minorHAnsi"/>
                <w:color w:val="000000"/>
                <w:sz w:val="20"/>
                <w:szCs w:val="22"/>
              </w:rPr>
              <w:t>5</w:t>
            </w:r>
            <w:r>
              <w:rPr>
                <w:rFonts w:asciiTheme="minorHAnsi" w:hAnsiTheme="minorHAnsi" w:cstheme="minorHAnsi"/>
                <w:color w:val="000000"/>
                <w:sz w:val="20"/>
                <w:szCs w:val="22"/>
              </w:rPr>
              <w:t>,</w:t>
            </w:r>
            <w:r w:rsidRPr="00DE2F04">
              <w:rPr>
                <w:rFonts w:asciiTheme="minorHAnsi" w:hAnsiTheme="minorHAnsi" w:cstheme="minorHAnsi"/>
                <w:color w:val="000000"/>
                <w:sz w:val="20"/>
                <w:szCs w:val="22"/>
              </w:rPr>
              <w:t xml:space="preserve">000 ≤ </w:t>
            </w:r>
            <w:r w:rsidR="00AE57AF">
              <w:rPr>
                <w:rFonts w:asciiTheme="minorHAnsi" w:hAnsiTheme="minorHAnsi" w:cstheme="minorHAnsi"/>
                <w:color w:val="000000"/>
                <w:sz w:val="20"/>
                <w:szCs w:val="22"/>
              </w:rPr>
              <w:t xml:space="preserve"> </w:t>
            </w:r>
            <w:r w:rsidRPr="00DE2F04">
              <w:rPr>
                <w:rFonts w:asciiTheme="minorHAnsi" w:hAnsiTheme="minorHAnsi" w:cstheme="minorHAnsi"/>
                <w:color w:val="000000"/>
                <w:sz w:val="20"/>
                <w:szCs w:val="22"/>
              </w:rPr>
              <w:t>19,999</w:t>
            </w:r>
          </w:p>
        </w:tc>
        <w:tc>
          <w:tcPr>
            <w:tcW w:w="1272" w:type="pct"/>
            <w:tcBorders>
              <w:top w:val="single" w:sz="4" w:space="0" w:color="366092"/>
              <w:bottom w:val="single" w:sz="4" w:space="0" w:color="366092"/>
            </w:tcBorders>
            <w:shd w:val="clear" w:color="auto" w:fill="auto"/>
            <w:noWrap/>
            <w:vAlign w:val="center"/>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16</w:t>
            </w:r>
          </w:p>
        </w:tc>
        <w:tc>
          <w:tcPr>
            <w:tcW w:w="1146" w:type="pct"/>
            <w:tcBorders>
              <w:top w:val="single" w:sz="4" w:space="0" w:color="366092"/>
              <w:bottom w:val="single" w:sz="4" w:space="0" w:color="366092"/>
            </w:tcBorders>
            <w:shd w:val="clear" w:color="auto" w:fill="auto"/>
            <w:vAlign w:val="center"/>
          </w:tcPr>
          <w:p w:rsidR="001C5522" w:rsidRPr="00644CE0" w:rsidRDefault="001C5522" w:rsidP="005A220D">
            <w:pPr>
              <w:spacing w:after="0" w:line="240" w:lineRule="auto"/>
              <w:jc w:val="right"/>
              <w:rPr>
                <w:rFonts w:asciiTheme="minorHAnsi" w:hAnsiTheme="minorHAnsi" w:cstheme="minorHAnsi"/>
                <w:color w:val="000000"/>
                <w:sz w:val="20"/>
                <w:szCs w:val="22"/>
              </w:rPr>
            </w:pPr>
            <w:r w:rsidRPr="00644CE0">
              <w:rPr>
                <w:rFonts w:asciiTheme="minorHAnsi" w:hAnsiTheme="minorHAnsi" w:cstheme="minorHAnsi"/>
                <w:color w:val="000000"/>
                <w:sz w:val="20"/>
                <w:szCs w:val="22"/>
              </w:rPr>
              <w:t>20.2</w:t>
            </w:r>
          </w:p>
        </w:tc>
        <w:tc>
          <w:tcPr>
            <w:tcW w:w="962" w:type="pct"/>
            <w:tcBorders>
              <w:top w:val="single" w:sz="4" w:space="0" w:color="366092"/>
              <w:bottom w:val="single" w:sz="4" w:space="0" w:color="366092"/>
            </w:tcBorders>
            <w:vAlign w:val="center"/>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19.8</w:t>
            </w:r>
          </w:p>
        </w:tc>
      </w:tr>
      <w:tr w:rsidR="001C5522" w:rsidRPr="00B15B08" w:rsidTr="003B6D8C">
        <w:trPr>
          <w:trHeight w:val="288"/>
        </w:trPr>
        <w:tc>
          <w:tcPr>
            <w:tcW w:w="1620" w:type="pct"/>
            <w:tcBorders>
              <w:top w:val="single" w:sz="4" w:space="0" w:color="366092"/>
              <w:bottom w:val="single" w:sz="4" w:space="0" w:color="366092"/>
            </w:tcBorders>
            <w:shd w:val="clear" w:color="auto" w:fill="auto"/>
            <w:noWrap/>
            <w:vAlign w:val="center"/>
            <w:hideMark/>
          </w:tcPr>
          <w:p w:rsidR="001C5522" w:rsidRPr="00DE2F04" w:rsidRDefault="001C5522" w:rsidP="00697F8A">
            <w:pPr>
              <w:spacing w:after="0" w:line="240" w:lineRule="auto"/>
              <w:rPr>
                <w:rFonts w:asciiTheme="minorHAnsi" w:hAnsiTheme="minorHAnsi" w:cstheme="minorHAnsi"/>
                <w:color w:val="000000"/>
                <w:sz w:val="20"/>
                <w:szCs w:val="22"/>
              </w:rPr>
            </w:pPr>
            <w:r w:rsidRPr="00DE2F04">
              <w:rPr>
                <w:rFonts w:asciiTheme="minorHAnsi" w:hAnsiTheme="minorHAnsi" w:cstheme="minorHAnsi"/>
                <w:color w:val="000000"/>
                <w:sz w:val="20"/>
                <w:szCs w:val="22"/>
              </w:rPr>
              <w:t xml:space="preserve">≥ </w:t>
            </w:r>
            <w:r>
              <w:rPr>
                <w:rFonts w:asciiTheme="minorHAnsi" w:hAnsiTheme="minorHAnsi" w:cstheme="minorHAnsi"/>
                <w:color w:val="000000"/>
                <w:sz w:val="20"/>
                <w:szCs w:val="22"/>
              </w:rPr>
              <w:t xml:space="preserve"> </w:t>
            </w:r>
            <w:r w:rsidRPr="00DE2F04">
              <w:rPr>
                <w:rFonts w:asciiTheme="minorHAnsi" w:hAnsiTheme="minorHAnsi" w:cstheme="minorHAnsi"/>
                <w:color w:val="000000"/>
                <w:sz w:val="20"/>
                <w:szCs w:val="22"/>
              </w:rPr>
              <w:t>20,000</w:t>
            </w:r>
          </w:p>
        </w:tc>
        <w:tc>
          <w:tcPr>
            <w:tcW w:w="1272" w:type="pct"/>
            <w:tcBorders>
              <w:top w:val="single" w:sz="4" w:space="0" w:color="366092"/>
              <w:bottom w:val="single" w:sz="4" w:space="0" w:color="366092"/>
            </w:tcBorders>
            <w:shd w:val="clear" w:color="auto" w:fill="auto"/>
            <w:noWrap/>
            <w:vAlign w:val="center"/>
            <w:hideMark/>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23</w:t>
            </w:r>
          </w:p>
        </w:tc>
        <w:tc>
          <w:tcPr>
            <w:tcW w:w="1146" w:type="pct"/>
            <w:tcBorders>
              <w:top w:val="single" w:sz="4" w:space="0" w:color="366092"/>
              <w:bottom w:val="single" w:sz="4" w:space="0" w:color="366092"/>
            </w:tcBorders>
            <w:shd w:val="clear" w:color="auto" w:fill="auto"/>
            <w:vAlign w:val="center"/>
          </w:tcPr>
          <w:p w:rsidR="001C5522" w:rsidRPr="00644CE0" w:rsidRDefault="001C5522" w:rsidP="005A220D">
            <w:pPr>
              <w:spacing w:after="0" w:line="240" w:lineRule="auto"/>
              <w:jc w:val="right"/>
              <w:rPr>
                <w:rFonts w:asciiTheme="minorHAnsi" w:hAnsiTheme="minorHAnsi" w:cstheme="minorHAnsi"/>
                <w:color w:val="000000"/>
                <w:sz w:val="20"/>
                <w:szCs w:val="22"/>
              </w:rPr>
            </w:pPr>
            <w:r w:rsidRPr="00644CE0">
              <w:rPr>
                <w:rFonts w:asciiTheme="minorHAnsi" w:hAnsiTheme="minorHAnsi" w:cstheme="minorHAnsi"/>
                <w:color w:val="000000"/>
                <w:sz w:val="20"/>
                <w:szCs w:val="22"/>
              </w:rPr>
              <w:t>73.0</w:t>
            </w:r>
          </w:p>
        </w:tc>
        <w:tc>
          <w:tcPr>
            <w:tcW w:w="962" w:type="pct"/>
            <w:tcBorders>
              <w:top w:val="single" w:sz="4" w:space="0" w:color="366092"/>
              <w:bottom w:val="single" w:sz="4" w:space="0" w:color="366092"/>
            </w:tcBorders>
            <w:vAlign w:val="center"/>
          </w:tcPr>
          <w:p w:rsidR="001C5522" w:rsidRPr="004130E8" w:rsidRDefault="001C5522" w:rsidP="005A220D">
            <w:pPr>
              <w:spacing w:after="0" w:line="240" w:lineRule="auto"/>
              <w:jc w:val="right"/>
              <w:rPr>
                <w:rFonts w:asciiTheme="minorHAnsi" w:hAnsiTheme="minorHAnsi" w:cstheme="minorHAnsi"/>
                <w:color w:val="000000"/>
                <w:sz w:val="20"/>
                <w:szCs w:val="22"/>
              </w:rPr>
            </w:pPr>
            <w:r w:rsidRPr="004130E8">
              <w:rPr>
                <w:rFonts w:asciiTheme="minorHAnsi" w:hAnsiTheme="minorHAnsi" w:cstheme="minorHAnsi"/>
                <w:color w:val="000000"/>
                <w:sz w:val="20"/>
                <w:szCs w:val="22"/>
              </w:rPr>
              <w:t>74.5</w:t>
            </w:r>
          </w:p>
        </w:tc>
      </w:tr>
    </w:tbl>
    <w:p w:rsidR="00B8785D" w:rsidRDefault="00B8785D" w:rsidP="001C5522">
      <w:pPr>
        <w:spacing w:after="0" w:line="240" w:lineRule="auto"/>
        <w:rPr>
          <w:rFonts w:ascii="Arial" w:hAnsi="Arial" w:cs="Arial"/>
          <w:i/>
          <w:sz w:val="16"/>
          <w:szCs w:val="16"/>
        </w:rPr>
      </w:pPr>
    </w:p>
    <w:p w:rsidR="001C5522" w:rsidRDefault="001C5522" w:rsidP="001C5522">
      <w:pPr>
        <w:spacing w:after="0" w:line="240" w:lineRule="auto"/>
        <w:rPr>
          <w:rFonts w:ascii="Arial" w:hAnsi="Arial" w:cs="Arial"/>
          <w:i/>
          <w:sz w:val="16"/>
          <w:szCs w:val="16"/>
        </w:rPr>
      </w:pPr>
      <w:r w:rsidRPr="004130E8">
        <w:rPr>
          <w:rFonts w:ascii="Arial" w:hAnsi="Arial" w:cs="Arial"/>
          <w:i/>
          <w:sz w:val="16"/>
          <w:szCs w:val="16"/>
        </w:rPr>
        <w:t>Source: TEQSA National R</w:t>
      </w:r>
      <w:r>
        <w:rPr>
          <w:rFonts w:ascii="Arial" w:hAnsi="Arial" w:cs="Arial"/>
          <w:i/>
          <w:sz w:val="16"/>
          <w:szCs w:val="16"/>
        </w:rPr>
        <w:t>egister - 12</w:t>
      </w:r>
      <w:r w:rsidRPr="004130E8">
        <w:rPr>
          <w:rFonts w:ascii="Arial" w:hAnsi="Arial" w:cs="Arial"/>
          <w:i/>
          <w:sz w:val="16"/>
          <w:szCs w:val="16"/>
        </w:rPr>
        <w:t xml:space="preserve"> August 2016; TEQSA analysis; 2015 PIR; Department of Education and Training; provider financial statements</w:t>
      </w:r>
      <w:r>
        <w:rPr>
          <w:rFonts w:ascii="Arial" w:hAnsi="Arial" w:cs="Arial"/>
          <w:i/>
          <w:sz w:val="16"/>
          <w:szCs w:val="16"/>
        </w:rPr>
        <w:t>.</w:t>
      </w:r>
    </w:p>
    <w:p w:rsidR="001C5522" w:rsidRDefault="001C5522" w:rsidP="001C5522">
      <w:pPr>
        <w:spacing w:after="0" w:line="240" w:lineRule="auto"/>
        <w:rPr>
          <w:rFonts w:ascii="Arial" w:hAnsi="Arial" w:cs="Arial"/>
          <w:i/>
          <w:sz w:val="16"/>
          <w:szCs w:val="16"/>
        </w:rPr>
      </w:pPr>
    </w:p>
    <w:p w:rsidR="001C5522" w:rsidRPr="004130E8" w:rsidRDefault="001C5522" w:rsidP="001C5522">
      <w:pPr>
        <w:spacing w:after="0" w:line="240" w:lineRule="auto"/>
        <w:rPr>
          <w:rFonts w:ascii="Arial" w:hAnsi="Arial" w:cs="Arial"/>
          <w:i/>
          <w:sz w:val="16"/>
          <w:szCs w:val="16"/>
        </w:rPr>
      </w:pPr>
    </w:p>
    <w:p w:rsidR="001C5522" w:rsidRPr="00023ABA" w:rsidRDefault="001C5522" w:rsidP="00C55B83">
      <w:pPr>
        <w:pStyle w:val="ListParagraph"/>
        <w:shd w:val="clear" w:color="auto" w:fill="E5ECED" w:themeFill="accent4" w:themeFillTint="66"/>
        <w:spacing w:before="40" w:after="120" w:line="240" w:lineRule="auto"/>
        <w:ind w:left="0"/>
        <w:rPr>
          <w:rFonts w:ascii="Arial" w:eastAsiaTheme="majorEastAsia" w:hAnsi="Arial" w:cs="Arial"/>
          <w:b/>
          <w:bCs/>
          <w:noProof/>
          <w:color w:val="00353F" w:themeColor="accent1" w:themeShade="BF"/>
          <w:sz w:val="20"/>
          <w:szCs w:val="20"/>
          <w:lang w:eastAsia="en-AU"/>
        </w:rPr>
      </w:pPr>
    </w:p>
    <w:p w:rsidR="001C5522" w:rsidRPr="003B6D8C" w:rsidRDefault="001C5522" w:rsidP="003B6D8C">
      <w:pPr>
        <w:pStyle w:val="ListParagraph"/>
        <w:numPr>
          <w:ilvl w:val="0"/>
          <w:numId w:val="7"/>
        </w:numPr>
        <w:shd w:val="clear" w:color="auto" w:fill="E5ECED" w:themeFill="accent4" w:themeFillTint="66"/>
        <w:spacing w:before="40" w:after="0" w:line="276" w:lineRule="auto"/>
        <w:ind w:left="357" w:hanging="357"/>
        <w:rPr>
          <w:rFonts w:asciiTheme="majorHAnsi" w:eastAsiaTheme="majorEastAsia" w:hAnsiTheme="majorHAnsi" w:cstheme="majorBidi"/>
          <w:b/>
          <w:bCs/>
          <w:noProof/>
          <w:color w:val="00353F" w:themeColor="accent1" w:themeShade="BF"/>
          <w:sz w:val="44"/>
          <w:szCs w:val="44"/>
          <w:lang w:eastAsia="en-AU"/>
        </w:rPr>
      </w:pPr>
      <w:r w:rsidRPr="00023ABA">
        <w:rPr>
          <w:rFonts w:asciiTheme="minorHAnsi" w:eastAsiaTheme="majorEastAsia" w:hAnsiTheme="minorHAnsi" w:cstheme="minorHAnsi"/>
          <w:bCs/>
          <w:noProof/>
          <w:sz w:val="22"/>
          <w:szCs w:val="44"/>
          <w:lang w:eastAsia="en-AU"/>
        </w:rPr>
        <w:t xml:space="preserve">All 39 providers with EFTSL greater than </w:t>
      </w:r>
      <w:r w:rsidRPr="0065445F">
        <w:rPr>
          <w:rFonts w:asciiTheme="minorHAnsi" w:eastAsiaTheme="majorEastAsia" w:hAnsiTheme="minorHAnsi" w:cstheme="minorHAnsi"/>
          <w:bCs/>
          <w:noProof/>
          <w:sz w:val="22"/>
          <w:szCs w:val="44"/>
          <w:lang w:eastAsia="en-AU"/>
        </w:rPr>
        <w:t>5</w:t>
      </w:r>
      <w:r w:rsidRPr="00023ABA">
        <w:rPr>
          <w:rFonts w:asciiTheme="minorHAnsi" w:eastAsiaTheme="majorEastAsia" w:hAnsiTheme="minorHAnsi" w:cstheme="minorHAnsi"/>
          <w:bCs/>
          <w:noProof/>
          <w:sz w:val="22"/>
          <w:szCs w:val="44"/>
          <w:lang w:eastAsia="en-AU"/>
        </w:rPr>
        <w:t>,</w:t>
      </w:r>
      <w:r w:rsidRPr="0065445F">
        <w:rPr>
          <w:rFonts w:asciiTheme="minorHAnsi" w:eastAsiaTheme="majorEastAsia" w:hAnsiTheme="minorHAnsi" w:cstheme="minorHAnsi"/>
          <w:bCs/>
          <w:noProof/>
          <w:sz w:val="22"/>
          <w:szCs w:val="44"/>
          <w:lang w:eastAsia="en-AU"/>
        </w:rPr>
        <w:t xml:space="preserve">000 </w:t>
      </w:r>
      <w:r w:rsidRPr="00023ABA">
        <w:rPr>
          <w:rFonts w:asciiTheme="minorHAnsi" w:eastAsiaTheme="majorEastAsia" w:hAnsiTheme="minorHAnsi" w:cstheme="minorHAnsi"/>
          <w:bCs/>
          <w:noProof/>
          <w:sz w:val="22"/>
          <w:szCs w:val="44"/>
          <w:lang w:eastAsia="en-AU"/>
        </w:rPr>
        <w:t xml:space="preserve">were universities. </w:t>
      </w:r>
    </w:p>
    <w:p w:rsidR="00C55B83" w:rsidRPr="00C55B83" w:rsidRDefault="00C55B83" w:rsidP="00C55B83">
      <w:pPr>
        <w:shd w:val="clear" w:color="auto" w:fill="E5ECED" w:themeFill="accent4" w:themeFillTint="66"/>
        <w:spacing w:before="40" w:after="120" w:line="276" w:lineRule="auto"/>
        <w:rPr>
          <w:rFonts w:asciiTheme="majorHAnsi" w:eastAsiaTheme="majorEastAsia" w:hAnsiTheme="majorHAnsi" w:cstheme="majorBidi"/>
          <w:b/>
          <w:bCs/>
          <w:noProof/>
          <w:color w:val="00353F" w:themeColor="accent1" w:themeShade="BF"/>
          <w:sz w:val="16"/>
          <w:szCs w:val="16"/>
          <w:lang w:eastAsia="en-AU"/>
        </w:rPr>
      </w:pPr>
    </w:p>
    <w:p w:rsidR="001C5522" w:rsidRDefault="001C5522" w:rsidP="001C5522">
      <w:pPr>
        <w:spacing w:after="0" w:line="240" w:lineRule="auto"/>
        <w:rPr>
          <w:rFonts w:asciiTheme="majorHAnsi" w:eastAsiaTheme="majorEastAsia" w:hAnsiTheme="majorHAnsi" w:cstheme="majorBidi"/>
          <w:b/>
          <w:bCs/>
          <w:noProof/>
          <w:color w:val="00353F" w:themeColor="accent1" w:themeShade="BF"/>
          <w:sz w:val="40"/>
          <w:szCs w:val="40"/>
          <w:lang w:eastAsia="en-AU"/>
        </w:rPr>
      </w:pPr>
      <w:r>
        <w:rPr>
          <w:sz w:val="40"/>
          <w:szCs w:val="40"/>
        </w:rPr>
        <w:br w:type="page"/>
      </w:r>
    </w:p>
    <w:p w:rsidR="008040DA" w:rsidRPr="003B6D8C" w:rsidRDefault="0002421F" w:rsidP="003B6D8C">
      <w:pPr>
        <w:pStyle w:val="H1"/>
        <w:rPr>
          <w:b w:val="0"/>
          <w:sz w:val="40"/>
          <w:szCs w:val="40"/>
        </w:rPr>
      </w:pPr>
      <w:bookmarkStart w:id="18" w:name="_Toc467075175"/>
      <w:r w:rsidRPr="003B6D8C">
        <w:rPr>
          <w:sz w:val="40"/>
          <w:szCs w:val="40"/>
        </w:rPr>
        <w:lastRenderedPageBreak/>
        <w:t>4</w:t>
      </w:r>
      <w:r w:rsidR="00631726" w:rsidRPr="003B6D8C">
        <w:rPr>
          <w:sz w:val="40"/>
          <w:szCs w:val="40"/>
        </w:rPr>
        <w:t xml:space="preserve">. </w:t>
      </w:r>
      <w:r w:rsidR="008040DA" w:rsidRPr="003B6D8C">
        <w:rPr>
          <w:sz w:val="40"/>
          <w:szCs w:val="40"/>
        </w:rPr>
        <w:t>Key financial metrics</w:t>
      </w:r>
      <w:bookmarkEnd w:id="18"/>
    </w:p>
    <w:p w:rsidR="00EF7275" w:rsidRDefault="00B8785D" w:rsidP="008249DC">
      <w:pPr>
        <w:pStyle w:val="H2"/>
        <w:spacing w:after="120"/>
      </w:pPr>
      <w:r>
        <w:t>4</w:t>
      </w:r>
      <w:r w:rsidR="00242EC3">
        <w:t xml:space="preserve">.1 </w:t>
      </w:r>
      <w:r w:rsidR="00EF7275">
        <w:t xml:space="preserve">Revenue </w:t>
      </w:r>
      <w:r w:rsidR="0022792A">
        <w:t>source</w:t>
      </w:r>
      <w:r w:rsidR="003450E9">
        <w:t xml:space="preserve"> and </w:t>
      </w:r>
      <w:r w:rsidR="00EF7275">
        <w:t>concentration</w:t>
      </w:r>
    </w:p>
    <w:p w:rsidR="00EF7275" w:rsidRDefault="00746ADB" w:rsidP="00EF7275">
      <w:pPr>
        <w:autoSpaceDE w:val="0"/>
        <w:autoSpaceDN w:val="0"/>
        <w:adjustRightInd w:val="0"/>
        <w:rPr>
          <w:rFonts w:ascii="Arial" w:eastAsiaTheme="minorHAnsi" w:hAnsi="Arial" w:cstheme="minorBidi"/>
          <w:sz w:val="22"/>
          <w:szCs w:val="22"/>
        </w:rPr>
      </w:pPr>
      <w:r w:rsidRPr="00AF31E9">
        <w:rPr>
          <w:rFonts w:ascii="Arial" w:hAnsi="Arial" w:cstheme="minorBidi"/>
          <w:b/>
          <w:bCs/>
          <w:noProof/>
          <w:sz w:val="22"/>
          <w:szCs w:val="22"/>
          <w:lang w:eastAsia="en-AU"/>
        </w:rPr>
        <w:drawing>
          <wp:anchor distT="0" distB="0" distL="114300" distR="114300" simplePos="0" relativeHeight="251683328" behindDoc="1" locked="0" layoutInCell="1" allowOverlap="1" wp14:anchorId="2CAA5A52" wp14:editId="1E57C90B">
            <wp:simplePos x="0" y="0"/>
            <wp:positionH relativeFrom="column">
              <wp:posOffset>-711200</wp:posOffset>
            </wp:positionH>
            <wp:positionV relativeFrom="paragraph">
              <wp:posOffset>1660525</wp:posOffset>
            </wp:positionV>
            <wp:extent cx="7459980" cy="7170420"/>
            <wp:effectExtent l="0" t="0" r="0" b="0"/>
            <wp:wrapNone/>
            <wp:docPr id="18" name="Picture 18" descr="KFM_Oct20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FM_Oct2016_3"/>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01"/>
                    <a:stretch/>
                  </pic:blipFill>
                  <pic:spPr bwMode="auto">
                    <a:xfrm>
                      <a:off x="0" y="0"/>
                      <a:ext cx="7459980" cy="717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275" w:rsidRPr="00510635">
        <w:rPr>
          <w:rFonts w:ascii="Arial" w:eastAsiaTheme="minorHAnsi" w:hAnsi="Arial" w:cstheme="minorBidi"/>
          <w:sz w:val="22"/>
          <w:szCs w:val="22"/>
        </w:rPr>
        <w:t>Re</w:t>
      </w:r>
      <w:r w:rsidR="00EF7275" w:rsidRPr="00610C22">
        <w:rPr>
          <w:rFonts w:ascii="Arial" w:eastAsiaTheme="minorHAnsi" w:hAnsi="Arial" w:cstheme="minorBidi"/>
          <w:sz w:val="22"/>
          <w:szCs w:val="22"/>
        </w:rPr>
        <w:t xml:space="preserve">venue </w:t>
      </w:r>
      <w:r w:rsidR="003450E9">
        <w:rPr>
          <w:rFonts w:ascii="Arial" w:eastAsiaTheme="minorHAnsi" w:hAnsi="Arial" w:cstheme="minorBidi"/>
          <w:sz w:val="22"/>
          <w:szCs w:val="22"/>
        </w:rPr>
        <w:t xml:space="preserve">source and </w:t>
      </w:r>
      <w:r w:rsidR="00EF7275" w:rsidRPr="00610C22">
        <w:rPr>
          <w:rFonts w:ascii="Arial" w:eastAsiaTheme="minorHAnsi" w:hAnsi="Arial" w:cstheme="minorBidi"/>
          <w:sz w:val="22"/>
          <w:szCs w:val="22"/>
        </w:rPr>
        <w:t>concentration</w:t>
      </w:r>
      <w:r w:rsidR="003450E9">
        <w:rPr>
          <w:rFonts w:ascii="Arial" w:eastAsiaTheme="minorHAnsi" w:hAnsi="Arial" w:cstheme="minorBidi"/>
          <w:sz w:val="22"/>
          <w:szCs w:val="22"/>
        </w:rPr>
        <w:t xml:space="preserve"> </w:t>
      </w:r>
      <w:r w:rsidR="00EF7275" w:rsidRPr="00610C22">
        <w:rPr>
          <w:rFonts w:ascii="Arial" w:eastAsiaTheme="minorHAnsi" w:hAnsi="Arial" w:cstheme="minorBidi"/>
          <w:sz w:val="22"/>
          <w:szCs w:val="22"/>
        </w:rPr>
        <w:t xml:space="preserve">provides an indication </w:t>
      </w:r>
      <w:r w:rsidR="00EF7275">
        <w:rPr>
          <w:rFonts w:ascii="Arial" w:eastAsiaTheme="minorHAnsi" w:hAnsi="Arial" w:cstheme="minorBidi"/>
          <w:sz w:val="22"/>
          <w:szCs w:val="22"/>
        </w:rPr>
        <w:t>of</w:t>
      </w:r>
      <w:r w:rsidR="003450E9">
        <w:rPr>
          <w:rFonts w:ascii="Arial" w:eastAsiaTheme="minorHAnsi" w:hAnsi="Arial" w:cstheme="minorBidi"/>
          <w:sz w:val="22"/>
          <w:szCs w:val="22"/>
        </w:rPr>
        <w:t xml:space="preserve"> the</w:t>
      </w:r>
      <w:r w:rsidR="00E34B4E">
        <w:rPr>
          <w:rFonts w:ascii="Arial" w:eastAsiaTheme="minorHAnsi" w:hAnsi="Arial" w:cstheme="minorBidi"/>
          <w:sz w:val="22"/>
          <w:szCs w:val="22"/>
        </w:rPr>
        <w:t xml:space="preserve"> diversity of a </w:t>
      </w:r>
      <w:r w:rsidR="00EF7275">
        <w:rPr>
          <w:rFonts w:ascii="Arial" w:eastAsiaTheme="minorHAnsi" w:hAnsi="Arial" w:cstheme="minorBidi"/>
          <w:sz w:val="22"/>
          <w:szCs w:val="22"/>
        </w:rPr>
        <w:t>provider</w:t>
      </w:r>
      <w:r w:rsidR="00E34B4E">
        <w:rPr>
          <w:rFonts w:ascii="Arial" w:eastAsiaTheme="minorHAnsi" w:hAnsi="Arial" w:cstheme="minorBidi"/>
          <w:sz w:val="22"/>
          <w:szCs w:val="22"/>
        </w:rPr>
        <w:t>’</w:t>
      </w:r>
      <w:r w:rsidR="00EF7275">
        <w:rPr>
          <w:rFonts w:ascii="Arial" w:eastAsiaTheme="minorHAnsi" w:hAnsi="Arial" w:cstheme="minorBidi"/>
          <w:sz w:val="22"/>
          <w:szCs w:val="22"/>
        </w:rPr>
        <w:t xml:space="preserve">s business activities. </w:t>
      </w:r>
      <w:r w:rsidR="00EF7275" w:rsidRPr="0033268E">
        <w:rPr>
          <w:rFonts w:ascii="Arial" w:eastAsiaTheme="minorHAnsi" w:hAnsi="Arial" w:cstheme="minorBidi"/>
          <w:sz w:val="22"/>
          <w:szCs w:val="22"/>
        </w:rPr>
        <w:t xml:space="preserve">This is an important factor in assessing the </w:t>
      </w:r>
      <w:r w:rsidR="00EF7275">
        <w:rPr>
          <w:rFonts w:ascii="Arial" w:eastAsiaTheme="minorHAnsi" w:hAnsi="Arial" w:cstheme="minorBidi"/>
          <w:sz w:val="22"/>
          <w:szCs w:val="22"/>
        </w:rPr>
        <w:t>resilience of a provider’</w:t>
      </w:r>
      <w:r w:rsidR="00EF7275" w:rsidRPr="0033268E">
        <w:rPr>
          <w:rFonts w:ascii="Arial" w:eastAsiaTheme="minorHAnsi" w:hAnsi="Arial" w:cstheme="minorBidi"/>
          <w:sz w:val="22"/>
          <w:szCs w:val="22"/>
        </w:rPr>
        <w:t xml:space="preserve">s </w:t>
      </w:r>
      <w:r w:rsidR="0074734F">
        <w:rPr>
          <w:rFonts w:ascii="Arial" w:eastAsiaTheme="minorHAnsi" w:hAnsi="Arial" w:cstheme="minorBidi"/>
          <w:sz w:val="22"/>
          <w:szCs w:val="22"/>
        </w:rPr>
        <w:t>operating</w:t>
      </w:r>
      <w:r w:rsidR="00EF7275" w:rsidRPr="0033268E">
        <w:rPr>
          <w:rFonts w:ascii="Arial" w:eastAsiaTheme="minorHAnsi" w:hAnsi="Arial" w:cstheme="minorBidi"/>
          <w:sz w:val="22"/>
          <w:szCs w:val="22"/>
        </w:rPr>
        <w:t xml:space="preserve"> model </w:t>
      </w:r>
      <w:r w:rsidR="00EF7275">
        <w:rPr>
          <w:rFonts w:ascii="Arial" w:eastAsiaTheme="minorHAnsi" w:hAnsi="Arial" w:cstheme="minorBidi"/>
          <w:sz w:val="22"/>
          <w:szCs w:val="22"/>
        </w:rPr>
        <w:t>a</w:t>
      </w:r>
      <w:r w:rsidR="003450E9">
        <w:rPr>
          <w:rFonts w:ascii="Arial" w:eastAsiaTheme="minorHAnsi" w:hAnsi="Arial" w:cstheme="minorBidi"/>
          <w:sz w:val="22"/>
          <w:szCs w:val="22"/>
        </w:rPr>
        <w:t>nd</w:t>
      </w:r>
      <w:r w:rsidR="00EF7275">
        <w:rPr>
          <w:rFonts w:ascii="Arial" w:eastAsiaTheme="minorHAnsi" w:hAnsi="Arial" w:cstheme="minorBidi"/>
          <w:sz w:val="22"/>
          <w:szCs w:val="22"/>
        </w:rPr>
        <w:t xml:space="preserve"> </w:t>
      </w:r>
      <w:r w:rsidR="00E34B4E">
        <w:rPr>
          <w:rFonts w:ascii="Arial" w:eastAsiaTheme="minorHAnsi" w:hAnsi="Arial" w:cstheme="minorBidi"/>
          <w:sz w:val="22"/>
          <w:szCs w:val="22"/>
        </w:rPr>
        <w:t xml:space="preserve">its </w:t>
      </w:r>
      <w:r w:rsidR="00EF7275">
        <w:rPr>
          <w:rFonts w:ascii="Arial" w:eastAsiaTheme="minorHAnsi" w:hAnsi="Arial" w:cstheme="minorBidi"/>
          <w:sz w:val="22"/>
          <w:szCs w:val="22"/>
        </w:rPr>
        <w:t>capacity to</w:t>
      </w:r>
      <w:r w:rsidR="00EF7275" w:rsidRPr="0033268E">
        <w:rPr>
          <w:rFonts w:ascii="Arial" w:eastAsiaTheme="minorHAnsi" w:hAnsi="Arial" w:cstheme="minorBidi"/>
          <w:sz w:val="22"/>
          <w:szCs w:val="22"/>
        </w:rPr>
        <w:t xml:space="preserve"> respond to change</w:t>
      </w:r>
      <w:r w:rsidR="00EF7275">
        <w:rPr>
          <w:rFonts w:ascii="Arial" w:eastAsiaTheme="minorHAnsi" w:hAnsi="Arial" w:cstheme="minorBidi"/>
          <w:sz w:val="22"/>
          <w:szCs w:val="22"/>
        </w:rPr>
        <w:t>s</w:t>
      </w:r>
      <w:r w:rsidR="00EF7275" w:rsidRPr="0033268E">
        <w:rPr>
          <w:rFonts w:ascii="Arial" w:eastAsiaTheme="minorHAnsi" w:hAnsi="Arial" w:cstheme="minorBidi"/>
          <w:sz w:val="22"/>
          <w:szCs w:val="22"/>
        </w:rPr>
        <w:t xml:space="preserve"> in </w:t>
      </w:r>
      <w:r w:rsidR="0074734F">
        <w:rPr>
          <w:rFonts w:ascii="Arial" w:eastAsiaTheme="minorHAnsi" w:hAnsi="Arial" w:cstheme="minorBidi"/>
          <w:sz w:val="22"/>
          <w:szCs w:val="22"/>
        </w:rPr>
        <w:t>its</w:t>
      </w:r>
      <w:r w:rsidR="00EF7275" w:rsidRPr="0033268E">
        <w:rPr>
          <w:rFonts w:ascii="Arial" w:eastAsiaTheme="minorHAnsi" w:hAnsi="Arial" w:cstheme="minorBidi"/>
          <w:sz w:val="22"/>
          <w:szCs w:val="22"/>
        </w:rPr>
        <w:t xml:space="preserve"> operating environment. High levels of revenue concentration</w:t>
      </w:r>
      <w:r w:rsidR="00EF7275">
        <w:rPr>
          <w:rFonts w:ascii="Arial" w:eastAsiaTheme="minorHAnsi" w:hAnsi="Arial" w:cstheme="minorBidi"/>
          <w:sz w:val="22"/>
          <w:szCs w:val="22"/>
        </w:rPr>
        <w:t xml:space="preserve"> </w:t>
      </w:r>
      <w:r w:rsidR="00EF7275" w:rsidRPr="0033268E">
        <w:rPr>
          <w:rFonts w:ascii="Arial" w:eastAsiaTheme="minorHAnsi" w:hAnsi="Arial" w:cstheme="minorBidi"/>
          <w:sz w:val="22"/>
          <w:szCs w:val="22"/>
        </w:rPr>
        <w:t xml:space="preserve">may </w:t>
      </w:r>
      <w:r w:rsidR="0074734F">
        <w:rPr>
          <w:rFonts w:ascii="Arial" w:eastAsiaTheme="minorHAnsi" w:hAnsi="Arial" w:cstheme="minorBidi"/>
          <w:sz w:val="22"/>
          <w:szCs w:val="22"/>
        </w:rPr>
        <w:t>impair</w:t>
      </w:r>
      <w:r w:rsidR="00EF7275" w:rsidRPr="0033268E">
        <w:rPr>
          <w:rFonts w:ascii="Arial" w:eastAsiaTheme="minorHAnsi" w:hAnsi="Arial" w:cstheme="minorBidi"/>
          <w:sz w:val="22"/>
          <w:szCs w:val="22"/>
        </w:rPr>
        <w:t xml:space="preserve"> the provider’s ability to respond effectively to </w:t>
      </w:r>
      <w:r w:rsidR="00976222">
        <w:rPr>
          <w:rFonts w:ascii="Arial" w:eastAsiaTheme="minorHAnsi" w:hAnsi="Arial" w:cstheme="minorBidi"/>
          <w:sz w:val="22"/>
          <w:szCs w:val="22"/>
        </w:rPr>
        <w:t xml:space="preserve">changes in </w:t>
      </w:r>
      <w:r w:rsidR="0024743A">
        <w:rPr>
          <w:rFonts w:ascii="Arial" w:eastAsiaTheme="minorHAnsi" w:hAnsi="Arial" w:cstheme="minorBidi"/>
          <w:sz w:val="22"/>
          <w:szCs w:val="22"/>
        </w:rPr>
        <w:t>its operating environment</w:t>
      </w:r>
      <w:r w:rsidR="00EF7275" w:rsidRPr="0033268E">
        <w:rPr>
          <w:rFonts w:ascii="Arial" w:eastAsiaTheme="minorHAnsi" w:hAnsi="Arial" w:cstheme="minorBidi"/>
          <w:sz w:val="22"/>
          <w:szCs w:val="22"/>
        </w:rPr>
        <w:t>.</w:t>
      </w:r>
      <w:r w:rsidR="00577EBA">
        <w:rPr>
          <w:rFonts w:ascii="Arial" w:eastAsiaTheme="minorHAnsi" w:hAnsi="Arial" w:cstheme="minorBidi"/>
          <w:sz w:val="22"/>
          <w:szCs w:val="22"/>
        </w:rPr>
        <w:t xml:space="preserve"> The eight broad revenue sources used in this report have been identified by TEQSA as they provide valuable insights into the type and magnitude of a provider’s reliance on certain revenue sources. TEQSA considers each revenue source to be of equal importance to maintain financial sustainability. Please refer to the Glossary for further information on each revenue source. </w:t>
      </w:r>
    </w:p>
    <w:p w:rsidR="00334DDA" w:rsidRDefault="00334DDA" w:rsidP="001617DA">
      <w:pPr>
        <w:autoSpaceDE w:val="0"/>
        <w:autoSpaceDN w:val="0"/>
        <w:adjustRightInd w:val="0"/>
        <w:spacing w:after="0" w:line="240" w:lineRule="auto"/>
        <w:rPr>
          <w:rFonts w:ascii="Arial" w:eastAsiaTheme="minorHAnsi" w:hAnsi="Arial" w:cstheme="minorBidi"/>
          <w:sz w:val="22"/>
          <w:szCs w:val="22"/>
        </w:rPr>
      </w:pPr>
    </w:p>
    <w:p w:rsidR="00577EBA" w:rsidRDefault="00577EBA">
      <w:pPr>
        <w:spacing w:after="0" w:line="240" w:lineRule="auto"/>
        <w:rPr>
          <w:rFonts w:ascii="Arial" w:eastAsiaTheme="minorHAnsi" w:hAnsi="Arial" w:cstheme="minorBidi"/>
          <w:sz w:val="22"/>
          <w:szCs w:val="22"/>
        </w:rPr>
      </w:pPr>
      <w:r>
        <w:rPr>
          <w:rFonts w:ascii="Arial" w:hAnsi="Arial" w:cstheme="minorBidi"/>
          <w:b/>
          <w:bCs/>
          <w:sz w:val="22"/>
          <w:szCs w:val="22"/>
        </w:rPr>
        <w:br w:type="page"/>
      </w:r>
    </w:p>
    <w:p w:rsidR="00577EBA" w:rsidRDefault="00577EBA" w:rsidP="002E0956">
      <w:pPr>
        <w:pStyle w:val="H2"/>
        <w:spacing w:after="0"/>
        <w:rPr>
          <w:rFonts w:ascii="Arial" w:hAnsi="Arial" w:cstheme="minorBidi"/>
          <w:b w:val="0"/>
          <w:bCs w:val="0"/>
          <w:color w:val="auto"/>
          <w:sz w:val="22"/>
          <w:szCs w:val="22"/>
          <w:lang w:val="en-AU"/>
        </w:rPr>
      </w:pPr>
      <w:r>
        <w:rPr>
          <w:rFonts w:ascii="Arial" w:hAnsi="Arial" w:cstheme="minorBidi"/>
          <w:b w:val="0"/>
          <w:bCs w:val="0"/>
          <w:color w:val="auto"/>
          <w:sz w:val="22"/>
          <w:szCs w:val="22"/>
          <w:lang w:val="en-AU"/>
        </w:rPr>
        <w:lastRenderedPageBreak/>
        <w:t xml:space="preserve">In this section, a distribution of the population (i.e. all analysed providers) and a table with quartile values by provider type is presented for each metric. In some cases, further analysis has been presented to provide additional insights. </w:t>
      </w:r>
    </w:p>
    <w:p w:rsidR="00577EBA" w:rsidRPr="002E0956" w:rsidRDefault="00577EBA" w:rsidP="002E0956">
      <w:pPr>
        <w:pStyle w:val="H3"/>
        <w:spacing w:before="0" w:after="0"/>
        <w:rPr>
          <w:sz w:val="16"/>
          <w:szCs w:val="16"/>
        </w:rPr>
      </w:pPr>
    </w:p>
    <w:p w:rsidR="00577EBA" w:rsidRDefault="00577EBA" w:rsidP="00577EBA">
      <w:pPr>
        <w:pStyle w:val="H3"/>
      </w:pPr>
      <w:r>
        <w:t xml:space="preserve">Revenue concentration </w:t>
      </w:r>
    </w:p>
    <w:p w:rsidR="00577EBA" w:rsidRPr="002E0956" w:rsidRDefault="00577EBA">
      <w:pPr>
        <w:autoSpaceDE w:val="0"/>
        <w:autoSpaceDN w:val="0"/>
        <w:adjustRightInd w:val="0"/>
        <w:spacing w:after="0" w:line="240" w:lineRule="auto"/>
        <w:rPr>
          <w:rFonts w:ascii="Arial" w:eastAsiaTheme="minorHAnsi" w:hAnsi="Arial" w:cstheme="minorBidi"/>
          <w:sz w:val="16"/>
          <w:szCs w:val="16"/>
        </w:rPr>
      </w:pPr>
    </w:p>
    <w:p w:rsidR="00EF7275" w:rsidRPr="008249DC" w:rsidDel="0024327E" w:rsidRDefault="003450E9" w:rsidP="00EF7275">
      <w:pPr>
        <w:rPr>
          <w:rFonts w:ascii="Georgia" w:hAnsi="Georgia" w:cs="Arial"/>
          <w:b/>
          <w:color w:val="004855" w:themeColor="text1"/>
          <w:sz w:val="20"/>
          <w:szCs w:val="20"/>
          <w:lang w:val="en-US"/>
        </w:rPr>
      </w:pPr>
      <w:r w:rsidRPr="00AF61CE" w:rsidDel="0024327E">
        <w:rPr>
          <w:rFonts w:ascii="Georgia" w:hAnsi="Georgia" w:cs="Arial"/>
          <w:b/>
          <w:color w:val="004855" w:themeColor="text1"/>
          <w:sz w:val="20"/>
          <w:szCs w:val="20"/>
          <w:lang w:val="en-US"/>
        </w:rPr>
        <w:t xml:space="preserve">Figure </w:t>
      </w:r>
      <w:r w:rsidR="00B8785D">
        <w:rPr>
          <w:rFonts w:ascii="Georgia" w:hAnsi="Georgia" w:cs="Arial"/>
          <w:b/>
          <w:color w:val="004855" w:themeColor="text1"/>
          <w:sz w:val="20"/>
          <w:szCs w:val="20"/>
          <w:lang w:val="en-US"/>
        </w:rPr>
        <w:t>4</w:t>
      </w:r>
      <w:r w:rsidR="00EF7275" w:rsidRPr="00AF61CE" w:rsidDel="0024327E">
        <w:rPr>
          <w:rFonts w:ascii="Georgia" w:hAnsi="Georgia" w:cs="Arial"/>
          <w:b/>
          <w:color w:val="004855" w:themeColor="text1"/>
          <w:sz w:val="20"/>
          <w:szCs w:val="20"/>
          <w:lang w:val="en-US"/>
        </w:rPr>
        <w:t>: Revenue concentration</w:t>
      </w:r>
      <w:r w:rsidR="00A8413E" w:rsidRPr="00AF61CE" w:rsidDel="0024327E">
        <w:rPr>
          <w:rFonts w:ascii="Georgia" w:hAnsi="Georgia" w:cs="Arial"/>
          <w:b/>
          <w:color w:val="004855" w:themeColor="text1"/>
          <w:sz w:val="20"/>
          <w:szCs w:val="20"/>
          <w:lang w:val="en-US"/>
        </w:rPr>
        <w:t xml:space="preserve">, by provider </w:t>
      </w:r>
      <w:r w:rsidR="00452500" w:rsidRPr="00AF61CE" w:rsidDel="0024327E">
        <w:rPr>
          <w:rFonts w:ascii="Georgia" w:hAnsi="Georgia" w:cs="Arial"/>
          <w:b/>
          <w:color w:val="004855" w:themeColor="text1"/>
          <w:sz w:val="20"/>
          <w:szCs w:val="20"/>
          <w:lang w:val="en-US"/>
        </w:rPr>
        <w:t>type</w:t>
      </w:r>
    </w:p>
    <w:p w:rsidR="001617DA" w:rsidRDefault="002E6F34" w:rsidP="00F0135F">
      <w:pPr>
        <w:jc w:val="center"/>
        <w:rPr>
          <w:rFonts w:ascii="Georgia" w:hAnsi="Georgia" w:cs="Arial"/>
          <w:b/>
          <w:color w:val="004855" w:themeColor="text1"/>
          <w:sz w:val="22"/>
          <w:szCs w:val="22"/>
          <w:lang w:val="en-US"/>
        </w:rPr>
      </w:pPr>
      <w:r w:rsidRPr="00346510">
        <w:rPr>
          <w:rFonts w:ascii="Georgia" w:hAnsi="Georgia" w:cs="Arial"/>
          <w:b/>
          <w:noProof/>
          <w:color w:val="004855" w:themeColor="text1"/>
          <w:sz w:val="22"/>
          <w:szCs w:val="22"/>
          <w:lang w:eastAsia="en-AU"/>
        </w:rPr>
        <w:drawing>
          <wp:inline distT="0" distB="0" distL="0" distR="0" wp14:anchorId="48BBC1E3" wp14:editId="660A0D82">
            <wp:extent cx="5928360" cy="3444240"/>
            <wp:effectExtent l="0" t="0" r="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3451618"/>
                    </a:xfrm>
                    <a:prstGeom prst="rect">
                      <a:avLst/>
                    </a:prstGeom>
                    <a:noFill/>
                    <a:ln>
                      <a:noFill/>
                    </a:ln>
                  </pic:spPr>
                </pic:pic>
              </a:graphicData>
            </a:graphic>
          </wp:inline>
        </w:drawing>
      </w:r>
    </w:p>
    <w:p w:rsidR="00EF7275" w:rsidRDefault="00453D41" w:rsidP="007344DC">
      <w:pPr>
        <w:spacing w:after="0" w:line="80" w:lineRule="atLeast"/>
        <w:jc w:val="center"/>
        <w:rPr>
          <w:rFonts w:ascii="Georgia" w:hAnsi="Georgia" w:cs="Arial"/>
          <w:b/>
          <w:color w:val="004855" w:themeColor="text1"/>
          <w:sz w:val="22"/>
          <w:szCs w:val="22"/>
          <w:lang w:val="en-US"/>
        </w:rPr>
      </w:pPr>
      <w:r>
        <w:rPr>
          <w:noProof/>
          <w:lang w:eastAsia="en-AU"/>
        </w:rPr>
        <w:drawing>
          <wp:inline distT="0" distB="0" distL="0" distR="0" wp14:anchorId="2AB53195" wp14:editId="043BF68D">
            <wp:extent cx="1054510" cy="1721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9802"/>
                    <a:stretch/>
                  </pic:blipFill>
                  <pic:spPr bwMode="auto">
                    <a:xfrm>
                      <a:off x="0" y="0"/>
                      <a:ext cx="1058284" cy="172718"/>
                    </a:xfrm>
                    <a:prstGeom prst="rect">
                      <a:avLst/>
                    </a:prstGeom>
                    <a:noFill/>
                    <a:ln>
                      <a:noFill/>
                    </a:ln>
                    <a:extLst>
                      <a:ext uri="{53640926-AAD7-44D8-BBD7-CCE9431645EC}">
                        <a14:shadowObscured xmlns:a14="http://schemas.microsoft.com/office/drawing/2010/main"/>
                      </a:ext>
                    </a:extLst>
                  </pic:spPr>
                </pic:pic>
              </a:graphicData>
            </a:graphic>
          </wp:inline>
        </w:drawing>
      </w:r>
      <w:r w:rsidR="00D244F0">
        <w:rPr>
          <w:noProof/>
          <w:lang w:eastAsia="en-AU"/>
        </w:rPr>
        <w:drawing>
          <wp:inline distT="0" distB="0" distL="0" distR="0" wp14:anchorId="0B6E3566" wp14:editId="1E034A0C">
            <wp:extent cx="1054510" cy="2138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b="18466"/>
                    <a:stretch/>
                  </pic:blipFill>
                  <pic:spPr bwMode="auto">
                    <a:xfrm>
                      <a:off x="0" y="0"/>
                      <a:ext cx="1058284" cy="214617"/>
                    </a:xfrm>
                    <a:prstGeom prst="rect">
                      <a:avLst/>
                    </a:prstGeom>
                    <a:noFill/>
                    <a:ln>
                      <a:noFill/>
                    </a:ln>
                    <a:extLst>
                      <a:ext uri="{53640926-AAD7-44D8-BBD7-CCE9431645EC}">
                        <a14:shadowObscured xmlns:a14="http://schemas.microsoft.com/office/drawing/2010/main"/>
                      </a:ext>
                    </a:extLst>
                  </pic:spPr>
                </pic:pic>
              </a:graphicData>
            </a:graphic>
          </wp:inline>
        </w:drawing>
      </w:r>
    </w:p>
    <w:p w:rsidR="00D244F0" w:rsidRDefault="00D244F0" w:rsidP="007344DC">
      <w:pPr>
        <w:spacing w:after="0" w:line="80" w:lineRule="atLeast"/>
        <w:jc w:val="cente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7F3C667A" wp14:editId="4B345865">
            <wp:extent cx="1053458" cy="1917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6088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b/>
          <w:noProof/>
          <w:color w:val="004855" w:themeColor="text1"/>
          <w:sz w:val="22"/>
          <w:szCs w:val="22"/>
          <w:lang w:eastAsia="en-AU"/>
        </w:rPr>
        <w:drawing>
          <wp:inline distT="0" distB="0" distL="0" distR="0" wp14:anchorId="3230011F" wp14:editId="76A7C159">
            <wp:extent cx="1053458" cy="1917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87" b="4016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p>
    <w:p w:rsidR="00D244F0" w:rsidRPr="007344DC" w:rsidRDefault="00D244F0" w:rsidP="007344DC">
      <w:pPr>
        <w:spacing w:after="0"/>
        <w:jc w:val="center"/>
        <w:rPr>
          <w:rFonts w:ascii="Georgia" w:hAnsi="Georgia" w:cs="Arial"/>
          <w:b/>
          <w:color w:val="004855" w:themeColor="text1"/>
          <w:sz w:val="16"/>
          <w:szCs w:val="16"/>
          <w:lang w:val="en-US"/>
        </w:rPr>
      </w:pPr>
    </w:p>
    <w:p w:rsidR="00EF7275" w:rsidRPr="008249DC" w:rsidRDefault="00E65946" w:rsidP="00EF7275">
      <w:pPr>
        <w:rPr>
          <w:rFonts w:ascii="Georgia" w:hAnsi="Georgia" w:cs="Arial"/>
          <w:b/>
          <w:color w:val="004855" w:themeColor="text1"/>
          <w:sz w:val="20"/>
          <w:szCs w:val="20"/>
          <w:lang w:val="en-US"/>
        </w:rPr>
      </w:pPr>
      <w:r>
        <w:rPr>
          <w:rFonts w:ascii="Georgia" w:hAnsi="Georgia" w:cs="Arial"/>
          <w:b/>
          <w:color w:val="004855" w:themeColor="text1"/>
          <w:sz w:val="20"/>
          <w:szCs w:val="20"/>
          <w:lang w:val="en-US"/>
        </w:rPr>
        <w:t xml:space="preserve">Table </w:t>
      </w:r>
      <w:r w:rsidR="00BD5C55">
        <w:rPr>
          <w:rFonts w:ascii="Georgia" w:hAnsi="Georgia" w:cs="Arial"/>
          <w:b/>
          <w:color w:val="004855" w:themeColor="text1"/>
          <w:sz w:val="20"/>
          <w:szCs w:val="20"/>
          <w:lang w:val="en-US"/>
        </w:rPr>
        <w:t>5</w:t>
      </w:r>
      <w:r w:rsidR="00EF7275" w:rsidRPr="008249DC">
        <w:rPr>
          <w:rFonts w:ascii="Georgia" w:hAnsi="Georgia" w:cs="Arial"/>
          <w:b/>
          <w:color w:val="004855" w:themeColor="text1"/>
          <w:sz w:val="20"/>
          <w:szCs w:val="20"/>
          <w:lang w:val="en-US"/>
        </w:rPr>
        <w:t xml:space="preserve">: </w:t>
      </w:r>
      <w:r w:rsidR="001C0170">
        <w:rPr>
          <w:rFonts w:ascii="Georgia" w:hAnsi="Georgia" w:cs="Arial"/>
          <w:b/>
          <w:color w:val="004855" w:themeColor="text1"/>
          <w:sz w:val="20"/>
          <w:szCs w:val="20"/>
          <w:lang w:val="en-US"/>
        </w:rPr>
        <w:t>Revenue concentration range</w:t>
      </w:r>
      <w:r w:rsidR="00EF7275" w:rsidRPr="008249DC">
        <w:rPr>
          <w:rFonts w:ascii="Georgia" w:hAnsi="Georgia" w:cs="Arial"/>
          <w:b/>
          <w:color w:val="004855" w:themeColor="text1"/>
          <w:sz w:val="20"/>
          <w:szCs w:val="20"/>
          <w:lang w:val="en-US"/>
        </w:rPr>
        <w:t xml:space="preserve">, by provider </w:t>
      </w:r>
      <w:r w:rsidR="00452500" w:rsidRPr="008249DC">
        <w:rPr>
          <w:rFonts w:ascii="Georgia" w:hAnsi="Georgia" w:cs="Arial"/>
          <w:b/>
          <w:color w:val="004855" w:themeColor="text1"/>
          <w:sz w:val="20"/>
          <w:szCs w:val="20"/>
          <w:lang w:val="en-US"/>
        </w:rPr>
        <w:t>type</w:t>
      </w:r>
    </w:p>
    <w:tbl>
      <w:tblPr>
        <w:tblW w:w="4942" w:type="pct"/>
        <w:tblInd w:w="108" w:type="dxa"/>
        <w:tblLook w:val="04A0" w:firstRow="1" w:lastRow="0" w:firstColumn="1" w:lastColumn="0" w:noHBand="0" w:noVBand="1"/>
      </w:tblPr>
      <w:tblGrid>
        <w:gridCol w:w="2173"/>
        <w:gridCol w:w="1427"/>
        <w:gridCol w:w="1593"/>
        <w:gridCol w:w="11"/>
        <w:gridCol w:w="1366"/>
        <w:gridCol w:w="1495"/>
        <w:gridCol w:w="1396"/>
      </w:tblGrid>
      <w:tr w:rsidR="00675F21" w:rsidRPr="00797118" w:rsidTr="000B07C2">
        <w:trPr>
          <w:trHeight w:val="300"/>
        </w:trPr>
        <w:tc>
          <w:tcPr>
            <w:tcW w:w="1148" w:type="pct"/>
            <w:tcBorders>
              <w:top w:val="nil"/>
              <w:left w:val="nil"/>
              <w:bottom w:val="single" w:sz="4" w:space="0" w:color="366092"/>
              <w:right w:val="nil"/>
            </w:tcBorders>
            <w:shd w:val="clear" w:color="auto" w:fill="004855"/>
            <w:noWrap/>
            <w:vAlign w:val="center"/>
          </w:tcPr>
          <w:p w:rsidR="00675F21" w:rsidRPr="00797118" w:rsidRDefault="00675F21" w:rsidP="008466EE">
            <w:pPr>
              <w:spacing w:after="0"/>
              <w:rPr>
                <w:rFonts w:asciiTheme="minorHAnsi" w:hAnsiTheme="minorHAnsi" w:cstheme="minorHAnsi"/>
                <w:b/>
                <w:sz w:val="20"/>
                <w:szCs w:val="20"/>
              </w:rPr>
            </w:pPr>
          </w:p>
        </w:tc>
        <w:tc>
          <w:tcPr>
            <w:tcW w:w="754" w:type="pct"/>
            <w:tcBorders>
              <w:top w:val="nil"/>
              <w:left w:val="nil"/>
              <w:bottom w:val="single" w:sz="4" w:space="0" w:color="366092"/>
              <w:right w:val="nil"/>
            </w:tcBorders>
            <w:shd w:val="clear" w:color="auto" w:fill="004855"/>
            <w:noWrap/>
            <w:vAlign w:val="center"/>
          </w:tcPr>
          <w:p w:rsidR="00675F2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42" w:type="pct"/>
            <w:tcBorders>
              <w:top w:val="nil"/>
              <w:left w:val="nil"/>
              <w:bottom w:val="single" w:sz="4" w:space="0" w:color="366092"/>
              <w:right w:val="nil"/>
            </w:tcBorders>
            <w:shd w:val="clear" w:color="auto" w:fill="004855"/>
            <w:vAlign w:val="center"/>
          </w:tcPr>
          <w:p w:rsidR="00675F21" w:rsidRPr="00797118" w:rsidRDefault="00ED5A37"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8" w:type="pct"/>
            <w:gridSpan w:val="2"/>
            <w:tcBorders>
              <w:top w:val="nil"/>
              <w:left w:val="nil"/>
              <w:bottom w:val="single" w:sz="4" w:space="0" w:color="366092"/>
              <w:right w:val="nil"/>
            </w:tcBorders>
            <w:shd w:val="clear" w:color="auto" w:fill="004855"/>
            <w:noWrap/>
            <w:vAlign w:val="center"/>
          </w:tcPr>
          <w:p w:rsidR="00675F21" w:rsidRPr="00797118" w:rsidRDefault="00675F21"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0" w:type="pct"/>
            <w:tcBorders>
              <w:top w:val="nil"/>
              <w:left w:val="nil"/>
              <w:bottom w:val="single" w:sz="4" w:space="0" w:color="366092"/>
              <w:right w:val="nil"/>
            </w:tcBorders>
            <w:shd w:val="clear" w:color="auto" w:fill="004855"/>
            <w:noWrap/>
            <w:vAlign w:val="center"/>
          </w:tcPr>
          <w:p w:rsidR="00675F21" w:rsidRPr="00797118" w:rsidRDefault="00ED5A3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8" w:type="pct"/>
            <w:tcBorders>
              <w:top w:val="nil"/>
              <w:left w:val="nil"/>
              <w:bottom w:val="single" w:sz="4" w:space="0" w:color="366092"/>
              <w:right w:val="nil"/>
            </w:tcBorders>
            <w:shd w:val="clear" w:color="auto" w:fill="004855"/>
            <w:vAlign w:val="center"/>
          </w:tcPr>
          <w:p w:rsidR="00675F2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B87631" w:rsidRPr="00797118" w:rsidTr="00B87631">
        <w:trPr>
          <w:trHeight w:val="300"/>
        </w:trPr>
        <w:tc>
          <w:tcPr>
            <w:tcW w:w="1148" w:type="pct"/>
            <w:tcBorders>
              <w:top w:val="nil"/>
              <w:left w:val="nil"/>
              <w:bottom w:val="single" w:sz="4" w:space="0" w:color="366092"/>
              <w:right w:val="nil"/>
            </w:tcBorders>
            <w:shd w:val="clear" w:color="auto" w:fill="auto"/>
            <w:noWrap/>
            <w:vAlign w:val="center"/>
          </w:tcPr>
          <w:p w:rsidR="00B87631" w:rsidRPr="00296D08" w:rsidRDefault="00B87631" w:rsidP="008466EE">
            <w:pPr>
              <w:spacing w:after="0"/>
              <w:rPr>
                <w:rFonts w:asciiTheme="minorHAnsi" w:hAnsiTheme="minorHAnsi" w:cstheme="minorHAnsi"/>
                <w:sz w:val="20"/>
                <w:szCs w:val="20"/>
              </w:rPr>
            </w:pPr>
            <w:r w:rsidRPr="00296D08">
              <w:rPr>
                <w:rFonts w:asciiTheme="minorHAnsi" w:hAnsiTheme="minorHAnsi" w:cstheme="minorHAnsi"/>
                <w:sz w:val="20"/>
                <w:szCs w:val="20"/>
              </w:rPr>
              <w:t>Universit</w:t>
            </w:r>
            <w:r>
              <w:rPr>
                <w:rFonts w:asciiTheme="minorHAnsi" w:hAnsiTheme="minorHAnsi" w:cstheme="minorHAnsi"/>
                <w:sz w:val="20"/>
                <w:szCs w:val="20"/>
              </w:rPr>
              <w:t>ies</w:t>
            </w:r>
          </w:p>
        </w:tc>
        <w:tc>
          <w:tcPr>
            <w:tcW w:w="754" w:type="pct"/>
            <w:tcBorders>
              <w:top w:val="nil"/>
              <w:left w:val="nil"/>
              <w:bottom w:val="single" w:sz="4" w:space="0" w:color="366092"/>
              <w:right w:val="nil"/>
            </w:tcBorders>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32.0%</w:t>
            </w:r>
          </w:p>
        </w:tc>
        <w:tc>
          <w:tcPr>
            <w:tcW w:w="848" w:type="pct"/>
            <w:gridSpan w:val="2"/>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39.1%</w:t>
            </w:r>
          </w:p>
        </w:tc>
        <w:tc>
          <w:tcPr>
            <w:tcW w:w="722" w:type="pct"/>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45.0%</w:t>
            </w:r>
          </w:p>
        </w:tc>
        <w:tc>
          <w:tcPr>
            <w:tcW w:w="790" w:type="pct"/>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51.2%</w:t>
            </w:r>
          </w:p>
        </w:tc>
        <w:tc>
          <w:tcPr>
            <w:tcW w:w="738" w:type="pct"/>
            <w:tcBorders>
              <w:top w:val="nil"/>
              <w:left w:val="nil"/>
              <w:bottom w:val="single" w:sz="4" w:space="0" w:color="366092"/>
              <w:right w:val="nil"/>
            </w:tcBorders>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69.7%</w:t>
            </w:r>
          </w:p>
        </w:tc>
      </w:tr>
      <w:tr w:rsidR="0046599A" w:rsidRPr="00797118" w:rsidTr="0089015D">
        <w:trPr>
          <w:trHeight w:val="300"/>
        </w:trPr>
        <w:tc>
          <w:tcPr>
            <w:tcW w:w="1148" w:type="pct"/>
            <w:tcBorders>
              <w:top w:val="nil"/>
              <w:left w:val="nil"/>
              <w:bottom w:val="single" w:sz="4" w:space="0" w:color="366092"/>
              <w:right w:val="nil"/>
            </w:tcBorders>
            <w:shd w:val="clear" w:color="auto" w:fill="auto"/>
            <w:noWrap/>
            <w:vAlign w:val="center"/>
          </w:tcPr>
          <w:p w:rsidR="0046599A" w:rsidRPr="00296D08" w:rsidRDefault="0046599A"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754" w:type="pct"/>
            <w:tcBorders>
              <w:top w:val="nil"/>
              <w:left w:val="nil"/>
              <w:bottom w:val="single" w:sz="4" w:space="0" w:color="366092"/>
              <w:right w:val="nil"/>
            </w:tcBorders>
          </w:tcPr>
          <w:p w:rsidR="0046599A" w:rsidRPr="000B07C2" w:rsidRDefault="0046599A" w:rsidP="0089015D">
            <w:pPr>
              <w:spacing w:after="0"/>
              <w:jc w:val="right"/>
              <w:rPr>
                <w:rFonts w:asciiTheme="minorHAnsi" w:hAnsiTheme="minorHAnsi" w:cstheme="minorHAnsi"/>
                <w:sz w:val="20"/>
                <w:szCs w:val="20"/>
              </w:rPr>
            </w:pPr>
            <w:r w:rsidRPr="00B87631">
              <w:rPr>
                <w:rFonts w:asciiTheme="minorHAnsi" w:hAnsiTheme="minorHAnsi" w:cstheme="minorHAnsi"/>
                <w:sz w:val="20"/>
                <w:szCs w:val="20"/>
              </w:rPr>
              <w:t>31.1%</w:t>
            </w:r>
          </w:p>
        </w:tc>
        <w:tc>
          <w:tcPr>
            <w:tcW w:w="848" w:type="pct"/>
            <w:gridSpan w:val="2"/>
            <w:tcBorders>
              <w:top w:val="nil"/>
              <w:left w:val="nil"/>
              <w:bottom w:val="single" w:sz="4" w:space="0" w:color="366092"/>
              <w:right w:val="nil"/>
            </w:tcBorders>
            <w:shd w:val="clear" w:color="auto" w:fill="auto"/>
            <w:noWrap/>
          </w:tcPr>
          <w:p w:rsidR="0046599A" w:rsidRPr="000B07C2" w:rsidRDefault="0046599A" w:rsidP="0089015D">
            <w:pPr>
              <w:spacing w:after="0"/>
              <w:jc w:val="right"/>
              <w:rPr>
                <w:rFonts w:asciiTheme="minorHAnsi" w:hAnsiTheme="minorHAnsi" w:cstheme="minorHAnsi"/>
                <w:sz w:val="20"/>
                <w:szCs w:val="20"/>
              </w:rPr>
            </w:pPr>
            <w:r w:rsidRPr="00B87631">
              <w:rPr>
                <w:rFonts w:asciiTheme="minorHAnsi" w:hAnsiTheme="minorHAnsi" w:cstheme="minorHAnsi"/>
                <w:sz w:val="20"/>
                <w:szCs w:val="20"/>
              </w:rPr>
              <w:t>48.4%</w:t>
            </w:r>
          </w:p>
        </w:tc>
        <w:tc>
          <w:tcPr>
            <w:tcW w:w="722" w:type="pct"/>
            <w:tcBorders>
              <w:top w:val="nil"/>
              <w:left w:val="nil"/>
              <w:bottom w:val="single" w:sz="4" w:space="0" w:color="366092"/>
              <w:right w:val="nil"/>
            </w:tcBorders>
            <w:shd w:val="clear" w:color="auto" w:fill="auto"/>
            <w:noWrap/>
          </w:tcPr>
          <w:p w:rsidR="0046599A" w:rsidRPr="000B07C2" w:rsidRDefault="0046599A" w:rsidP="0089015D">
            <w:pPr>
              <w:spacing w:after="0"/>
              <w:jc w:val="right"/>
              <w:rPr>
                <w:rFonts w:asciiTheme="minorHAnsi" w:hAnsiTheme="minorHAnsi" w:cstheme="minorHAnsi"/>
                <w:sz w:val="20"/>
                <w:szCs w:val="20"/>
              </w:rPr>
            </w:pPr>
            <w:r w:rsidRPr="00B87631">
              <w:rPr>
                <w:rFonts w:asciiTheme="minorHAnsi" w:hAnsiTheme="minorHAnsi" w:cstheme="minorHAnsi"/>
                <w:sz w:val="20"/>
                <w:szCs w:val="20"/>
              </w:rPr>
              <w:t>64.3%</w:t>
            </w:r>
          </w:p>
        </w:tc>
        <w:tc>
          <w:tcPr>
            <w:tcW w:w="790" w:type="pct"/>
            <w:tcBorders>
              <w:top w:val="nil"/>
              <w:left w:val="nil"/>
              <w:bottom w:val="single" w:sz="4" w:space="0" w:color="366092"/>
              <w:right w:val="nil"/>
            </w:tcBorders>
            <w:shd w:val="clear" w:color="auto" w:fill="auto"/>
            <w:noWrap/>
          </w:tcPr>
          <w:p w:rsidR="0046599A" w:rsidRPr="000B07C2" w:rsidRDefault="0046599A" w:rsidP="0089015D">
            <w:pPr>
              <w:spacing w:after="0"/>
              <w:jc w:val="right"/>
              <w:rPr>
                <w:rFonts w:asciiTheme="minorHAnsi" w:hAnsiTheme="minorHAnsi" w:cstheme="minorHAnsi"/>
                <w:sz w:val="20"/>
                <w:szCs w:val="20"/>
              </w:rPr>
            </w:pPr>
            <w:r w:rsidRPr="00B87631">
              <w:rPr>
                <w:rFonts w:asciiTheme="minorHAnsi" w:hAnsiTheme="minorHAnsi" w:cstheme="minorHAnsi"/>
                <w:sz w:val="20"/>
                <w:szCs w:val="20"/>
              </w:rPr>
              <w:t>68.5%</w:t>
            </w:r>
          </w:p>
        </w:tc>
        <w:tc>
          <w:tcPr>
            <w:tcW w:w="738" w:type="pct"/>
            <w:tcBorders>
              <w:top w:val="nil"/>
              <w:left w:val="nil"/>
              <w:bottom w:val="single" w:sz="4" w:space="0" w:color="366092"/>
              <w:right w:val="nil"/>
            </w:tcBorders>
          </w:tcPr>
          <w:p w:rsidR="0046599A" w:rsidRPr="000B07C2" w:rsidRDefault="0046599A" w:rsidP="0089015D">
            <w:pPr>
              <w:spacing w:after="0"/>
              <w:jc w:val="right"/>
              <w:rPr>
                <w:rFonts w:asciiTheme="minorHAnsi" w:hAnsiTheme="minorHAnsi" w:cstheme="minorHAnsi"/>
                <w:sz w:val="20"/>
                <w:szCs w:val="20"/>
              </w:rPr>
            </w:pPr>
            <w:r w:rsidRPr="00B87631">
              <w:rPr>
                <w:rFonts w:asciiTheme="minorHAnsi" w:hAnsiTheme="minorHAnsi" w:cstheme="minorHAnsi"/>
                <w:sz w:val="20"/>
                <w:szCs w:val="20"/>
              </w:rPr>
              <w:t>73.8%</w:t>
            </w:r>
          </w:p>
        </w:tc>
      </w:tr>
      <w:tr w:rsidR="00B87631" w:rsidRPr="00797118" w:rsidTr="00B87631">
        <w:trPr>
          <w:trHeight w:val="300"/>
        </w:trPr>
        <w:tc>
          <w:tcPr>
            <w:tcW w:w="1148" w:type="pct"/>
            <w:tcBorders>
              <w:top w:val="nil"/>
              <w:left w:val="nil"/>
              <w:bottom w:val="single" w:sz="4" w:space="0" w:color="366092"/>
              <w:right w:val="nil"/>
            </w:tcBorders>
            <w:shd w:val="clear" w:color="auto" w:fill="auto"/>
            <w:noWrap/>
            <w:vAlign w:val="center"/>
          </w:tcPr>
          <w:p w:rsidR="00B87631" w:rsidRPr="00296D08" w:rsidRDefault="00B87631" w:rsidP="008466EE">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54" w:type="pct"/>
            <w:tcBorders>
              <w:top w:val="nil"/>
              <w:left w:val="nil"/>
              <w:bottom w:val="single" w:sz="4" w:space="0" w:color="366092"/>
              <w:right w:val="nil"/>
            </w:tcBorders>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39.6%</w:t>
            </w:r>
          </w:p>
        </w:tc>
        <w:tc>
          <w:tcPr>
            <w:tcW w:w="848" w:type="pct"/>
            <w:gridSpan w:val="2"/>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51.0%</w:t>
            </w:r>
          </w:p>
        </w:tc>
        <w:tc>
          <w:tcPr>
            <w:tcW w:w="722" w:type="pct"/>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68.7%</w:t>
            </w:r>
          </w:p>
        </w:tc>
        <w:tc>
          <w:tcPr>
            <w:tcW w:w="790" w:type="pct"/>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93.8%</w:t>
            </w:r>
          </w:p>
        </w:tc>
        <w:tc>
          <w:tcPr>
            <w:tcW w:w="738" w:type="pct"/>
            <w:tcBorders>
              <w:top w:val="nil"/>
              <w:left w:val="nil"/>
              <w:bottom w:val="single" w:sz="4" w:space="0" w:color="366092"/>
              <w:right w:val="nil"/>
            </w:tcBorders>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99.7%</w:t>
            </w:r>
          </w:p>
        </w:tc>
      </w:tr>
      <w:tr w:rsidR="00B87631" w:rsidRPr="00797118" w:rsidTr="00B87631">
        <w:trPr>
          <w:trHeight w:val="300"/>
        </w:trPr>
        <w:tc>
          <w:tcPr>
            <w:tcW w:w="1148" w:type="pct"/>
            <w:tcBorders>
              <w:top w:val="nil"/>
              <w:left w:val="nil"/>
              <w:bottom w:val="single" w:sz="4" w:space="0" w:color="366092"/>
              <w:right w:val="nil"/>
            </w:tcBorders>
            <w:shd w:val="clear" w:color="auto" w:fill="auto"/>
            <w:noWrap/>
            <w:vAlign w:val="center"/>
          </w:tcPr>
          <w:p w:rsidR="00B87631" w:rsidRPr="00296D08" w:rsidRDefault="00B87631" w:rsidP="008466EE">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54" w:type="pct"/>
            <w:tcBorders>
              <w:top w:val="nil"/>
              <w:left w:val="nil"/>
              <w:bottom w:val="single" w:sz="4" w:space="0" w:color="366092"/>
              <w:right w:val="nil"/>
            </w:tcBorders>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37.5%</w:t>
            </w:r>
          </w:p>
        </w:tc>
        <w:tc>
          <w:tcPr>
            <w:tcW w:w="848" w:type="pct"/>
            <w:gridSpan w:val="2"/>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48.8%</w:t>
            </w:r>
          </w:p>
        </w:tc>
        <w:tc>
          <w:tcPr>
            <w:tcW w:w="722" w:type="pct"/>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67.8%</w:t>
            </w:r>
          </w:p>
        </w:tc>
        <w:tc>
          <w:tcPr>
            <w:tcW w:w="790" w:type="pct"/>
            <w:tcBorders>
              <w:top w:val="nil"/>
              <w:left w:val="nil"/>
              <w:bottom w:val="single" w:sz="4" w:space="0" w:color="366092"/>
              <w:right w:val="nil"/>
            </w:tcBorders>
            <w:shd w:val="clear" w:color="auto" w:fill="auto"/>
            <w:noWrap/>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82.6%</w:t>
            </w:r>
          </w:p>
        </w:tc>
        <w:tc>
          <w:tcPr>
            <w:tcW w:w="738" w:type="pct"/>
            <w:tcBorders>
              <w:top w:val="nil"/>
              <w:left w:val="nil"/>
              <w:bottom w:val="single" w:sz="4" w:space="0" w:color="366092"/>
              <w:right w:val="nil"/>
            </w:tcBorders>
          </w:tcPr>
          <w:p w:rsidR="00B87631" w:rsidRPr="000B07C2" w:rsidRDefault="00B87631"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99.7%</w:t>
            </w:r>
          </w:p>
        </w:tc>
      </w:tr>
      <w:tr w:rsidR="000B07C2" w:rsidRPr="002922C1" w:rsidTr="00A02129">
        <w:trPr>
          <w:trHeight w:val="283"/>
        </w:trPr>
        <w:tc>
          <w:tcPr>
            <w:tcW w:w="1148" w:type="pct"/>
            <w:tcBorders>
              <w:top w:val="single" w:sz="4" w:space="0" w:color="366092"/>
              <w:left w:val="nil"/>
              <w:bottom w:val="single" w:sz="4" w:space="0" w:color="366092"/>
              <w:right w:val="nil"/>
            </w:tcBorders>
            <w:shd w:val="clear" w:color="000000" w:fill="E5F6F6"/>
            <w:noWrap/>
            <w:vAlign w:val="center"/>
          </w:tcPr>
          <w:p w:rsidR="000B07C2" w:rsidRPr="002922C1" w:rsidRDefault="00456661" w:rsidP="008466EE">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54" w:type="pct"/>
            <w:tcBorders>
              <w:top w:val="single" w:sz="4" w:space="0" w:color="366092"/>
              <w:left w:val="nil"/>
              <w:bottom w:val="single" w:sz="4" w:space="0" w:color="366092"/>
              <w:right w:val="nil"/>
            </w:tcBorders>
            <w:shd w:val="clear" w:color="000000" w:fill="E5F6F6"/>
            <w:vAlign w:val="bottom"/>
          </w:tcPr>
          <w:p w:rsidR="000B07C2" w:rsidRPr="002922C1" w:rsidRDefault="000B07C2"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w:t>
            </w:r>
            <w:r w:rsidR="001B3A4A">
              <w:rPr>
                <w:rFonts w:asciiTheme="minorHAnsi" w:hAnsiTheme="minorHAnsi" w:cstheme="minorHAnsi"/>
                <w:b/>
                <w:sz w:val="20"/>
                <w:szCs w:val="20"/>
              </w:rPr>
              <w:t>1</w:t>
            </w:r>
            <w:r w:rsidRPr="002922C1">
              <w:rPr>
                <w:rFonts w:asciiTheme="minorHAnsi" w:hAnsiTheme="minorHAnsi" w:cstheme="minorHAnsi"/>
                <w:b/>
                <w:sz w:val="20"/>
                <w:szCs w:val="20"/>
              </w:rPr>
              <w:t>.</w:t>
            </w:r>
            <w:r w:rsidR="001B3A4A">
              <w:rPr>
                <w:rFonts w:asciiTheme="minorHAnsi" w:hAnsiTheme="minorHAnsi" w:cstheme="minorHAnsi"/>
                <w:b/>
                <w:sz w:val="20"/>
                <w:szCs w:val="20"/>
              </w:rPr>
              <w:t>1</w:t>
            </w:r>
            <w:r w:rsidRPr="002922C1">
              <w:rPr>
                <w:rFonts w:asciiTheme="minorHAnsi" w:hAnsiTheme="minorHAnsi" w:cstheme="minorHAnsi"/>
                <w:b/>
                <w:sz w:val="20"/>
                <w:szCs w:val="20"/>
              </w:rPr>
              <w:t>%</w:t>
            </w:r>
          </w:p>
        </w:tc>
        <w:tc>
          <w:tcPr>
            <w:tcW w:w="848" w:type="pct"/>
            <w:gridSpan w:val="2"/>
            <w:tcBorders>
              <w:top w:val="single" w:sz="4" w:space="0" w:color="366092"/>
              <w:left w:val="nil"/>
              <w:bottom w:val="single" w:sz="4" w:space="0" w:color="366092"/>
              <w:right w:val="nil"/>
            </w:tcBorders>
            <w:shd w:val="clear" w:color="000000" w:fill="E5F6F6"/>
            <w:noWrap/>
            <w:vAlign w:val="bottom"/>
          </w:tcPr>
          <w:p w:rsidR="000B07C2" w:rsidRPr="002922C1" w:rsidRDefault="001B3A4A" w:rsidP="005C332B">
            <w:pPr>
              <w:spacing w:after="0"/>
              <w:jc w:val="right"/>
              <w:rPr>
                <w:rFonts w:asciiTheme="minorHAnsi" w:hAnsiTheme="minorHAnsi" w:cstheme="minorHAnsi"/>
                <w:b/>
                <w:sz w:val="20"/>
                <w:szCs w:val="20"/>
              </w:rPr>
            </w:pPr>
            <w:r>
              <w:rPr>
                <w:rFonts w:asciiTheme="minorHAnsi" w:hAnsiTheme="minorHAnsi" w:cstheme="minorHAnsi"/>
                <w:b/>
                <w:sz w:val="20"/>
                <w:szCs w:val="20"/>
              </w:rPr>
              <w:t>45.2</w:t>
            </w:r>
            <w:r w:rsidR="000B07C2" w:rsidRPr="002922C1">
              <w:rPr>
                <w:rFonts w:asciiTheme="minorHAnsi" w:hAnsiTheme="minorHAnsi" w:cstheme="minorHAnsi"/>
                <w:b/>
                <w:sz w:val="20"/>
                <w:szCs w:val="20"/>
              </w:rPr>
              <w:t>%</w:t>
            </w:r>
          </w:p>
        </w:tc>
        <w:tc>
          <w:tcPr>
            <w:tcW w:w="722" w:type="pct"/>
            <w:tcBorders>
              <w:top w:val="single" w:sz="4" w:space="0" w:color="366092"/>
              <w:left w:val="nil"/>
              <w:bottom w:val="single" w:sz="4" w:space="0" w:color="366092"/>
              <w:right w:val="nil"/>
            </w:tcBorders>
            <w:shd w:val="clear" w:color="000000" w:fill="E5F6F6"/>
            <w:noWrap/>
            <w:vAlign w:val="bottom"/>
          </w:tcPr>
          <w:p w:rsidR="000B07C2" w:rsidRPr="002922C1" w:rsidRDefault="001B3A4A" w:rsidP="005C332B">
            <w:pPr>
              <w:spacing w:after="0"/>
              <w:jc w:val="right"/>
              <w:rPr>
                <w:rFonts w:asciiTheme="minorHAnsi" w:hAnsiTheme="minorHAnsi" w:cstheme="minorHAnsi"/>
                <w:b/>
                <w:sz w:val="20"/>
                <w:szCs w:val="20"/>
              </w:rPr>
            </w:pPr>
            <w:r>
              <w:rPr>
                <w:rFonts w:asciiTheme="minorHAnsi" w:hAnsiTheme="minorHAnsi" w:cstheme="minorHAnsi"/>
                <w:b/>
                <w:sz w:val="20"/>
                <w:szCs w:val="20"/>
              </w:rPr>
              <w:t>56.6</w:t>
            </w:r>
            <w:r w:rsidR="000B07C2" w:rsidRPr="002922C1">
              <w:rPr>
                <w:rFonts w:asciiTheme="minorHAnsi" w:hAnsiTheme="minorHAnsi" w:cstheme="minorHAnsi"/>
                <w:b/>
                <w:sz w:val="20"/>
                <w:szCs w:val="20"/>
              </w:rPr>
              <w:t>%</w:t>
            </w:r>
          </w:p>
        </w:tc>
        <w:tc>
          <w:tcPr>
            <w:tcW w:w="790" w:type="pct"/>
            <w:tcBorders>
              <w:top w:val="single" w:sz="4" w:space="0" w:color="366092"/>
              <w:left w:val="nil"/>
              <w:bottom w:val="single" w:sz="4" w:space="0" w:color="366092"/>
              <w:right w:val="nil"/>
            </w:tcBorders>
            <w:shd w:val="clear" w:color="000000" w:fill="E5F6F6"/>
            <w:noWrap/>
            <w:vAlign w:val="bottom"/>
          </w:tcPr>
          <w:p w:rsidR="000B07C2" w:rsidRPr="002922C1" w:rsidRDefault="000B07C2"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80.</w:t>
            </w:r>
            <w:r w:rsidR="001B3A4A">
              <w:rPr>
                <w:rFonts w:asciiTheme="minorHAnsi" w:hAnsiTheme="minorHAnsi" w:cstheme="minorHAnsi"/>
                <w:b/>
                <w:sz w:val="20"/>
                <w:szCs w:val="20"/>
              </w:rPr>
              <w:t>4</w:t>
            </w:r>
            <w:r w:rsidRPr="002922C1">
              <w:rPr>
                <w:rFonts w:asciiTheme="minorHAnsi" w:hAnsiTheme="minorHAnsi" w:cstheme="minorHAnsi"/>
                <w:b/>
                <w:sz w:val="20"/>
                <w:szCs w:val="20"/>
              </w:rPr>
              <w:t>%</w:t>
            </w:r>
          </w:p>
        </w:tc>
        <w:tc>
          <w:tcPr>
            <w:tcW w:w="738" w:type="pct"/>
            <w:tcBorders>
              <w:top w:val="single" w:sz="4" w:space="0" w:color="366092"/>
              <w:left w:val="nil"/>
              <w:bottom w:val="single" w:sz="4" w:space="0" w:color="366092"/>
              <w:right w:val="nil"/>
            </w:tcBorders>
            <w:shd w:val="clear" w:color="000000" w:fill="E5F6F6"/>
            <w:vAlign w:val="bottom"/>
          </w:tcPr>
          <w:p w:rsidR="000B07C2" w:rsidRPr="002922C1" w:rsidRDefault="000B07C2"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99.7%</w:t>
            </w:r>
          </w:p>
        </w:tc>
      </w:tr>
    </w:tbl>
    <w:p w:rsidR="00293B0D" w:rsidRDefault="00293B0D">
      <w:pPr>
        <w:spacing w:after="0" w:line="240" w:lineRule="auto"/>
        <w:rPr>
          <w:rFonts w:ascii="Georgia" w:hAnsi="Georgia" w:cs="Arial"/>
          <w:b/>
          <w:color w:val="004855" w:themeColor="text1"/>
          <w:sz w:val="20"/>
          <w:szCs w:val="20"/>
          <w:lang w:val="en-US"/>
        </w:rPr>
      </w:pPr>
    </w:p>
    <w:p w:rsidR="00577EBA" w:rsidRDefault="00577EBA">
      <w:pPr>
        <w:spacing w:after="0" w:line="240" w:lineRule="auto"/>
        <w:rPr>
          <w:rFonts w:ascii="Georgia" w:hAnsi="Georgia" w:cs="Arial"/>
          <w:b/>
          <w:color w:val="004855" w:themeColor="text1"/>
          <w:sz w:val="20"/>
          <w:szCs w:val="20"/>
          <w:lang w:val="en-US"/>
        </w:rPr>
      </w:pPr>
    </w:p>
    <w:p w:rsidR="00310349" w:rsidRPr="00310349" w:rsidRDefault="00310349" w:rsidP="00310349">
      <w:pPr>
        <w:pStyle w:val="BulletsL1"/>
        <w:shd w:val="clear" w:color="auto" w:fill="E5ECED" w:themeFill="accent4" w:themeFillTint="66"/>
        <w:spacing w:before="0" w:after="0" w:line="240" w:lineRule="auto"/>
        <w:ind w:left="0" w:firstLine="0"/>
        <w:rPr>
          <w:sz w:val="16"/>
          <w:szCs w:val="16"/>
          <w:lang w:val="en-AU"/>
        </w:rPr>
      </w:pPr>
    </w:p>
    <w:p w:rsidR="00310349" w:rsidRDefault="00310349" w:rsidP="00310349">
      <w:pPr>
        <w:pStyle w:val="BulletsL1"/>
        <w:numPr>
          <w:ilvl w:val="0"/>
          <w:numId w:val="7"/>
        </w:numPr>
        <w:shd w:val="clear" w:color="auto" w:fill="E5ECED" w:themeFill="accent4" w:themeFillTint="66"/>
        <w:rPr>
          <w:lang w:val="en-AU"/>
        </w:rPr>
      </w:pPr>
      <w:r w:rsidRPr="009229D5">
        <w:rPr>
          <w:lang w:val="en-AU"/>
        </w:rPr>
        <w:t>Revenue concentration varie</w:t>
      </w:r>
      <w:r>
        <w:rPr>
          <w:lang w:val="en-AU"/>
        </w:rPr>
        <w:t>d</w:t>
      </w:r>
      <w:r w:rsidRPr="009229D5">
        <w:rPr>
          <w:lang w:val="en-AU"/>
        </w:rPr>
        <w:t xml:space="preserve"> for each provider</w:t>
      </w:r>
      <w:r>
        <w:rPr>
          <w:lang w:val="en-AU"/>
        </w:rPr>
        <w:t xml:space="preserve"> type. The largest revenue source ranged from 3</w:t>
      </w:r>
      <w:r w:rsidR="001B3A4A">
        <w:rPr>
          <w:lang w:val="en-AU"/>
        </w:rPr>
        <w:t>1</w:t>
      </w:r>
      <w:r>
        <w:rPr>
          <w:lang w:val="en-AU"/>
        </w:rPr>
        <w:t>.</w:t>
      </w:r>
      <w:r w:rsidR="001B3A4A">
        <w:rPr>
          <w:lang w:val="en-AU"/>
        </w:rPr>
        <w:t>1</w:t>
      </w:r>
      <w:r>
        <w:rPr>
          <w:lang w:val="en-AU"/>
        </w:rPr>
        <w:t>% to 99.7%</w:t>
      </w:r>
      <w:r w:rsidR="005E13B0">
        <w:rPr>
          <w:lang w:val="en-AU"/>
        </w:rPr>
        <w:t xml:space="preserve"> of total revenue</w:t>
      </w:r>
      <w:r>
        <w:rPr>
          <w:lang w:val="en-AU"/>
        </w:rPr>
        <w:t>.</w:t>
      </w:r>
    </w:p>
    <w:p w:rsidR="001C0170" w:rsidRDefault="001C0170" w:rsidP="00310349">
      <w:pPr>
        <w:pStyle w:val="BulletsL1"/>
        <w:numPr>
          <w:ilvl w:val="0"/>
          <w:numId w:val="7"/>
        </w:numPr>
        <w:shd w:val="clear" w:color="auto" w:fill="E5ECED" w:themeFill="accent4" w:themeFillTint="66"/>
        <w:rPr>
          <w:lang w:val="en-AU"/>
        </w:rPr>
      </w:pPr>
      <w:r>
        <w:rPr>
          <w:lang w:val="en-AU"/>
        </w:rPr>
        <w:t xml:space="preserve">The median provider in the sector had a revenue concentration of 56.6%. </w:t>
      </w:r>
    </w:p>
    <w:p w:rsidR="00271B25" w:rsidRDefault="00271B25" w:rsidP="00310349">
      <w:pPr>
        <w:pStyle w:val="BulletsL1"/>
        <w:numPr>
          <w:ilvl w:val="0"/>
          <w:numId w:val="7"/>
        </w:numPr>
        <w:shd w:val="clear" w:color="auto" w:fill="E5ECED" w:themeFill="accent4" w:themeFillTint="66"/>
        <w:rPr>
          <w:lang w:val="en-AU"/>
        </w:rPr>
      </w:pPr>
      <w:r>
        <w:rPr>
          <w:lang w:val="en-AU"/>
        </w:rPr>
        <w:t xml:space="preserve">For-Profit providers had the highest median revenue concentration of 68.7%. As </w:t>
      </w:r>
      <w:r w:rsidR="0089015D">
        <w:rPr>
          <w:lang w:val="en-AU"/>
        </w:rPr>
        <w:t>reflected</w:t>
      </w:r>
      <w:r>
        <w:rPr>
          <w:lang w:val="en-AU"/>
        </w:rPr>
        <w:t xml:space="preserve"> in Figure 4 For-Profit providers were </w:t>
      </w:r>
      <w:r w:rsidR="009837B5">
        <w:rPr>
          <w:lang w:val="en-AU"/>
        </w:rPr>
        <w:t>concentrated</w:t>
      </w:r>
      <w:r>
        <w:rPr>
          <w:lang w:val="en-AU"/>
        </w:rPr>
        <w:t xml:space="preserve"> toward</w:t>
      </w:r>
      <w:r w:rsidR="009837B5">
        <w:rPr>
          <w:lang w:val="en-AU"/>
        </w:rPr>
        <w:t>s</w:t>
      </w:r>
      <w:r>
        <w:rPr>
          <w:lang w:val="en-AU"/>
        </w:rPr>
        <w:t xml:space="preserve"> the upper end of the range. </w:t>
      </w:r>
    </w:p>
    <w:p w:rsidR="00310349" w:rsidRPr="00310349" w:rsidRDefault="00310349" w:rsidP="00310349">
      <w:pPr>
        <w:pStyle w:val="BulletsL1"/>
        <w:shd w:val="clear" w:color="auto" w:fill="E5ECED" w:themeFill="accent4" w:themeFillTint="66"/>
        <w:ind w:left="0" w:firstLine="0"/>
        <w:rPr>
          <w:sz w:val="16"/>
          <w:szCs w:val="16"/>
          <w:lang w:val="en-AU"/>
        </w:rPr>
      </w:pPr>
    </w:p>
    <w:p w:rsidR="00577EBA" w:rsidRDefault="00577EBA">
      <w:pPr>
        <w:spacing w:after="0" w:line="240" w:lineRule="auto"/>
        <w:rPr>
          <w:rFonts w:ascii="Arial" w:eastAsiaTheme="minorHAnsi" w:hAnsi="Arial" w:cstheme="minorBidi"/>
          <w:sz w:val="22"/>
          <w:szCs w:val="22"/>
        </w:rPr>
      </w:pPr>
      <w:r>
        <w:rPr>
          <w:rFonts w:ascii="Arial" w:eastAsiaTheme="minorHAnsi" w:hAnsi="Arial" w:cstheme="minorBidi"/>
          <w:sz w:val="22"/>
          <w:szCs w:val="22"/>
        </w:rPr>
        <w:br w:type="page"/>
      </w:r>
    </w:p>
    <w:p w:rsidR="00271B25" w:rsidRDefault="00BD5C55" w:rsidP="001B7DFA">
      <w:pPr>
        <w:rPr>
          <w:rFonts w:ascii="Arial" w:eastAsiaTheme="minorHAnsi" w:hAnsi="Arial" w:cstheme="minorBidi"/>
          <w:sz w:val="22"/>
          <w:szCs w:val="22"/>
        </w:rPr>
      </w:pPr>
      <w:r w:rsidRPr="00BD5C55">
        <w:rPr>
          <w:rFonts w:ascii="Arial" w:eastAsiaTheme="minorHAnsi" w:hAnsi="Arial" w:cstheme="minorBidi"/>
          <w:sz w:val="22"/>
          <w:szCs w:val="22"/>
        </w:rPr>
        <w:lastRenderedPageBreak/>
        <w:t xml:space="preserve">Figure </w:t>
      </w:r>
      <w:r w:rsidR="007A1603">
        <w:rPr>
          <w:rFonts w:ascii="Arial" w:eastAsiaTheme="minorHAnsi" w:hAnsi="Arial" w:cstheme="minorBidi"/>
          <w:sz w:val="22"/>
          <w:szCs w:val="22"/>
        </w:rPr>
        <w:t>5</w:t>
      </w:r>
      <w:r w:rsidR="00552C24" w:rsidRPr="00BD5C55">
        <w:rPr>
          <w:rFonts w:ascii="Arial" w:eastAsiaTheme="minorHAnsi" w:hAnsi="Arial" w:cstheme="minorBidi"/>
          <w:sz w:val="22"/>
          <w:szCs w:val="22"/>
        </w:rPr>
        <w:t xml:space="preserve"> </w:t>
      </w:r>
      <w:r w:rsidRPr="00BD5C55">
        <w:rPr>
          <w:rFonts w:ascii="Arial" w:eastAsiaTheme="minorHAnsi" w:hAnsi="Arial" w:cstheme="minorBidi"/>
          <w:sz w:val="22"/>
          <w:szCs w:val="22"/>
        </w:rPr>
        <w:t xml:space="preserve">below </w:t>
      </w:r>
      <w:r w:rsidR="001C0170">
        <w:rPr>
          <w:rFonts w:ascii="Arial" w:eastAsiaTheme="minorHAnsi" w:hAnsi="Arial" w:cstheme="minorBidi"/>
          <w:sz w:val="22"/>
          <w:szCs w:val="22"/>
        </w:rPr>
        <w:t>depicts the composition of provider types in each quartile</w:t>
      </w:r>
      <w:r w:rsidR="00DD4820">
        <w:rPr>
          <w:rFonts w:ascii="Arial" w:eastAsiaTheme="minorHAnsi" w:hAnsi="Arial" w:cstheme="minorBidi"/>
          <w:sz w:val="22"/>
          <w:szCs w:val="22"/>
        </w:rPr>
        <w:t>,</w:t>
      </w:r>
      <w:r w:rsidR="00BC5015">
        <w:rPr>
          <w:rFonts w:ascii="Arial" w:eastAsiaTheme="minorHAnsi" w:hAnsi="Arial" w:cstheme="minorBidi"/>
          <w:sz w:val="22"/>
          <w:szCs w:val="22"/>
        </w:rPr>
        <w:t xml:space="preserve"> </w:t>
      </w:r>
      <w:r w:rsidR="00BC5015" w:rsidRPr="00143E14">
        <w:rPr>
          <w:rFonts w:ascii="Arial" w:eastAsiaTheme="minorHAnsi" w:hAnsi="Arial" w:cstheme="minorBidi"/>
          <w:sz w:val="22"/>
          <w:szCs w:val="22"/>
        </w:rPr>
        <w:t>noting that each quartile consist</w:t>
      </w:r>
      <w:r w:rsidR="001057AB">
        <w:rPr>
          <w:rFonts w:ascii="Arial" w:eastAsiaTheme="minorHAnsi" w:hAnsi="Arial" w:cstheme="minorBidi"/>
          <w:sz w:val="22"/>
          <w:szCs w:val="22"/>
        </w:rPr>
        <w:t>s</w:t>
      </w:r>
      <w:r w:rsidR="00B95872">
        <w:rPr>
          <w:rFonts w:ascii="Arial" w:eastAsiaTheme="minorHAnsi" w:hAnsi="Arial" w:cstheme="minorBidi"/>
          <w:sz w:val="22"/>
          <w:szCs w:val="22"/>
        </w:rPr>
        <w:t xml:space="preserve"> of</w:t>
      </w:r>
      <w:r w:rsidR="00BC5015" w:rsidRPr="00143E14">
        <w:rPr>
          <w:rFonts w:ascii="Arial" w:eastAsiaTheme="minorHAnsi" w:hAnsi="Arial" w:cstheme="minorBidi"/>
          <w:sz w:val="22"/>
          <w:szCs w:val="22"/>
        </w:rPr>
        <w:t xml:space="preserve"> approximately the same numbers of providers</w:t>
      </w:r>
      <w:r w:rsidR="00BC5015" w:rsidRPr="00BD5C55">
        <w:rPr>
          <w:rFonts w:ascii="Arial" w:eastAsiaTheme="minorHAnsi" w:hAnsi="Arial" w:cstheme="minorBidi"/>
          <w:sz w:val="22"/>
          <w:szCs w:val="22"/>
        </w:rPr>
        <w:t>.</w:t>
      </w:r>
      <w:r w:rsidR="00406E37">
        <w:rPr>
          <w:rFonts w:ascii="Arial" w:eastAsiaTheme="minorHAnsi" w:hAnsi="Arial" w:cstheme="minorBidi"/>
          <w:sz w:val="22"/>
          <w:szCs w:val="22"/>
        </w:rPr>
        <w:t xml:space="preserve"> </w:t>
      </w:r>
      <w:r w:rsidR="0089015D">
        <w:rPr>
          <w:rFonts w:ascii="Arial" w:eastAsiaTheme="minorHAnsi" w:hAnsi="Arial" w:cstheme="minorBidi"/>
          <w:sz w:val="22"/>
          <w:szCs w:val="22"/>
        </w:rPr>
        <w:t>Figure 5 provides an alternate view of the data in Figure 4 and Table 5 above.</w:t>
      </w:r>
      <w:r w:rsidR="00682734">
        <w:rPr>
          <w:rFonts w:ascii="Arial" w:eastAsiaTheme="minorHAnsi" w:hAnsi="Arial" w:cstheme="minorBidi"/>
          <w:sz w:val="22"/>
          <w:szCs w:val="22"/>
        </w:rPr>
        <w:t xml:space="preserve"> </w:t>
      </w:r>
    </w:p>
    <w:p w:rsidR="006716BD" w:rsidRDefault="00406E37" w:rsidP="001B7DFA">
      <w:pPr>
        <w:rPr>
          <w:rFonts w:ascii="Arial" w:eastAsiaTheme="minorHAnsi" w:hAnsi="Arial" w:cstheme="minorBidi"/>
          <w:sz w:val="22"/>
          <w:szCs w:val="22"/>
        </w:rPr>
      </w:pPr>
      <w:r>
        <w:rPr>
          <w:rFonts w:ascii="Arial" w:eastAsiaTheme="minorHAnsi" w:hAnsi="Arial" w:cstheme="minorBidi"/>
          <w:sz w:val="22"/>
          <w:szCs w:val="22"/>
        </w:rPr>
        <w:t>For example</w:t>
      </w:r>
      <w:r w:rsidR="00DD4820">
        <w:rPr>
          <w:rFonts w:ascii="Arial" w:eastAsiaTheme="minorHAnsi" w:hAnsi="Arial" w:cstheme="minorBidi"/>
          <w:sz w:val="22"/>
          <w:szCs w:val="22"/>
        </w:rPr>
        <w:t xml:space="preserve"> in </w:t>
      </w:r>
      <w:r w:rsidR="003E1F89">
        <w:rPr>
          <w:rFonts w:ascii="Arial" w:eastAsiaTheme="minorHAnsi" w:hAnsi="Arial" w:cstheme="minorBidi"/>
          <w:sz w:val="22"/>
          <w:szCs w:val="22"/>
        </w:rPr>
        <w:t>F</w:t>
      </w:r>
      <w:r w:rsidR="00DD4820">
        <w:rPr>
          <w:rFonts w:ascii="Arial" w:eastAsiaTheme="minorHAnsi" w:hAnsi="Arial" w:cstheme="minorBidi"/>
          <w:sz w:val="22"/>
          <w:szCs w:val="22"/>
        </w:rPr>
        <w:t>igure 5</w:t>
      </w:r>
      <w:r>
        <w:rPr>
          <w:rFonts w:ascii="Arial" w:eastAsiaTheme="minorHAnsi" w:hAnsi="Arial" w:cstheme="minorBidi"/>
          <w:sz w:val="22"/>
          <w:szCs w:val="22"/>
        </w:rPr>
        <w:t xml:space="preserve">, </w:t>
      </w:r>
      <w:r w:rsidR="001C0170">
        <w:rPr>
          <w:rFonts w:ascii="Arial" w:eastAsiaTheme="minorHAnsi" w:hAnsi="Arial" w:cstheme="minorBidi"/>
          <w:sz w:val="22"/>
          <w:szCs w:val="22"/>
        </w:rPr>
        <w:t>60% of the providers in the first quartile</w:t>
      </w:r>
      <w:r w:rsidR="007A1603">
        <w:rPr>
          <w:rFonts w:ascii="Arial" w:eastAsiaTheme="minorHAnsi" w:hAnsi="Arial" w:cstheme="minorBidi"/>
          <w:sz w:val="22"/>
          <w:szCs w:val="22"/>
        </w:rPr>
        <w:t xml:space="preserve"> (i.e. </w:t>
      </w:r>
      <w:r w:rsidR="00B95872">
        <w:rPr>
          <w:rFonts w:ascii="Arial" w:eastAsiaTheme="minorHAnsi" w:hAnsi="Arial" w:cstheme="minorBidi"/>
          <w:sz w:val="22"/>
          <w:szCs w:val="22"/>
        </w:rPr>
        <w:t>those with revenue concentration of less than</w:t>
      </w:r>
      <w:r w:rsidR="007A1603">
        <w:rPr>
          <w:rFonts w:ascii="Arial" w:eastAsiaTheme="minorHAnsi" w:hAnsi="Arial" w:cstheme="minorBidi"/>
          <w:sz w:val="22"/>
          <w:szCs w:val="22"/>
        </w:rPr>
        <w:t xml:space="preserve"> 45.2%)</w:t>
      </w:r>
      <w:r w:rsidR="001C0170">
        <w:rPr>
          <w:rFonts w:ascii="Arial" w:eastAsiaTheme="minorHAnsi" w:hAnsi="Arial" w:cstheme="minorBidi"/>
          <w:sz w:val="22"/>
          <w:szCs w:val="22"/>
        </w:rPr>
        <w:t xml:space="preserve"> are universities. This indicates that universities tended to have a lower level of revenue concentration than For-Profit providers</w:t>
      </w:r>
      <w:r w:rsidR="001B5F01">
        <w:rPr>
          <w:rFonts w:ascii="Arial" w:eastAsiaTheme="minorHAnsi" w:hAnsi="Arial" w:cstheme="minorBidi"/>
          <w:sz w:val="22"/>
          <w:szCs w:val="22"/>
        </w:rPr>
        <w:t>,</w:t>
      </w:r>
      <w:r w:rsidR="001C0170">
        <w:rPr>
          <w:rFonts w:ascii="Arial" w:eastAsiaTheme="minorHAnsi" w:hAnsi="Arial" w:cstheme="minorBidi"/>
          <w:sz w:val="22"/>
          <w:szCs w:val="22"/>
        </w:rPr>
        <w:t xml:space="preserve"> which comprised 60% of the providers in the fourth quartile </w:t>
      </w:r>
      <w:r w:rsidR="001B5F01">
        <w:rPr>
          <w:rFonts w:ascii="Arial" w:eastAsiaTheme="minorHAnsi" w:hAnsi="Arial" w:cstheme="minorBidi"/>
          <w:sz w:val="22"/>
          <w:szCs w:val="22"/>
        </w:rPr>
        <w:t xml:space="preserve">with </w:t>
      </w:r>
      <w:r w:rsidR="001C0170">
        <w:rPr>
          <w:rFonts w:ascii="Arial" w:eastAsiaTheme="minorHAnsi" w:hAnsi="Arial" w:cstheme="minorBidi"/>
          <w:sz w:val="22"/>
          <w:szCs w:val="22"/>
        </w:rPr>
        <w:t>a revenue concentration of greater than 80.4%</w:t>
      </w:r>
      <w:r w:rsidR="00B95872">
        <w:rPr>
          <w:rFonts w:ascii="Arial" w:eastAsiaTheme="minorHAnsi" w:hAnsi="Arial" w:cstheme="minorBidi"/>
          <w:sz w:val="22"/>
          <w:szCs w:val="22"/>
        </w:rPr>
        <w:t xml:space="preserve"> from a single source</w:t>
      </w:r>
      <w:r w:rsidR="001C0170">
        <w:rPr>
          <w:rFonts w:ascii="Arial" w:eastAsiaTheme="minorHAnsi" w:hAnsi="Arial" w:cstheme="minorBidi"/>
          <w:sz w:val="22"/>
          <w:szCs w:val="22"/>
        </w:rPr>
        <w:t xml:space="preserve">. </w:t>
      </w:r>
    </w:p>
    <w:p w:rsidR="00271B25" w:rsidRDefault="00271B25" w:rsidP="001B7DFA">
      <w:pPr>
        <w:rPr>
          <w:rFonts w:ascii="Arial" w:eastAsiaTheme="minorHAnsi" w:hAnsi="Arial" w:cstheme="minorBidi"/>
          <w:sz w:val="22"/>
          <w:szCs w:val="22"/>
        </w:rPr>
      </w:pPr>
    </w:p>
    <w:p w:rsidR="001B7DFA" w:rsidRPr="008249DC" w:rsidDel="0024327E" w:rsidRDefault="001B7DFA" w:rsidP="001B7DFA">
      <w:pPr>
        <w:rPr>
          <w:rFonts w:ascii="Georgia" w:hAnsi="Georgia" w:cs="Arial"/>
          <w:b/>
          <w:color w:val="004855" w:themeColor="text1"/>
          <w:sz w:val="20"/>
          <w:szCs w:val="20"/>
          <w:lang w:val="en-US"/>
        </w:rPr>
      </w:pPr>
      <w:r w:rsidRPr="00771E6C" w:rsidDel="0024327E">
        <w:rPr>
          <w:rFonts w:ascii="Georgia" w:hAnsi="Georgia" w:cs="Arial"/>
          <w:b/>
          <w:color w:val="004855" w:themeColor="text1"/>
          <w:sz w:val="20"/>
          <w:szCs w:val="20"/>
          <w:lang w:val="en-US"/>
        </w:rPr>
        <w:t xml:space="preserve">Figure </w:t>
      </w:r>
      <w:r w:rsidR="00C305C9">
        <w:rPr>
          <w:rFonts w:ascii="Georgia" w:hAnsi="Georgia" w:cs="Arial"/>
          <w:b/>
          <w:color w:val="004855" w:themeColor="text1"/>
          <w:sz w:val="20"/>
          <w:szCs w:val="20"/>
          <w:lang w:val="en-US"/>
        </w:rPr>
        <w:t>5</w:t>
      </w:r>
      <w:r w:rsidRPr="00771E6C" w:rsidDel="0024327E">
        <w:rPr>
          <w:rFonts w:ascii="Georgia" w:hAnsi="Georgia" w:cs="Arial"/>
          <w:b/>
          <w:color w:val="004855" w:themeColor="text1"/>
          <w:sz w:val="20"/>
          <w:szCs w:val="20"/>
          <w:lang w:val="en-US"/>
        </w:rPr>
        <w:t>: Revenue concentration,</w:t>
      </w:r>
      <w:r w:rsidR="00771E6C" w:rsidRPr="00771E6C" w:rsidDel="0024327E">
        <w:rPr>
          <w:rFonts w:ascii="Georgia" w:hAnsi="Georgia" w:cs="Arial"/>
          <w:b/>
          <w:color w:val="004855" w:themeColor="text1"/>
          <w:sz w:val="20"/>
          <w:szCs w:val="20"/>
          <w:lang w:val="en-US"/>
        </w:rPr>
        <w:t xml:space="preserve"> </w:t>
      </w:r>
      <w:r w:rsidR="00A10520">
        <w:rPr>
          <w:rFonts w:ascii="Georgia" w:hAnsi="Georgia" w:cs="Arial"/>
          <w:b/>
          <w:color w:val="004855" w:themeColor="text1"/>
          <w:sz w:val="20"/>
          <w:szCs w:val="20"/>
          <w:lang w:val="en-US"/>
        </w:rPr>
        <w:t xml:space="preserve">sector wide </w:t>
      </w:r>
      <w:r w:rsidR="001C0170">
        <w:rPr>
          <w:rFonts w:ascii="Georgia" w:hAnsi="Georgia" w:cs="Arial"/>
          <w:b/>
          <w:color w:val="004855" w:themeColor="text1"/>
          <w:sz w:val="20"/>
          <w:szCs w:val="20"/>
          <w:lang w:val="en-US"/>
        </w:rPr>
        <w:t>quartile composition by provider type</w:t>
      </w:r>
    </w:p>
    <w:p w:rsidR="001B7DFA" w:rsidRDefault="00552C24" w:rsidP="00771E6C">
      <w:pPr>
        <w:ind w:left="426" w:hanging="426"/>
        <w:jc w:val="center"/>
        <w:rPr>
          <w:noProof/>
          <w:lang w:eastAsia="en-AU"/>
        </w:rPr>
      </w:pPr>
      <w:r w:rsidRPr="00552C24">
        <w:rPr>
          <w:noProof/>
          <w:lang w:eastAsia="en-AU"/>
        </w:rPr>
        <w:t xml:space="preserve"> </w:t>
      </w:r>
      <w:r>
        <w:rPr>
          <w:noProof/>
          <w:lang w:eastAsia="en-AU"/>
        </w:rPr>
        <w:drawing>
          <wp:inline distT="0" distB="0" distL="0" distR="0" wp14:anchorId="1CB1714A" wp14:editId="5E53E465">
            <wp:extent cx="5448300" cy="35242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F7A0F" w:rsidRDefault="00CF7A0F" w:rsidP="00771E6C">
      <w:pPr>
        <w:ind w:left="426" w:hanging="426"/>
        <w:jc w:val="center"/>
        <w:rPr>
          <w:noProof/>
          <w:lang w:eastAsia="en-AU"/>
        </w:rPr>
      </w:pPr>
    </w:p>
    <w:p w:rsidR="00BD5C55" w:rsidRDefault="00BD5C55" w:rsidP="00143E14">
      <w:pPr>
        <w:pStyle w:val="BulletsL1"/>
        <w:shd w:val="clear" w:color="auto" w:fill="E5ECED" w:themeFill="accent4" w:themeFillTint="66"/>
        <w:ind w:left="0" w:firstLine="0"/>
        <w:rPr>
          <w:lang w:val="en-AU"/>
        </w:rPr>
      </w:pPr>
    </w:p>
    <w:p w:rsidR="00DC5FE6" w:rsidRDefault="001C0170" w:rsidP="009028AB">
      <w:pPr>
        <w:pStyle w:val="BulletsL1"/>
        <w:numPr>
          <w:ilvl w:val="0"/>
          <w:numId w:val="7"/>
        </w:numPr>
        <w:shd w:val="clear" w:color="auto" w:fill="E5ECED" w:themeFill="accent4" w:themeFillTint="66"/>
        <w:rPr>
          <w:lang w:val="en-AU"/>
        </w:rPr>
      </w:pPr>
      <w:r>
        <w:rPr>
          <w:lang w:val="en-AU"/>
        </w:rPr>
        <w:t>All of the providers in the fourth quartile</w:t>
      </w:r>
      <w:r w:rsidR="003E1F89">
        <w:rPr>
          <w:lang w:val="en-AU"/>
        </w:rPr>
        <w:t>,</w:t>
      </w:r>
      <w:r>
        <w:rPr>
          <w:lang w:val="en-AU"/>
        </w:rPr>
        <w:t xml:space="preserve"> </w:t>
      </w:r>
      <w:r w:rsidR="00DD4820">
        <w:rPr>
          <w:lang w:val="en-AU"/>
        </w:rPr>
        <w:t>which comprised providers with a</w:t>
      </w:r>
      <w:r>
        <w:rPr>
          <w:lang w:val="en-AU"/>
        </w:rPr>
        <w:t xml:space="preserve"> revenue concentration of greater than 80.4%</w:t>
      </w:r>
      <w:r w:rsidR="003E1F89">
        <w:rPr>
          <w:lang w:val="en-AU"/>
        </w:rPr>
        <w:t>,</w:t>
      </w:r>
      <w:r>
        <w:rPr>
          <w:lang w:val="en-AU"/>
        </w:rPr>
        <w:t xml:space="preserve"> were either For-Profit or Not-For-Profit.  </w:t>
      </w:r>
    </w:p>
    <w:p w:rsidR="00FB19A7" w:rsidRPr="009229D5" w:rsidRDefault="00FB19A7" w:rsidP="009028AB">
      <w:pPr>
        <w:pStyle w:val="BulletsL1"/>
        <w:shd w:val="clear" w:color="auto" w:fill="E5ECED" w:themeFill="accent4" w:themeFillTint="66"/>
        <w:ind w:left="0" w:firstLine="0"/>
        <w:rPr>
          <w:lang w:val="en-AU"/>
        </w:rPr>
      </w:pPr>
    </w:p>
    <w:p w:rsidR="00A31374" w:rsidRDefault="00A31374">
      <w:pPr>
        <w:spacing w:after="0" w:line="240" w:lineRule="auto"/>
        <w:rPr>
          <w:rFonts w:ascii="Arial" w:eastAsiaTheme="minorHAnsi" w:hAnsi="Arial" w:cstheme="minorBidi"/>
          <w:sz w:val="22"/>
          <w:szCs w:val="22"/>
        </w:rPr>
      </w:pPr>
      <w:r>
        <w:rPr>
          <w:rFonts w:ascii="Arial" w:eastAsiaTheme="minorHAnsi" w:hAnsi="Arial" w:cstheme="minorBidi"/>
          <w:sz w:val="22"/>
          <w:szCs w:val="22"/>
        </w:rPr>
        <w:br w:type="page"/>
      </w:r>
    </w:p>
    <w:p w:rsidR="00DE138F" w:rsidRDefault="00C305C9" w:rsidP="00A31374">
      <w:pPr>
        <w:rPr>
          <w:rFonts w:ascii="Arial" w:eastAsiaTheme="minorHAnsi" w:hAnsi="Arial" w:cstheme="minorBidi"/>
          <w:sz w:val="22"/>
          <w:szCs w:val="22"/>
        </w:rPr>
      </w:pPr>
      <w:r>
        <w:rPr>
          <w:rFonts w:ascii="Arial" w:eastAsiaTheme="minorHAnsi" w:hAnsi="Arial" w:cstheme="minorBidi"/>
          <w:sz w:val="22"/>
          <w:szCs w:val="22"/>
        </w:rPr>
        <w:lastRenderedPageBreak/>
        <w:t>Figure 6 below analyses the proportion of provider type</w:t>
      </w:r>
      <w:r w:rsidR="0089015D">
        <w:rPr>
          <w:rFonts w:ascii="Arial" w:eastAsiaTheme="minorHAnsi" w:hAnsi="Arial" w:cstheme="minorBidi"/>
          <w:sz w:val="22"/>
          <w:szCs w:val="22"/>
        </w:rPr>
        <w:t>s</w:t>
      </w:r>
      <w:r>
        <w:rPr>
          <w:rFonts w:ascii="Arial" w:eastAsiaTheme="minorHAnsi" w:hAnsi="Arial" w:cstheme="minorBidi"/>
          <w:sz w:val="22"/>
          <w:szCs w:val="22"/>
        </w:rPr>
        <w:t xml:space="preserve"> </w:t>
      </w:r>
      <w:r w:rsidR="008B6560">
        <w:rPr>
          <w:rFonts w:ascii="Arial" w:eastAsiaTheme="minorHAnsi" w:hAnsi="Arial" w:cstheme="minorBidi"/>
          <w:sz w:val="22"/>
          <w:szCs w:val="22"/>
        </w:rPr>
        <w:t>by</w:t>
      </w:r>
      <w:r>
        <w:rPr>
          <w:rFonts w:ascii="Arial" w:eastAsiaTheme="minorHAnsi" w:hAnsi="Arial" w:cstheme="minorBidi"/>
          <w:sz w:val="22"/>
          <w:szCs w:val="22"/>
        </w:rPr>
        <w:t xml:space="preserve"> each quartile. </w:t>
      </w:r>
      <w:r w:rsidR="00DE138F">
        <w:rPr>
          <w:rFonts w:ascii="Arial" w:eastAsiaTheme="minorHAnsi" w:hAnsi="Arial" w:cstheme="minorBidi"/>
          <w:sz w:val="22"/>
          <w:szCs w:val="22"/>
        </w:rPr>
        <w:t xml:space="preserve">For example, 73% of TAFE providers were in the third quartile with </w:t>
      </w:r>
      <w:r w:rsidR="0089015D">
        <w:rPr>
          <w:rFonts w:ascii="Arial" w:eastAsiaTheme="minorHAnsi" w:hAnsi="Arial" w:cstheme="minorBidi"/>
          <w:sz w:val="22"/>
          <w:szCs w:val="22"/>
        </w:rPr>
        <w:t xml:space="preserve">revenue concentration of </w:t>
      </w:r>
      <w:r w:rsidR="00DE138F">
        <w:rPr>
          <w:rFonts w:ascii="Arial" w:eastAsiaTheme="minorHAnsi" w:hAnsi="Arial" w:cstheme="minorBidi"/>
          <w:sz w:val="22"/>
          <w:szCs w:val="22"/>
        </w:rPr>
        <w:t>56.6% to 80.4%.</w:t>
      </w:r>
      <w:r w:rsidR="00DE138F" w:rsidRPr="00DE138F">
        <w:rPr>
          <w:rFonts w:ascii="Arial" w:eastAsiaTheme="minorHAnsi" w:hAnsi="Arial" w:cstheme="minorBidi"/>
          <w:sz w:val="22"/>
          <w:szCs w:val="22"/>
        </w:rPr>
        <w:t xml:space="preserve"> </w:t>
      </w:r>
      <w:r w:rsidR="00DE138F">
        <w:rPr>
          <w:rFonts w:ascii="Arial" w:eastAsiaTheme="minorHAnsi" w:hAnsi="Arial" w:cstheme="minorBidi"/>
          <w:sz w:val="22"/>
          <w:szCs w:val="22"/>
        </w:rPr>
        <w:t>Figure 6 show</w:t>
      </w:r>
      <w:r w:rsidR="0089015D">
        <w:rPr>
          <w:rFonts w:ascii="Arial" w:eastAsiaTheme="minorHAnsi" w:hAnsi="Arial" w:cstheme="minorBidi"/>
          <w:sz w:val="22"/>
          <w:szCs w:val="22"/>
        </w:rPr>
        <w:t>s</w:t>
      </w:r>
      <w:r w:rsidR="00DE138F">
        <w:rPr>
          <w:rFonts w:ascii="Arial" w:eastAsiaTheme="minorHAnsi" w:hAnsi="Arial" w:cstheme="minorBidi"/>
          <w:sz w:val="22"/>
          <w:szCs w:val="22"/>
        </w:rPr>
        <w:t xml:space="preserve"> that 42% of For-Profit providers had revenue concentration of greater than 80.4%. </w:t>
      </w:r>
      <w:r w:rsidR="008B6560" w:rsidRPr="002E0956">
        <w:rPr>
          <w:rFonts w:ascii="Arial" w:eastAsiaTheme="minorHAnsi" w:hAnsi="Arial" w:cstheme="minorBidi"/>
          <w:sz w:val="22"/>
          <w:szCs w:val="22"/>
        </w:rPr>
        <w:t>Approximately two-third of For-Profit and Not-For-Profit providers had revenue concentrations that were higher than the sector median of 56.6%.</w:t>
      </w:r>
    </w:p>
    <w:p w:rsidR="0046599A" w:rsidRDefault="0046599A" w:rsidP="00A31374">
      <w:pPr>
        <w:rPr>
          <w:rFonts w:ascii="Arial" w:eastAsiaTheme="minorHAnsi" w:hAnsi="Arial" w:cstheme="minorBidi"/>
          <w:sz w:val="22"/>
          <w:szCs w:val="22"/>
        </w:rPr>
      </w:pPr>
    </w:p>
    <w:p w:rsidR="00045B6B" w:rsidRPr="00930E64" w:rsidDel="006B3D04" w:rsidRDefault="00045B6B" w:rsidP="00045B6B">
      <w:pPr>
        <w:rPr>
          <w:rFonts w:ascii="Arial" w:eastAsiaTheme="minorHAnsi" w:hAnsi="Arial" w:cstheme="minorBidi"/>
          <w:sz w:val="20"/>
          <w:szCs w:val="20"/>
        </w:rPr>
      </w:pPr>
      <w:r w:rsidRPr="00930E64" w:rsidDel="006B3D04">
        <w:rPr>
          <w:rFonts w:ascii="Georgia" w:hAnsi="Georgia" w:cs="Arial"/>
          <w:b/>
          <w:color w:val="004855" w:themeColor="text1"/>
          <w:sz w:val="20"/>
          <w:szCs w:val="20"/>
          <w:lang w:val="en-US"/>
        </w:rPr>
        <w:t xml:space="preserve">Figure </w:t>
      </w:r>
      <w:r w:rsidR="00C305C9">
        <w:rPr>
          <w:rFonts w:ascii="Georgia" w:hAnsi="Georgia" w:cs="Arial"/>
          <w:b/>
          <w:color w:val="004855" w:themeColor="text1"/>
          <w:sz w:val="20"/>
          <w:szCs w:val="20"/>
          <w:lang w:val="en-US"/>
        </w:rPr>
        <w:t>6</w:t>
      </w:r>
      <w:r w:rsidRPr="00930E64" w:rsidDel="006B3D04">
        <w:rPr>
          <w:rFonts w:ascii="Georgia" w:hAnsi="Georgia" w:cs="Arial"/>
          <w:b/>
          <w:color w:val="004855" w:themeColor="text1"/>
          <w:sz w:val="20"/>
          <w:szCs w:val="20"/>
          <w:lang w:val="en-US"/>
        </w:rPr>
        <w:t xml:space="preserve">: </w:t>
      </w:r>
      <w:r w:rsidDel="006B3D04">
        <w:rPr>
          <w:rFonts w:ascii="Georgia" w:hAnsi="Georgia" w:cs="Arial"/>
          <w:b/>
          <w:color w:val="004855" w:themeColor="text1"/>
          <w:sz w:val="20"/>
          <w:szCs w:val="20"/>
          <w:lang w:val="en-US"/>
        </w:rPr>
        <w:t xml:space="preserve">Revenue concentration, </w:t>
      </w:r>
      <w:r w:rsidR="008B6560">
        <w:rPr>
          <w:rFonts w:ascii="Georgia" w:hAnsi="Georgia" w:cs="Arial"/>
          <w:b/>
          <w:color w:val="004855" w:themeColor="text1"/>
          <w:sz w:val="20"/>
          <w:szCs w:val="20"/>
          <w:lang w:val="en-US"/>
        </w:rPr>
        <w:t xml:space="preserve">by </w:t>
      </w:r>
      <w:r w:rsidDel="006B3D04">
        <w:rPr>
          <w:rFonts w:ascii="Georgia" w:hAnsi="Georgia" w:cs="Arial"/>
          <w:b/>
          <w:color w:val="004855" w:themeColor="text1"/>
          <w:sz w:val="20"/>
          <w:szCs w:val="20"/>
          <w:lang w:val="en-US"/>
        </w:rPr>
        <w:t xml:space="preserve">provider type </w:t>
      </w:r>
      <w:r w:rsidR="008B6560">
        <w:rPr>
          <w:rFonts w:ascii="Georgia" w:hAnsi="Georgia" w:cs="Arial"/>
          <w:b/>
          <w:color w:val="004855" w:themeColor="text1"/>
          <w:sz w:val="20"/>
          <w:szCs w:val="20"/>
          <w:lang w:val="en-US"/>
        </w:rPr>
        <w:t>(</w:t>
      </w:r>
      <w:r>
        <w:rPr>
          <w:rFonts w:ascii="Georgia" w:hAnsi="Georgia" w:cs="Arial"/>
          <w:b/>
          <w:color w:val="004855" w:themeColor="text1"/>
          <w:sz w:val="20"/>
          <w:szCs w:val="20"/>
          <w:lang w:val="en-US"/>
        </w:rPr>
        <w:t>quartile</w:t>
      </w:r>
      <w:r w:rsidR="008B6560">
        <w:rPr>
          <w:rFonts w:ascii="Georgia" w:hAnsi="Georgia" w:cs="Arial"/>
          <w:b/>
          <w:color w:val="004855" w:themeColor="text1"/>
          <w:sz w:val="20"/>
          <w:szCs w:val="20"/>
          <w:lang w:val="en-US"/>
        </w:rPr>
        <w:t>)</w:t>
      </w:r>
    </w:p>
    <w:p w:rsidR="00045B6B" w:rsidRDefault="00045B6B" w:rsidP="00045B6B">
      <w:pPr>
        <w:pStyle w:val="H1"/>
        <w:spacing w:after="240"/>
        <w:jc w:val="center"/>
        <w:rPr>
          <w:sz w:val="40"/>
          <w:szCs w:val="40"/>
        </w:rPr>
      </w:pPr>
      <w:bookmarkStart w:id="19" w:name="_Toc464459707"/>
      <w:bookmarkStart w:id="20" w:name="_Toc465154620"/>
      <w:bookmarkStart w:id="21" w:name="_Toc465154945"/>
      <w:bookmarkStart w:id="22" w:name="_Toc467075176"/>
      <w:r>
        <w:drawing>
          <wp:inline distT="0" distB="0" distL="0" distR="0" wp14:anchorId="4F1497AD" wp14:editId="640B9493">
            <wp:extent cx="5448300" cy="342138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19"/>
      <w:bookmarkEnd w:id="20"/>
      <w:bookmarkEnd w:id="21"/>
      <w:bookmarkEnd w:id="22"/>
    </w:p>
    <w:p w:rsidR="00CF7A0F" w:rsidRPr="003B6D8C" w:rsidRDefault="00CF7A0F" w:rsidP="00045B6B">
      <w:pPr>
        <w:pStyle w:val="H1"/>
        <w:spacing w:after="240"/>
        <w:jc w:val="center"/>
        <w:rPr>
          <w:sz w:val="16"/>
          <w:szCs w:val="16"/>
        </w:rPr>
      </w:pPr>
    </w:p>
    <w:p w:rsidR="0046599A" w:rsidRDefault="00B40D39" w:rsidP="00AF31E9">
      <w:pPr>
        <w:pStyle w:val="BulletsL1"/>
        <w:shd w:val="clear" w:color="auto" w:fill="E5ECED" w:themeFill="accent4" w:themeFillTint="66"/>
        <w:ind w:left="0" w:firstLine="0"/>
        <w:rPr>
          <w:lang w:val="en-AU"/>
        </w:rPr>
      </w:pPr>
      <w:r>
        <w:rPr>
          <w:lang w:val="en-AU"/>
        </w:rPr>
        <w:t xml:space="preserve"> </w:t>
      </w:r>
      <w:r w:rsidR="0046599A">
        <w:rPr>
          <w:lang w:val="en-AU"/>
        </w:rPr>
        <w:t xml:space="preserve">  </w:t>
      </w:r>
    </w:p>
    <w:p w:rsidR="00A10520" w:rsidRDefault="00A10520" w:rsidP="00A10520">
      <w:pPr>
        <w:pStyle w:val="BulletsL1"/>
        <w:numPr>
          <w:ilvl w:val="0"/>
          <w:numId w:val="7"/>
        </w:numPr>
        <w:shd w:val="clear" w:color="auto" w:fill="E5ECED" w:themeFill="accent4" w:themeFillTint="66"/>
        <w:rPr>
          <w:lang w:val="en-AU"/>
        </w:rPr>
      </w:pPr>
      <w:r>
        <w:rPr>
          <w:lang w:val="en-AU"/>
        </w:rPr>
        <w:t>Universities tended to have a lower level of revenue concentration</w:t>
      </w:r>
      <w:r w:rsidR="008B6560" w:rsidRPr="008B6560">
        <w:rPr>
          <w:lang w:val="en-AU"/>
        </w:rPr>
        <w:t xml:space="preserve"> </w:t>
      </w:r>
      <w:r w:rsidR="008B6560">
        <w:rPr>
          <w:lang w:val="en-AU"/>
        </w:rPr>
        <w:t>than other provider types</w:t>
      </w:r>
      <w:r>
        <w:rPr>
          <w:lang w:val="en-AU"/>
        </w:rPr>
        <w:t xml:space="preserve">, with 91% of universities recording a revenue concentration level </w:t>
      </w:r>
      <w:r w:rsidR="008B6560">
        <w:rPr>
          <w:lang w:val="en-AU"/>
        </w:rPr>
        <w:t xml:space="preserve">below the </w:t>
      </w:r>
      <w:r>
        <w:rPr>
          <w:lang w:val="en-AU"/>
        </w:rPr>
        <w:t xml:space="preserve">sector median </w:t>
      </w:r>
      <w:r w:rsidR="008B6560">
        <w:rPr>
          <w:lang w:val="en-AU"/>
        </w:rPr>
        <w:t xml:space="preserve">of </w:t>
      </w:r>
      <w:r>
        <w:rPr>
          <w:lang w:val="en-AU"/>
        </w:rPr>
        <w:t>56.6%.</w:t>
      </w:r>
    </w:p>
    <w:p w:rsidR="00552C24" w:rsidRPr="009229D5" w:rsidRDefault="00552C24" w:rsidP="00552C24">
      <w:pPr>
        <w:pStyle w:val="BulletsL1"/>
        <w:shd w:val="clear" w:color="auto" w:fill="E5ECED" w:themeFill="accent4" w:themeFillTint="66"/>
        <w:ind w:left="0" w:firstLine="0"/>
        <w:rPr>
          <w:lang w:val="en-AU"/>
        </w:rPr>
      </w:pPr>
    </w:p>
    <w:p w:rsidR="000531F6" w:rsidRPr="00272672" w:rsidRDefault="007D43D7" w:rsidP="00272672">
      <w:pPr>
        <w:spacing w:after="0" w:line="240" w:lineRule="auto"/>
        <w:rPr>
          <w:rFonts w:asciiTheme="majorHAnsi" w:eastAsiaTheme="minorHAnsi" w:hAnsiTheme="majorHAnsi" w:cs="Garamond"/>
          <w:b/>
          <w:bCs/>
          <w:color w:val="00A6AA" w:themeColor="background1"/>
          <w:sz w:val="32"/>
          <w:szCs w:val="32"/>
          <w:lang w:val="en-GB"/>
        </w:rPr>
      </w:pPr>
      <w:r w:rsidRPr="00221BCD">
        <w:rPr>
          <w:rFonts w:cs="Arial"/>
        </w:rPr>
        <w:br w:type="page"/>
      </w:r>
      <w:r w:rsidR="002F66CC">
        <w:rPr>
          <w:rFonts w:asciiTheme="majorHAnsi" w:eastAsiaTheme="minorHAnsi" w:hAnsiTheme="majorHAnsi" w:cs="Garamond"/>
          <w:b/>
          <w:bCs/>
          <w:color w:val="00A6AA" w:themeColor="background1"/>
          <w:sz w:val="32"/>
          <w:szCs w:val="32"/>
          <w:lang w:val="en-GB"/>
        </w:rPr>
        <w:lastRenderedPageBreak/>
        <w:t>4</w:t>
      </w:r>
      <w:r w:rsidR="00242EC3" w:rsidRPr="00272672">
        <w:rPr>
          <w:rFonts w:asciiTheme="majorHAnsi" w:eastAsiaTheme="minorHAnsi" w:hAnsiTheme="majorHAnsi" w:cs="Garamond"/>
          <w:b/>
          <w:bCs/>
          <w:color w:val="00A6AA" w:themeColor="background1"/>
          <w:sz w:val="32"/>
          <w:szCs w:val="32"/>
          <w:lang w:val="en-GB"/>
        </w:rPr>
        <w:t xml:space="preserve">.2 </w:t>
      </w:r>
      <w:r w:rsidR="00F1088D" w:rsidRPr="00272672">
        <w:rPr>
          <w:rFonts w:asciiTheme="majorHAnsi" w:eastAsiaTheme="minorHAnsi" w:hAnsiTheme="majorHAnsi" w:cs="Garamond"/>
          <w:b/>
          <w:bCs/>
          <w:color w:val="00A6AA" w:themeColor="background1"/>
          <w:sz w:val="32"/>
          <w:szCs w:val="32"/>
          <w:lang w:val="en-GB"/>
        </w:rPr>
        <w:t>Profitability</w:t>
      </w:r>
    </w:p>
    <w:p w:rsidR="00281130" w:rsidRDefault="00BD3991" w:rsidP="00F1088D">
      <w:pPr>
        <w:pStyle w:val="BulletsL1"/>
        <w:ind w:left="0" w:firstLine="0"/>
      </w:pPr>
      <w:r>
        <w:t xml:space="preserve">The profitability of a provider </w:t>
      </w:r>
      <w:r w:rsidR="005314AB">
        <w:t>give</w:t>
      </w:r>
      <w:r>
        <w:t xml:space="preserve">s an indication of </w:t>
      </w:r>
      <w:r w:rsidR="00E278DE">
        <w:t xml:space="preserve">its </w:t>
      </w:r>
      <w:r>
        <w:t xml:space="preserve">ability to generate revenue and manage expenses in order to </w:t>
      </w:r>
      <w:r w:rsidR="00E278DE">
        <w:t>deliver</w:t>
      </w:r>
      <w:r>
        <w:t xml:space="preserve"> a </w:t>
      </w:r>
      <w:r w:rsidR="005D4A05">
        <w:t>profit/</w:t>
      </w:r>
      <w:r>
        <w:t xml:space="preserve">surplus. </w:t>
      </w:r>
      <w:r w:rsidR="00E278DE">
        <w:t xml:space="preserve">While </w:t>
      </w:r>
      <w:r w:rsidR="00AB0AB9">
        <w:t>m</w:t>
      </w:r>
      <w:r w:rsidR="00BC2738">
        <w:t>any higher education providers are no</w:t>
      </w:r>
      <w:r w:rsidR="00281130">
        <w:t>t</w:t>
      </w:r>
      <w:r w:rsidR="00BC2738">
        <w:t>-for-profit in nature (including TAFE</w:t>
      </w:r>
      <w:r w:rsidR="008466EE">
        <w:t>s</w:t>
      </w:r>
      <w:r w:rsidR="00BC2738">
        <w:t xml:space="preserve"> and</w:t>
      </w:r>
      <w:r w:rsidR="005D4A05">
        <w:t xml:space="preserve"> </w:t>
      </w:r>
      <w:r w:rsidR="00F7155A">
        <w:t>u</w:t>
      </w:r>
      <w:r w:rsidR="005D4A05">
        <w:t>niversities)</w:t>
      </w:r>
      <w:r w:rsidR="00281130">
        <w:t>,</w:t>
      </w:r>
      <w:r w:rsidR="00BC2738">
        <w:t xml:space="preserve"> </w:t>
      </w:r>
      <w:r w:rsidR="00AB0AB9">
        <w:t>the</w:t>
      </w:r>
      <w:r w:rsidR="005D4A05">
        <w:t xml:space="preserve"> generation of a surplus</w:t>
      </w:r>
      <w:r w:rsidR="00BC2738">
        <w:t xml:space="preserve"> </w:t>
      </w:r>
      <w:r w:rsidR="005D4A05">
        <w:t xml:space="preserve">is important </w:t>
      </w:r>
      <w:r w:rsidR="00F7324D">
        <w:t xml:space="preserve">in </w:t>
      </w:r>
      <w:r w:rsidR="003765E7">
        <w:t>ensuring that the provider</w:t>
      </w:r>
      <w:r w:rsidR="005D4A05">
        <w:t xml:space="preserve"> can </w:t>
      </w:r>
      <w:r w:rsidR="00AB0AB9">
        <w:t>fund</w:t>
      </w:r>
      <w:r w:rsidR="005D4A05">
        <w:t xml:space="preserve"> its </w:t>
      </w:r>
      <w:r w:rsidR="00AB0AB9">
        <w:t>operations into the future</w:t>
      </w:r>
      <w:r w:rsidR="005D4A05">
        <w:t xml:space="preserve">. </w:t>
      </w:r>
      <w:r w:rsidR="00281130">
        <w:t>Ideally, a</w:t>
      </w:r>
      <w:r>
        <w:t xml:space="preserve">ccumulated </w:t>
      </w:r>
      <w:r w:rsidR="00281130">
        <w:t>profit</w:t>
      </w:r>
      <w:r w:rsidR="00D96373">
        <w:t>s/</w:t>
      </w:r>
      <w:r w:rsidR="00246181">
        <w:t>surplus</w:t>
      </w:r>
      <w:r w:rsidR="00D96373">
        <w:t>es</w:t>
      </w:r>
      <w:r>
        <w:t xml:space="preserve"> </w:t>
      </w:r>
      <w:r w:rsidR="003765E7">
        <w:t>are</w:t>
      </w:r>
      <w:r>
        <w:t xml:space="preserve"> used to support or</w:t>
      </w:r>
      <w:r w:rsidR="00F1088D">
        <w:t xml:space="preserve"> enhance a provider’s </w:t>
      </w:r>
      <w:r w:rsidR="00F1088D" w:rsidRPr="0033268E">
        <w:t>capacity to sustain</w:t>
      </w:r>
      <w:r w:rsidR="00F1088D">
        <w:t xml:space="preserve"> quality in</w:t>
      </w:r>
      <w:r w:rsidR="00F1088D" w:rsidRPr="0033268E">
        <w:t xml:space="preserve"> its higher education operations</w:t>
      </w:r>
      <w:r w:rsidR="00F1088D">
        <w:t xml:space="preserve">. </w:t>
      </w:r>
      <w:r w:rsidR="00A44C12">
        <w:t xml:space="preserve">This report analyses profitability based on two </w:t>
      </w:r>
      <w:r w:rsidR="008A27CC">
        <w:t>measures:</w:t>
      </w:r>
      <w:r w:rsidR="00A44C12">
        <w:t xml:space="preserve"> </w:t>
      </w:r>
      <w:r w:rsidR="008A27CC">
        <w:t>Net Profit/Surplus margin, and the Earnings Before Interest, Taxes, Depreciation and Amortisation (EBITDA) margin.</w:t>
      </w:r>
      <w:r w:rsidR="008A27CC" w:rsidRPr="008466EE">
        <w:rPr>
          <w:rStyle w:val="FootnoteReference"/>
          <w:sz w:val="18"/>
          <w:szCs w:val="18"/>
          <w:lang w:val="en-AU"/>
        </w:rPr>
        <w:footnoteReference w:id="9"/>
      </w:r>
    </w:p>
    <w:p w:rsidR="008C0D4B" w:rsidRDefault="008C0D4B" w:rsidP="00AA741E">
      <w:pPr>
        <w:pStyle w:val="BulletsL1"/>
        <w:ind w:left="0" w:firstLine="0"/>
        <w:rPr>
          <w:lang w:val="en-AU"/>
        </w:rPr>
      </w:pPr>
    </w:p>
    <w:p w:rsidR="008C0D4B" w:rsidRDefault="008C0D4B" w:rsidP="008C0D4B">
      <w:pPr>
        <w:pStyle w:val="H3"/>
      </w:pPr>
      <w:r>
        <w:t>Net</w:t>
      </w:r>
      <w:r w:rsidR="00281130">
        <w:t xml:space="preserve"> </w:t>
      </w:r>
      <w:r w:rsidR="00F32849">
        <w:t>p</w:t>
      </w:r>
      <w:r>
        <w:t>rofit</w:t>
      </w:r>
      <w:r w:rsidR="00281130">
        <w:t>/surplus</w:t>
      </w:r>
      <w:r>
        <w:t xml:space="preserve"> </w:t>
      </w:r>
      <w:r w:rsidR="00F32849">
        <w:t>m</w:t>
      </w:r>
      <w:r>
        <w:t>argin</w:t>
      </w:r>
    </w:p>
    <w:p w:rsidR="00B578E4" w:rsidRPr="008249DC" w:rsidDel="0024327E" w:rsidRDefault="00C36B70">
      <w:pPr>
        <w:rPr>
          <w:rFonts w:ascii="Georgia" w:hAnsi="Georgia"/>
          <w:b/>
          <w:color w:val="004855" w:themeColor="text1"/>
          <w:sz w:val="20"/>
          <w:szCs w:val="20"/>
        </w:rPr>
      </w:pPr>
      <w:r w:rsidRPr="00AF61CE" w:rsidDel="0024327E">
        <w:rPr>
          <w:rFonts w:ascii="Georgia" w:hAnsi="Georgia" w:cs="Arial"/>
          <w:b/>
          <w:color w:val="004855" w:themeColor="text1"/>
          <w:sz w:val="20"/>
          <w:szCs w:val="20"/>
          <w:lang w:val="en-US"/>
        </w:rPr>
        <w:t>Figure</w:t>
      </w:r>
      <w:r w:rsidR="00ED0709" w:rsidDel="0024327E">
        <w:rPr>
          <w:rFonts w:ascii="Georgia" w:hAnsi="Georgia" w:cs="Arial"/>
          <w:b/>
          <w:color w:val="004855" w:themeColor="text1"/>
          <w:sz w:val="20"/>
          <w:szCs w:val="20"/>
          <w:lang w:val="en-US"/>
        </w:rPr>
        <w:t xml:space="preserve"> </w:t>
      </w:r>
      <w:r w:rsidR="002F66CC">
        <w:rPr>
          <w:rFonts w:ascii="Georgia" w:hAnsi="Georgia" w:cs="Arial"/>
          <w:b/>
          <w:color w:val="004855" w:themeColor="text1"/>
          <w:sz w:val="20"/>
          <w:szCs w:val="20"/>
          <w:lang w:val="en-US"/>
        </w:rPr>
        <w:t>7</w:t>
      </w:r>
      <w:r w:rsidR="00E34B4E" w:rsidRPr="00AF61CE" w:rsidDel="0024327E">
        <w:rPr>
          <w:rFonts w:ascii="Georgia" w:hAnsi="Georgia" w:cs="Arial"/>
          <w:b/>
          <w:color w:val="004855" w:themeColor="text1"/>
          <w:sz w:val="20"/>
          <w:szCs w:val="20"/>
          <w:lang w:val="en-US"/>
        </w:rPr>
        <w:t>:</w:t>
      </w:r>
      <w:r w:rsidR="008C0D4B" w:rsidRPr="00AF61CE" w:rsidDel="0024327E">
        <w:rPr>
          <w:rFonts w:ascii="Georgia" w:hAnsi="Georgia" w:cs="Arial"/>
          <w:b/>
          <w:color w:val="004855" w:themeColor="text1"/>
          <w:sz w:val="20"/>
          <w:szCs w:val="20"/>
          <w:lang w:val="en-US"/>
        </w:rPr>
        <w:t xml:space="preserve"> Net</w:t>
      </w:r>
      <w:r w:rsidR="00E34B4E" w:rsidRPr="00AF61CE" w:rsidDel="0024327E">
        <w:rPr>
          <w:rFonts w:ascii="Georgia" w:hAnsi="Georgia" w:cs="Arial"/>
          <w:b/>
          <w:color w:val="004855" w:themeColor="text1"/>
          <w:sz w:val="20"/>
          <w:szCs w:val="20"/>
          <w:lang w:val="en-US"/>
        </w:rPr>
        <w:t xml:space="preserve"> </w:t>
      </w:r>
      <w:r w:rsidR="008C0D4B" w:rsidRPr="00AF61CE" w:rsidDel="0024327E">
        <w:rPr>
          <w:rFonts w:ascii="Georgia" w:hAnsi="Georgia" w:cs="Arial"/>
          <w:b/>
          <w:color w:val="004855" w:themeColor="text1"/>
          <w:sz w:val="20"/>
          <w:szCs w:val="20"/>
          <w:lang w:val="en-US"/>
        </w:rPr>
        <w:t>p</w:t>
      </w:r>
      <w:r w:rsidR="00E34B4E" w:rsidRPr="00AF61CE" w:rsidDel="0024327E">
        <w:rPr>
          <w:rFonts w:ascii="Georgia" w:hAnsi="Georgia" w:cs="Arial"/>
          <w:b/>
          <w:color w:val="004855" w:themeColor="text1"/>
          <w:sz w:val="20"/>
          <w:szCs w:val="20"/>
          <w:lang w:val="en-US"/>
        </w:rPr>
        <w:t>rofit</w:t>
      </w:r>
      <w:r w:rsidR="0049683B" w:rsidRPr="00AF61CE" w:rsidDel="0024327E">
        <w:rPr>
          <w:rFonts w:ascii="Georgia" w:hAnsi="Georgia" w:cs="Arial"/>
          <w:b/>
          <w:color w:val="004855" w:themeColor="text1"/>
          <w:sz w:val="20"/>
          <w:szCs w:val="20"/>
          <w:lang w:val="en-US"/>
        </w:rPr>
        <w:t>/surplus</w:t>
      </w:r>
      <w:r w:rsidRPr="00AF61CE" w:rsidDel="0024327E">
        <w:rPr>
          <w:rFonts w:ascii="Georgia" w:hAnsi="Georgia" w:cs="Arial"/>
          <w:b/>
          <w:color w:val="004855" w:themeColor="text1"/>
          <w:sz w:val="20"/>
          <w:szCs w:val="20"/>
          <w:lang w:val="en-US"/>
        </w:rPr>
        <w:t xml:space="preserve"> margin</w:t>
      </w:r>
      <w:r w:rsidR="00A8413E" w:rsidRPr="00AF61CE" w:rsidDel="0024327E">
        <w:rPr>
          <w:rFonts w:ascii="Georgia" w:hAnsi="Georgia" w:cs="Arial"/>
          <w:b/>
          <w:color w:val="004855" w:themeColor="text1"/>
          <w:sz w:val="20"/>
          <w:szCs w:val="20"/>
          <w:lang w:val="en-US"/>
        </w:rPr>
        <w:t xml:space="preserve">, by provider </w:t>
      </w:r>
      <w:r w:rsidR="00452500" w:rsidRPr="00AF61CE" w:rsidDel="0024327E">
        <w:rPr>
          <w:rFonts w:ascii="Georgia" w:hAnsi="Georgia" w:cs="Arial"/>
          <w:b/>
          <w:color w:val="004855" w:themeColor="text1"/>
          <w:sz w:val="20"/>
          <w:szCs w:val="20"/>
          <w:lang w:val="en-US"/>
        </w:rPr>
        <w:t>type</w:t>
      </w:r>
    </w:p>
    <w:p w:rsidR="00C81622" w:rsidRDefault="001617DA" w:rsidP="00C36B70">
      <w:pPr>
        <w:rPr>
          <w:rFonts w:ascii="Georgia" w:hAnsi="Georgia" w:cs="Arial"/>
          <w:b/>
          <w:color w:val="004855" w:themeColor="text1"/>
          <w:sz w:val="22"/>
          <w:szCs w:val="22"/>
          <w:lang w:val="en-US"/>
        </w:rPr>
      </w:pPr>
      <w:r w:rsidRPr="001617DA">
        <w:rPr>
          <w:rFonts w:ascii="Georgia" w:hAnsi="Georgia" w:cs="Arial"/>
          <w:b/>
          <w:color w:val="004855" w:themeColor="text1"/>
          <w:sz w:val="22"/>
          <w:szCs w:val="22"/>
          <w:lang w:val="en-US"/>
        </w:rPr>
        <w:t xml:space="preserve"> </w:t>
      </w:r>
      <w:r>
        <w:rPr>
          <w:rFonts w:ascii="Georgia" w:hAnsi="Georgia" w:cs="Arial"/>
          <w:b/>
          <w:noProof/>
          <w:color w:val="004855" w:themeColor="text1"/>
          <w:sz w:val="22"/>
          <w:szCs w:val="22"/>
          <w:lang w:eastAsia="en-AU"/>
        </w:rPr>
        <w:drawing>
          <wp:inline distT="0" distB="0" distL="0" distR="0" wp14:anchorId="3CC2D3AE" wp14:editId="193F8704">
            <wp:extent cx="5934075" cy="35147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1060" cy="3518862"/>
                    </a:xfrm>
                    <a:prstGeom prst="rect">
                      <a:avLst/>
                    </a:prstGeom>
                    <a:noFill/>
                    <a:ln>
                      <a:noFill/>
                    </a:ln>
                  </pic:spPr>
                </pic:pic>
              </a:graphicData>
            </a:graphic>
          </wp:inline>
        </w:drawing>
      </w:r>
    </w:p>
    <w:p w:rsidR="00D244F0" w:rsidRDefault="00D244F0" w:rsidP="00D244F0">
      <w:pPr>
        <w:spacing w:after="0" w:line="80" w:lineRule="atLeast"/>
        <w:jc w:val="center"/>
        <w:rPr>
          <w:rFonts w:ascii="Georgia" w:hAnsi="Georgia" w:cs="Arial"/>
          <w:b/>
          <w:color w:val="004855" w:themeColor="text1"/>
          <w:sz w:val="22"/>
          <w:szCs w:val="22"/>
          <w:lang w:val="en-US"/>
        </w:rPr>
      </w:pPr>
      <w:r>
        <w:rPr>
          <w:noProof/>
          <w:lang w:eastAsia="en-AU"/>
        </w:rPr>
        <w:drawing>
          <wp:inline distT="0" distB="0" distL="0" distR="0" wp14:anchorId="352B5EE6" wp14:editId="5BE46B1B">
            <wp:extent cx="1054510" cy="1721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9802"/>
                    <a:stretch/>
                  </pic:blipFill>
                  <pic:spPr bwMode="auto">
                    <a:xfrm>
                      <a:off x="0" y="0"/>
                      <a:ext cx="1058284" cy="1727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4EDC492" wp14:editId="109B061C">
            <wp:extent cx="1054510" cy="2138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b="18466"/>
                    <a:stretch/>
                  </pic:blipFill>
                  <pic:spPr bwMode="auto">
                    <a:xfrm>
                      <a:off x="0" y="0"/>
                      <a:ext cx="1058284" cy="214617"/>
                    </a:xfrm>
                    <a:prstGeom prst="rect">
                      <a:avLst/>
                    </a:prstGeom>
                    <a:noFill/>
                    <a:ln>
                      <a:noFill/>
                    </a:ln>
                    <a:extLst>
                      <a:ext uri="{53640926-AAD7-44D8-BBD7-CCE9431645EC}">
                        <a14:shadowObscured xmlns:a14="http://schemas.microsoft.com/office/drawing/2010/main"/>
                      </a:ext>
                    </a:extLst>
                  </pic:spPr>
                </pic:pic>
              </a:graphicData>
            </a:graphic>
          </wp:inline>
        </w:drawing>
      </w:r>
    </w:p>
    <w:p w:rsidR="00D244F0" w:rsidRDefault="00D244F0" w:rsidP="00D244F0">
      <w:pPr>
        <w:spacing w:after="0" w:line="80" w:lineRule="atLeast"/>
        <w:jc w:val="cente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26461752" wp14:editId="69F972A3">
            <wp:extent cx="1053458" cy="1917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6088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b/>
          <w:noProof/>
          <w:color w:val="004855" w:themeColor="text1"/>
          <w:sz w:val="22"/>
          <w:szCs w:val="22"/>
          <w:lang w:eastAsia="en-AU"/>
        </w:rPr>
        <w:drawing>
          <wp:inline distT="0" distB="0" distL="0" distR="0" wp14:anchorId="21AFCCDB" wp14:editId="7052A7C6">
            <wp:extent cx="1053458" cy="1917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87" b="4016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p>
    <w:p w:rsidR="00D244F0" w:rsidRDefault="00D244F0" w:rsidP="00E65946">
      <w:pPr>
        <w:rPr>
          <w:rFonts w:ascii="Georgia" w:hAnsi="Georgia" w:cs="Arial"/>
          <w:b/>
          <w:color w:val="004855" w:themeColor="text1"/>
          <w:sz w:val="20"/>
          <w:szCs w:val="20"/>
          <w:lang w:val="en-US"/>
        </w:rPr>
      </w:pPr>
    </w:p>
    <w:p w:rsidR="00E65946" w:rsidRPr="00E65946" w:rsidRDefault="00E65946" w:rsidP="00E65946">
      <w:pPr>
        <w:rPr>
          <w:rFonts w:ascii="Georgia" w:hAnsi="Georgia" w:cs="Arial"/>
          <w:b/>
          <w:color w:val="004855" w:themeColor="text1"/>
          <w:sz w:val="20"/>
          <w:szCs w:val="20"/>
          <w:lang w:val="en-US"/>
        </w:rPr>
      </w:pPr>
      <w:r w:rsidRPr="00E65946">
        <w:rPr>
          <w:rFonts w:ascii="Georgia" w:hAnsi="Georgia" w:cs="Arial"/>
          <w:b/>
          <w:color w:val="004855" w:themeColor="text1"/>
          <w:sz w:val="20"/>
          <w:szCs w:val="20"/>
          <w:lang w:val="en-US"/>
        </w:rPr>
        <w:t xml:space="preserve">Table </w:t>
      </w:r>
      <w:r>
        <w:rPr>
          <w:rFonts w:ascii="Georgia" w:hAnsi="Georgia" w:cs="Arial"/>
          <w:b/>
          <w:color w:val="004855" w:themeColor="text1"/>
          <w:sz w:val="20"/>
          <w:szCs w:val="20"/>
          <w:lang w:val="en-US"/>
        </w:rPr>
        <w:t>6</w:t>
      </w:r>
      <w:r w:rsidR="00AD46F1">
        <w:rPr>
          <w:rFonts w:ascii="Georgia" w:hAnsi="Georgia" w:cs="Arial"/>
          <w:b/>
          <w:color w:val="004855" w:themeColor="text1"/>
          <w:sz w:val="20"/>
          <w:szCs w:val="20"/>
          <w:lang w:val="en-US"/>
        </w:rPr>
        <w:t>:</w:t>
      </w:r>
      <w:r w:rsidRPr="00E65946">
        <w:rPr>
          <w:rFonts w:ascii="Georgia" w:hAnsi="Georgia" w:cs="Arial"/>
          <w:b/>
          <w:color w:val="004855" w:themeColor="text1"/>
          <w:sz w:val="20"/>
          <w:szCs w:val="20"/>
          <w:lang w:val="en-US"/>
        </w:rPr>
        <w:t xml:space="preserve"> Net profit/surplus margin range, by provider type</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E65946"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E65946" w:rsidRPr="00797118" w:rsidRDefault="00E65946"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E65946" w:rsidRPr="00797118" w:rsidRDefault="00E65946"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E65946" w:rsidRPr="00797118" w:rsidRDefault="00E65946"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E65946" w:rsidRPr="00797118" w:rsidRDefault="00E65946"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E65946" w:rsidRPr="00797118" w:rsidRDefault="00E65946"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E65946" w:rsidRPr="00797118" w:rsidRDefault="00E65946"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E65946"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E65946" w:rsidRPr="00296D08" w:rsidRDefault="00E65946" w:rsidP="00A02129">
            <w:pPr>
              <w:spacing w:after="0"/>
              <w:rPr>
                <w:rFonts w:asciiTheme="minorHAnsi" w:hAnsiTheme="minorHAnsi" w:cstheme="minorHAnsi"/>
                <w:sz w:val="20"/>
                <w:szCs w:val="20"/>
              </w:rPr>
            </w:pPr>
            <w:r w:rsidRPr="00296D08">
              <w:rPr>
                <w:rFonts w:asciiTheme="minorHAnsi" w:hAnsiTheme="minorHAnsi" w:cstheme="minorHAnsi"/>
                <w:sz w:val="20"/>
                <w:szCs w:val="20"/>
              </w:rPr>
              <w:t>Universit</w:t>
            </w:r>
            <w:r>
              <w:rPr>
                <w:rFonts w:asciiTheme="minorHAnsi" w:hAnsiTheme="minorHAnsi" w:cstheme="minorHAnsi"/>
                <w:sz w:val="20"/>
                <w:szCs w:val="20"/>
              </w:rPr>
              <w:t>ies</w:t>
            </w:r>
          </w:p>
        </w:tc>
        <w:tc>
          <w:tcPr>
            <w:tcW w:w="828" w:type="pct"/>
            <w:gridSpan w:val="2"/>
            <w:tcBorders>
              <w:top w:val="nil"/>
              <w:left w:val="nil"/>
              <w:bottom w:val="single" w:sz="4" w:space="0" w:color="366092"/>
              <w:right w:val="nil"/>
            </w:tcBorders>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-37.0%</w:t>
            </w:r>
          </w:p>
        </w:tc>
        <w:tc>
          <w:tcPr>
            <w:tcW w:w="785" w:type="pct"/>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1.5%</w:t>
            </w:r>
          </w:p>
        </w:tc>
        <w:tc>
          <w:tcPr>
            <w:tcW w:w="738" w:type="pct"/>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4.6%</w:t>
            </w:r>
          </w:p>
        </w:tc>
        <w:tc>
          <w:tcPr>
            <w:tcW w:w="799" w:type="pct"/>
            <w:gridSpan w:val="2"/>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7.6%</w:t>
            </w:r>
          </w:p>
        </w:tc>
        <w:tc>
          <w:tcPr>
            <w:tcW w:w="748" w:type="pct"/>
            <w:gridSpan w:val="2"/>
            <w:tcBorders>
              <w:top w:val="nil"/>
              <w:left w:val="nil"/>
              <w:bottom w:val="single" w:sz="4" w:space="0" w:color="366092"/>
              <w:right w:val="nil"/>
            </w:tcBorders>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13.7%</w:t>
            </w:r>
          </w:p>
        </w:tc>
      </w:tr>
      <w:tr w:rsidR="00216694" w:rsidRPr="00797118" w:rsidTr="0089015D">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216694" w:rsidRPr="00296D08" w:rsidRDefault="00216694"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828" w:type="pct"/>
            <w:gridSpan w:val="2"/>
            <w:tcBorders>
              <w:top w:val="nil"/>
              <w:left w:val="nil"/>
              <w:bottom w:val="single" w:sz="4" w:space="0" w:color="366092"/>
              <w:right w:val="nil"/>
            </w:tcBorders>
            <w:vAlign w:val="bottom"/>
          </w:tcPr>
          <w:p w:rsidR="00216694" w:rsidRPr="00E65946" w:rsidRDefault="00216694" w:rsidP="0089015D">
            <w:pPr>
              <w:spacing w:after="0"/>
              <w:jc w:val="right"/>
              <w:rPr>
                <w:rFonts w:asciiTheme="minorHAnsi" w:hAnsiTheme="minorHAnsi" w:cstheme="minorHAnsi"/>
                <w:sz w:val="20"/>
                <w:szCs w:val="20"/>
              </w:rPr>
            </w:pPr>
            <w:r w:rsidRPr="00E65946">
              <w:rPr>
                <w:rFonts w:asciiTheme="minorHAnsi" w:hAnsiTheme="minorHAnsi" w:cstheme="minorHAnsi"/>
                <w:sz w:val="20"/>
                <w:szCs w:val="20"/>
              </w:rPr>
              <w:t>-15.8%</w:t>
            </w:r>
          </w:p>
        </w:tc>
        <w:tc>
          <w:tcPr>
            <w:tcW w:w="785" w:type="pct"/>
            <w:tcBorders>
              <w:top w:val="nil"/>
              <w:left w:val="nil"/>
              <w:bottom w:val="single" w:sz="4" w:space="0" w:color="366092"/>
              <w:right w:val="nil"/>
            </w:tcBorders>
            <w:shd w:val="clear" w:color="auto" w:fill="auto"/>
            <w:noWrap/>
            <w:vAlign w:val="bottom"/>
          </w:tcPr>
          <w:p w:rsidR="00216694" w:rsidRPr="00E65946" w:rsidRDefault="00216694" w:rsidP="0089015D">
            <w:pPr>
              <w:spacing w:after="0"/>
              <w:jc w:val="right"/>
              <w:rPr>
                <w:rFonts w:asciiTheme="minorHAnsi" w:hAnsiTheme="minorHAnsi" w:cstheme="minorHAnsi"/>
                <w:sz w:val="20"/>
                <w:szCs w:val="20"/>
              </w:rPr>
            </w:pPr>
            <w:r w:rsidRPr="00E65946">
              <w:rPr>
                <w:rFonts w:asciiTheme="minorHAnsi" w:hAnsiTheme="minorHAnsi" w:cstheme="minorHAnsi"/>
                <w:sz w:val="20"/>
                <w:szCs w:val="20"/>
              </w:rPr>
              <w:t>-7.4%</w:t>
            </w:r>
          </w:p>
        </w:tc>
        <w:tc>
          <w:tcPr>
            <w:tcW w:w="738" w:type="pct"/>
            <w:tcBorders>
              <w:top w:val="nil"/>
              <w:left w:val="nil"/>
              <w:bottom w:val="single" w:sz="4" w:space="0" w:color="366092"/>
              <w:right w:val="nil"/>
            </w:tcBorders>
            <w:shd w:val="clear" w:color="auto" w:fill="auto"/>
            <w:noWrap/>
            <w:vAlign w:val="bottom"/>
          </w:tcPr>
          <w:p w:rsidR="00216694" w:rsidRPr="00E65946" w:rsidRDefault="00216694" w:rsidP="0089015D">
            <w:pPr>
              <w:spacing w:after="0"/>
              <w:jc w:val="right"/>
              <w:rPr>
                <w:rFonts w:asciiTheme="minorHAnsi" w:hAnsiTheme="minorHAnsi" w:cstheme="minorHAnsi"/>
                <w:sz w:val="20"/>
                <w:szCs w:val="20"/>
              </w:rPr>
            </w:pPr>
            <w:r w:rsidRPr="00E65946">
              <w:rPr>
                <w:rFonts w:asciiTheme="minorHAnsi" w:hAnsiTheme="minorHAnsi" w:cstheme="minorHAnsi"/>
                <w:sz w:val="20"/>
                <w:szCs w:val="20"/>
              </w:rPr>
              <w:t>-1.9%</w:t>
            </w:r>
          </w:p>
        </w:tc>
        <w:tc>
          <w:tcPr>
            <w:tcW w:w="799" w:type="pct"/>
            <w:gridSpan w:val="2"/>
            <w:tcBorders>
              <w:top w:val="nil"/>
              <w:left w:val="nil"/>
              <w:bottom w:val="single" w:sz="4" w:space="0" w:color="366092"/>
              <w:right w:val="nil"/>
            </w:tcBorders>
            <w:shd w:val="clear" w:color="auto" w:fill="auto"/>
            <w:noWrap/>
            <w:vAlign w:val="bottom"/>
          </w:tcPr>
          <w:p w:rsidR="00216694" w:rsidRPr="00E65946" w:rsidRDefault="00216694" w:rsidP="0089015D">
            <w:pPr>
              <w:spacing w:after="0"/>
              <w:jc w:val="right"/>
              <w:rPr>
                <w:rFonts w:asciiTheme="minorHAnsi" w:hAnsiTheme="minorHAnsi" w:cstheme="minorHAnsi"/>
                <w:sz w:val="20"/>
                <w:szCs w:val="20"/>
              </w:rPr>
            </w:pPr>
            <w:r w:rsidRPr="00E65946">
              <w:rPr>
                <w:rFonts w:asciiTheme="minorHAnsi" w:hAnsiTheme="minorHAnsi" w:cstheme="minorHAnsi"/>
                <w:sz w:val="20"/>
                <w:szCs w:val="20"/>
              </w:rPr>
              <w:t>5.1%</w:t>
            </w:r>
          </w:p>
        </w:tc>
        <w:tc>
          <w:tcPr>
            <w:tcW w:w="748" w:type="pct"/>
            <w:gridSpan w:val="2"/>
            <w:tcBorders>
              <w:top w:val="nil"/>
              <w:left w:val="nil"/>
              <w:bottom w:val="single" w:sz="4" w:space="0" w:color="366092"/>
              <w:right w:val="nil"/>
            </w:tcBorders>
            <w:vAlign w:val="bottom"/>
          </w:tcPr>
          <w:p w:rsidR="00216694" w:rsidRPr="00E65946" w:rsidRDefault="00216694" w:rsidP="0089015D">
            <w:pPr>
              <w:spacing w:after="0"/>
              <w:jc w:val="right"/>
              <w:rPr>
                <w:rFonts w:asciiTheme="minorHAnsi" w:hAnsiTheme="minorHAnsi" w:cstheme="minorHAnsi"/>
                <w:sz w:val="20"/>
                <w:szCs w:val="20"/>
              </w:rPr>
            </w:pPr>
            <w:r w:rsidRPr="00E65946">
              <w:rPr>
                <w:rFonts w:asciiTheme="minorHAnsi" w:hAnsiTheme="minorHAnsi" w:cstheme="minorHAnsi"/>
                <w:sz w:val="20"/>
                <w:szCs w:val="20"/>
              </w:rPr>
              <w:t>8.7%</w:t>
            </w:r>
          </w:p>
        </w:tc>
      </w:tr>
      <w:tr w:rsidR="00E65946"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E65946"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828" w:type="pct"/>
            <w:gridSpan w:val="2"/>
            <w:tcBorders>
              <w:top w:val="nil"/>
              <w:left w:val="nil"/>
              <w:bottom w:val="single" w:sz="4" w:space="0" w:color="366092"/>
              <w:right w:val="nil"/>
            </w:tcBorders>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-11.5%</w:t>
            </w:r>
          </w:p>
        </w:tc>
        <w:tc>
          <w:tcPr>
            <w:tcW w:w="785" w:type="pct"/>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5.0%</w:t>
            </w:r>
          </w:p>
        </w:tc>
        <w:tc>
          <w:tcPr>
            <w:tcW w:w="738" w:type="pct"/>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11.7%</w:t>
            </w:r>
          </w:p>
        </w:tc>
        <w:tc>
          <w:tcPr>
            <w:tcW w:w="799" w:type="pct"/>
            <w:gridSpan w:val="2"/>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22.4%</w:t>
            </w:r>
          </w:p>
        </w:tc>
        <w:tc>
          <w:tcPr>
            <w:tcW w:w="748" w:type="pct"/>
            <w:gridSpan w:val="2"/>
            <w:tcBorders>
              <w:top w:val="nil"/>
              <w:left w:val="nil"/>
              <w:bottom w:val="single" w:sz="4" w:space="0" w:color="366092"/>
              <w:right w:val="nil"/>
            </w:tcBorders>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54.2%</w:t>
            </w:r>
          </w:p>
        </w:tc>
      </w:tr>
      <w:tr w:rsidR="00E65946"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E65946"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828" w:type="pct"/>
            <w:gridSpan w:val="2"/>
            <w:tcBorders>
              <w:top w:val="nil"/>
              <w:left w:val="nil"/>
              <w:bottom w:val="single" w:sz="4" w:space="0" w:color="366092"/>
              <w:right w:val="nil"/>
            </w:tcBorders>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-38.7%</w:t>
            </w:r>
          </w:p>
        </w:tc>
        <w:tc>
          <w:tcPr>
            <w:tcW w:w="785" w:type="pct"/>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-0.3%</w:t>
            </w:r>
          </w:p>
        </w:tc>
        <w:tc>
          <w:tcPr>
            <w:tcW w:w="738" w:type="pct"/>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3.1%</w:t>
            </w:r>
          </w:p>
        </w:tc>
        <w:tc>
          <w:tcPr>
            <w:tcW w:w="799" w:type="pct"/>
            <w:gridSpan w:val="2"/>
            <w:tcBorders>
              <w:top w:val="nil"/>
              <w:left w:val="nil"/>
              <w:bottom w:val="single" w:sz="4" w:space="0" w:color="366092"/>
              <w:right w:val="nil"/>
            </w:tcBorders>
            <w:shd w:val="clear" w:color="auto" w:fill="auto"/>
            <w:noWrap/>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8.8%</w:t>
            </w:r>
          </w:p>
        </w:tc>
        <w:tc>
          <w:tcPr>
            <w:tcW w:w="748" w:type="pct"/>
            <w:gridSpan w:val="2"/>
            <w:tcBorders>
              <w:top w:val="nil"/>
              <w:left w:val="nil"/>
              <w:bottom w:val="single" w:sz="4" w:space="0" w:color="366092"/>
              <w:right w:val="nil"/>
            </w:tcBorders>
            <w:vAlign w:val="bottom"/>
          </w:tcPr>
          <w:p w:rsidR="00E65946" w:rsidRPr="00E65946" w:rsidRDefault="00E65946"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26.9%</w:t>
            </w:r>
          </w:p>
        </w:tc>
      </w:tr>
      <w:tr w:rsidR="00E65946"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E65946"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E65946" w:rsidRPr="002922C1" w:rsidRDefault="00E65946"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-38.7%</w:t>
            </w:r>
          </w:p>
        </w:tc>
        <w:tc>
          <w:tcPr>
            <w:tcW w:w="785" w:type="pct"/>
            <w:tcBorders>
              <w:top w:val="single" w:sz="4" w:space="0" w:color="366092"/>
              <w:left w:val="nil"/>
              <w:bottom w:val="single" w:sz="4" w:space="0" w:color="366092"/>
              <w:right w:val="nil"/>
            </w:tcBorders>
            <w:shd w:val="clear" w:color="000000" w:fill="E5F6F6"/>
            <w:noWrap/>
            <w:vAlign w:val="bottom"/>
          </w:tcPr>
          <w:p w:rsidR="00E65946" w:rsidRPr="002922C1" w:rsidRDefault="00E65946"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0.4%</w:t>
            </w:r>
          </w:p>
        </w:tc>
        <w:tc>
          <w:tcPr>
            <w:tcW w:w="738" w:type="pct"/>
            <w:tcBorders>
              <w:top w:val="single" w:sz="4" w:space="0" w:color="366092"/>
              <w:left w:val="nil"/>
              <w:bottom w:val="single" w:sz="4" w:space="0" w:color="366092"/>
              <w:right w:val="nil"/>
            </w:tcBorders>
            <w:shd w:val="clear" w:color="000000" w:fill="E5F6F6"/>
            <w:noWrap/>
            <w:vAlign w:val="bottom"/>
          </w:tcPr>
          <w:p w:rsidR="00E65946" w:rsidRPr="002922C1" w:rsidRDefault="00E65946"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E65946" w:rsidRPr="002922C1" w:rsidRDefault="00E65946"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11.0%</w:t>
            </w:r>
          </w:p>
        </w:tc>
        <w:tc>
          <w:tcPr>
            <w:tcW w:w="748" w:type="pct"/>
            <w:gridSpan w:val="2"/>
            <w:tcBorders>
              <w:top w:val="single" w:sz="4" w:space="0" w:color="366092"/>
              <w:left w:val="nil"/>
              <w:bottom w:val="single" w:sz="4" w:space="0" w:color="366092"/>
              <w:right w:val="nil"/>
            </w:tcBorders>
            <w:shd w:val="clear" w:color="000000" w:fill="E5F6F6"/>
            <w:vAlign w:val="bottom"/>
          </w:tcPr>
          <w:p w:rsidR="00E65946" w:rsidRPr="002922C1" w:rsidRDefault="00E65946"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54.2%</w:t>
            </w:r>
          </w:p>
        </w:tc>
      </w:tr>
    </w:tbl>
    <w:p w:rsidR="00510A8D" w:rsidRDefault="00510A8D">
      <w:pPr>
        <w:spacing w:after="0" w:line="240" w:lineRule="auto"/>
        <w:rPr>
          <w:sz w:val="16"/>
          <w:szCs w:val="16"/>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CED" w:themeFill="accent4" w:themeFillTint="66"/>
        <w:tblLook w:val="04A0" w:firstRow="1" w:lastRow="0" w:firstColumn="1" w:lastColumn="0" w:noHBand="0" w:noVBand="1"/>
      </w:tblPr>
      <w:tblGrid>
        <w:gridCol w:w="9288"/>
      </w:tblGrid>
      <w:tr w:rsidR="00EF343F" w:rsidRPr="00004A66" w:rsidTr="00EF343F">
        <w:tc>
          <w:tcPr>
            <w:tcW w:w="9288" w:type="dxa"/>
            <w:shd w:val="clear" w:color="auto" w:fill="E5ECED" w:themeFill="accent4" w:themeFillTint="66"/>
          </w:tcPr>
          <w:p w:rsidR="00EF343F" w:rsidRPr="003B6D8C" w:rsidRDefault="00EF343F" w:rsidP="003B6D8C">
            <w:pPr>
              <w:pStyle w:val="BulletsL1"/>
              <w:spacing w:before="0" w:after="0"/>
              <w:ind w:left="284" w:firstLine="0"/>
              <w:rPr>
                <w:sz w:val="16"/>
                <w:szCs w:val="16"/>
                <w:lang w:val="en-AU"/>
              </w:rPr>
            </w:pPr>
          </w:p>
          <w:p w:rsidR="00EF343F" w:rsidRPr="00004A66" w:rsidRDefault="00D64AAB" w:rsidP="00A92B8F">
            <w:pPr>
              <w:pStyle w:val="BulletsL1"/>
              <w:numPr>
                <w:ilvl w:val="0"/>
                <w:numId w:val="6"/>
              </w:numPr>
              <w:ind w:left="284" w:hanging="284"/>
              <w:rPr>
                <w:lang w:val="en-AU"/>
              </w:rPr>
            </w:pPr>
            <w:r w:rsidRPr="00004A66">
              <w:rPr>
                <w:lang w:val="en-AU"/>
              </w:rPr>
              <w:t>The median net profit</w:t>
            </w:r>
            <w:r>
              <w:rPr>
                <w:lang w:val="en-AU"/>
              </w:rPr>
              <w:t>/surplus</w:t>
            </w:r>
            <w:r w:rsidRPr="00004A66">
              <w:rPr>
                <w:lang w:val="en-AU"/>
              </w:rPr>
              <w:t xml:space="preserve"> margin for the sector has remained steady at 5.9%</w:t>
            </w:r>
            <w:r w:rsidR="00F7155A">
              <w:rPr>
                <w:lang w:val="en-AU"/>
              </w:rPr>
              <w:t xml:space="preserve"> compared </w:t>
            </w:r>
            <w:r w:rsidR="00A92B8F">
              <w:rPr>
                <w:lang w:val="en-AU"/>
              </w:rPr>
              <w:t xml:space="preserve">with </w:t>
            </w:r>
            <w:r w:rsidRPr="00004A66">
              <w:rPr>
                <w:lang w:val="en-AU"/>
              </w:rPr>
              <w:t>6.0%</w:t>
            </w:r>
            <w:r w:rsidR="00F7155A">
              <w:rPr>
                <w:lang w:val="en-AU"/>
              </w:rPr>
              <w:t xml:space="preserve"> in the previous year</w:t>
            </w:r>
            <w:r w:rsidRPr="00004A66">
              <w:rPr>
                <w:lang w:val="en-AU"/>
              </w:rPr>
              <w:t>.</w:t>
            </w:r>
            <w:r>
              <w:rPr>
                <w:lang w:val="en-AU"/>
              </w:rPr>
              <w:t xml:space="preserve"> </w:t>
            </w:r>
            <w:r w:rsidR="002F66CC">
              <w:rPr>
                <w:lang w:val="en-AU"/>
              </w:rPr>
              <w:t>In 2015</w:t>
            </w:r>
            <w:r w:rsidR="00F7155A">
              <w:rPr>
                <w:lang w:val="en-AU"/>
              </w:rPr>
              <w:t>,</w:t>
            </w:r>
            <w:r w:rsidR="002F66CC">
              <w:rPr>
                <w:lang w:val="en-AU"/>
              </w:rPr>
              <w:t xml:space="preserve"> </w:t>
            </w:r>
            <w:r w:rsidR="00EF343F">
              <w:rPr>
                <w:lang w:val="en-AU"/>
              </w:rPr>
              <w:t>8</w:t>
            </w:r>
            <w:r w:rsidR="00CE1B43">
              <w:rPr>
                <w:lang w:val="en-AU"/>
              </w:rPr>
              <w:t>2</w:t>
            </w:r>
            <w:r w:rsidR="00EF343F">
              <w:rPr>
                <w:lang w:val="en-AU"/>
              </w:rPr>
              <w:t xml:space="preserve">% </w:t>
            </w:r>
            <w:r w:rsidR="00EF343F" w:rsidRPr="00004A66">
              <w:rPr>
                <w:lang w:val="en-AU"/>
              </w:rPr>
              <w:t>of providers rep</w:t>
            </w:r>
            <w:r w:rsidR="00CE1B43">
              <w:rPr>
                <w:lang w:val="en-AU"/>
              </w:rPr>
              <w:t>ort</w:t>
            </w:r>
            <w:r w:rsidR="002F66CC">
              <w:rPr>
                <w:lang w:val="en-AU"/>
              </w:rPr>
              <w:t>ed</w:t>
            </w:r>
            <w:r w:rsidR="00CE1B43">
              <w:rPr>
                <w:lang w:val="en-AU"/>
              </w:rPr>
              <w:t xml:space="preserve"> a</w:t>
            </w:r>
            <w:r w:rsidR="002F66CC">
              <w:rPr>
                <w:lang w:val="en-AU"/>
              </w:rPr>
              <w:t xml:space="preserve"> net</w:t>
            </w:r>
            <w:r w:rsidR="00CE1B43">
              <w:rPr>
                <w:lang w:val="en-AU"/>
              </w:rPr>
              <w:t xml:space="preserve"> profit/surplus </w:t>
            </w:r>
            <w:r w:rsidR="00F7155A">
              <w:rPr>
                <w:lang w:val="en-AU"/>
              </w:rPr>
              <w:t xml:space="preserve">up from </w:t>
            </w:r>
            <w:r w:rsidR="002F66CC">
              <w:rPr>
                <w:lang w:val="en-AU"/>
              </w:rPr>
              <w:t>76% of providers</w:t>
            </w:r>
            <w:r w:rsidR="00F7155A">
              <w:rPr>
                <w:lang w:val="en-AU"/>
              </w:rPr>
              <w:t xml:space="preserve"> in 2014</w:t>
            </w:r>
            <w:r w:rsidR="002F66CC">
              <w:rPr>
                <w:lang w:val="en-AU"/>
              </w:rPr>
              <w:t>.</w:t>
            </w:r>
            <w:r w:rsidR="00CE1B43">
              <w:rPr>
                <w:lang w:val="en-AU"/>
              </w:rPr>
              <w:t xml:space="preserve"> </w:t>
            </w:r>
          </w:p>
        </w:tc>
      </w:tr>
      <w:tr w:rsidR="00EF343F" w:rsidRPr="00004A66" w:rsidTr="000F1F1A">
        <w:tc>
          <w:tcPr>
            <w:tcW w:w="9288" w:type="dxa"/>
            <w:shd w:val="clear" w:color="auto" w:fill="E5ECED" w:themeFill="accent4" w:themeFillTint="66"/>
          </w:tcPr>
          <w:p w:rsidR="00EF343F" w:rsidRPr="00EF343F" w:rsidRDefault="00EF343F" w:rsidP="00EF343F">
            <w:pPr>
              <w:pStyle w:val="BulletsL1"/>
              <w:numPr>
                <w:ilvl w:val="0"/>
                <w:numId w:val="6"/>
              </w:numPr>
              <w:ind w:left="284" w:hanging="284"/>
              <w:rPr>
                <w:lang w:val="en-AU"/>
              </w:rPr>
            </w:pPr>
            <w:r w:rsidRPr="00004A66">
              <w:rPr>
                <w:rFonts w:cs="Arial"/>
                <w:lang w:val="en-AU"/>
              </w:rPr>
              <w:t>Provider profitability varied depending on provider type. For example</w:t>
            </w:r>
            <w:r>
              <w:rPr>
                <w:rFonts w:cs="Arial"/>
                <w:lang w:val="en-AU"/>
              </w:rPr>
              <w:t>,</w:t>
            </w:r>
            <w:r w:rsidRPr="00004A66">
              <w:rPr>
                <w:rFonts w:cs="Arial"/>
                <w:lang w:val="en-AU"/>
              </w:rPr>
              <w:t xml:space="preserve"> the median profitability </w:t>
            </w:r>
            <w:r>
              <w:rPr>
                <w:rFonts w:cs="Arial"/>
                <w:lang w:val="en-AU"/>
              </w:rPr>
              <w:t>of</w:t>
            </w:r>
            <w:r w:rsidRPr="00004A66">
              <w:rPr>
                <w:rFonts w:cs="Arial"/>
                <w:lang w:val="en-AU"/>
              </w:rPr>
              <w:t xml:space="preserve"> For-Profit providers wa</w:t>
            </w:r>
            <w:r>
              <w:rPr>
                <w:rFonts w:cs="Arial"/>
                <w:lang w:val="en-AU"/>
              </w:rPr>
              <w:t xml:space="preserve">s 11.7% (2014: 11.9%), which was </w:t>
            </w:r>
            <w:r w:rsidRPr="00004A66">
              <w:rPr>
                <w:rFonts w:cs="Arial"/>
                <w:lang w:val="en-AU"/>
              </w:rPr>
              <w:t xml:space="preserve">much higher than other provider types and </w:t>
            </w:r>
            <w:r>
              <w:rPr>
                <w:rFonts w:cs="Arial"/>
                <w:lang w:val="en-AU"/>
              </w:rPr>
              <w:t xml:space="preserve">almost double </w:t>
            </w:r>
            <w:r w:rsidRPr="00004A66">
              <w:rPr>
                <w:rFonts w:cs="Arial"/>
                <w:lang w:val="en-AU"/>
              </w:rPr>
              <w:t xml:space="preserve">the sector </w:t>
            </w:r>
            <w:r>
              <w:rPr>
                <w:rFonts w:cs="Arial"/>
                <w:lang w:val="en-AU"/>
              </w:rPr>
              <w:t>median</w:t>
            </w:r>
            <w:r w:rsidR="00B95872">
              <w:rPr>
                <w:rFonts w:cs="Arial"/>
                <w:lang w:val="en-AU"/>
              </w:rPr>
              <w:t xml:space="preserve"> of 5.9%</w:t>
            </w:r>
            <w:r>
              <w:rPr>
                <w:rFonts w:cs="Arial"/>
                <w:lang w:val="en-AU"/>
              </w:rPr>
              <w:t>.</w:t>
            </w:r>
          </w:p>
        </w:tc>
      </w:tr>
      <w:tr w:rsidR="00EF343F" w:rsidRPr="00004A66" w:rsidTr="000F1F1A">
        <w:tc>
          <w:tcPr>
            <w:tcW w:w="9288" w:type="dxa"/>
            <w:shd w:val="clear" w:color="auto" w:fill="E5ECED" w:themeFill="accent4" w:themeFillTint="66"/>
          </w:tcPr>
          <w:p w:rsidR="00EF343F" w:rsidRPr="00004A66" w:rsidRDefault="00EF343F" w:rsidP="00A92B8F">
            <w:pPr>
              <w:pStyle w:val="BulletsL1"/>
              <w:numPr>
                <w:ilvl w:val="0"/>
                <w:numId w:val="6"/>
              </w:numPr>
              <w:ind w:left="284" w:hanging="284"/>
              <w:rPr>
                <w:lang w:val="en-AU"/>
              </w:rPr>
            </w:pPr>
            <w:r>
              <w:rPr>
                <w:rFonts w:cs="Arial"/>
                <w:lang w:val="en-AU"/>
              </w:rPr>
              <w:t>T</w:t>
            </w:r>
            <w:r w:rsidRPr="00004A66">
              <w:rPr>
                <w:rFonts w:cs="Arial"/>
                <w:lang w:val="en-AU"/>
              </w:rPr>
              <w:t>he median net profit</w:t>
            </w:r>
            <w:r>
              <w:rPr>
                <w:rFonts w:cs="Arial"/>
                <w:lang w:val="en-AU"/>
              </w:rPr>
              <w:t>/surplus</w:t>
            </w:r>
            <w:r w:rsidRPr="00004A66">
              <w:rPr>
                <w:rFonts w:cs="Arial"/>
                <w:lang w:val="en-AU"/>
              </w:rPr>
              <w:t xml:space="preserve"> margin for 201</w:t>
            </w:r>
            <w:r>
              <w:rPr>
                <w:rFonts w:cs="Arial"/>
                <w:lang w:val="en-AU"/>
              </w:rPr>
              <w:t xml:space="preserve">5 compared </w:t>
            </w:r>
            <w:r w:rsidR="00A92B8F">
              <w:rPr>
                <w:rFonts w:cs="Arial"/>
                <w:lang w:val="en-AU"/>
              </w:rPr>
              <w:t>with</w:t>
            </w:r>
            <w:r>
              <w:rPr>
                <w:rFonts w:cs="Arial"/>
                <w:lang w:val="en-AU"/>
              </w:rPr>
              <w:t xml:space="preserve"> 2014</w:t>
            </w:r>
            <w:r w:rsidRPr="00004A66">
              <w:rPr>
                <w:rFonts w:cs="Arial"/>
                <w:lang w:val="en-AU"/>
              </w:rPr>
              <w:t xml:space="preserve"> for each </w:t>
            </w:r>
            <w:r>
              <w:rPr>
                <w:rFonts w:cs="Arial"/>
                <w:lang w:val="en-AU"/>
              </w:rPr>
              <w:t>provider type was:</w:t>
            </w:r>
          </w:p>
        </w:tc>
      </w:tr>
      <w:tr w:rsidR="00EF343F" w:rsidRPr="00004A66" w:rsidTr="000F1F1A">
        <w:tc>
          <w:tcPr>
            <w:tcW w:w="9288" w:type="dxa"/>
            <w:shd w:val="clear" w:color="auto" w:fill="E5ECED" w:themeFill="accent4" w:themeFillTint="66"/>
          </w:tcPr>
          <w:p w:rsidR="00EF343F" w:rsidRPr="00004A66" w:rsidRDefault="00EF343F" w:rsidP="000F1F1A">
            <w:pPr>
              <w:pStyle w:val="BulletsL1"/>
              <w:numPr>
                <w:ilvl w:val="0"/>
                <w:numId w:val="24"/>
              </w:numPr>
              <w:spacing w:before="0" w:after="0"/>
              <w:ind w:left="709" w:hanging="426"/>
              <w:rPr>
                <w:lang w:val="en-AU"/>
              </w:rPr>
            </w:pPr>
            <w:r w:rsidRPr="00004A66">
              <w:rPr>
                <w:lang w:val="en-AU"/>
              </w:rPr>
              <w:t>Universities: 4.6% (2014: 6.1%)</w:t>
            </w:r>
          </w:p>
        </w:tc>
      </w:tr>
      <w:tr w:rsidR="00216694" w:rsidRPr="00004A66" w:rsidTr="0089015D">
        <w:tc>
          <w:tcPr>
            <w:tcW w:w="9288" w:type="dxa"/>
            <w:shd w:val="clear" w:color="auto" w:fill="E5ECED" w:themeFill="accent4" w:themeFillTint="66"/>
          </w:tcPr>
          <w:p w:rsidR="00216694" w:rsidRPr="00216694" w:rsidRDefault="00216694" w:rsidP="003B6D8C">
            <w:pPr>
              <w:pStyle w:val="BulletsL1"/>
              <w:numPr>
                <w:ilvl w:val="0"/>
                <w:numId w:val="24"/>
              </w:numPr>
              <w:spacing w:before="0" w:after="0"/>
              <w:ind w:left="709" w:hanging="426"/>
              <w:rPr>
                <w:lang w:val="en-AU"/>
              </w:rPr>
            </w:pPr>
            <w:r w:rsidRPr="00004A66">
              <w:rPr>
                <w:rFonts w:cs="Arial"/>
                <w:lang w:val="en-AU"/>
              </w:rPr>
              <w:t>TAFE</w:t>
            </w:r>
            <w:r w:rsidR="00D045D7">
              <w:rPr>
                <w:rFonts w:cs="Arial"/>
                <w:lang w:val="en-AU"/>
              </w:rPr>
              <w:t>:</w:t>
            </w:r>
            <w:r w:rsidRPr="00004A66">
              <w:rPr>
                <w:rFonts w:cs="Arial"/>
                <w:lang w:val="en-AU"/>
              </w:rPr>
              <w:t xml:space="preserve"> -1.9% (2014: -3.8%)</w:t>
            </w:r>
            <w:r>
              <w:rPr>
                <w:rFonts w:cs="Arial"/>
                <w:lang w:val="en-AU"/>
              </w:rPr>
              <w:t>.</w:t>
            </w:r>
          </w:p>
        </w:tc>
      </w:tr>
      <w:tr w:rsidR="00EF343F" w:rsidRPr="00004A66" w:rsidTr="000F1F1A">
        <w:tc>
          <w:tcPr>
            <w:tcW w:w="9288" w:type="dxa"/>
            <w:shd w:val="clear" w:color="auto" w:fill="E5ECED" w:themeFill="accent4" w:themeFillTint="66"/>
          </w:tcPr>
          <w:p w:rsidR="00EF343F" w:rsidRPr="00004A66" w:rsidRDefault="00EF343F" w:rsidP="000F1F1A">
            <w:pPr>
              <w:pStyle w:val="BulletsL1"/>
              <w:numPr>
                <w:ilvl w:val="0"/>
                <w:numId w:val="24"/>
              </w:numPr>
              <w:spacing w:before="0" w:after="0"/>
              <w:ind w:left="709" w:hanging="426"/>
              <w:rPr>
                <w:lang w:val="en-AU"/>
              </w:rPr>
            </w:pPr>
            <w:r w:rsidRPr="00004A66">
              <w:rPr>
                <w:lang w:val="en-AU"/>
              </w:rPr>
              <w:t>For-Profit: 11.7% (2014: 11.9%)</w:t>
            </w:r>
          </w:p>
        </w:tc>
      </w:tr>
      <w:tr w:rsidR="00EF343F" w:rsidRPr="00004A66" w:rsidTr="000F1F1A">
        <w:tc>
          <w:tcPr>
            <w:tcW w:w="9288" w:type="dxa"/>
            <w:shd w:val="clear" w:color="auto" w:fill="E5ECED" w:themeFill="accent4" w:themeFillTint="66"/>
          </w:tcPr>
          <w:p w:rsidR="00EF343F" w:rsidRDefault="00EF343F" w:rsidP="000F1F1A">
            <w:pPr>
              <w:pStyle w:val="BulletsL1"/>
              <w:numPr>
                <w:ilvl w:val="0"/>
                <w:numId w:val="24"/>
              </w:numPr>
              <w:spacing w:before="0" w:after="0"/>
              <w:ind w:left="709" w:hanging="426"/>
              <w:rPr>
                <w:lang w:val="en-AU"/>
              </w:rPr>
            </w:pPr>
            <w:r w:rsidRPr="00004A66">
              <w:rPr>
                <w:lang w:val="en-AU"/>
              </w:rPr>
              <w:t xml:space="preserve">Not-For-Profit: </w:t>
            </w:r>
            <w:r>
              <w:rPr>
                <w:lang w:val="en-AU"/>
              </w:rPr>
              <w:t>3.1</w:t>
            </w:r>
            <w:r w:rsidRPr="00004A66">
              <w:rPr>
                <w:lang w:val="en-AU"/>
              </w:rPr>
              <w:t xml:space="preserve">% (2014: </w:t>
            </w:r>
            <w:r>
              <w:rPr>
                <w:lang w:val="en-AU"/>
              </w:rPr>
              <w:t>1.9</w:t>
            </w:r>
            <w:r w:rsidRPr="00004A66">
              <w:rPr>
                <w:lang w:val="en-AU"/>
              </w:rPr>
              <w:t xml:space="preserve">%) </w:t>
            </w:r>
          </w:p>
          <w:p w:rsidR="00216694" w:rsidRPr="00004A66" w:rsidRDefault="00216694" w:rsidP="003B6D8C">
            <w:pPr>
              <w:pStyle w:val="BulletsL1"/>
              <w:spacing w:before="0" w:after="0"/>
              <w:ind w:left="283" w:firstLine="0"/>
              <w:rPr>
                <w:lang w:val="en-AU"/>
              </w:rPr>
            </w:pPr>
          </w:p>
        </w:tc>
      </w:tr>
    </w:tbl>
    <w:p w:rsidR="00E65946" w:rsidRPr="00272672" w:rsidRDefault="00E65946">
      <w:pPr>
        <w:spacing w:after="0" w:line="240" w:lineRule="auto"/>
        <w:rPr>
          <w:rFonts w:asciiTheme="majorHAnsi" w:eastAsiaTheme="majorEastAsia" w:hAnsiTheme="majorHAnsi" w:cstheme="majorBidi"/>
          <w:b/>
          <w:bCs/>
          <w:noProof/>
          <w:color w:val="00353F" w:themeColor="accent1" w:themeShade="BF"/>
          <w:sz w:val="16"/>
          <w:szCs w:val="16"/>
          <w:lang w:eastAsia="en-AU"/>
        </w:rPr>
      </w:pPr>
    </w:p>
    <w:p w:rsidR="001176F4" w:rsidRDefault="001176F4" w:rsidP="001176F4">
      <w:pPr>
        <w:rPr>
          <w:rFonts w:ascii="Arial" w:eastAsiaTheme="minorHAnsi" w:hAnsi="Arial" w:cstheme="minorBidi"/>
          <w:sz w:val="22"/>
          <w:szCs w:val="22"/>
        </w:rPr>
      </w:pPr>
      <w:r>
        <w:rPr>
          <w:rFonts w:ascii="Arial" w:eastAsiaTheme="minorHAnsi" w:hAnsi="Arial" w:cstheme="minorBidi"/>
          <w:sz w:val="22"/>
          <w:szCs w:val="22"/>
        </w:rPr>
        <w:t>Figure 8 analyses the proportion of provider type in each quartile. For example</w:t>
      </w:r>
      <w:r w:rsidR="005C4E0E">
        <w:rPr>
          <w:rFonts w:ascii="Arial" w:eastAsiaTheme="minorHAnsi" w:hAnsi="Arial" w:cstheme="minorBidi"/>
          <w:sz w:val="22"/>
          <w:szCs w:val="22"/>
        </w:rPr>
        <w:t>,</w:t>
      </w:r>
      <w:r>
        <w:rPr>
          <w:rFonts w:ascii="Arial" w:eastAsiaTheme="minorHAnsi" w:hAnsi="Arial" w:cstheme="minorBidi"/>
          <w:sz w:val="22"/>
          <w:szCs w:val="22"/>
        </w:rPr>
        <w:t xml:space="preserve"> 64% of TAFE providers </w:t>
      </w:r>
      <w:r w:rsidR="00B95872">
        <w:rPr>
          <w:rFonts w:ascii="Arial" w:eastAsiaTheme="minorHAnsi" w:hAnsi="Arial" w:cstheme="minorBidi"/>
          <w:sz w:val="22"/>
          <w:szCs w:val="22"/>
        </w:rPr>
        <w:t>were</w:t>
      </w:r>
      <w:r>
        <w:rPr>
          <w:rFonts w:ascii="Arial" w:eastAsiaTheme="minorHAnsi" w:hAnsi="Arial" w:cstheme="minorBidi"/>
          <w:sz w:val="22"/>
          <w:szCs w:val="22"/>
        </w:rPr>
        <w:t xml:space="preserve"> in the first quartile</w:t>
      </w:r>
      <w:r w:rsidR="00883666">
        <w:rPr>
          <w:rFonts w:ascii="Arial" w:eastAsiaTheme="minorHAnsi" w:hAnsi="Arial" w:cstheme="minorBidi"/>
          <w:sz w:val="22"/>
          <w:szCs w:val="22"/>
        </w:rPr>
        <w:t xml:space="preserve"> with </w:t>
      </w:r>
      <w:r w:rsidR="006256EB">
        <w:rPr>
          <w:rFonts w:ascii="Arial" w:eastAsiaTheme="minorHAnsi" w:hAnsi="Arial" w:cstheme="minorBidi"/>
          <w:sz w:val="22"/>
          <w:szCs w:val="22"/>
        </w:rPr>
        <w:t>a</w:t>
      </w:r>
      <w:r w:rsidR="00883666">
        <w:rPr>
          <w:rFonts w:ascii="Arial" w:eastAsiaTheme="minorHAnsi" w:hAnsi="Arial" w:cstheme="minorBidi"/>
          <w:sz w:val="22"/>
          <w:szCs w:val="22"/>
        </w:rPr>
        <w:t xml:space="preserve"> margin of less than 0.4%. </w:t>
      </w:r>
      <w:r w:rsidR="002C69DA">
        <w:rPr>
          <w:rFonts w:ascii="Arial" w:eastAsiaTheme="minorHAnsi" w:hAnsi="Arial" w:cstheme="minorBidi"/>
          <w:sz w:val="22"/>
          <w:szCs w:val="22"/>
        </w:rPr>
        <w:t xml:space="preserve">In comparison, </w:t>
      </w:r>
      <w:r>
        <w:rPr>
          <w:rFonts w:ascii="Arial" w:eastAsiaTheme="minorHAnsi" w:hAnsi="Arial" w:cstheme="minorBidi"/>
          <w:sz w:val="22"/>
          <w:szCs w:val="22"/>
        </w:rPr>
        <w:t>50% of For-</w:t>
      </w:r>
      <w:r w:rsidR="005C4E0E">
        <w:rPr>
          <w:rFonts w:ascii="Arial" w:eastAsiaTheme="minorHAnsi" w:hAnsi="Arial" w:cstheme="minorBidi"/>
          <w:sz w:val="22"/>
          <w:szCs w:val="22"/>
        </w:rPr>
        <w:t>P</w:t>
      </w:r>
      <w:r>
        <w:rPr>
          <w:rFonts w:ascii="Arial" w:eastAsiaTheme="minorHAnsi" w:hAnsi="Arial" w:cstheme="minorBidi"/>
          <w:sz w:val="22"/>
          <w:szCs w:val="22"/>
        </w:rPr>
        <w:t xml:space="preserve">rofit providers </w:t>
      </w:r>
      <w:r w:rsidR="00B95872">
        <w:rPr>
          <w:rFonts w:ascii="Arial" w:eastAsiaTheme="minorHAnsi" w:hAnsi="Arial" w:cstheme="minorBidi"/>
          <w:sz w:val="22"/>
          <w:szCs w:val="22"/>
        </w:rPr>
        <w:t>were</w:t>
      </w:r>
      <w:r>
        <w:rPr>
          <w:rFonts w:ascii="Arial" w:eastAsiaTheme="minorHAnsi" w:hAnsi="Arial" w:cstheme="minorBidi"/>
          <w:sz w:val="22"/>
          <w:szCs w:val="22"/>
        </w:rPr>
        <w:t xml:space="preserve"> in the fourth quartile (</w:t>
      </w:r>
      <w:r w:rsidR="002C69DA">
        <w:rPr>
          <w:rFonts w:ascii="Arial" w:eastAsiaTheme="minorHAnsi" w:hAnsi="Arial" w:cstheme="minorBidi"/>
          <w:sz w:val="22"/>
          <w:szCs w:val="22"/>
        </w:rPr>
        <w:t xml:space="preserve">i.e. </w:t>
      </w:r>
      <w:r w:rsidR="00F7155A">
        <w:rPr>
          <w:rFonts w:ascii="Arial" w:eastAsiaTheme="minorHAnsi" w:hAnsi="Arial" w:cstheme="minorBidi"/>
          <w:sz w:val="22"/>
          <w:szCs w:val="22"/>
        </w:rPr>
        <w:t xml:space="preserve">greater than </w:t>
      </w:r>
      <w:r>
        <w:rPr>
          <w:rFonts w:ascii="Arial" w:eastAsiaTheme="minorHAnsi" w:hAnsi="Arial" w:cstheme="minorBidi"/>
          <w:sz w:val="22"/>
          <w:szCs w:val="22"/>
        </w:rPr>
        <w:t>11% profit</w:t>
      </w:r>
      <w:r w:rsidR="00F7155A">
        <w:rPr>
          <w:rFonts w:ascii="Arial" w:eastAsiaTheme="minorHAnsi" w:hAnsi="Arial" w:cstheme="minorBidi"/>
          <w:sz w:val="22"/>
          <w:szCs w:val="22"/>
        </w:rPr>
        <w:t>/surplus</w:t>
      </w:r>
      <w:r>
        <w:rPr>
          <w:rFonts w:ascii="Arial" w:eastAsiaTheme="minorHAnsi" w:hAnsi="Arial" w:cstheme="minorBidi"/>
          <w:sz w:val="22"/>
          <w:szCs w:val="22"/>
        </w:rPr>
        <w:t xml:space="preserve"> margin).</w:t>
      </w:r>
    </w:p>
    <w:p w:rsidR="00A16228" w:rsidRPr="00CE3273" w:rsidDel="006B3D04" w:rsidRDefault="00A16228" w:rsidP="00A16228">
      <w:pPr>
        <w:rPr>
          <w:rFonts w:ascii="Arial" w:eastAsiaTheme="minorHAnsi" w:hAnsi="Arial" w:cstheme="minorBidi"/>
          <w:sz w:val="20"/>
          <w:szCs w:val="20"/>
        </w:rPr>
      </w:pPr>
      <w:r w:rsidRPr="00CE3273" w:rsidDel="006B3D04">
        <w:rPr>
          <w:rFonts w:ascii="Georgia" w:hAnsi="Georgia" w:cs="Arial"/>
          <w:b/>
          <w:color w:val="004855" w:themeColor="text1"/>
          <w:sz w:val="20"/>
          <w:szCs w:val="20"/>
          <w:lang w:val="en-US"/>
        </w:rPr>
        <w:t xml:space="preserve">Figure </w:t>
      </w:r>
      <w:r w:rsidR="002F66CC">
        <w:rPr>
          <w:rFonts w:ascii="Georgia" w:hAnsi="Georgia" w:cs="Arial"/>
          <w:b/>
          <w:color w:val="004855" w:themeColor="text1"/>
          <w:sz w:val="20"/>
          <w:szCs w:val="20"/>
          <w:lang w:val="en-US"/>
        </w:rPr>
        <w:t>8</w:t>
      </w:r>
      <w:r w:rsidRPr="00CE3273" w:rsidDel="006B3D04">
        <w:rPr>
          <w:rFonts w:ascii="Georgia" w:hAnsi="Georgia" w:cs="Arial"/>
          <w:b/>
          <w:color w:val="004855" w:themeColor="text1"/>
          <w:sz w:val="20"/>
          <w:szCs w:val="20"/>
          <w:lang w:val="en-US"/>
        </w:rPr>
        <w:t xml:space="preserve">: </w:t>
      </w:r>
      <w:r w:rsidR="002F66CC">
        <w:rPr>
          <w:rFonts w:ascii="Georgia" w:hAnsi="Georgia" w:cs="Arial"/>
          <w:b/>
          <w:color w:val="004855" w:themeColor="text1"/>
          <w:sz w:val="20"/>
          <w:szCs w:val="20"/>
          <w:lang w:val="en-US"/>
        </w:rPr>
        <w:t>Net profit/surplus</w:t>
      </w:r>
      <w:r w:rsidR="009C74B1">
        <w:rPr>
          <w:rFonts w:ascii="Georgia" w:hAnsi="Georgia" w:cs="Arial"/>
          <w:b/>
          <w:color w:val="004855" w:themeColor="text1"/>
          <w:sz w:val="20"/>
          <w:szCs w:val="20"/>
          <w:lang w:val="en-US"/>
        </w:rPr>
        <w:t xml:space="preserve"> by </w:t>
      </w:r>
      <w:r w:rsidR="002F66CC" w:rsidDel="006B3D04">
        <w:rPr>
          <w:rFonts w:ascii="Georgia" w:hAnsi="Georgia" w:cs="Arial"/>
          <w:b/>
          <w:color w:val="004855" w:themeColor="text1"/>
          <w:sz w:val="20"/>
          <w:szCs w:val="20"/>
          <w:lang w:val="en-US"/>
        </w:rPr>
        <w:t xml:space="preserve">provider type </w:t>
      </w:r>
      <w:r w:rsidR="009C74B1">
        <w:rPr>
          <w:rFonts w:ascii="Georgia" w:hAnsi="Georgia" w:cs="Arial"/>
          <w:b/>
          <w:color w:val="004855" w:themeColor="text1"/>
          <w:sz w:val="20"/>
          <w:szCs w:val="20"/>
          <w:lang w:val="en-US"/>
        </w:rPr>
        <w:t>(</w:t>
      </w:r>
      <w:r w:rsidR="002F66CC">
        <w:rPr>
          <w:rFonts w:ascii="Georgia" w:hAnsi="Georgia" w:cs="Arial"/>
          <w:b/>
          <w:color w:val="004855" w:themeColor="text1"/>
          <w:sz w:val="20"/>
          <w:szCs w:val="20"/>
          <w:lang w:val="en-US"/>
        </w:rPr>
        <w:t>quartile</w:t>
      </w:r>
      <w:r w:rsidR="009C74B1">
        <w:rPr>
          <w:rFonts w:ascii="Georgia" w:hAnsi="Georgia" w:cs="Arial"/>
          <w:b/>
          <w:color w:val="004855" w:themeColor="text1"/>
          <w:sz w:val="20"/>
          <w:szCs w:val="20"/>
          <w:lang w:val="en-US"/>
        </w:rPr>
        <w:t>)</w:t>
      </w:r>
    </w:p>
    <w:p w:rsidR="00A16228" w:rsidRDefault="00A16228" w:rsidP="00A16228">
      <w:pPr>
        <w:spacing w:after="0" w:line="240" w:lineRule="auto"/>
        <w:jc w:val="center"/>
        <w:rPr>
          <w:sz w:val="40"/>
          <w:szCs w:val="40"/>
        </w:rPr>
      </w:pPr>
      <w:r>
        <w:rPr>
          <w:noProof/>
          <w:lang w:eastAsia="en-AU"/>
        </w:rPr>
        <w:drawing>
          <wp:inline distT="0" distB="0" distL="0" distR="0" wp14:anchorId="2DFB5C4E" wp14:editId="1F10DC1A">
            <wp:extent cx="5447211" cy="3327764"/>
            <wp:effectExtent l="0" t="0" r="0" b="0"/>
            <wp:docPr id="492" name="Chart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CED" w:themeFill="accent4" w:themeFillTint="66"/>
        <w:tblLook w:val="04A0" w:firstRow="1" w:lastRow="0" w:firstColumn="1" w:lastColumn="0" w:noHBand="0" w:noVBand="1"/>
      </w:tblPr>
      <w:tblGrid>
        <w:gridCol w:w="9288"/>
      </w:tblGrid>
      <w:tr w:rsidR="00FA6B80" w:rsidRPr="00004A66" w:rsidTr="00272672">
        <w:tc>
          <w:tcPr>
            <w:tcW w:w="9288" w:type="dxa"/>
            <w:shd w:val="clear" w:color="auto" w:fill="E5ECED" w:themeFill="accent4" w:themeFillTint="66"/>
          </w:tcPr>
          <w:p w:rsidR="00D64AAB" w:rsidRDefault="001176F4" w:rsidP="003B6D8C">
            <w:pPr>
              <w:pStyle w:val="BulletsL1"/>
              <w:numPr>
                <w:ilvl w:val="0"/>
                <w:numId w:val="6"/>
              </w:numPr>
              <w:spacing w:before="120"/>
              <w:ind w:left="284" w:hanging="284"/>
              <w:rPr>
                <w:lang w:val="en-AU"/>
              </w:rPr>
            </w:pPr>
            <w:r>
              <w:rPr>
                <w:lang w:val="en-AU"/>
              </w:rPr>
              <w:t>The majority</w:t>
            </w:r>
            <w:r w:rsidR="00AF5839">
              <w:rPr>
                <w:lang w:val="en-AU"/>
              </w:rPr>
              <w:t xml:space="preserve"> </w:t>
            </w:r>
            <w:r>
              <w:rPr>
                <w:lang w:val="en-AU"/>
              </w:rPr>
              <w:t xml:space="preserve">of universities </w:t>
            </w:r>
            <w:r w:rsidR="00F7155A">
              <w:rPr>
                <w:lang w:val="en-AU"/>
              </w:rPr>
              <w:t xml:space="preserve">(74%) </w:t>
            </w:r>
            <w:r w:rsidR="00AF5839">
              <w:rPr>
                <w:lang w:val="en-AU"/>
              </w:rPr>
              <w:t xml:space="preserve">were in the second and third quartiles. </w:t>
            </w:r>
          </w:p>
          <w:p w:rsidR="00AF5839" w:rsidRDefault="00AF5839" w:rsidP="00797BC0">
            <w:pPr>
              <w:pStyle w:val="BulletsL1"/>
              <w:numPr>
                <w:ilvl w:val="0"/>
                <w:numId w:val="6"/>
              </w:numPr>
              <w:ind w:left="284" w:hanging="284"/>
              <w:rPr>
                <w:lang w:val="en-AU"/>
              </w:rPr>
            </w:pPr>
            <w:r>
              <w:rPr>
                <w:lang w:val="en-AU"/>
              </w:rPr>
              <w:t>For-Profit providers reco</w:t>
            </w:r>
            <w:r w:rsidR="00B95872">
              <w:rPr>
                <w:lang w:val="en-AU"/>
              </w:rPr>
              <w:t>r</w:t>
            </w:r>
            <w:r>
              <w:rPr>
                <w:lang w:val="en-AU"/>
              </w:rPr>
              <w:t xml:space="preserve">ded the highest profit margins in the sector with 50% </w:t>
            </w:r>
            <w:r w:rsidR="00B95872">
              <w:rPr>
                <w:lang w:val="en-AU"/>
              </w:rPr>
              <w:t xml:space="preserve">of </w:t>
            </w:r>
            <w:r w:rsidR="00F7155A">
              <w:rPr>
                <w:lang w:val="en-AU"/>
              </w:rPr>
              <w:t xml:space="preserve">For-Profit </w:t>
            </w:r>
            <w:r w:rsidR="00B95872">
              <w:rPr>
                <w:lang w:val="en-AU"/>
              </w:rPr>
              <w:t xml:space="preserve">providers </w:t>
            </w:r>
            <w:r>
              <w:rPr>
                <w:lang w:val="en-AU"/>
              </w:rPr>
              <w:t xml:space="preserve">in the fourth quartile </w:t>
            </w:r>
            <w:r w:rsidR="00CA13B2">
              <w:rPr>
                <w:lang w:val="en-AU"/>
              </w:rPr>
              <w:t>with</w:t>
            </w:r>
            <w:r w:rsidR="005C4497">
              <w:rPr>
                <w:lang w:val="en-AU"/>
              </w:rPr>
              <w:t xml:space="preserve"> a </w:t>
            </w:r>
            <w:r>
              <w:rPr>
                <w:lang w:val="en-AU"/>
              </w:rPr>
              <w:t>profit margin greater than 11%</w:t>
            </w:r>
            <w:r w:rsidR="005C4497">
              <w:rPr>
                <w:lang w:val="en-AU"/>
              </w:rPr>
              <w:t xml:space="preserve">. </w:t>
            </w:r>
            <w:r w:rsidR="00CA13B2">
              <w:rPr>
                <w:lang w:val="en-AU"/>
              </w:rPr>
              <w:t>A further</w:t>
            </w:r>
            <w:r w:rsidR="005C4497">
              <w:rPr>
                <w:lang w:val="en-AU"/>
              </w:rPr>
              <w:t xml:space="preserve"> </w:t>
            </w:r>
            <w:r>
              <w:rPr>
                <w:lang w:val="en-AU"/>
              </w:rPr>
              <w:t xml:space="preserve">21% </w:t>
            </w:r>
            <w:r w:rsidR="005C4497">
              <w:rPr>
                <w:lang w:val="en-AU"/>
              </w:rPr>
              <w:t xml:space="preserve">of For-Profit providers were in </w:t>
            </w:r>
            <w:r>
              <w:rPr>
                <w:lang w:val="en-AU"/>
              </w:rPr>
              <w:t xml:space="preserve">the third quartile with a profit margin </w:t>
            </w:r>
            <w:r w:rsidR="00CA13B2">
              <w:rPr>
                <w:lang w:val="en-AU"/>
              </w:rPr>
              <w:t>of</w:t>
            </w:r>
            <w:r w:rsidR="005C4497">
              <w:rPr>
                <w:lang w:val="en-AU"/>
              </w:rPr>
              <w:t xml:space="preserve"> </w:t>
            </w:r>
            <w:r>
              <w:rPr>
                <w:lang w:val="en-AU"/>
              </w:rPr>
              <w:t xml:space="preserve">5.9% </w:t>
            </w:r>
            <w:r w:rsidR="00CA13B2">
              <w:rPr>
                <w:lang w:val="en-AU"/>
              </w:rPr>
              <w:t>to</w:t>
            </w:r>
            <w:r>
              <w:rPr>
                <w:lang w:val="en-AU"/>
              </w:rPr>
              <w:t xml:space="preserve"> 11%.</w:t>
            </w:r>
          </w:p>
          <w:p w:rsidR="00AF5839" w:rsidRDefault="005B2131" w:rsidP="00797BC0">
            <w:pPr>
              <w:pStyle w:val="BulletsL1"/>
              <w:numPr>
                <w:ilvl w:val="0"/>
                <w:numId w:val="6"/>
              </w:numPr>
              <w:ind w:left="284" w:hanging="284"/>
              <w:rPr>
                <w:lang w:val="en-AU"/>
              </w:rPr>
            </w:pPr>
            <w:r>
              <w:rPr>
                <w:lang w:val="en-AU"/>
              </w:rPr>
              <w:t>In total,</w:t>
            </w:r>
            <w:r w:rsidR="005F5021">
              <w:rPr>
                <w:lang w:val="en-AU"/>
              </w:rPr>
              <w:t xml:space="preserve"> 63% of </w:t>
            </w:r>
            <w:r w:rsidR="00AF5839">
              <w:rPr>
                <w:lang w:val="en-AU"/>
              </w:rPr>
              <w:t xml:space="preserve">Not-For-Profit providers </w:t>
            </w:r>
            <w:r>
              <w:rPr>
                <w:lang w:val="en-AU"/>
              </w:rPr>
              <w:t>recorded</w:t>
            </w:r>
            <w:r w:rsidR="00AF5839">
              <w:rPr>
                <w:lang w:val="en-AU"/>
              </w:rPr>
              <w:t xml:space="preserve"> a margin below the sector median. </w:t>
            </w:r>
          </w:p>
          <w:p w:rsidR="00FA6B80" w:rsidRPr="00AF5839" w:rsidRDefault="005F5021" w:rsidP="00AF31E9">
            <w:pPr>
              <w:pStyle w:val="BulletsL1"/>
              <w:numPr>
                <w:ilvl w:val="0"/>
                <w:numId w:val="6"/>
              </w:numPr>
              <w:spacing w:after="240"/>
              <w:ind w:left="284" w:hanging="284"/>
              <w:rPr>
                <w:lang w:val="en-AU"/>
              </w:rPr>
            </w:pPr>
            <w:r>
              <w:rPr>
                <w:lang w:val="en-AU"/>
              </w:rPr>
              <w:t>Approximately t</w:t>
            </w:r>
            <w:r w:rsidR="00E6343F">
              <w:rPr>
                <w:lang w:val="en-AU"/>
              </w:rPr>
              <w:t>wo-third</w:t>
            </w:r>
            <w:r w:rsidR="00AF5839">
              <w:rPr>
                <w:lang w:val="en-AU"/>
              </w:rPr>
              <w:t xml:space="preserve"> of TAFE providers were in the first quartile</w:t>
            </w:r>
            <w:r w:rsidR="00F7155A">
              <w:rPr>
                <w:lang w:val="en-AU"/>
              </w:rPr>
              <w:t>,</w:t>
            </w:r>
            <w:r w:rsidR="00AF5839">
              <w:rPr>
                <w:lang w:val="en-AU"/>
              </w:rPr>
              <w:t xml:space="preserve"> indicating very low </w:t>
            </w:r>
            <w:r w:rsidR="0089015D">
              <w:rPr>
                <w:lang w:val="en-AU"/>
              </w:rPr>
              <w:t>levels of profitability</w:t>
            </w:r>
            <w:r w:rsidR="00AF5839">
              <w:rPr>
                <w:lang w:val="en-AU"/>
              </w:rPr>
              <w:t>.</w:t>
            </w:r>
            <w:r w:rsidR="00472D08" w:rsidRPr="00AF5839">
              <w:rPr>
                <w:lang w:val="en-AU"/>
              </w:rPr>
              <w:t xml:space="preserve"> </w:t>
            </w:r>
          </w:p>
        </w:tc>
      </w:tr>
    </w:tbl>
    <w:p w:rsidR="00051D8D" w:rsidRDefault="00051D8D" w:rsidP="00051D8D">
      <w:pPr>
        <w:pStyle w:val="H3"/>
      </w:pPr>
      <w:r>
        <w:lastRenderedPageBreak/>
        <w:t>EBITDA margin</w:t>
      </w:r>
    </w:p>
    <w:p w:rsidR="00921292" w:rsidRDefault="00B95872" w:rsidP="00A72939">
      <w:pPr>
        <w:pStyle w:val="BulletsL1"/>
        <w:ind w:left="0" w:firstLine="0"/>
      </w:pPr>
      <w:r>
        <w:t>The alternative profit</w:t>
      </w:r>
      <w:r w:rsidR="009B6D10">
        <w:t>/surplus</w:t>
      </w:r>
      <w:r w:rsidR="006256EB">
        <w:t xml:space="preserve"> measure of EBITDA (Earnings Before Interest, Taxation, Depreciation and Amortisation)</w:t>
      </w:r>
      <w:r w:rsidR="00E76AD5">
        <w:t xml:space="preserve"> </w:t>
      </w:r>
      <w:r w:rsidR="006256EB">
        <w:t>has been included in this report</w:t>
      </w:r>
      <w:r w:rsidR="00CA13B2">
        <w:t>.</w:t>
      </w:r>
      <w:r w:rsidR="006256EB">
        <w:t xml:space="preserve"> </w:t>
      </w:r>
      <w:r w:rsidR="00CA13B2">
        <w:t xml:space="preserve">The use of the EBITDA margin allows for the profitability of providers to be assessed on a more comparable basis </w:t>
      </w:r>
      <w:r w:rsidR="006256EB">
        <w:t xml:space="preserve">as it provides a view of profitability which removes </w:t>
      </w:r>
      <w:r w:rsidR="00A72939">
        <w:t xml:space="preserve">the impact </w:t>
      </w:r>
      <w:r w:rsidR="00CA13B2">
        <w:t>caused</w:t>
      </w:r>
      <w:r w:rsidR="00A72939">
        <w:t xml:space="preserve"> </w:t>
      </w:r>
      <w:r w:rsidR="00CA13B2">
        <w:t xml:space="preserve">by </w:t>
      </w:r>
      <w:r w:rsidR="00A72939">
        <w:t>different capital structures, depreciation policies</w:t>
      </w:r>
      <w:r w:rsidR="00E5350B">
        <w:t>, non-operating expense items</w:t>
      </w:r>
      <w:r w:rsidR="00A72939">
        <w:t xml:space="preserve"> and taxation rates</w:t>
      </w:r>
      <w:r w:rsidR="00CA13B2">
        <w:t>. Net profit/surplus is a measure of profitability which includes interest, taxation and the non-cash items of depreciation and amort</w:t>
      </w:r>
      <w:r w:rsidR="009B6D10">
        <w:t>is</w:t>
      </w:r>
      <w:r w:rsidR="00CA13B2">
        <w:t xml:space="preserve">ation. </w:t>
      </w:r>
      <w:r w:rsidR="008A27CC">
        <w:t xml:space="preserve">Typically, EBITDA </w:t>
      </w:r>
      <w:r w:rsidR="006256EB">
        <w:t>will be</w:t>
      </w:r>
      <w:r w:rsidR="008A27CC">
        <w:t xml:space="preserve"> </w:t>
      </w:r>
      <w:r w:rsidR="00CA13B2">
        <w:t>greater</w:t>
      </w:r>
      <w:r w:rsidR="008A27CC">
        <w:t xml:space="preserve"> than net profit/surplus.</w:t>
      </w:r>
      <w:r w:rsidR="00921292" w:rsidRPr="00921292">
        <w:t xml:space="preserve"> </w:t>
      </w:r>
    </w:p>
    <w:p w:rsidR="001F53DC" w:rsidRDefault="001F53DC" w:rsidP="00F83793">
      <w:pPr>
        <w:pStyle w:val="H3"/>
        <w:spacing w:before="0" w:after="0"/>
      </w:pPr>
    </w:p>
    <w:p w:rsidR="00BD3991" w:rsidRDefault="00BD3991" w:rsidP="00F83793">
      <w:pPr>
        <w:rPr>
          <w:rFonts w:ascii="Arial" w:hAnsi="Arial" w:cs="Arial"/>
        </w:rPr>
      </w:pPr>
      <w:r w:rsidRPr="00AF61CE" w:rsidDel="0024327E">
        <w:rPr>
          <w:rFonts w:ascii="Georgia" w:hAnsi="Georgia" w:cs="Arial"/>
          <w:b/>
          <w:color w:val="004855" w:themeColor="text1"/>
          <w:sz w:val="20"/>
          <w:szCs w:val="20"/>
          <w:lang w:val="en-US"/>
        </w:rPr>
        <w:t xml:space="preserve">Figure </w:t>
      </w:r>
      <w:r w:rsidR="00D62AA3">
        <w:rPr>
          <w:rFonts w:ascii="Georgia" w:hAnsi="Georgia" w:cs="Arial"/>
          <w:b/>
          <w:color w:val="004855" w:themeColor="text1"/>
          <w:sz w:val="20"/>
          <w:szCs w:val="20"/>
          <w:lang w:val="en-US"/>
        </w:rPr>
        <w:t>9</w:t>
      </w:r>
      <w:r w:rsidRPr="00AF61CE" w:rsidDel="0024327E">
        <w:rPr>
          <w:rFonts w:ascii="Georgia" w:hAnsi="Georgia" w:cs="Arial"/>
          <w:b/>
          <w:color w:val="004855" w:themeColor="text1"/>
          <w:sz w:val="20"/>
          <w:szCs w:val="20"/>
          <w:lang w:val="en-US"/>
        </w:rPr>
        <w:t xml:space="preserve">: EBITDA margin, by provider </w:t>
      </w:r>
      <w:r w:rsidR="00452500" w:rsidRPr="00AF61CE" w:rsidDel="0024327E">
        <w:rPr>
          <w:rFonts w:ascii="Georgia" w:hAnsi="Georgia" w:cs="Arial"/>
          <w:b/>
          <w:color w:val="004855" w:themeColor="text1"/>
          <w:sz w:val="20"/>
          <w:szCs w:val="20"/>
          <w:lang w:val="en-US"/>
        </w:rPr>
        <w:t>type</w:t>
      </w:r>
    </w:p>
    <w:p w:rsidR="005820AC" w:rsidRDefault="005E5FC5" w:rsidP="00D244F0">
      <w:pPr>
        <w:spacing w:after="0" w:line="80" w:lineRule="atLeast"/>
        <w:jc w:val="center"/>
        <w:rPr>
          <w:rFonts w:ascii="Georgia" w:hAnsi="Georgia" w:cs="Arial"/>
          <w:b/>
          <w:color w:val="004855" w:themeColor="text1"/>
          <w:sz w:val="22"/>
          <w:szCs w:val="22"/>
          <w:lang w:val="en-US"/>
        </w:rPr>
      </w:pPr>
      <w:r>
        <w:rPr>
          <w:rFonts w:ascii="Arial" w:hAnsi="Arial" w:cs="Arial"/>
          <w:noProof/>
          <w:lang w:eastAsia="en-AU"/>
        </w:rPr>
        <w:drawing>
          <wp:inline distT="0" distB="0" distL="0" distR="0" wp14:anchorId="64D89B06" wp14:editId="64C01D41">
            <wp:extent cx="5915025" cy="40005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1060" cy="4018108"/>
                    </a:xfrm>
                    <a:prstGeom prst="rect">
                      <a:avLst/>
                    </a:prstGeom>
                    <a:noFill/>
                    <a:ln>
                      <a:noFill/>
                    </a:ln>
                  </pic:spPr>
                </pic:pic>
              </a:graphicData>
            </a:graphic>
          </wp:inline>
        </w:drawing>
      </w:r>
    </w:p>
    <w:p w:rsidR="005820AC" w:rsidRDefault="005820AC" w:rsidP="00D244F0">
      <w:pPr>
        <w:spacing w:after="0" w:line="80" w:lineRule="atLeast"/>
        <w:jc w:val="center"/>
        <w:rPr>
          <w:rFonts w:ascii="Georgia" w:hAnsi="Georgia" w:cs="Arial"/>
          <w:b/>
          <w:color w:val="004855" w:themeColor="text1"/>
          <w:sz w:val="22"/>
          <w:szCs w:val="22"/>
          <w:lang w:val="en-US"/>
        </w:rPr>
      </w:pPr>
    </w:p>
    <w:p w:rsidR="00D244F0" w:rsidRDefault="00D244F0" w:rsidP="00D244F0">
      <w:pPr>
        <w:spacing w:after="0" w:line="80" w:lineRule="atLeast"/>
        <w:jc w:val="center"/>
        <w:rPr>
          <w:rFonts w:ascii="Georgia" w:hAnsi="Georgia" w:cs="Arial"/>
          <w:b/>
          <w:color w:val="004855" w:themeColor="text1"/>
          <w:sz w:val="22"/>
          <w:szCs w:val="22"/>
          <w:lang w:val="en-US"/>
        </w:rPr>
      </w:pPr>
      <w:r>
        <w:rPr>
          <w:noProof/>
          <w:lang w:eastAsia="en-AU"/>
        </w:rPr>
        <w:drawing>
          <wp:inline distT="0" distB="0" distL="0" distR="0" wp14:anchorId="392F2BEB" wp14:editId="61B4A006">
            <wp:extent cx="1054510" cy="172102"/>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9802"/>
                    <a:stretch/>
                  </pic:blipFill>
                  <pic:spPr bwMode="auto">
                    <a:xfrm>
                      <a:off x="0" y="0"/>
                      <a:ext cx="1058284" cy="1727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96BF539" wp14:editId="6DAB6CE3">
            <wp:extent cx="1054510" cy="213852"/>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b="18466"/>
                    <a:stretch/>
                  </pic:blipFill>
                  <pic:spPr bwMode="auto">
                    <a:xfrm>
                      <a:off x="0" y="0"/>
                      <a:ext cx="1058284" cy="214617"/>
                    </a:xfrm>
                    <a:prstGeom prst="rect">
                      <a:avLst/>
                    </a:prstGeom>
                    <a:noFill/>
                    <a:ln>
                      <a:noFill/>
                    </a:ln>
                    <a:extLst>
                      <a:ext uri="{53640926-AAD7-44D8-BBD7-CCE9431645EC}">
                        <a14:shadowObscured xmlns:a14="http://schemas.microsoft.com/office/drawing/2010/main"/>
                      </a:ext>
                    </a:extLst>
                  </pic:spPr>
                </pic:pic>
              </a:graphicData>
            </a:graphic>
          </wp:inline>
        </w:drawing>
      </w:r>
    </w:p>
    <w:p w:rsidR="00D244F0" w:rsidRDefault="00D244F0" w:rsidP="00D244F0">
      <w:pPr>
        <w:spacing w:after="0" w:line="80" w:lineRule="atLeast"/>
        <w:jc w:val="cente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647D30DB" wp14:editId="31C82D15">
            <wp:extent cx="1053458" cy="191729"/>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6088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b/>
          <w:noProof/>
          <w:color w:val="004855" w:themeColor="text1"/>
          <w:sz w:val="22"/>
          <w:szCs w:val="22"/>
          <w:lang w:eastAsia="en-AU"/>
        </w:rPr>
        <w:drawing>
          <wp:inline distT="0" distB="0" distL="0" distR="0" wp14:anchorId="67764B34" wp14:editId="402FFC28">
            <wp:extent cx="1053458" cy="191729"/>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87" b="4016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p>
    <w:p w:rsidR="00407C83" w:rsidRDefault="00407C83" w:rsidP="00F83793">
      <w:pPr>
        <w:spacing w:after="120"/>
        <w:rPr>
          <w:rFonts w:ascii="Georgia" w:hAnsi="Georgia" w:cs="Arial"/>
          <w:b/>
          <w:color w:val="004855" w:themeColor="text1"/>
          <w:sz w:val="20"/>
          <w:szCs w:val="20"/>
          <w:lang w:val="en-US"/>
        </w:rPr>
      </w:pPr>
    </w:p>
    <w:p w:rsidR="00BD3991" w:rsidRPr="00E65946" w:rsidRDefault="00BD3991" w:rsidP="00F83793">
      <w:pPr>
        <w:spacing w:after="120"/>
        <w:rPr>
          <w:rFonts w:ascii="Georgia" w:hAnsi="Georgia" w:cs="Arial"/>
          <w:b/>
          <w:color w:val="004855" w:themeColor="text1"/>
          <w:sz w:val="20"/>
          <w:szCs w:val="20"/>
          <w:lang w:val="en-US"/>
        </w:rPr>
      </w:pPr>
      <w:r w:rsidRPr="00E65946">
        <w:rPr>
          <w:rFonts w:ascii="Georgia" w:hAnsi="Georgia" w:cs="Arial"/>
          <w:b/>
          <w:color w:val="004855" w:themeColor="text1"/>
          <w:sz w:val="20"/>
          <w:szCs w:val="20"/>
          <w:lang w:val="en-US"/>
        </w:rPr>
        <w:t xml:space="preserve">Table 7: EBITDA margin range, by provider </w:t>
      </w:r>
      <w:r w:rsidR="00452500" w:rsidRPr="00E65946">
        <w:rPr>
          <w:rFonts w:ascii="Georgia" w:hAnsi="Georgia" w:cs="Arial"/>
          <w:b/>
          <w:color w:val="004855" w:themeColor="text1"/>
          <w:sz w:val="20"/>
          <w:szCs w:val="20"/>
          <w:lang w:val="en-US"/>
        </w:rPr>
        <w:t>type</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BD3991" w:rsidRPr="00797118" w:rsidTr="008249DC">
        <w:trPr>
          <w:trHeight w:val="300"/>
        </w:trPr>
        <w:tc>
          <w:tcPr>
            <w:tcW w:w="1097" w:type="pct"/>
            <w:tcBorders>
              <w:top w:val="nil"/>
              <w:left w:val="nil"/>
              <w:bottom w:val="single" w:sz="4" w:space="0" w:color="366092"/>
              <w:right w:val="nil"/>
            </w:tcBorders>
            <w:shd w:val="clear" w:color="auto" w:fill="004855"/>
            <w:noWrap/>
            <w:vAlign w:val="center"/>
            <w:hideMark/>
          </w:tcPr>
          <w:p w:rsidR="00BD3991" w:rsidRPr="00797118" w:rsidRDefault="00BD3991" w:rsidP="008466EE">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BD3991" w:rsidRPr="00797118" w:rsidRDefault="00BD3991"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BD3991" w:rsidRPr="00797118" w:rsidRDefault="00BD3991"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BD3991" w:rsidRPr="00797118" w:rsidRDefault="00BD3991"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BD3991" w:rsidRPr="00797118" w:rsidRDefault="00BD3991"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BD3991" w:rsidRPr="00797118" w:rsidRDefault="00BD3991"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D54798"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D54798" w:rsidRPr="00296D08" w:rsidRDefault="00D54798" w:rsidP="008466EE">
            <w:pPr>
              <w:spacing w:after="0"/>
              <w:rPr>
                <w:rFonts w:asciiTheme="minorHAnsi" w:hAnsiTheme="minorHAnsi" w:cstheme="minorHAnsi"/>
                <w:sz w:val="20"/>
                <w:szCs w:val="20"/>
              </w:rPr>
            </w:pPr>
            <w:r w:rsidRPr="00296D08">
              <w:rPr>
                <w:rFonts w:asciiTheme="minorHAnsi" w:hAnsiTheme="minorHAnsi" w:cstheme="minorHAnsi"/>
                <w:sz w:val="20"/>
                <w:szCs w:val="20"/>
              </w:rPr>
              <w:t>Universit</w:t>
            </w:r>
            <w:r>
              <w:rPr>
                <w:rFonts w:asciiTheme="minorHAnsi" w:hAnsiTheme="minorHAnsi" w:cstheme="minorHAnsi"/>
                <w:sz w:val="20"/>
                <w:szCs w:val="20"/>
              </w:rPr>
              <w:t>ies</w:t>
            </w:r>
          </w:p>
        </w:tc>
        <w:tc>
          <w:tcPr>
            <w:tcW w:w="828" w:type="pct"/>
            <w:gridSpan w:val="2"/>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-36.9%</w:t>
            </w:r>
          </w:p>
        </w:tc>
        <w:tc>
          <w:tcPr>
            <w:tcW w:w="785"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6.4%</w:t>
            </w:r>
          </w:p>
        </w:tc>
        <w:tc>
          <w:tcPr>
            <w:tcW w:w="738"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10.5%</w:t>
            </w:r>
          </w:p>
        </w:tc>
        <w:tc>
          <w:tcPr>
            <w:tcW w:w="799" w:type="pct"/>
            <w:gridSpan w:val="2"/>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13.8%</w:t>
            </w:r>
          </w:p>
        </w:tc>
        <w:tc>
          <w:tcPr>
            <w:tcW w:w="748" w:type="pct"/>
            <w:gridSpan w:val="2"/>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19.4%</w:t>
            </w:r>
          </w:p>
        </w:tc>
      </w:tr>
      <w:tr w:rsidR="008E66F5" w:rsidRPr="00797118" w:rsidTr="0089015D">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8E66F5" w:rsidRPr="00296D08" w:rsidRDefault="008E66F5"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828" w:type="pct"/>
            <w:gridSpan w:val="2"/>
            <w:tcBorders>
              <w:top w:val="nil"/>
              <w:left w:val="nil"/>
              <w:bottom w:val="single" w:sz="4" w:space="0" w:color="366092"/>
              <w:right w:val="nil"/>
            </w:tcBorders>
            <w:vAlign w:val="bottom"/>
          </w:tcPr>
          <w:p w:rsidR="008E66F5" w:rsidRPr="00D54798" w:rsidRDefault="008E66F5"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-10.5%</w:t>
            </w:r>
          </w:p>
        </w:tc>
        <w:tc>
          <w:tcPr>
            <w:tcW w:w="785" w:type="pct"/>
            <w:tcBorders>
              <w:top w:val="nil"/>
              <w:left w:val="nil"/>
              <w:bottom w:val="single" w:sz="4" w:space="0" w:color="366092"/>
              <w:right w:val="nil"/>
            </w:tcBorders>
            <w:shd w:val="clear" w:color="auto" w:fill="auto"/>
            <w:noWrap/>
            <w:vAlign w:val="bottom"/>
          </w:tcPr>
          <w:p w:rsidR="008E66F5" w:rsidRPr="00D54798" w:rsidRDefault="008E66F5"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-1.1%</w:t>
            </w:r>
          </w:p>
        </w:tc>
        <w:tc>
          <w:tcPr>
            <w:tcW w:w="738" w:type="pct"/>
            <w:tcBorders>
              <w:top w:val="nil"/>
              <w:left w:val="nil"/>
              <w:bottom w:val="single" w:sz="4" w:space="0" w:color="366092"/>
              <w:right w:val="nil"/>
            </w:tcBorders>
            <w:shd w:val="clear" w:color="auto" w:fill="auto"/>
            <w:noWrap/>
            <w:vAlign w:val="bottom"/>
          </w:tcPr>
          <w:p w:rsidR="008E66F5" w:rsidRPr="00D54798" w:rsidRDefault="008E66F5"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1.5%</w:t>
            </w:r>
          </w:p>
        </w:tc>
        <w:tc>
          <w:tcPr>
            <w:tcW w:w="799" w:type="pct"/>
            <w:gridSpan w:val="2"/>
            <w:tcBorders>
              <w:top w:val="nil"/>
              <w:left w:val="nil"/>
              <w:bottom w:val="single" w:sz="4" w:space="0" w:color="366092"/>
              <w:right w:val="nil"/>
            </w:tcBorders>
            <w:shd w:val="clear" w:color="auto" w:fill="auto"/>
            <w:noWrap/>
            <w:vAlign w:val="bottom"/>
          </w:tcPr>
          <w:p w:rsidR="008E66F5" w:rsidRPr="00D54798" w:rsidRDefault="008E66F5"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7.7%</w:t>
            </w:r>
          </w:p>
        </w:tc>
        <w:tc>
          <w:tcPr>
            <w:tcW w:w="748" w:type="pct"/>
            <w:gridSpan w:val="2"/>
            <w:tcBorders>
              <w:top w:val="nil"/>
              <w:left w:val="nil"/>
              <w:bottom w:val="single" w:sz="4" w:space="0" w:color="366092"/>
              <w:right w:val="nil"/>
            </w:tcBorders>
            <w:vAlign w:val="bottom"/>
          </w:tcPr>
          <w:p w:rsidR="008E66F5" w:rsidRPr="00D54798" w:rsidRDefault="008E66F5"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13.9%</w:t>
            </w:r>
          </w:p>
        </w:tc>
      </w:tr>
      <w:tr w:rsidR="00D54798"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D54798" w:rsidRPr="00296D08" w:rsidRDefault="00CF3E1F" w:rsidP="008466EE">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828" w:type="pct"/>
            <w:gridSpan w:val="2"/>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0.0%</w:t>
            </w:r>
          </w:p>
        </w:tc>
        <w:tc>
          <w:tcPr>
            <w:tcW w:w="785"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11.8%</w:t>
            </w:r>
          </w:p>
        </w:tc>
        <w:tc>
          <w:tcPr>
            <w:tcW w:w="738"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17.2%</w:t>
            </w:r>
          </w:p>
        </w:tc>
        <w:tc>
          <w:tcPr>
            <w:tcW w:w="799" w:type="pct"/>
            <w:gridSpan w:val="2"/>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31.8%</w:t>
            </w:r>
          </w:p>
        </w:tc>
        <w:tc>
          <w:tcPr>
            <w:tcW w:w="748" w:type="pct"/>
            <w:gridSpan w:val="2"/>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98.1%</w:t>
            </w:r>
          </w:p>
        </w:tc>
      </w:tr>
      <w:tr w:rsidR="00D54798"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D54798" w:rsidRPr="00296D08" w:rsidRDefault="00CF3E1F" w:rsidP="008466EE">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828" w:type="pct"/>
            <w:gridSpan w:val="2"/>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-77.2%</w:t>
            </w:r>
          </w:p>
        </w:tc>
        <w:tc>
          <w:tcPr>
            <w:tcW w:w="785"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0.3%</w:t>
            </w:r>
          </w:p>
        </w:tc>
        <w:tc>
          <w:tcPr>
            <w:tcW w:w="738"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5.5%</w:t>
            </w:r>
          </w:p>
        </w:tc>
        <w:tc>
          <w:tcPr>
            <w:tcW w:w="799" w:type="pct"/>
            <w:gridSpan w:val="2"/>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14.3%</w:t>
            </w:r>
          </w:p>
        </w:tc>
        <w:tc>
          <w:tcPr>
            <w:tcW w:w="748" w:type="pct"/>
            <w:gridSpan w:val="2"/>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37.7%</w:t>
            </w:r>
          </w:p>
        </w:tc>
      </w:tr>
      <w:tr w:rsidR="00D54798"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D54798" w:rsidRPr="002922C1" w:rsidRDefault="00456661" w:rsidP="008466EE">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-77.2%</w:t>
            </w:r>
          </w:p>
        </w:tc>
        <w:tc>
          <w:tcPr>
            <w:tcW w:w="785" w:type="pct"/>
            <w:tcBorders>
              <w:top w:val="single" w:sz="4" w:space="0" w:color="366092"/>
              <w:left w:val="nil"/>
              <w:bottom w:val="single" w:sz="4" w:space="0" w:color="366092"/>
              <w:right w:val="nil"/>
            </w:tcBorders>
            <w:shd w:val="clear" w:color="000000" w:fill="E5F6F6"/>
            <w:noWrap/>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3.6%</w:t>
            </w:r>
          </w:p>
        </w:tc>
        <w:tc>
          <w:tcPr>
            <w:tcW w:w="738" w:type="pct"/>
            <w:tcBorders>
              <w:top w:val="single" w:sz="4" w:space="0" w:color="366092"/>
              <w:left w:val="nil"/>
              <w:bottom w:val="single" w:sz="4" w:space="0" w:color="366092"/>
              <w:right w:val="nil"/>
            </w:tcBorders>
            <w:shd w:val="clear" w:color="000000" w:fill="E5F6F6"/>
            <w:noWrap/>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11.1%</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17.8%</w:t>
            </w:r>
          </w:p>
        </w:tc>
        <w:tc>
          <w:tcPr>
            <w:tcW w:w="748" w:type="pct"/>
            <w:gridSpan w:val="2"/>
            <w:tcBorders>
              <w:top w:val="single" w:sz="4" w:space="0" w:color="366092"/>
              <w:left w:val="nil"/>
              <w:bottom w:val="single" w:sz="4" w:space="0" w:color="366092"/>
              <w:right w:val="nil"/>
            </w:tcBorders>
            <w:shd w:val="clear" w:color="000000" w:fill="E5F6F6"/>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98.1%</w:t>
            </w:r>
          </w:p>
        </w:tc>
      </w:tr>
    </w:tbl>
    <w:p w:rsidR="008E66F5" w:rsidRDefault="008E66F5" w:rsidP="00A72939">
      <w:pPr>
        <w:spacing w:after="0" w:line="240" w:lineRule="auto"/>
        <w:rPr>
          <w:rFonts w:ascii="Georgia" w:hAnsi="Georgia" w:cs="Arial"/>
          <w:b/>
          <w:color w:val="004855" w:themeColor="text1"/>
          <w:sz w:val="16"/>
          <w:szCs w:val="16"/>
          <w:lang w:val="en-US"/>
        </w:rPr>
      </w:pPr>
    </w:p>
    <w:p w:rsidR="00407C83" w:rsidRDefault="00407C83">
      <w:pPr>
        <w:spacing w:after="0" w:line="240" w:lineRule="auto"/>
        <w:rPr>
          <w:rFonts w:asciiTheme="minorHAnsi" w:eastAsiaTheme="minorHAnsi" w:hAnsiTheme="minorHAnsi" w:cstheme="minorHAnsi"/>
          <w:b/>
          <w:bCs/>
          <w:color w:val="407680" w:themeColor="accent2"/>
          <w:sz w:val="16"/>
          <w:szCs w:val="16"/>
          <w:lang w:val="en-GB"/>
        </w:rPr>
      </w:pPr>
      <w:r>
        <w:rPr>
          <w:rFonts w:asciiTheme="minorHAnsi" w:eastAsiaTheme="minorHAnsi" w:hAnsiTheme="minorHAnsi" w:cstheme="minorHAnsi"/>
          <w:b/>
          <w:bCs/>
          <w:color w:val="407680" w:themeColor="accent2"/>
          <w:sz w:val="16"/>
          <w:szCs w:val="16"/>
          <w:lang w:val="en-GB"/>
        </w:rPr>
        <w:br w:type="page"/>
      </w:r>
    </w:p>
    <w:p w:rsidR="00A72939" w:rsidRPr="00F83793" w:rsidRDefault="00A72939" w:rsidP="00A72939">
      <w:pPr>
        <w:spacing w:after="0" w:line="240" w:lineRule="auto"/>
        <w:rPr>
          <w:rFonts w:asciiTheme="minorHAnsi" w:eastAsiaTheme="minorHAnsi" w:hAnsiTheme="minorHAnsi" w:cstheme="minorHAnsi"/>
          <w:b/>
          <w:bCs/>
          <w:color w:val="407680" w:themeColor="accent2"/>
          <w:sz w:val="16"/>
          <w:szCs w:val="16"/>
          <w:lang w:val="en-GB"/>
        </w:rPr>
      </w:pPr>
    </w:p>
    <w:tbl>
      <w:tblPr>
        <w:tblStyle w:val="TableGrid"/>
        <w:tblW w:w="0" w:type="auto"/>
        <w:shd w:val="clear" w:color="auto" w:fill="E5ECED" w:themeFill="accent4" w:themeFillTint="66"/>
        <w:tblLook w:val="04A0" w:firstRow="1" w:lastRow="0" w:firstColumn="1" w:lastColumn="0" w:noHBand="0" w:noVBand="1"/>
      </w:tblPr>
      <w:tblGrid>
        <w:gridCol w:w="9572"/>
      </w:tblGrid>
      <w:tr w:rsidR="00A72939" w:rsidTr="000F1F1A">
        <w:tc>
          <w:tcPr>
            <w:tcW w:w="9572" w:type="dxa"/>
            <w:tcBorders>
              <w:top w:val="nil"/>
              <w:left w:val="nil"/>
              <w:bottom w:val="nil"/>
              <w:right w:val="nil"/>
            </w:tcBorders>
            <w:shd w:val="clear" w:color="auto" w:fill="E5ECED" w:themeFill="accent4" w:themeFillTint="66"/>
          </w:tcPr>
          <w:p w:rsidR="00A72939" w:rsidRPr="00F83793" w:rsidRDefault="00A72939" w:rsidP="00F83793">
            <w:pPr>
              <w:pStyle w:val="BulletsL1"/>
              <w:spacing w:before="0" w:after="0" w:line="160" w:lineRule="exact"/>
              <w:ind w:left="357" w:firstLine="0"/>
              <w:rPr>
                <w:sz w:val="16"/>
                <w:szCs w:val="16"/>
                <w:lang w:val="en-AU"/>
              </w:rPr>
            </w:pPr>
          </w:p>
          <w:p w:rsidR="00A72939" w:rsidRPr="00ED0709" w:rsidRDefault="00A72939" w:rsidP="000F1F1A">
            <w:pPr>
              <w:pStyle w:val="BulletsL1"/>
              <w:numPr>
                <w:ilvl w:val="0"/>
                <w:numId w:val="7"/>
              </w:numPr>
              <w:rPr>
                <w:lang w:val="en-AU"/>
              </w:rPr>
            </w:pPr>
            <w:r w:rsidRPr="00B411E8">
              <w:rPr>
                <w:lang w:val="en-AU"/>
              </w:rPr>
              <w:t>The median EBITDA margin for the sector has remained relatively steady at 11.1%</w:t>
            </w:r>
            <w:r>
              <w:rPr>
                <w:lang w:val="en-AU"/>
              </w:rPr>
              <w:t xml:space="preserve"> (2014:</w:t>
            </w:r>
            <w:r w:rsidRPr="00B411E8">
              <w:rPr>
                <w:lang w:val="en-AU"/>
              </w:rPr>
              <w:t xml:space="preserve"> 11.4%</w:t>
            </w:r>
            <w:r>
              <w:rPr>
                <w:lang w:val="en-AU"/>
              </w:rPr>
              <w:t>)</w:t>
            </w:r>
            <w:r w:rsidRPr="00B411E8">
              <w:rPr>
                <w:lang w:val="en-AU"/>
              </w:rPr>
              <w:t>.</w:t>
            </w:r>
          </w:p>
          <w:p w:rsidR="00A72939" w:rsidRPr="00ED0709" w:rsidRDefault="00A72939" w:rsidP="000F1F1A">
            <w:pPr>
              <w:pStyle w:val="BulletsL1"/>
              <w:numPr>
                <w:ilvl w:val="0"/>
                <w:numId w:val="7"/>
              </w:numPr>
              <w:rPr>
                <w:rFonts w:asciiTheme="minorHAnsi" w:hAnsiTheme="minorHAnsi" w:cstheme="minorHAnsi"/>
                <w:b/>
                <w:bCs/>
                <w:color w:val="407680" w:themeColor="accent2"/>
                <w:sz w:val="26"/>
                <w:szCs w:val="26"/>
                <w:lang w:val="en-GB"/>
              </w:rPr>
            </w:pPr>
            <w:r w:rsidRPr="00B411E8">
              <w:rPr>
                <w:lang w:val="en-AU"/>
              </w:rPr>
              <w:t>Very few providers recorded a negative EBITDA margin indicating that the vast majo</w:t>
            </w:r>
            <w:r>
              <w:rPr>
                <w:lang w:val="en-AU"/>
              </w:rPr>
              <w:t>rity of providers were effectively</w:t>
            </w:r>
            <w:r w:rsidRPr="00B411E8">
              <w:rPr>
                <w:lang w:val="en-AU"/>
              </w:rPr>
              <w:t xml:space="preserve"> managing</w:t>
            </w:r>
            <w:r w:rsidR="00B95872">
              <w:rPr>
                <w:lang w:val="en-AU"/>
              </w:rPr>
              <w:t xml:space="preserve"> their</w:t>
            </w:r>
            <w:r>
              <w:rPr>
                <w:lang w:val="en-AU"/>
              </w:rPr>
              <w:t xml:space="preserve"> </w:t>
            </w:r>
            <w:r w:rsidRPr="00B411E8">
              <w:rPr>
                <w:lang w:val="en-AU"/>
              </w:rPr>
              <w:t>financial resources.</w:t>
            </w:r>
          </w:p>
          <w:p w:rsidR="00A72939" w:rsidRPr="00ED0709" w:rsidRDefault="00A72939" w:rsidP="00F83793">
            <w:pPr>
              <w:pStyle w:val="BulletsL1"/>
              <w:numPr>
                <w:ilvl w:val="0"/>
                <w:numId w:val="7"/>
              </w:numPr>
              <w:spacing w:before="0" w:after="0"/>
              <w:ind w:left="357" w:hanging="357"/>
              <w:rPr>
                <w:rFonts w:asciiTheme="minorHAnsi" w:hAnsiTheme="minorHAnsi" w:cstheme="minorHAnsi"/>
                <w:b/>
                <w:bCs/>
                <w:color w:val="407680" w:themeColor="accent2"/>
                <w:sz w:val="26"/>
                <w:szCs w:val="26"/>
                <w:lang w:val="en-GB"/>
              </w:rPr>
            </w:pPr>
            <w:r w:rsidRPr="00B411E8">
              <w:rPr>
                <w:rFonts w:cs="Arial"/>
                <w:lang w:val="en-AU"/>
              </w:rPr>
              <w:t xml:space="preserve">The median EBITDA </w:t>
            </w:r>
            <w:r w:rsidRPr="00004A66">
              <w:rPr>
                <w:rFonts w:cs="Arial"/>
                <w:lang w:val="en-AU"/>
              </w:rPr>
              <w:t>margin for 201</w:t>
            </w:r>
            <w:r>
              <w:rPr>
                <w:rFonts w:cs="Arial"/>
                <w:lang w:val="en-AU"/>
              </w:rPr>
              <w:t xml:space="preserve">5 compared </w:t>
            </w:r>
            <w:r w:rsidR="00A92B8F">
              <w:rPr>
                <w:rFonts w:cs="Arial"/>
                <w:lang w:val="en-AU"/>
              </w:rPr>
              <w:t>with</w:t>
            </w:r>
            <w:r>
              <w:rPr>
                <w:rFonts w:cs="Arial"/>
                <w:lang w:val="en-AU"/>
              </w:rPr>
              <w:t xml:space="preserve"> 2014</w:t>
            </w:r>
            <w:r w:rsidRPr="00004A66">
              <w:rPr>
                <w:rFonts w:cs="Arial"/>
                <w:lang w:val="en-AU"/>
              </w:rPr>
              <w:t xml:space="preserve"> for each </w:t>
            </w:r>
            <w:r>
              <w:rPr>
                <w:rFonts w:cs="Arial"/>
                <w:lang w:val="en-AU"/>
              </w:rPr>
              <w:t>provider type was:</w:t>
            </w:r>
          </w:p>
          <w:p w:rsidR="00A72939" w:rsidRPr="003B6D8C" w:rsidRDefault="00A72939" w:rsidP="000F1F1A">
            <w:pPr>
              <w:pStyle w:val="BulletsL1"/>
              <w:numPr>
                <w:ilvl w:val="1"/>
                <w:numId w:val="25"/>
              </w:numPr>
              <w:spacing w:before="0" w:after="0"/>
              <w:ind w:left="709" w:hanging="425"/>
              <w:rPr>
                <w:rFonts w:asciiTheme="minorHAnsi" w:hAnsiTheme="minorHAnsi" w:cstheme="minorHAnsi"/>
                <w:b/>
                <w:bCs/>
                <w:color w:val="407680" w:themeColor="accent2"/>
                <w:sz w:val="26"/>
                <w:szCs w:val="26"/>
                <w:lang w:val="en-GB"/>
              </w:rPr>
            </w:pPr>
            <w:r w:rsidRPr="00B411E8">
              <w:rPr>
                <w:lang w:val="en-AU"/>
              </w:rPr>
              <w:t>Universities: 10.5% (2014: 11.4%)</w:t>
            </w:r>
          </w:p>
          <w:p w:rsidR="00883A4B" w:rsidRPr="00495603" w:rsidRDefault="00883A4B" w:rsidP="00883A4B">
            <w:pPr>
              <w:pStyle w:val="BulletsL1"/>
              <w:numPr>
                <w:ilvl w:val="1"/>
                <w:numId w:val="25"/>
              </w:numPr>
              <w:spacing w:before="0" w:after="0"/>
              <w:ind w:left="709" w:hanging="425"/>
              <w:rPr>
                <w:rFonts w:asciiTheme="minorHAnsi" w:hAnsiTheme="minorHAnsi" w:cstheme="minorHAnsi"/>
                <w:b/>
                <w:bCs/>
                <w:color w:val="407680" w:themeColor="accent2"/>
                <w:sz w:val="26"/>
                <w:szCs w:val="26"/>
                <w:lang w:val="en-GB"/>
              </w:rPr>
            </w:pPr>
            <w:r>
              <w:rPr>
                <w:lang w:val="en-AU"/>
              </w:rPr>
              <w:t>TAFE</w:t>
            </w:r>
            <w:r w:rsidR="00D045D7">
              <w:rPr>
                <w:lang w:val="en-AU"/>
              </w:rPr>
              <w:t>:</w:t>
            </w:r>
            <w:r>
              <w:rPr>
                <w:lang w:val="en-AU"/>
              </w:rPr>
              <w:t xml:space="preserve"> 1.5% (2014: 1.9%).</w:t>
            </w:r>
          </w:p>
          <w:p w:rsidR="00A72939" w:rsidRPr="00ED0709" w:rsidRDefault="00A72939" w:rsidP="000F1F1A">
            <w:pPr>
              <w:pStyle w:val="BulletsL1"/>
              <w:numPr>
                <w:ilvl w:val="1"/>
                <w:numId w:val="25"/>
              </w:numPr>
              <w:spacing w:before="0" w:after="0"/>
              <w:ind w:left="709" w:hanging="425"/>
              <w:rPr>
                <w:rFonts w:asciiTheme="minorHAnsi" w:hAnsiTheme="minorHAnsi" w:cstheme="minorHAnsi"/>
                <w:b/>
                <w:bCs/>
                <w:color w:val="407680" w:themeColor="accent2"/>
                <w:sz w:val="26"/>
                <w:szCs w:val="26"/>
                <w:lang w:val="en-GB"/>
              </w:rPr>
            </w:pPr>
            <w:r w:rsidRPr="00B411E8">
              <w:rPr>
                <w:lang w:val="en-AU"/>
              </w:rPr>
              <w:t>For-Profit: 17.2% (2014: 16.6%)</w:t>
            </w:r>
          </w:p>
          <w:p w:rsidR="00A72939" w:rsidRPr="00407C83" w:rsidRDefault="00A72939" w:rsidP="003B6D8C">
            <w:pPr>
              <w:pStyle w:val="BulletsL1"/>
              <w:numPr>
                <w:ilvl w:val="1"/>
                <w:numId w:val="25"/>
              </w:numPr>
              <w:spacing w:before="0" w:after="0"/>
              <w:ind w:left="709" w:hanging="425"/>
              <w:rPr>
                <w:rFonts w:asciiTheme="minorHAnsi" w:hAnsiTheme="minorHAnsi" w:cstheme="minorHAnsi"/>
                <w:b/>
                <w:bCs/>
                <w:color w:val="407680" w:themeColor="accent2"/>
                <w:sz w:val="16"/>
                <w:szCs w:val="16"/>
                <w:lang w:val="en-GB"/>
              </w:rPr>
            </w:pPr>
            <w:r w:rsidRPr="00B411E8">
              <w:rPr>
                <w:lang w:val="en-AU"/>
              </w:rPr>
              <w:t>Not-For-Profit: 5.5% (2014: 5.2%)</w:t>
            </w:r>
            <w:r w:rsidR="00883A4B">
              <w:rPr>
                <w:lang w:val="en-AU"/>
              </w:rPr>
              <w:t>.</w:t>
            </w:r>
          </w:p>
          <w:p w:rsidR="00407C83" w:rsidRPr="00CA13B2" w:rsidRDefault="00407C83" w:rsidP="00407C83">
            <w:pPr>
              <w:pStyle w:val="BulletsL1"/>
              <w:spacing w:before="0" w:after="0"/>
              <w:ind w:left="284" w:firstLine="0"/>
              <w:rPr>
                <w:rFonts w:asciiTheme="minorHAnsi" w:hAnsiTheme="minorHAnsi" w:cstheme="minorHAnsi"/>
                <w:b/>
                <w:bCs/>
                <w:color w:val="407680" w:themeColor="accent2"/>
                <w:sz w:val="16"/>
                <w:szCs w:val="16"/>
                <w:lang w:val="en-GB"/>
              </w:rPr>
            </w:pPr>
          </w:p>
        </w:tc>
      </w:tr>
    </w:tbl>
    <w:p w:rsidR="00A85786" w:rsidRDefault="00A85786">
      <w:pPr>
        <w:spacing w:after="0" w:line="240" w:lineRule="auto"/>
        <w:rPr>
          <w:rFonts w:ascii="Georgia" w:hAnsi="Georgia" w:cs="Arial"/>
          <w:b/>
          <w:color w:val="004855" w:themeColor="text1"/>
          <w:sz w:val="22"/>
          <w:szCs w:val="22"/>
          <w:lang w:val="en-US"/>
        </w:rPr>
      </w:pPr>
    </w:p>
    <w:p w:rsidR="00077E9A" w:rsidRPr="00077E9A" w:rsidRDefault="00077E9A" w:rsidP="00077E9A">
      <w:pPr>
        <w:spacing w:after="0" w:line="240" w:lineRule="auto"/>
        <w:rPr>
          <w:rFonts w:ascii="Arial" w:hAnsi="Arial" w:cs="Arial"/>
        </w:rPr>
      </w:pPr>
    </w:p>
    <w:p w:rsidR="00735F31" w:rsidRPr="008C0D4B" w:rsidRDefault="00735F31" w:rsidP="008C0D4B">
      <w:pPr>
        <w:spacing w:after="0" w:line="240" w:lineRule="auto"/>
        <w:rPr>
          <w:rFonts w:ascii="Arial" w:eastAsiaTheme="minorHAnsi" w:hAnsi="Arial" w:cs="Arial"/>
          <w:b/>
          <w:bCs/>
          <w:color w:val="00A6AA" w:themeColor="background1"/>
          <w:sz w:val="32"/>
          <w:szCs w:val="32"/>
          <w:lang w:val="en-GB"/>
        </w:rPr>
      </w:pPr>
      <w:r w:rsidRPr="008C0D4B">
        <w:rPr>
          <w:rFonts w:ascii="Arial" w:hAnsi="Arial" w:cs="Arial"/>
        </w:rPr>
        <w:br w:type="page"/>
      </w:r>
    </w:p>
    <w:p w:rsidR="00920FF9" w:rsidRDefault="00242EC3" w:rsidP="00920FF9">
      <w:pPr>
        <w:pStyle w:val="H2"/>
      </w:pPr>
      <w:r>
        <w:lastRenderedPageBreak/>
        <w:t xml:space="preserve">4.3 </w:t>
      </w:r>
      <w:r w:rsidR="00920FF9">
        <w:t>Employee benefit</w:t>
      </w:r>
      <w:r w:rsidR="009B06B4">
        <w:t>s</w:t>
      </w:r>
      <w:r w:rsidR="00920FF9">
        <w:t xml:space="preserve"> ratio</w:t>
      </w:r>
    </w:p>
    <w:p w:rsidR="004A0256" w:rsidRDefault="00920FF9" w:rsidP="00920FF9">
      <w:pPr>
        <w:rPr>
          <w:rFonts w:ascii="Arial" w:eastAsiaTheme="minorHAnsi" w:hAnsi="Arial" w:cstheme="minorBidi"/>
          <w:sz w:val="22"/>
          <w:szCs w:val="22"/>
        </w:rPr>
      </w:pPr>
      <w:r w:rsidRPr="006E1A0B">
        <w:rPr>
          <w:rFonts w:ascii="Arial" w:eastAsiaTheme="minorHAnsi" w:hAnsi="Arial" w:cstheme="minorBidi"/>
          <w:sz w:val="22"/>
          <w:szCs w:val="22"/>
        </w:rPr>
        <w:t>Employees are critical to the effective delivery of</w:t>
      </w:r>
      <w:r>
        <w:rPr>
          <w:rFonts w:ascii="Arial" w:eastAsiaTheme="minorHAnsi" w:hAnsi="Arial" w:cstheme="minorBidi"/>
          <w:sz w:val="22"/>
          <w:szCs w:val="22"/>
        </w:rPr>
        <w:t xml:space="preserve"> a provider’s</w:t>
      </w:r>
      <w:r w:rsidRPr="006E1A0B">
        <w:rPr>
          <w:rFonts w:ascii="Arial" w:eastAsiaTheme="minorHAnsi" w:hAnsi="Arial" w:cstheme="minorBidi"/>
          <w:sz w:val="22"/>
          <w:szCs w:val="22"/>
        </w:rPr>
        <w:t xml:space="preserve"> higher education objectives. Staff spending (academic and non-a</w:t>
      </w:r>
      <w:r>
        <w:rPr>
          <w:rFonts w:ascii="Arial" w:eastAsiaTheme="minorHAnsi" w:hAnsi="Arial" w:cstheme="minorBidi"/>
          <w:sz w:val="22"/>
          <w:szCs w:val="22"/>
        </w:rPr>
        <w:t xml:space="preserve">cademic) </w:t>
      </w:r>
      <w:r w:rsidR="004076C0">
        <w:rPr>
          <w:rFonts w:ascii="Arial" w:eastAsiaTheme="minorHAnsi" w:hAnsi="Arial" w:cstheme="minorBidi"/>
          <w:sz w:val="22"/>
          <w:szCs w:val="22"/>
        </w:rPr>
        <w:t xml:space="preserve">is </w:t>
      </w:r>
      <w:r>
        <w:rPr>
          <w:rFonts w:ascii="Arial" w:eastAsiaTheme="minorHAnsi" w:hAnsi="Arial" w:cstheme="minorBidi"/>
          <w:sz w:val="22"/>
          <w:szCs w:val="22"/>
        </w:rPr>
        <w:t xml:space="preserve">typically </w:t>
      </w:r>
      <w:r w:rsidR="004076C0">
        <w:rPr>
          <w:rFonts w:ascii="Arial" w:eastAsiaTheme="minorHAnsi" w:hAnsi="Arial" w:cstheme="minorBidi"/>
          <w:sz w:val="22"/>
          <w:szCs w:val="22"/>
        </w:rPr>
        <w:t xml:space="preserve">the largest </w:t>
      </w:r>
      <w:r>
        <w:rPr>
          <w:rFonts w:ascii="Arial" w:eastAsiaTheme="minorHAnsi" w:hAnsi="Arial" w:cstheme="minorBidi"/>
          <w:sz w:val="22"/>
          <w:szCs w:val="22"/>
        </w:rPr>
        <w:t>recurring</w:t>
      </w:r>
      <w:r w:rsidRPr="006E1A0B">
        <w:rPr>
          <w:rFonts w:ascii="Arial" w:eastAsiaTheme="minorHAnsi" w:hAnsi="Arial" w:cstheme="minorBidi"/>
          <w:sz w:val="22"/>
          <w:szCs w:val="22"/>
        </w:rPr>
        <w:t xml:space="preserve"> cost item for many providers. </w:t>
      </w:r>
      <w:r>
        <w:rPr>
          <w:rFonts w:ascii="Arial" w:eastAsiaTheme="minorHAnsi" w:hAnsi="Arial" w:cstheme="minorBidi"/>
          <w:sz w:val="22"/>
          <w:szCs w:val="22"/>
        </w:rPr>
        <w:t>The E</w:t>
      </w:r>
      <w:r w:rsidRPr="006E1A0B">
        <w:rPr>
          <w:rFonts w:ascii="Arial" w:eastAsiaTheme="minorHAnsi" w:hAnsi="Arial" w:cstheme="minorBidi"/>
          <w:sz w:val="22"/>
          <w:szCs w:val="22"/>
        </w:rPr>
        <w:t xml:space="preserve">mployee </w:t>
      </w:r>
      <w:r>
        <w:rPr>
          <w:rFonts w:ascii="Arial" w:eastAsiaTheme="minorHAnsi" w:hAnsi="Arial" w:cstheme="minorBidi"/>
          <w:sz w:val="22"/>
          <w:szCs w:val="22"/>
        </w:rPr>
        <w:t>B</w:t>
      </w:r>
      <w:r w:rsidRPr="006E1A0B">
        <w:rPr>
          <w:rFonts w:ascii="Arial" w:eastAsiaTheme="minorHAnsi" w:hAnsi="Arial" w:cstheme="minorBidi"/>
          <w:sz w:val="22"/>
          <w:szCs w:val="22"/>
        </w:rPr>
        <w:t>enefit</w:t>
      </w:r>
      <w:r w:rsidR="009B06B4">
        <w:rPr>
          <w:rFonts w:ascii="Arial" w:eastAsiaTheme="minorHAnsi" w:hAnsi="Arial" w:cstheme="minorBidi"/>
          <w:sz w:val="22"/>
          <w:szCs w:val="22"/>
        </w:rPr>
        <w:t>s</w:t>
      </w:r>
      <w:r w:rsidRPr="006E1A0B">
        <w:rPr>
          <w:rFonts w:ascii="Arial" w:eastAsiaTheme="minorHAnsi" w:hAnsi="Arial" w:cstheme="minorBidi"/>
          <w:sz w:val="22"/>
          <w:szCs w:val="22"/>
        </w:rPr>
        <w:t xml:space="preserve"> </w:t>
      </w:r>
      <w:r>
        <w:rPr>
          <w:rFonts w:ascii="Arial" w:eastAsiaTheme="minorHAnsi" w:hAnsi="Arial" w:cstheme="minorBidi"/>
          <w:sz w:val="22"/>
          <w:szCs w:val="22"/>
        </w:rPr>
        <w:t>R</w:t>
      </w:r>
      <w:r w:rsidRPr="006E1A0B">
        <w:rPr>
          <w:rFonts w:ascii="Arial" w:eastAsiaTheme="minorHAnsi" w:hAnsi="Arial" w:cstheme="minorBidi"/>
          <w:sz w:val="22"/>
          <w:szCs w:val="22"/>
        </w:rPr>
        <w:t>atio</w:t>
      </w:r>
      <w:r>
        <w:rPr>
          <w:rFonts w:ascii="Arial" w:eastAsiaTheme="minorHAnsi" w:hAnsi="Arial" w:cstheme="minorBidi"/>
          <w:sz w:val="22"/>
          <w:szCs w:val="22"/>
        </w:rPr>
        <w:t xml:space="preserve"> (EBR)</w:t>
      </w:r>
      <w:r w:rsidRPr="006E1A0B">
        <w:rPr>
          <w:rFonts w:ascii="Arial" w:eastAsiaTheme="minorHAnsi" w:hAnsi="Arial" w:cstheme="minorBidi"/>
          <w:sz w:val="22"/>
          <w:szCs w:val="22"/>
        </w:rPr>
        <w:t xml:space="preserve"> provides an indication of the total staf</w:t>
      </w:r>
      <w:r w:rsidR="001567F7">
        <w:rPr>
          <w:rFonts w:ascii="Arial" w:eastAsiaTheme="minorHAnsi" w:hAnsi="Arial" w:cstheme="minorBidi"/>
          <w:sz w:val="22"/>
          <w:szCs w:val="22"/>
        </w:rPr>
        <w:t>f spending (full-time, fractional full-time</w:t>
      </w:r>
      <w:r w:rsidRPr="006E1A0B">
        <w:rPr>
          <w:rFonts w:ascii="Arial" w:eastAsiaTheme="minorHAnsi" w:hAnsi="Arial" w:cstheme="minorBidi"/>
          <w:sz w:val="22"/>
          <w:szCs w:val="22"/>
        </w:rPr>
        <w:t>, casual, contract) relative to the</w:t>
      </w:r>
      <w:r w:rsidR="009C3B00">
        <w:rPr>
          <w:rFonts w:ascii="Arial" w:eastAsiaTheme="minorHAnsi" w:hAnsi="Arial" w:cstheme="minorBidi"/>
          <w:sz w:val="22"/>
          <w:szCs w:val="22"/>
        </w:rPr>
        <w:t xml:space="preserve"> provider’s</w:t>
      </w:r>
      <w:r w:rsidRPr="006E1A0B">
        <w:rPr>
          <w:rFonts w:ascii="Arial" w:eastAsiaTheme="minorHAnsi" w:hAnsi="Arial" w:cstheme="minorBidi"/>
          <w:sz w:val="22"/>
          <w:szCs w:val="22"/>
        </w:rPr>
        <w:t xml:space="preserve"> level of revenue</w:t>
      </w:r>
      <w:r w:rsidR="00C86061">
        <w:rPr>
          <w:rFonts w:ascii="Arial" w:eastAsiaTheme="minorHAnsi" w:hAnsi="Arial" w:cstheme="minorBidi"/>
          <w:sz w:val="22"/>
          <w:szCs w:val="22"/>
        </w:rPr>
        <w:t>.</w:t>
      </w:r>
      <w:r w:rsidRPr="001567F7">
        <w:rPr>
          <w:rFonts w:ascii="Arial" w:eastAsiaTheme="minorHAnsi" w:hAnsi="Arial" w:cstheme="minorBidi"/>
          <w:sz w:val="18"/>
          <w:szCs w:val="18"/>
          <w:vertAlign w:val="superscript"/>
        </w:rPr>
        <w:footnoteReference w:id="10"/>
      </w:r>
      <w:r w:rsidR="00B12533" w:rsidRPr="00B12533">
        <w:rPr>
          <w:rFonts w:ascii="Arial" w:eastAsiaTheme="minorHAnsi" w:hAnsi="Arial" w:cstheme="minorBidi"/>
          <w:sz w:val="22"/>
          <w:szCs w:val="22"/>
        </w:rPr>
        <w:t xml:space="preserve"> </w:t>
      </w:r>
      <w:r w:rsidR="00B12533">
        <w:rPr>
          <w:rFonts w:ascii="Arial" w:eastAsiaTheme="minorHAnsi" w:hAnsi="Arial" w:cstheme="minorBidi"/>
          <w:sz w:val="22"/>
          <w:szCs w:val="22"/>
        </w:rPr>
        <w:t>A provider</w:t>
      </w:r>
      <w:r w:rsidR="00CD6313">
        <w:rPr>
          <w:rFonts w:ascii="Arial" w:eastAsiaTheme="minorHAnsi" w:hAnsi="Arial" w:cstheme="minorBidi"/>
          <w:sz w:val="22"/>
          <w:szCs w:val="22"/>
        </w:rPr>
        <w:t>’</w:t>
      </w:r>
      <w:r w:rsidR="00B12533">
        <w:rPr>
          <w:rFonts w:ascii="Arial" w:eastAsiaTheme="minorHAnsi" w:hAnsi="Arial" w:cstheme="minorBidi"/>
          <w:sz w:val="22"/>
          <w:szCs w:val="22"/>
        </w:rPr>
        <w:t>s EBR can be influenced by a range of factors such as t</w:t>
      </w:r>
      <w:r w:rsidR="00B12533" w:rsidRPr="00B313C6">
        <w:rPr>
          <w:rFonts w:ascii="Arial" w:eastAsiaTheme="minorHAnsi" w:hAnsi="Arial" w:cstheme="minorBidi"/>
          <w:sz w:val="22"/>
          <w:szCs w:val="22"/>
        </w:rPr>
        <w:t>he composition of a provider’s workforce (i.e. full-time, fractional full-time or casual)</w:t>
      </w:r>
      <w:r w:rsidR="00B12533">
        <w:rPr>
          <w:rFonts w:ascii="Arial" w:eastAsiaTheme="minorHAnsi" w:hAnsi="Arial" w:cstheme="minorBidi"/>
          <w:sz w:val="22"/>
          <w:szCs w:val="22"/>
        </w:rPr>
        <w:t>,</w:t>
      </w:r>
      <w:r w:rsidR="00B12533" w:rsidRPr="00B313C6">
        <w:rPr>
          <w:rFonts w:ascii="Arial" w:eastAsiaTheme="minorHAnsi" w:hAnsi="Arial" w:cstheme="minorBidi"/>
          <w:sz w:val="22"/>
          <w:szCs w:val="22"/>
        </w:rPr>
        <w:t xml:space="preserve"> </w:t>
      </w:r>
      <w:r w:rsidR="00B12533">
        <w:rPr>
          <w:rFonts w:ascii="Arial" w:eastAsiaTheme="minorHAnsi" w:hAnsi="Arial" w:cstheme="minorBidi"/>
          <w:sz w:val="22"/>
          <w:szCs w:val="22"/>
        </w:rPr>
        <w:t>delivery method (face-to-face, online, third party) or provider mission.</w:t>
      </w:r>
      <w:r w:rsidR="00B12533" w:rsidRPr="00B12533">
        <w:rPr>
          <w:rFonts w:ascii="Arial" w:eastAsiaTheme="minorHAnsi" w:hAnsi="Arial" w:cstheme="minorBidi"/>
          <w:sz w:val="22"/>
          <w:szCs w:val="22"/>
        </w:rPr>
        <w:t xml:space="preserve"> </w:t>
      </w:r>
      <w:r w:rsidR="00B12533">
        <w:rPr>
          <w:rFonts w:ascii="Arial" w:eastAsiaTheme="minorHAnsi" w:hAnsi="Arial" w:cstheme="minorBidi"/>
          <w:sz w:val="22"/>
          <w:szCs w:val="22"/>
        </w:rPr>
        <w:t>For example, it is possible for providers to have an EBR of zero in situations when staff are engaged on a volunteer basis.</w:t>
      </w:r>
    </w:p>
    <w:p w:rsidR="00920FF9" w:rsidRPr="001567F7" w:rsidDel="0024327E" w:rsidRDefault="00920FF9" w:rsidP="00920FF9">
      <w:pPr>
        <w:rPr>
          <w:noProof/>
          <w:sz w:val="20"/>
          <w:szCs w:val="20"/>
          <w:lang w:eastAsia="en-AU"/>
        </w:rPr>
      </w:pPr>
      <w:r w:rsidRPr="00AF61CE" w:rsidDel="0024327E">
        <w:rPr>
          <w:rFonts w:ascii="Georgia" w:hAnsi="Georgia" w:cs="Arial"/>
          <w:b/>
          <w:color w:val="004855" w:themeColor="text1"/>
          <w:sz w:val="20"/>
          <w:szCs w:val="20"/>
          <w:lang w:val="en-US"/>
        </w:rPr>
        <w:t xml:space="preserve">Figure </w:t>
      </w:r>
      <w:r w:rsidR="00E23353" w:rsidDel="0024327E">
        <w:rPr>
          <w:rFonts w:ascii="Georgia" w:hAnsi="Georgia" w:cs="Arial"/>
          <w:b/>
          <w:color w:val="004855" w:themeColor="text1"/>
          <w:sz w:val="20"/>
          <w:szCs w:val="20"/>
          <w:lang w:val="en-US"/>
        </w:rPr>
        <w:t>1</w:t>
      </w:r>
      <w:r w:rsidR="00D62AA3">
        <w:rPr>
          <w:rFonts w:ascii="Georgia" w:hAnsi="Georgia" w:cs="Arial"/>
          <w:b/>
          <w:color w:val="004855" w:themeColor="text1"/>
          <w:sz w:val="20"/>
          <w:szCs w:val="20"/>
          <w:lang w:val="en-US"/>
        </w:rPr>
        <w:t>0</w:t>
      </w:r>
      <w:r w:rsidRPr="00AF61CE" w:rsidDel="0024327E">
        <w:rPr>
          <w:rFonts w:ascii="Georgia" w:hAnsi="Georgia" w:cs="Arial"/>
          <w:b/>
          <w:color w:val="004855" w:themeColor="text1"/>
          <w:sz w:val="20"/>
          <w:szCs w:val="20"/>
          <w:lang w:val="en-US"/>
        </w:rPr>
        <w:t>: Employee benefit</w:t>
      </w:r>
      <w:r w:rsidR="009B06B4" w:rsidRPr="00AF61CE" w:rsidDel="0024327E">
        <w:rPr>
          <w:rFonts w:ascii="Georgia" w:hAnsi="Georgia" w:cs="Arial"/>
          <w:b/>
          <w:color w:val="004855" w:themeColor="text1"/>
          <w:sz w:val="20"/>
          <w:szCs w:val="20"/>
          <w:lang w:val="en-US"/>
        </w:rPr>
        <w:t>s</w:t>
      </w:r>
      <w:r w:rsidRPr="00AF61CE" w:rsidDel="0024327E">
        <w:rPr>
          <w:rFonts w:ascii="Georgia" w:hAnsi="Georgia" w:cs="Arial"/>
          <w:b/>
          <w:color w:val="004855" w:themeColor="text1"/>
          <w:sz w:val="20"/>
          <w:szCs w:val="20"/>
          <w:lang w:val="en-US"/>
        </w:rPr>
        <w:t xml:space="preserve"> ratio</w:t>
      </w:r>
      <w:r w:rsidR="00A8413E" w:rsidRPr="00AF61CE" w:rsidDel="0024327E">
        <w:rPr>
          <w:rFonts w:ascii="Georgia" w:hAnsi="Georgia" w:cs="Arial"/>
          <w:b/>
          <w:color w:val="004855" w:themeColor="text1"/>
          <w:sz w:val="20"/>
          <w:szCs w:val="20"/>
          <w:lang w:val="en-US"/>
        </w:rPr>
        <w:t xml:space="preserve">, by provider </w:t>
      </w:r>
      <w:r w:rsidR="00452500" w:rsidRPr="00AF61CE" w:rsidDel="0024327E">
        <w:rPr>
          <w:rFonts w:ascii="Georgia" w:hAnsi="Georgia" w:cs="Arial"/>
          <w:b/>
          <w:color w:val="004855" w:themeColor="text1"/>
          <w:sz w:val="20"/>
          <w:szCs w:val="20"/>
          <w:lang w:val="en-US"/>
        </w:rPr>
        <w:t>type</w:t>
      </w:r>
    </w:p>
    <w:p w:rsidR="00D244F0" w:rsidRDefault="005E5FC5" w:rsidP="00D244F0">
      <w:pPr>
        <w:spacing w:after="0" w:line="80" w:lineRule="atLeast"/>
        <w:jc w:val="cente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0BE96473" wp14:editId="13BF420F">
            <wp:extent cx="5943600" cy="298132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1060" cy="2980051"/>
                    </a:xfrm>
                    <a:prstGeom prst="rect">
                      <a:avLst/>
                    </a:prstGeom>
                    <a:noFill/>
                    <a:ln>
                      <a:noFill/>
                    </a:ln>
                  </pic:spPr>
                </pic:pic>
              </a:graphicData>
            </a:graphic>
          </wp:inline>
        </w:drawing>
      </w:r>
      <w:r w:rsidR="00D244F0">
        <w:rPr>
          <w:noProof/>
          <w:lang w:eastAsia="en-AU"/>
        </w:rPr>
        <w:drawing>
          <wp:inline distT="0" distB="0" distL="0" distR="0" wp14:anchorId="2B55E85B" wp14:editId="19BFB9A9">
            <wp:extent cx="1054510" cy="17210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9802"/>
                    <a:stretch/>
                  </pic:blipFill>
                  <pic:spPr bwMode="auto">
                    <a:xfrm>
                      <a:off x="0" y="0"/>
                      <a:ext cx="1058284" cy="172718"/>
                    </a:xfrm>
                    <a:prstGeom prst="rect">
                      <a:avLst/>
                    </a:prstGeom>
                    <a:noFill/>
                    <a:ln>
                      <a:noFill/>
                    </a:ln>
                    <a:extLst>
                      <a:ext uri="{53640926-AAD7-44D8-BBD7-CCE9431645EC}">
                        <a14:shadowObscured xmlns:a14="http://schemas.microsoft.com/office/drawing/2010/main"/>
                      </a:ext>
                    </a:extLst>
                  </pic:spPr>
                </pic:pic>
              </a:graphicData>
            </a:graphic>
          </wp:inline>
        </w:drawing>
      </w:r>
      <w:r w:rsidR="00D244F0">
        <w:rPr>
          <w:noProof/>
          <w:lang w:eastAsia="en-AU"/>
        </w:rPr>
        <w:drawing>
          <wp:inline distT="0" distB="0" distL="0" distR="0" wp14:anchorId="6B4250A0" wp14:editId="6A1BE7DC">
            <wp:extent cx="1054510" cy="213852"/>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b="18466"/>
                    <a:stretch/>
                  </pic:blipFill>
                  <pic:spPr bwMode="auto">
                    <a:xfrm>
                      <a:off x="0" y="0"/>
                      <a:ext cx="1058284" cy="214617"/>
                    </a:xfrm>
                    <a:prstGeom prst="rect">
                      <a:avLst/>
                    </a:prstGeom>
                    <a:noFill/>
                    <a:ln>
                      <a:noFill/>
                    </a:ln>
                    <a:extLst>
                      <a:ext uri="{53640926-AAD7-44D8-BBD7-CCE9431645EC}">
                        <a14:shadowObscured xmlns:a14="http://schemas.microsoft.com/office/drawing/2010/main"/>
                      </a:ext>
                    </a:extLst>
                  </pic:spPr>
                </pic:pic>
              </a:graphicData>
            </a:graphic>
          </wp:inline>
        </w:drawing>
      </w:r>
    </w:p>
    <w:p w:rsidR="00D244F0" w:rsidRDefault="00D244F0" w:rsidP="00D244F0">
      <w:pPr>
        <w:spacing w:after="0" w:line="80" w:lineRule="atLeast"/>
        <w:jc w:val="cente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4B9AC5C0" wp14:editId="0BA146FF">
            <wp:extent cx="1053458" cy="191729"/>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6088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b/>
          <w:noProof/>
          <w:color w:val="004855" w:themeColor="text1"/>
          <w:sz w:val="22"/>
          <w:szCs w:val="22"/>
          <w:lang w:eastAsia="en-AU"/>
        </w:rPr>
        <w:drawing>
          <wp:inline distT="0" distB="0" distL="0" distR="0" wp14:anchorId="452D5BDC" wp14:editId="7829DBBD">
            <wp:extent cx="1053458" cy="191729"/>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87" b="4016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p>
    <w:p w:rsidR="00A646A1" w:rsidRDefault="00A646A1" w:rsidP="00A646A1">
      <w:pPr>
        <w:jc w:val="center"/>
        <w:rPr>
          <w:rFonts w:ascii="Georgia" w:hAnsi="Georgia" w:cs="Arial"/>
          <w:b/>
          <w:color w:val="004855" w:themeColor="text1"/>
          <w:sz w:val="22"/>
          <w:szCs w:val="22"/>
          <w:lang w:val="en-US"/>
        </w:rPr>
      </w:pPr>
    </w:p>
    <w:p w:rsidR="00920FF9" w:rsidRPr="001567F7" w:rsidRDefault="00920FF9" w:rsidP="00920FF9">
      <w:pPr>
        <w:rPr>
          <w:rFonts w:ascii="Georgia" w:hAnsi="Georgia" w:cs="Arial"/>
          <w:b/>
          <w:color w:val="004855" w:themeColor="text1"/>
          <w:sz w:val="20"/>
          <w:szCs w:val="20"/>
          <w:lang w:val="en-US"/>
        </w:rPr>
      </w:pPr>
      <w:r w:rsidRPr="001567F7">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8</w:t>
      </w:r>
      <w:r w:rsidRPr="001567F7">
        <w:rPr>
          <w:rFonts w:ascii="Georgia" w:hAnsi="Georgia" w:cs="Arial"/>
          <w:b/>
          <w:color w:val="004855" w:themeColor="text1"/>
          <w:sz w:val="20"/>
          <w:szCs w:val="20"/>
          <w:lang w:val="en-US"/>
        </w:rPr>
        <w:t>: Employee benefits</w:t>
      </w:r>
      <w:r w:rsidR="006C4591" w:rsidRPr="001567F7">
        <w:rPr>
          <w:rFonts w:ascii="Georgia" w:hAnsi="Georgia" w:cs="Arial"/>
          <w:b/>
          <w:color w:val="004855" w:themeColor="text1"/>
          <w:sz w:val="20"/>
          <w:szCs w:val="20"/>
          <w:lang w:val="en-US"/>
        </w:rPr>
        <w:t xml:space="preserve"> ratio</w:t>
      </w:r>
      <w:r w:rsidRPr="001567F7">
        <w:rPr>
          <w:rFonts w:ascii="Georgia" w:hAnsi="Georgia" w:cs="Arial"/>
          <w:b/>
          <w:color w:val="004855" w:themeColor="text1"/>
          <w:sz w:val="20"/>
          <w:szCs w:val="20"/>
          <w:lang w:val="en-US"/>
        </w:rPr>
        <w:t xml:space="preserve"> range, by provider </w:t>
      </w:r>
      <w:r w:rsidR="00452500" w:rsidRPr="001567F7">
        <w:rPr>
          <w:rFonts w:ascii="Georgia" w:hAnsi="Georgia" w:cs="Arial"/>
          <w:b/>
          <w:color w:val="004855" w:themeColor="text1"/>
          <w:sz w:val="20"/>
          <w:szCs w:val="20"/>
          <w:lang w:val="en-US"/>
        </w:rPr>
        <w:t>type</w:t>
      </w:r>
    </w:p>
    <w:tbl>
      <w:tblPr>
        <w:tblW w:w="5061" w:type="pct"/>
        <w:tblLook w:val="04A0" w:firstRow="1" w:lastRow="0" w:firstColumn="1" w:lastColumn="0" w:noHBand="0" w:noVBand="1"/>
      </w:tblPr>
      <w:tblGrid>
        <w:gridCol w:w="2288"/>
        <w:gridCol w:w="1451"/>
        <w:gridCol w:w="1511"/>
        <w:gridCol w:w="1430"/>
        <w:gridCol w:w="10"/>
        <w:gridCol w:w="1548"/>
        <w:gridCol w:w="1451"/>
      </w:tblGrid>
      <w:tr w:rsidR="00251C81" w:rsidRPr="00797118" w:rsidTr="00CA13B2">
        <w:trPr>
          <w:trHeight w:val="300"/>
        </w:trPr>
        <w:tc>
          <w:tcPr>
            <w:tcW w:w="1180" w:type="pct"/>
            <w:tcBorders>
              <w:top w:val="nil"/>
              <w:left w:val="nil"/>
              <w:bottom w:val="single" w:sz="4" w:space="0" w:color="366092"/>
              <w:right w:val="nil"/>
            </w:tcBorders>
            <w:shd w:val="clear" w:color="auto" w:fill="004855"/>
            <w:noWrap/>
            <w:vAlign w:val="center"/>
            <w:hideMark/>
          </w:tcPr>
          <w:p w:rsidR="00251C81" w:rsidRPr="00797118" w:rsidRDefault="00251C81" w:rsidP="00C86061">
            <w:pPr>
              <w:spacing w:after="0"/>
              <w:rPr>
                <w:rFonts w:asciiTheme="minorHAnsi" w:hAnsiTheme="minorHAnsi" w:cstheme="minorHAnsi"/>
                <w:b/>
                <w:sz w:val="20"/>
                <w:szCs w:val="20"/>
              </w:rPr>
            </w:pPr>
          </w:p>
        </w:tc>
        <w:tc>
          <w:tcPr>
            <w:tcW w:w="749" w:type="pct"/>
            <w:tcBorders>
              <w:top w:val="nil"/>
              <w:left w:val="nil"/>
              <w:bottom w:val="single" w:sz="4" w:space="0" w:color="366092"/>
              <w:right w:val="nil"/>
            </w:tcBorders>
            <w:shd w:val="clear" w:color="auto" w:fill="004855"/>
            <w:noWrap/>
            <w:vAlign w:val="center"/>
            <w:hideMark/>
          </w:tcPr>
          <w:p w:rsidR="00251C8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80" w:type="pct"/>
            <w:tcBorders>
              <w:top w:val="nil"/>
              <w:left w:val="nil"/>
              <w:bottom w:val="single" w:sz="4" w:space="0" w:color="366092"/>
              <w:right w:val="nil"/>
            </w:tcBorders>
            <w:shd w:val="clear" w:color="auto" w:fill="004855"/>
            <w:vAlign w:val="center"/>
          </w:tcPr>
          <w:p w:rsidR="00251C81" w:rsidRPr="00797118" w:rsidRDefault="00E34B4E" w:rsidP="005C332B">
            <w:pPr>
              <w:spacing w:after="0"/>
              <w:jc w:val="right"/>
              <w:rPr>
                <w:rFonts w:asciiTheme="minorHAnsi" w:hAnsiTheme="minorHAnsi" w:cstheme="minorHAnsi"/>
                <w:b/>
                <w:sz w:val="20"/>
                <w:szCs w:val="20"/>
              </w:rPr>
            </w:pPr>
            <w:r>
              <w:rPr>
                <w:rFonts w:asciiTheme="minorHAnsi" w:hAnsiTheme="minorHAnsi" w:cstheme="minorHAnsi"/>
                <w:b/>
                <w:sz w:val="20"/>
                <w:szCs w:val="20"/>
              </w:rPr>
              <w:t xml:space="preserve">First </w:t>
            </w:r>
            <w:r w:rsidR="00E94E9B">
              <w:rPr>
                <w:rFonts w:asciiTheme="minorHAnsi" w:hAnsiTheme="minorHAnsi" w:cstheme="minorHAnsi"/>
                <w:b/>
                <w:sz w:val="20"/>
                <w:szCs w:val="20"/>
              </w:rPr>
              <w:t>q</w:t>
            </w:r>
            <w:r>
              <w:rPr>
                <w:rFonts w:asciiTheme="minorHAnsi" w:hAnsiTheme="minorHAnsi" w:cstheme="minorHAnsi"/>
                <w:b/>
                <w:sz w:val="20"/>
                <w:szCs w:val="20"/>
              </w:rPr>
              <w:t>uartile</w:t>
            </w:r>
          </w:p>
        </w:tc>
        <w:tc>
          <w:tcPr>
            <w:tcW w:w="743" w:type="pct"/>
            <w:gridSpan w:val="2"/>
            <w:tcBorders>
              <w:top w:val="nil"/>
              <w:left w:val="nil"/>
              <w:bottom w:val="single" w:sz="4" w:space="0" w:color="366092"/>
              <w:right w:val="nil"/>
            </w:tcBorders>
            <w:shd w:val="clear" w:color="auto" w:fill="004855"/>
            <w:noWrap/>
            <w:vAlign w:val="center"/>
          </w:tcPr>
          <w:p w:rsidR="00251C81" w:rsidRPr="00797118" w:rsidRDefault="00251C81"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tcBorders>
              <w:top w:val="nil"/>
              <w:left w:val="nil"/>
              <w:bottom w:val="single" w:sz="4" w:space="0" w:color="366092"/>
              <w:right w:val="nil"/>
            </w:tcBorders>
            <w:shd w:val="clear" w:color="auto" w:fill="004855"/>
            <w:noWrap/>
            <w:vAlign w:val="center"/>
          </w:tcPr>
          <w:p w:rsidR="00251C81" w:rsidRPr="00797118" w:rsidRDefault="00ED5A3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50" w:type="pct"/>
            <w:tcBorders>
              <w:top w:val="nil"/>
              <w:left w:val="nil"/>
              <w:bottom w:val="single" w:sz="4" w:space="0" w:color="366092"/>
              <w:right w:val="nil"/>
            </w:tcBorders>
            <w:shd w:val="clear" w:color="auto" w:fill="004855"/>
            <w:vAlign w:val="center"/>
          </w:tcPr>
          <w:p w:rsidR="00251C8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D54798" w:rsidRPr="00797118" w:rsidTr="00CA13B2">
        <w:trPr>
          <w:trHeight w:val="300"/>
        </w:trPr>
        <w:tc>
          <w:tcPr>
            <w:tcW w:w="1180" w:type="pct"/>
            <w:tcBorders>
              <w:top w:val="nil"/>
              <w:left w:val="nil"/>
              <w:bottom w:val="single" w:sz="4" w:space="0" w:color="366092"/>
              <w:right w:val="nil"/>
            </w:tcBorders>
            <w:shd w:val="clear" w:color="auto" w:fill="auto"/>
            <w:noWrap/>
            <w:vAlign w:val="center"/>
            <w:hideMark/>
          </w:tcPr>
          <w:p w:rsidR="00D54798" w:rsidRPr="00797118" w:rsidRDefault="00D54798" w:rsidP="00C86061">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749" w:type="pct"/>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13.2%</w:t>
            </w:r>
          </w:p>
        </w:tc>
        <w:tc>
          <w:tcPr>
            <w:tcW w:w="780"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53.3%</w:t>
            </w:r>
          </w:p>
        </w:tc>
        <w:tc>
          <w:tcPr>
            <w:tcW w:w="738"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56.7%</w:t>
            </w:r>
          </w:p>
        </w:tc>
        <w:tc>
          <w:tcPr>
            <w:tcW w:w="804" w:type="pct"/>
            <w:gridSpan w:val="2"/>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58.8%</w:t>
            </w:r>
          </w:p>
        </w:tc>
        <w:tc>
          <w:tcPr>
            <w:tcW w:w="750" w:type="pct"/>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83.9%</w:t>
            </w:r>
          </w:p>
        </w:tc>
      </w:tr>
      <w:tr w:rsidR="0059716E" w:rsidRPr="00797118" w:rsidTr="0059716E">
        <w:trPr>
          <w:trHeight w:val="300"/>
        </w:trPr>
        <w:tc>
          <w:tcPr>
            <w:tcW w:w="1180" w:type="pct"/>
            <w:tcBorders>
              <w:top w:val="nil"/>
              <w:left w:val="nil"/>
              <w:bottom w:val="single" w:sz="4" w:space="0" w:color="366092"/>
              <w:right w:val="nil"/>
            </w:tcBorders>
            <w:shd w:val="clear" w:color="auto" w:fill="auto"/>
            <w:noWrap/>
            <w:vAlign w:val="center"/>
            <w:hideMark/>
          </w:tcPr>
          <w:p w:rsidR="0059716E" w:rsidRPr="00797118" w:rsidRDefault="0059716E"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749" w:type="pct"/>
            <w:tcBorders>
              <w:top w:val="nil"/>
              <w:left w:val="nil"/>
              <w:bottom w:val="single" w:sz="4" w:space="0" w:color="366092"/>
              <w:right w:val="nil"/>
            </w:tcBorders>
            <w:vAlign w:val="bottom"/>
          </w:tcPr>
          <w:p w:rsidR="0059716E" w:rsidRPr="00D54798" w:rsidRDefault="0059716E"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54.0%</w:t>
            </w:r>
          </w:p>
        </w:tc>
        <w:tc>
          <w:tcPr>
            <w:tcW w:w="780" w:type="pct"/>
            <w:tcBorders>
              <w:top w:val="nil"/>
              <w:left w:val="nil"/>
              <w:bottom w:val="single" w:sz="4" w:space="0" w:color="366092"/>
              <w:right w:val="nil"/>
            </w:tcBorders>
            <w:shd w:val="clear" w:color="auto" w:fill="auto"/>
            <w:noWrap/>
            <w:vAlign w:val="bottom"/>
          </w:tcPr>
          <w:p w:rsidR="0059716E" w:rsidRPr="00D54798" w:rsidRDefault="0059716E"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60.3%</w:t>
            </w:r>
          </w:p>
        </w:tc>
        <w:tc>
          <w:tcPr>
            <w:tcW w:w="738" w:type="pct"/>
            <w:tcBorders>
              <w:top w:val="nil"/>
              <w:left w:val="nil"/>
              <w:bottom w:val="single" w:sz="4" w:space="0" w:color="366092"/>
              <w:right w:val="nil"/>
            </w:tcBorders>
            <w:shd w:val="clear" w:color="auto" w:fill="auto"/>
            <w:noWrap/>
            <w:vAlign w:val="bottom"/>
          </w:tcPr>
          <w:p w:rsidR="0059716E" w:rsidRPr="00D54798" w:rsidRDefault="0059716E"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69.1%</w:t>
            </w:r>
          </w:p>
        </w:tc>
        <w:tc>
          <w:tcPr>
            <w:tcW w:w="804" w:type="pct"/>
            <w:gridSpan w:val="2"/>
            <w:tcBorders>
              <w:top w:val="nil"/>
              <w:left w:val="nil"/>
              <w:bottom w:val="single" w:sz="4" w:space="0" w:color="366092"/>
              <w:right w:val="nil"/>
            </w:tcBorders>
            <w:shd w:val="clear" w:color="auto" w:fill="auto"/>
            <w:noWrap/>
            <w:vAlign w:val="bottom"/>
          </w:tcPr>
          <w:p w:rsidR="0059716E" w:rsidRPr="00D54798" w:rsidRDefault="0059716E"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7</w:t>
            </w:r>
            <w:r>
              <w:rPr>
                <w:rFonts w:asciiTheme="minorHAnsi" w:hAnsiTheme="minorHAnsi" w:cstheme="minorHAnsi"/>
                <w:sz w:val="20"/>
                <w:szCs w:val="20"/>
              </w:rPr>
              <w:t>1</w:t>
            </w:r>
            <w:r w:rsidRPr="00D54798">
              <w:rPr>
                <w:rFonts w:asciiTheme="minorHAnsi" w:hAnsiTheme="minorHAnsi" w:cstheme="minorHAnsi"/>
                <w:sz w:val="20"/>
                <w:szCs w:val="20"/>
              </w:rPr>
              <w:t>.9%</w:t>
            </w:r>
          </w:p>
        </w:tc>
        <w:tc>
          <w:tcPr>
            <w:tcW w:w="750" w:type="pct"/>
            <w:tcBorders>
              <w:top w:val="nil"/>
              <w:left w:val="nil"/>
              <w:bottom w:val="single" w:sz="4" w:space="0" w:color="366092"/>
              <w:right w:val="nil"/>
            </w:tcBorders>
            <w:vAlign w:val="bottom"/>
          </w:tcPr>
          <w:p w:rsidR="0059716E" w:rsidRPr="00D54798" w:rsidRDefault="0059716E" w:rsidP="0089015D">
            <w:pPr>
              <w:spacing w:after="0"/>
              <w:jc w:val="right"/>
              <w:rPr>
                <w:rFonts w:asciiTheme="minorHAnsi" w:hAnsiTheme="minorHAnsi" w:cstheme="minorHAnsi"/>
                <w:sz w:val="20"/>
                <w:szCs w:val="20"/>
              </w:rPr>
            </w:pPr>
            <w:r w:rsidRPr="00D54798">
              <w:rPr>
                <w:rFonts w:asciiTheme="minorHAnsi" w:hAnsiTheme="minorHAnsi" w:cstheme="minorHAnsi"/>
                <w:sz w:val="20"/>
                <w:szCs w:val="20"/>
              </w:rPr>
              <w:t>85.3%</w:t>
            </w:r>
          </w:p>
        </w:tc>
      </w:tr>
      <w:tr w:rsidR="00D54798" w:rsidRPr="00797118" w:rsidTr="00CA13B2">
        <w:trPr>
          <w:trHeight w:val="300"/>
        </w:trPr>
        <w:tc>
          <w:tcPr>
            <w:tcW w:w="1180" w:type="pct"/>
            <w:tcBorders>
              <w:top w:val="nil"/>
              <w:left w:val="nil"/>
              <w:bottom w:val="single" w:sz="4" w:space="0" w:color="366092"/>
              <w:right w:val="nil"/>
            </w:tcBorders>
            <w:shd w:val="clear" w:color="auto" w:fill="auto"/>
            <w:noWrap/>
            <w:vAlign w:val="center"/>
            <w:hideMark/>
          </w:tcPr>
          <w:p w:rsidR="00D54798" w:rsidRPr="00296D08" w:rsidRDefault="00CF3E1F" w:rsidP="00C86061">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49" w:type="pct"/>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0.0%</w:t>
            </w:r>
          </w:p>
        </w:tc>
        <w:tc>
          <w:tcPr>
            <w:tcW w:w="780"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22.2%</w:t>
            </w:r>
          </w:p>
        </w:tc>
        <w:tc>
          <w:tcPr>
            <w:tcW w:w="738"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36.6%</w:t>
            </w:r>
          </w:p>
        </w:tc>
        <w:tc>
          <w:tcPr>
            <w:tcW w:w="804" w:type="pct"/>
            <w:gridSpan w:val="2"/>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46.0%</w:t>
            </w:r>
          </w:p>
        </w:tc>
        <w:tc>
          <w:tcPr>
            <w:tcW w:w="750" w:type="pct"/>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63.3%</w:t>
            </w:r>
          </w:p>
        </w:tc>
      </w:tr>
      <w:tr w:rsidR="00D54798" w:rsidRPr="00797118" w:rsidTr="00CA13B2">
        <w:trPr>
          <w:trHeight w:val="300"/>
        </w:trPr>
        <w:tc>
          <w:tcPr>
            <w:tcW w:w="1180" w:type="pct"/>
            <w:tcBorders>
              <w:top w:val="nil"/>
              <w:left w:val="nil"/>
              <w:bottom w:val="single" w:sz="4" w:space="0" w:color="366092"/>
              <w:right w:val="nil"/>
            </w:tcBorders>
            <w:shd w:val="clear" w:color="auto" w:fill="auto"/>
            <w:noWrap/>
            <w:vAlign w:val="center"/>
            <w:hideMark/>
          </w:tcPr>
          <w:p w:rsidR="00D54798" w:rsidRPr="00296D08" w:rsidRDefault="00CF3E1F" w:rsidP="00C86061">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49" w:type="pct"/>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19.2%</w:t>
            </w:r>
          </w:p>
        </w:tc>
        <w:tc>
          <w:tcPr>
            <w:tcW w:w="780"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43.0%</w:t>
            </w:r>
          </w:p>
        </w:tc>
        <w:tc>
          <w:tcPr>
            <w:tcW w:w="738" w:type="pct"/>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56.0%</w:t>
            </w:r>
          </w:p>
        </w:tc>
        <w:tc>
          <w:tcPr>
            <w:tcW w:w="804" w:type="pct"/>
            <w:gridSpan w:val="2"/>
            <w:tcBorders>
              <w:top w:val="nil"/>
              <w:left w:val="nil"/>
              <w:bottom w:val="single" w:sz="4" w:space="0" w:color="366092"/>
              <w:right w:val="nil"/>
            </w:tcBorders>
            <w:shd w:val="clear" w:color="auto" w:fill="auto"/>
            <w:noWrap/>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65.3%</w:t>
            </w:r>
          </w:p>
        </w:tc>
        <w:tc>
          <w:tcPr>
            <w:tcW w:w="750" w:type="pct"/>
            <w:tcBorders>
              <w:top w:val="nil"/>
              <w:left w:val="nil"/>
              <w:bottom w:val="single" w:sz="4" w:space="0" w:color="366092"/>
              <w:right w:val="nil"/>
            </w:tcBorders>
            <w:vAlign w:val="bottom"/>
          </w:tcPr>
          <w:p w:rsidR="00D54798" w:rsidRPr="00D54798" w:rsidRDefault="00D54798"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83.7%</w:t>
            </w:r>
          </w:p>
        </w:tc>
      </w:tr>
      <w:tr w:rsidR="00D54798" w:rsidRPr="002922C1" w:rsidTr="00CA13B2">
        <w:trPr>
          <w:trHeight w:val="300"/>
        </w:trPr>
        <w:tc>
          <w:tcPr>
            <w:tcW w:w="1180" w:type="pct"/>
            <w:tcBorders>
              <w:top w:val="single" w:sz="4" w:space="0" w:color="366092"/>
              <w:left w:val="nil"/>
              <w:bottom w:val="single" w:sz="4" w:space="0" w:color="366092"/>
              <w:right w:val="nil"/>
            </w:tcBorders>
            <w:shd w:val="clear" w:color="000000" w:fill="E5F6F6"/>
            <w:noWrap/>
            <w:vAlign w:val="center"/>
            <w:hideMark/>
          </w:tcPr>
          <w:p w:rsidR="00D54798" w:rsidRPr="002922C1" w:rsidRDefault="00456661" w:rsidP="00C86061">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9" w:type="pct"/>
            <w:tcBorders>
              <w:top w:val="single" w:sz="4" w:space="0" w:color="366092"/>
              <w:left w:val="nil"/>
              <w:bottom w:val="single" w:sz="4" w:space="0" w:color="366092"/>
              <w:right w:val="nil"/>
            </w:tcBorders>
            <w:shd w:val="clear" w:color="000000" w:fill="E5F6F6"/>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780" w:type="pct"/>
            <w:tcBorders>
              <w:top w:val="single" w:sz="4" w:space="0" w:color="366092"/>
              <w:left w:val="nil"/>
              <w:bottom w:val="single" w:sz="4" w:space="0" w:color="366092"/>
              <w:right w:val="nil"/>
            </w:tcBorders>
            <w:shd w:val="clear" w:color="000000" w:fill="E5F6F6"/>
            <w:noWrap/>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37.7%</w:t>
            </w:r>
          </w:p>
        </w:tc>
        <w:tc>
          <w:tcPr>
            <w:tcW w:w="738" w:type="pct"/>
            <w:tcBorders>
              <w:top w:val="single" w:sz="4" w:space="0" w:color="366092"/>
              <w:left w:val="nil"/>
              <w:bottom w:val="single" w:sz="4" w:space="0" w:color="366092"/>
              <w:right w:val="nil"/>
            </w:tcBorders>
            <w:shd w:val="clear" w:color="000000" w:fill="E5F6F6"/>
            <w:noWrap/>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51.8%</w:t>
            </w:r>
          </w:p>
        </w:tc>
        <w:tc>
          <w:tcPr>
            <w:tcW w:w="804" w:type="pct"/>
            <w:gridSpan w:val="2"/>
            <w:tcBorders>
              <w:top w:val="single" w:sz="4" w:space="0" w:color="366092"/>
              <w:left w:val="nil"/>
              <w:bottom w:val="single" w:sz="4" w:space="0" w:color="366092"/>
              <w:right w:val="nil"/>
            </w:tcBorders>
            <w:shd w:val="clear" w:color="000000" w:fill="E5F6F6"/>
            <w:noWrap/>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59.1%</w:t>
            </w:r>
          </w:p>
        </w:tc>
        <w:tc>
          <w:tcPr>
            <w:tcW w:w="750" w:type="pct"/>
            <w:tcBorders>
              <w:top w:val="single" w:sz="4" w:space="0" w:color="366092"/>
              <w:left w:val="nil"/>
              <w:bottom w:val="single" w:sz="4" w:space="0" w:color="366092"/>
              <w:right w:val="nil"/>
            </w:tcBorders>
            <w:shd w:val="clear" w:color="000000" w:fill="E5F6F6"/>
            <w:vAlign w:val="bottom"/>
          </w:tcPr>
          <w:p w:rsidR="00D54798" w:rsidRPr="002922C1" w:rsidRDefault="00D54798"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85.3%</w:t>
            </w:r>
          </w:p>
        </w:tc>
      </w:tr>
    </w:tbl>
    <w:p w:rsidR="00272672" w:rsidRDefault="00272672" w:rsidP="00272672">
      <w:pPr>
        <w:spacing w:after="0" w:line="240" w:lineRule="auto"/>
        <w:rPr>
          <w:rFonts w:ascii="Arial" w:eastAsiaTheme="minorHAnsi" w:hAnsi="Arial" w:cstheme="minorBidi"/>
          <w:sz w:val="22"/>
          <w:szCs w:val="22"/>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CED" w:themeFill="accent4" w:themeFillTint="66"/>
        <w:tblLook w:val="04A0" w:firstRow="1" w:lastRow="0" w:firstColumn="1" w:lastColumn="0" w:noHBand="0" w:noVBand="1"/>
      </w:tblPr>
      <w:tblGrid>
        <w:gridCol w:w="9640"/>
      </w:tblGrid>
      <w:tr w:rsidR="00272672" w:rsidRPr="00B313C6" w:rsidTr="002F3969">
        <w:tc>
          <w:tcPr>
            <w:tcW w:w="9640" w:type="dxa"/>
            <w:shd w:val="clear" w:color="auto" w:fill="E5ECED" w:themeFill="accent4" w:themeFillTint="66"/>
          </w:tcPr>
          <w:p w:rsidR="00272672" w:rsidRPr="007344DC" w:rsidRDefault="00272672" w:rsidP="007344DC">
            <w:pPr>
              <w:pStyle w:val="ListParagraph"/>
              <w:spacing w:line="100" w:lineRule="atLeast"/>
              <w:ind w:left="357"/>
              <w:rPr>
                <w:rFonts w:ascii="Arial" w:eastAsiaTheme="minorHAnsi" w:hAnsi="Arial" w:cstheme="minorBidi"/>
                <w:sz w:val="8"/>
                <w:szCs w:val="8"/>
              </w:rPr>
            </w:pPr>
          </w:p>
          <w:p w:rsidR="00272672" w:rsidRPr="00B313C6" w:rsidRDefault="00B12533" w:rsidP="00AB40C7">
            <w:pPr>
              <w:pStyle w:val="ListParagraph"/>
              <w:numPr>
                <w:ilvl w:val="0"/>
                <w:numId w:val="16"/>
              </w:numPr>
              <w:rPr>
                <w:rFonts w:ascii="Arial" w:eastAsiaTheme="minorHAnsi" w:hAnsi="Arial" w:cstheme="minorBidi"/>
                <w:sz w:val="22"/>
                <w:szCs w:val="22"/>
              </w:rPr>
            </w:pPr>
            <w:r>
              <w:rPr>
                <w:rFonts w:ascii="Arial" w:eastAsiaTheme="minorHAnsi" w:hAnsi="Arial" w:cstheme="minorBidi"/>
                <w:sz w:val="22"/>
                <w:szCs w:val="22"/>
              </w:rPr>
              <w:t>For-Profit providers had the lowest median EBR (36.6%) in the sector.</w:t>
            </w:r>
          </w:p>
        </w:tc>
      </w:tr>
      <w:tr w:rsidR="00B12533" w:rsidRPr="00B313C6" w:rsidTr="002F3969">
        <w:tc>
          <w:tcPr>
            <w:tcW w:w="9640" w:type="dxa"/>
            <w:shd w:val="clear" w:color="auto" w:fill="E5ECED" w:themeFill="accent4" w:themeFillTint="66"/>
          </w:tcPr>
          <w:p w:rsidR="00B12533" w:rsidRDefault="00B12533" w:rsidP="000F1F1A">
            <w:pPr>
              <w:pStyle w:val="ListParagraph"/>
              <w:numPr>
                <w:ilvl w:val="0"/>
                <w:numId w:val="16"/>
              </w:numPr>
              <w:rPr>
                <w:rFonts w:ascii="Arial" w:eastAsiaTheme="minorHAnsi" w:hAnsi="Arial" w:cstheme="minorBidi"/>
                <w:sz w:val="22"/>
                <w:szCs w:val="22"/>
              </w:rPr>
            </w:pPr>
            <w:r>
              <w:rPr>
                <w:rFonts w:ascii="Arial" w:eastAsiaTheme="minorHAnsi" w:hAnsi="Arial" w:cstheme="minorBidi"/>
                <w:sz w:val="22"/>
                <w:szCs w:val="22"/>
              </w:rPr>
              <w:t>Not-For-Profit, TAFEs and Universities all had median EBRs above the sector median of 51.8%.</w:t>
            </w:r>
          </w:p>
        </w:tc>
      </w:tr>
      <w:tr w:rsidR="00272672" w:rsidRPr="00B313C6" w:rsidTr="002F3969">
        <w:tc>
          <w:tcPr>
            <w:tcW w:w="9640" w:type="dxa"/>
            <w:shd w:val="clear" w:color="auto" w:fill="E5ECED" w:themeFill="accent4" w:themeFillTint="66"/>
          </w:tcPr>
          <w:p w:rsidR="00272672" w:rsidRPr="003B6D8C" w:rsidRDefault="00B12533">
            <w:pPr>
              <w:pStyle w:val="ListParagraph"/>
              <w:numPr>
                <w:ilvl w:val="0"/>
                <w:numId w:val="16"/>
              </w:numPr>
              <w:rPr>
                <w:rFonts w:ascii="Arial" w:eastAsiaTheme="minorHAnsi" w:hAnsi="Arial" w:cstheme="minorBidi"/>
                <w:sz w:val="22"/>
                <w:szCs w:val="22"/>
              </w:rPr>
            </w:pPr>
            <w:r>
              <w:rPr>
                <w:rFonts w:ascii="Arial" w:eastAsiaTheme="minorHAnsi" w:hAnsi="Arial" w:cstheme="minorBidi"/>
                <w:sz w:val="22"/>
                <w:szCs w:val="22"/>
              </w:rPr>
              <w:t>Not-For-Profit and TAFE providers comprised the majority of providers with the highest EBR.</w:t>
            </w:r>
          </w:p>
        </w:tc>
      </w:tr>
      <w:tr w:rsidR="00272672" w:rsidRPr="00B313C6" w:rsidTr="002F3969">
        <w:tc>
          <w:tcPr>
            <w:tcW w:w="9640" w:type="dxa"/>
            <w:shd w:val="clear" w:color="auto" w:fill="E5ECED" w:themeFill="accent4" w:themeFillTint="66"/>
          </w:tcPr>
          <w:p w:rsidR="00B12533" w:rsidRPr="003B6D8C" w:rsidRDefault="00B12533" w:rsidP="003B6D8C">
            <w:pPr>
              <w:spacing w:after="0" w:line="0" w:lineRule="atLeast"/>
              <w:rPr>
                <w:sz w:val="16"/>
                <w:szCs w:val="16"/>
              </w:rPr>
            </w:pPr>
          </w:p>
          <w:p w:rsidR="00272672" w:rsidRPr="00B313C6" w:rsidRDefault="00366FFD" w:rsidP="00A92B8F">
            <w:pPr>
              <w:pStyle w:val="ListParagraph"/>
              <w:numPr>
                <w:ilvl w:val="0"/>
                <w:numId w:val="16"/>
              </w:numPr>
              <w:spacing w:before="120" w:after="0"/>
              <w:ind w:left="357" w:hanging="357"/>
            </w:pPr>
            <w:r>
              <w:rPr>
                <w:rFonts w:ascii="Arial" w:eastAsiaTheme="minorHAnsi" w:hAnsi="Arial" w:cstheme="minorBidi"/>
                <w:sz w:val="22"/>
                <w:szCs w:val="22"/>
              </w:rPr>
              <w:lastRenderedPageBreak/>
              <w:t xml:space="preserve">All </w:t>
            </w:r>
            <w:r w:rsidR="00DC28B1">
              <w:rPr>
                <w:rFonts w:ascii="Arial" w:eastAsiaTheme="minorHAnsi" w:hAnsi="Arial" w:cstheme="minorBidi"/>
                <w:sz w:val="22"/>
                <w:szCs w:val="22"/>
              </w:rPr>
              <w:t>provider</w:t>
            </w:r>
            <w:r>
              <w:rPr>
                <w:rFonts w:ascii="Arial" w:eastAsiaTheme="minorHAnsi" w:hAnsi="Arial" w:cstheme="minorBidi"/>
                <w:sz w:val="22"/>
                <w:szCs w:val="22"/>
              </w:rPr>
              <w:t xml:space="preserve"> types experienced an increase in the median EBR compared </w:t>
            </w:r>
            <w:r w:rsidR="00A92B8F">
              <w:rPr>
                <w:rFonts w:ascii="Arial" w:eastAsiaTheme="minorHAnsi" w:hAnsi="Arial" w:cstheme="minorBidi"/>
                <w:sz w:val="22"/>
                <w:szCs w:val="22"/>
              </w:rPr>
              <w:t>with</w:t>
            </w:r>
            <w:r>
              <w:rPr>
                <w:rFonts w:ascii="Arial" w:eastAsiaTheme="minorHAnsi" w:hAnsi="Arial" w:cstheme="minorBidi"/>
                <w:sz w:val="22"/>
                <w:szCs w:val="22"/>
              </w:rPr>
              <w:t xml:space="preserve"> 2014</w:t>
            </w:r>
            <w:r w:rsidR="00F83793">
              <w:rPr>
                <w:rFonts w:ascii="Arial" w:eastAsiaTheme="minorHAnsi" w:hAnsi="Arial" w:cstheme="minorBidi"/>
                <w:sz w:val="22"/>
                <w:szCs w:val="22"/>
              </w:rPr>
              <w:t xml:space="preserve"> except for For-Profit</w:t>
            </w:r>
            <w:r>
              <w:rPr>
                <w:rFonts w:ascii="Arial" w:eastAsiaTheme="minorHAnsi" w:hAnsi="Arial" w:cstheme="minorBidi"/>
                <w:sz w:val="22"/>
                <w:szCs w:val="22"/>
              </w:rPr>
              <w:t xml:space="preserve"> providers</w:t>
            </w:r>
            <w:r w:rsidR="00F83793">
              <w:rPr>
                <w:rFonts w:ascii="Arial" w:eastAsiaTheme="minorHAnsi" w:hAnsi="Arial" w:cstheme="minorBidi"/>
                <w:sz w:val="22"/>
                <w:szCs w:val="22"/>
              </w:rPr>
              <w:t xml:space="preserve">: </w:t>
            </w:r>
          </w:p>
        </w:tc>
      </w:tr>
      <w:tr w:rsidR="00272672" w:rsidRPr="00B313C6" w:rsidTr="002F3969">
        <w:tc>
          <w:tcPr>
            <w:tcW w:w="9640" w:type="dxa"/>
            <w:shd w:val="clear" w:color="auto" w:fill="E5ECED" w:themeFill="accent4" w:themeFillTint="66"/>
          </w:tcPr>
          <w:p w:rsidR="00272672" w:rsidRPr="00B313C6" w:rsidRDefault="00272672" w:rsidP="000F1F1A">
            <w:pPr>
              <w:pStyle w:val="ListParagraph"/>
              <w:numPr>
                <w:ilvl w:val="0"/>
                <w:numId w:val="26"/>
              </w:numPr>
              <w:spacing w:after="0"/>
              <w:ind w:left="774" w:hanging="425"/>
            </w:pPr>
            <w:r w:rsidRPr="00B313C6">
              <w:rPr>
                <w:rFonts w:ascii="Arial" w:eastAsiaTheme="minorHAnsi" w:hAnsi="Arial" w:cstheme="minorBidi"/>
                <w:sz w:val="22"/>
                <w:szCs w:val="22"/>
              </w:rPr>
              <w:lastRenderedPageBreak/>
              <w:t>Universities: 56.7% (2014: 55.2%)</w:t>
            </w:r>
          </w:p>
        </w:tc>
      </w:tr>
      <w:tr w:rsidR="00272672" w:rsidRPr="00B313C6" w:rsidTr="002F3969">
        <w:tc>
          <w:tcPr>
            <w:tcW w:w="9640" w:type="dxa"/>
            <w:shd w:val="clear" w:color="auto" w:fill="E5ECED" w:themeFill="accent4" w:themeFillTint="66"/>
          </w:tcPr>
          <w:p w:rsidR="00665D86" w:rsidRPr="003B6D8C" w:rsidRDefault="00665D86" w:rsidP="000F1F1A">
            <w:pPr>
              <w:pStyle w:val="ListParagraph"/>
              <w:numPr>
                <w:ilvl w:val="0"/>
                <w:numId w:val="26"/>
              </w:numPr>
              <w:spacing w:after="0"/>
              <w:ind w:left="774" w:hanging="425"/>
            </w:pPr>
            <w:r w:rsidRPr="00B313C6">
              <w:rPr>
                <w:rFonts w:ascii="Arial" w:eastAsiaTheme="minorHAnsi" w:hAnsi="Arial" w:cstheme="minorBidi"/>
                <w:sz w:val="22"/>
                <w:szCs w:val="22"/>
              </w:rPr>
              <w:t>TAFE</w:t>
            </w:r>
            <w:r>
              <w:rPr>
                <w:rFonts w:ascii="Arial" w:eastAsiaTheme="minorHAnsi" w:hAnsi="Arial" w:cstheme="minorBidi"/>
                <w:sz w:val="22"/>
                <w:szCs w:val="22"/>
              </w:rPr>
              <w:t>:</w:t>
            </w:r>
            <w:r w:rsidRPr="00B313C6">
              <w:rPr>
                <w:rFonts w:ascii="Arial" w:eastAsiaTheme="minorHAnsi" w:hAnsi="Arial" w:cstheme="minorBidi"/>
                <w:sz w:val="22"/>
                <w:szCs w:val="22"/>
              </w:rPr>
              <w:t xml:space="preserve"> 69.1% (2014: 69.0%)</w:t>
            </w:r>
          </w:p>
          <w:p w:rsidR="00272672" w:rsidRPr="003B6D8C" w:rsidRDefault="00272672" w:rsidP="000F1F1A">
            <w:pPr>
              <w:pStyle w:val="ListParagraph"/>
              <w:numPr>
                <w:ilvl w:val="0"/>
                <w:numId w:val="26"/>
              </w:numPr>
              <w:spacing w:after="0"/>
              <w:ind w:left="774" w:hanging="425"/>
            </w:pPr>
            <w:r w:rsidRPr="00B313C6">
              <w:rPr>
                <w:rFonts w:ascii="Arial" w:eastAsiaTheme="minorHAnsi" w:hAnsi="Arial" w:cstheme="minorBidi"/>
                <w:sz w:val="22"/>
                <w:szCs w:val="22"/>
              </w:rPr>
              <w:t>For-Profit: 36.6% (2014: 39.2%)</w:t>
            </w:r>
          </w:p>
          <w:p w:rsidR="00ED315A" w:rsidRPr="00AF31E9" w:rsidRDefault="00ED315A" w:rsidP="000F1F1A">
            <w:pPr>
              <w:pStyle w:val="ListParagraph"/>
              <w:numPr>
                <w:ilvl w:val="0"/>
                <w:numId w:val="26"/>
              </w:numPr>
              <w:spacing w:after="0"/>
              <w:ind w:left="774" w:hanging="425"/>
            </w:pPr>
            <w:r w:rsidRPr="00B313C6">
              <w:rPr>
                <w:rFonts w:ascii="Arial" w:eastAsiaTheme="minorHAnsi" w:hAnsi="Arial" w:cstheme="minorBidi"/>
                <w:sz w:val="22"/>
                <w:szCs w:val="22"/>
              </w:rPr>
              <w:t>Not-For-Profit: 56.0% (2014: 55.0%)</w:t>
            </w:r>
            <w:r>
              <w:rPr>
                <w:rFonts w:ascii="Arial" w:eastAsiaTheme="minorHAnsi" w:hAnsi="Arial" w:cstheme="minorBidi"/>
                <w:sz w:val="22"/>
                <w:szCs w:val="22"/>
              </w:rPr>
              <w:t>.</w:t>
            </w:r>
          </w:p>
          <w:p w:rsidR="005B2131" w:rsidRPr="003B6D8C" w:rsidRDefault="005B2131" w:rsidP="00AF31E9">
            <w:pPr>
              <w:pStyle w:val="ListParagraph"/>
              <w:spacing w:after="0"/>
              <w:ind w:left="774"/>
            </w:pPr>
          </w:p>
          <w:p w:rsidR="00ED315A" w:rsidRPr="003B6D8C" w:rsidRDefault="00ED315A" w:rsidP="003B6D8C">
            <w:pPr>
              <w:pStyle w:val="ListParagraph"/>
              <w:spacing w:after="0" w:line="0" w:lineRule="atLeast"/>
              <w:ind w:left="777"/>
              <w:rPr>
                <w:sz w:val="16"/>
                <w:szCs w:val="16"/>
              </w:rPr>
            </w:pPr>
          </w:p>
        </w:tc>
      </w:tr>
    </w:tbl>
    <w:p w:rsidR="00D40D25" w:rsidRDefault="00D40D25">
      <w:pPr>
        <w:spacing w:after="0" w:line="240" w:lineRule="auto"/>
        <w:rPr>
          <w:rFonts w:ascii="Arial" w:eastAsiaTheme="minorHAnsi" w:hAnsi="Arial" w:cstheme="minorBidi"/>
          <w:sz w:val="22"/>
          <w:szCs w:val="22"/>
        </w:rPr>
      </w:pPr>
    </w:p>
    <w:p w:rsidR="006B582A" w:rsidRDefault="006B582A" w:rsidP="006B582A">
      <w:pPr>
        <w:rPr>
          <w:rFonts w:ascii="Arial" w:eastAsiaTheme="minorHAnsi" w:hAnsi="Arial" w:cstheme="minorBidi"/>
          <w:sz w:val="22"/>
          <w:szCs w:val="22"/>
        </w:rPr>
      </w:pPr>
      <w:r w:rsidRPr="00BD5C55">
        <w:rPr>
          <w:rFonts w:ascii="Arial" w:eastAsiaTheme="minorHAnsi" w:hAnsi="Arial" w:cstheme="minorBidi"/>
          <w:sz w:val="22"/>
          <w:szCs w:val="22"/>
        </w:rPr>
        <w:t xml:space="preserve">Figure </w:t>
      </w:r>
      <w:r>
        <w:rPr>
          <w:rFonts w:ascii="Arial" w:eastAsiaTheme="minorHAnsi" w:hAnsi="Arial" w:cstheme="minorBidi"/>
          <w:sz w:val="22"/>
          <w:szCs w:val="22"/>
        </w:rPr>
        <w:t>11</w:t>
      </w:r>
      <w:r w:rsidRPr="00BD5C55">
        <w:rPr>
          <w:rFonts w:ascii="Arial" w:eastAsiaTheme="minorHAnsi" w:hAnsi="Arial" w:cstheme="minorBidi"/>
          <w:sz w:val="22"/>
          <w:szCs w:val="22"/>
        </w:rPr>
        <w:t xml:space="preserve"> </w:t>
      </w:r>
      <w:r>
        <w:rPr>
          <w:rFonts w:ascii="Arial" w:eastAsiaTheme="minorHAnsi" w:hAnsi="Arial" w:cstheme="minorBidi"/>
          <w:sz w:val="22"/>
          <w:szCs w:val="22"/>
        </w:rPr>
        <w:t xml:space="preserve">depicts the composition of provider types in each quartile, </w:t>
      </w:r>
      <w:r w:rsidRPr="00143E14">
        <w:rPr>
          <w:rFonts w:ascii="Arial" w:eastAsiaTheme="minorHAnsi" w:hAnsi="Arial" w:cstheme="minorBidi"/>
          <w:sz w:val="22"/>
          <w:szCs w:val="22"/>
        </w:rPr>
        <w:t>noting that each quartile consist</w:t>
      </w:r>
      <w:r>
        <w:rPr>
          <w:rFonts w:ascii="Arial" w:eastAsiaTheme="minorHAnsi" w:hAnsi="Arial" w:cstheme="minorBidi"/>
          <w:sz w:val="22"/>
          <w:szCs w:val="22"/>
        </w:rPr>
        <w:t>s of</w:t>
      </w:r>
      <w:r w:rsidRPr="00143E14">
        <w:rPr>
          <w:rFonts w:ascii="Arial" w:eastAsiaTheme="minorHAnsi" w:hAnsi="Arial" w:cstheme="minorBidi"/>
          <w:sz w:val="22"/>
          <w:szCs w:val="22"/>
        </w:rPr>
        <w:t xml:space="preserve"> approximately the same number of providers</w:t>
      </w:r>
      <w:r w:rsidRPr="00BD5C55">
        <w:rPr>
          <w:rFonts w:ascii="Arial" w:eastAsiaTheme="minorHAnsi" w:hAnsi="Arial" w:cstheme="minorBidi"/>
          <w:sz w:val="22"/>
          <w:szCs w:val="22"/>
        </w:rPr>
        <w:t>.</w:t>
      </w:r>
      <w:r>
        <w:rPr>
          <w:rFonts w:ascii="Arial" w:eastAsiaTheme="minorHAnsi" w:hAnsi="Arial" w:cstheme="minorBidi"/>
          <w:sz w:val="22"/>
          <w:szCs w:val="22"/>
        </w:rPr>
        <w:t xml:space="preserve"> </w:t>
      </w:r>
      <w:r w:rsidR="00A81EBD">
        <w:rPr>
          <w:rFonts w:ascii="Arial" w:eastAsiaTheme="minorHAnsi" w:hAnsi="Arial" w:cstheme="minorBidi"/>
          <w:sz w:val="22"/>
          <w:szCs w:val="22"/>
        </w:rPr>
        <w:t xml:space="preserve">The analysis shows that For-Profit providers represent </w:t>
      </w:r>
      <w:r>
        <w:rPr>
          <w:rFonts w:ascii="Arial" w:eastAsiaTheme="minorHAnsi" w:hAnsi="Arial" w:cstheme="minorBidi"/>
          <w:sz w:val="22"/>
          <w:szCs w:val="22"/>
        </w:rPr>
        <w:t xml:space="preserve">75% of the providers in the first quartile (i.e. </w:t>
      </w:r>
      <w:r w:rsidR="00366FFD">
        <w:rPr>
          <w:rFonts w:ascii="Arial" w:eastAsiaTheme="minorHAnsi" w:hAnsi="Arial" w:cstheme="minorBidi"/>
          <w:sz w:val="22"/>
          <w:szCs w:val="22"/>
        </w:rPr>
        <w:t xml:space="preserve">with an </w:t>
      </w:r>
      <w:r w:rsidR="00DC28B1">
        <w:rPr>
          <w:rFonts w:ascii="Arial" w:eastAsiaTheme="minorHAnsi" w:hAnsi="Arial" w:cstheme="minorBidi"/>
          <w:sz w:val="22"/>
          <w:szCs w:val="22"/>
        </w:rPr>
        <w:t>EBR of</w:t>
      </w:r>
      <w:r w:rsidR="00366FFD">
        <w:rPr>
          <w:rFonts w:ascii="Arial" w:eastAsiaTheme="minorHAnsi" w:hAnsi="Arial" w:cstheme="minorBidi"/>
          <w:sz w:val="22"/>
          <w:szCs w:val="22"/>
        </w:rPr>
        <w:t xml:space="preserve"> less than</w:t>
      </w:r>
      <w:r>
        <w:rPr>
          <w:rFonts w:ascii="Arial" w:eastAsiaTheme="minorHAnsi" w:hAnsi="Arial" w:cstheme="minorBidi"/>
          <w:sz w:val="22"/>
          <w:szCs w:val="22"/>
        </w:rPr>
        <w:t xml:space="preserve"> 37.7%). This indicates that For-Profit providers tended to have a lower EBR than </w:t>
      </w:r>
      <w:r w:rsidR="00BA607A">
        <w:rPr>
          <w:rFonts w:ascii="Arial" w:eastAsiaTheme="minorHAnsi" w:hAnsi="Arial" w:cstheme="minorBidi"/>
          <w:sz w:val="22"/>
          <w:szCs w:val="22"/>
        </w:rPr>
        <w:t>u</w:t>
      </w:r>
      <w:r w:rsidR="00F506EC">
        <w:rPr>
          <w:rFonts w:ascii="Arial" w:eastAsiaTheme="minorHAnsi" w:hAnsi="Arial" w:cstheme="minorBidi"/>
          <w:sz w:val="22"/>
          <w:szCs w:val="22"/>
        </w:rPr>
        <w:t>niversities</w:t>
      </w:r>
      <w:r w:rsidR="00A81EBD">
        <w:rPr>
          <w:rFonts w:ascii="Arial" w:eastAsiaTheme="minorHAnsi" w:hAnsi="Arial" w:cstheme="minorBidi"/>
          <w:sz w:val="22"/>
          <w:szCs w:val="22"/>
        </w:rPr>
        <w:t>,</w:t>
      </w:r>
      <w:r>
        <w:rPr>
          <w:rFonts w:ascii="Arial" w:eastAsiaTheme="minorHAnsi" w:hAnsi="Arial" w:cstheme="minorBidi"/>
          <w:sz w:val="22"/>
          <w:szCs w:val="22"/>
        </w:rPr>
        <w:t xml:space="preserve"> which comprised </w:t>
      </w:r>
      <w:r w:rsidR="00F506EC">
        <w:rPr>
          <w:rFonts w:ascii="Arial" w:eastAsiaTheme="minorHAnsi" w:hAnsi="Arial" w:cstheme="minorBidi"/>
          <w:sz w:val="22"/>
          <w:szCs w:val="22"/>
        </w:rPr>
        <w:t>59</w:t>
      </w:r>
      <w:r>
        <w:rPr>
          <w:rFonts w:ascii="Arial" w:eastAsiaTheme="minorHAnsi" w:hAnsi="Arial" w:cstheme="minorBidi"/>
          <w:sz w:val="22"/>
          <w:szCs w:val="22"/>
        </w:rPr>
        <w:t xml:space="preserve">% of the providers in the </w:t>
      </w:r>
      <w:r w:rsidR="00F506EC">
        <w:rPr>
          <w:rFonts w:ascii="Arial" w:eastAsiaTheme="minorHAnsi" w:hAnsi="Arial" w:cstheme="minorBidi"/>
          <w:sz w:val="22"/>
          <w:szCs w:val="22"/>
        </w:rPr>
        <w:t>third</w:t>
      </w:r>
      <w:r>
        <w:rPr>
          <w:rFonts w:ascii="Arial" w:eastAsiaTheme="minorHAnsi" w:hAnsi="Arial" w:cstheme="minorBidi"/>
          <w:sz w:val="22"/>
          <w:szCs w:val="22"/>
        </w:rPr>
        <w:t xml:space="preserve"> quartile which had a</w:t>
      </w:r>
      <w:r w:rsidR="00F506EC">
        <w:rPr>
          <w:rFonts w:ascii="Arial" w:eastAsiaTheme="minorHAnsi" w:hAnsi="Arial" w:cstheme="minorBidi"/>
          <w:sz w:val="22"/>
          <w:szCs w:val="22"/>
        </w:rPr>
        <w:t xml:space="preserve">n EBR </w:t>
      </w:r>
      <w:r w:rsidR="00665D86">
        <w:rPr>
          <w:rFonts w:ascii="Arial" w:eastAsiaTheme="minorHAnsi" w:hAnsi="Arial" w:cstheme="minorBidi"/>
          <w:sz w:val="22"/>
          <w:szCs w:val="22"/>
        </w:rPr>
        <w:t xml:space="preserve">between </w:t>
      </w:r>
      <w:r w:rsidR="00F506EC">
        <w:rPr>
          <w:rFonts w:ascii="Arial" w:eastAsiaTheme="minorHAnsi" w:hAnsi="Arial" w:cstheme="minorBidi"/>
          <w:sz w:val="22"/>
          <w:szCs w:val="22"/>
        </w:rPr>
        <w:t xml:space="preserve">51.8% </w:t>
      </w:r>
      <w:r w:rsidR="00665D86">
        <w:rPr>
          <w:rFonts w:ascii="Arial" w:eastAsiaTheme="minorHAnsi" w:hAnsi="Arial" w:cstheme="minorBidi"/>
          <w:sz w:val="22"/>
          <w:szCs w:val="22"/>
        </w:rPr>
        <w:t>and</w:t>
      </w:r>
      <w:r w:rsidR="00F506EC">
        <w:rPr>
          <w:rFonts w:ascii="Arial" w:eastAsiaTheme="minorHAnsi" w:hAnsi="Arial" w:cstheme="minorBidi"/>
          <w:sz w:val="22"/>
          <w:szCs w:val="22"/>
        </w:rPr>
        <w:t xml:space="preserve"> 59.1%.</w:t>
      </w:r>
      <w:r>
        <w:rPr>
          <w:rFonts w:ascii="Arial" w:eastAsiaTheme="minorHAnsi" w:hAnsi="Arial" w:cstheme="minorBidi"/>
          <w:sz w:val="22"/>
          <w:szCs w:val="22"/>
        </w:rPr>
        <w:t xml:space="preserve"> </w:t>
      </w:r>
    </w:p>
    <w:p w:rsidR="00D40D25" w:rsidRPr="001567F7" w:rsidDel="0024327E" w:rsidRDefault="00D40D25" w:rsidP="00D40D25">
      <w:pPr>
        <w:rPr>
          <w:noProof/>
          <w:sz w:val="20"/>
          <w:szCs w:val="20"/>
          <w:lang w:eastAsia="en-AU"/>
        </w:rPr>
      </w:pPr>
      <w:r w:rsidRPr="00363771" w:rsidDel="0024327E">
        <w:rPr>
          <w:rFonts w:ascii="Georgia" w:hAnsi="Georgia" w:cs="Arial"/>
          <w:b/>
          <w:color w:val="004855" w:themeColor="text1"/>
          <w:sz w:val="20"/>
          <w:szCs w:val="20"/>
          <w:lang w:val="en-US"/>
        </w:rPr>
        <w:t xml:space="preserve">Figure </w:t>
      </w:r>
      <w:r w:rsidR="00E23353" w:rsidRPr="00363771" w:rsidDel="0024327E">
        <w:rPr>
          <w:rFonts w:ascii="Georgia" w:hAnsi="Georgia" w:cs="Arial"/>
          <w:b/>
          <w:color w:val="004855" w:themeColor="text1"/>
          <w:sz w:val="20"/>
          <w:szCs w:val="20"/>
          <w:lang w:val="en-US"/>
        </w:rPr>
        <w:t>1</w:t>
      </w:r>
      <w:r w:rsidR="00D62AA3">
        <w:rPr>
          <w:rFonts w:ascii="Georgia" w:hAnsi="Georgia" w:cs="Arial"/>
          <w:b/>
          <w:color w:val="004855" w:themeColor="text1"/>
          <w:sz w:val="20"/>
          <w:szCs w:val="20"/>
          <w:lang w:val="en-US"/>
        </w:rPr>
        <w:t>1</w:t>
      </w:r>
      <w:r w:rsidRPr="00363771" w:rsidDel="0024327E">
        <w:rPr>
          <w:rFonts w:ascii="Georgia" w:hAnsi="Georgia" w:cs="Arial"/>
          <w:b/>
          <w:color w:val="004855" w:themeColor="text1"/>
          <w:sz w:val="20"/>
          <w:szCs w:val="20"/>
          <w:lang w:val="en-US"/>
        </w:rPr>
        <w:t xml:space="preserve">: Employee benefits ratio, </w:t>
      </w:r>
      <w:r w:rsidR="009C74B1">
        <w:rPr>
          <w:rFonts w:ascii="Georgia" w:hAnsi="Georgia" w:cs="Arial"/>
          <w:b/>
          <w:color w:val="004855" w:themeColor="text1"/>
          <w:sz w:val="20"/>
          <w:szCs w:val="20"/>
          <w:lang w:val="en-US"/>
        </w:rPr>
        <w:t xml:space="preserve">sector wide </w:t>
      </w:r>
      <w:r w:rsidR="002D0A5B">
        <w:rPr>
          <w:rFonts w:ascii="Georgia" w:hAnsi="Georgia" w:cs="Arial"/>
          <w:b/>
          <w:color w:val="004855" w:themeColor="text1"/>
          <w:sz w:val="20"/>
          <w:szCs w:val="20"/>
          <w:lang w:val="en-US"/>
        </w:rPr>
        <w:t>quartile</w:t>
      </w:r>
      <w:r w:rsidR="0059716E">
        <w:rPr>
          <w:rFonts w:ascii="Georgia" w:hAnsi="Georgia" w:cs="Arial"/>
          <w:b/>
          <w:color w:val="004855" w:themeColor="text1"/>
          <w:sz w:val="20"/>
          <w:szCs w:val="20"/>
          <w:lang w:val="en-US"/>
        </w:rPr>
        <w:t xml:space="preserve"> composition</w:t>
      </w:r>
      <w:r w:rsidR="0072105A" w:rsidRPr="00363771" w:rsidDel="0024327E">
        <w:rPr>
          <w:rFonts w:ascii="Georgia" w:hAnsi="Georgia" w:cs="Arial"/>
          <w:b/>
          <w:color w:val="004855" w:themeColor="text1"/>
          <w:sz w:val="20"/>
          <w:szCs w:val="20"/>
          <w:lang w:val="en-US"/>
        </w:rPr>
        <w:t xml:space="preserve"> </w:t>
      </w:r>
      <w:r w:rsidRPr="00363771" w:rsidDel="0024327E">
        <w:rPr>
          <w:rFonts w:ascii="Georgia" w:hAnsi="Georgia" w:cs="Arial"/>
          <w:b/>
          <w:color w:val="004855" w:themeColor="text1"/>
          <w:sz w:val="20"/>
          <w:szCs w:val="20"/>
          <w:lang w:val="en-US"/>
        </w:rPr>
        <w:t>by provider type</w:t>
      </w:r>
    </w:p>
    <w:p w:rsidR="00D40D25" w:rsidRDefault="00D40D25" w:rsidP="00D40D25">
      <w:pPr>
        <w:pStyle w:val="ListParagraph"/>
        <w:ind w:left="360"/>
        <w:jc w:val="center"/>
        <w:rPr>
          <w:rFonts w:ascii="Arial" w:eastAsiaTheme="minorHAnsi" w:hAnsi="Arial" w:cstheme="minorBidi"/>
          <w:sz w:val="22"/>
          <w:szCs w:val="22"/>
        </w:rPr>
      </w:pPr>
      <w:r>
        <w:rPr>
          <w:noProof/>
          <w:lang w:eastAsia="en-AU"/>
        </w:rPr>
        <w:drawing>
          <wp:inline distT="0" distB="0" distL="0" distR="0" wp14:anchorId="78DFD32C" wp14:editId="3DB54661">
            <wp:extent cx="5447211" cy="3327764"/>
            <wp:effectExtent l="0" t="0" r="0"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CED" w:themeFill="accent4" w:themeFillTint="66"/>
        <w:tblLook w:val="04A0" w:firstRow="1" w:lastRow="0" w:firstColumn="1" w:lastColumn="0" w:noHBand="0" w:noVBand="1"/>
      </w:tblPr>
      <w:tblGrid>
        <w:gridCol w:w="9640"/>
      </w:tblGrid>
      <w:tr w:rsidR="00FA6B80" w:rsidRPr="00B313C6" w:rsidTr="007344DC">
        <w:tc>
          <w:tcPr>
            <w:tcW w:w="9640" w:type="dxa"/>
            <w:shd w:val="clear" w:color="auto" w:fill="E5ECED" w:themeFill="accent4" w:themeFillTint="66"/>
          </w:tcPr>
          <w:p w:rsidR="00F506EC" w:rsidRPr="003B6D8C" w:rsidRDefault="00F506EC" w:rsidP="003B6D8C">
            <w:pPr>
              <w:pStyle w:val="ListParagraph"/>
              <w:ind w:left="360"/>
              <w:rPr>
                <w:rFonts w:ascii="Arial" w:eastAsiaTheme="minorHAnsi" w:hAnsi="Arial" w:cstheme="minorBidi"/>
                <w:sz w:val="16"/>
                <w:szCs w:val="16"/>
              </w:rPr>
            </w:pPr>
          </w:p>
          <w:p w:rsidR="00C13C26" w:rsidRDefault="00F506EC" w:rsidP="00484A70">
            <w:pPr>
              <w:pStyle w:val="ListParagraph"/>
              <w:numPr>
                <w:ilvl w:val="0"/>
                <w:numId w:val="16"/>
              </w:numPr>
              <w:rPr>
                <w:rFonts w:ascii="Arial" w:eastAsiaTheme="minorHAnsi" w:hAnsi="Arial" w:cstheme="minorBidi"/>
                <w:sz w:val="22"/>
                <w:szCs w:val="22"/>
              </w:rPr>
            </w:pPr>
            <w:r>
              <w:rPr>
                <w:rFonts w:ascii="Arial" w:eastAsiaTheme="minorHAnsi" w:hAnsi="Arial" w:cstheme="minorBidi"/>
                <w:sz w:val="22"/>
                <w:szCs w:val="22"/>
              </w:rPr>
              <w:t>A</w:t>
            </w:r>
            <w:r w:rsidR="00C13C26">
              <w:rPr>
                <w:rFonts w:ascii="Arial" w:eastAsiaTheme="minorHAnsi" w:hAnsi="Arial" w:cstheme="minorBidi"/>
                <w:sz w:val="22"/>
                <w:szCs w:val="22"/>
              </w:rPr>
              <w:t xml:space="preserve"> large proportion</w:t>
            </w:r>
            <w:r>
              <w:rPr>
                <w:rFonts w:ascii="Arial" w:eastAsiaTheme="minorHAnsi" w:hAnsi="Arial" w:cstheme="minorBidi"/>
                <w:sz w:val="22"/>
                <w:szCs w:val="22"/>
              </w:rPr>
              <w:t xml:space="preserve"> (75%)</w:t>
            </w:r>
            <w:r w:rsidR="00C13C26">
              <w:rPr>
                <w:rFonts w:ascii="Arial" w:eastAsiaTheme="minorHAnsi" w:hAnsi="Arial" w:cstheme="minorBidi"/>
                <w:sz w:val="22"/>
                <w:szCs w:val="22"/>
              </w:rPr>
              <w:t xml:space="preserve"> of providers in </w:t>
            </w:r>
            <w:r>
              <w:rPr>
                <w:rFonts w:ascii="Arial" w:eastAsiaTheme="minorHAnsi" w:hAnsi="Arial" w:cstheme="minorBidi"/>
                <w:sz w:val="22"/>
                <w:szCs w:val="22"/>
              </w:rPr>
              <w:t>the first quartile</w:t>
            </w:r>
            <w:r w:rsidR="005328FB">
              <w:rPr>
                <w:rFonts w:ascii="Arial" w:eastAsiaTheme="minorHAnsi" w:hAnsi="Arial" w:cstheme="minorBidi"/>
                <w:sz w:val="22"/>
                <w:szCs w:val="22"/>
              </w:rPr>
              <w:t>,</w:t>
            </w:r>
            <w:r>
              <w:rPr>
                <w:rFonts w:ascii="Arial" w:eastAsiaTheme="minorHAnsi" w:hAnsi="Arial" w:cstheme="minorBidi"/>
                <w:sz w:val="22"/>
                <w:szCs w:val="22"/>
              </w:rPr>
              <w:t xml:space="preserve"> with an</w:t>
            </w:r>
            <w:r w:rsidR="00C13C26">
              <w:rPr>
                <w:rFonts w:ascii="Arial" w:eastAsiaTheme="minorHAnsi" w:hAnsi="Arial" w:cstheme="minorBidi"/>
                <w:sz w:val="22"/>
                <w:szCs w:val="22"/>
              </w:rPr>
              <w:t xml:space="preserve"> EBR of less than 37.7%, were For-Profit providers. </w:t>
            </w:r>
            <w:r>
              <w:rPr>
                <w:rFonts w:ascii="Arial" w:eastAsiaTheme="minorHAnsi" w:hAnsi="Arial" w:cstheme="minorBidi"/>
                <w:sz w:val="22"/>
                <w:szCs w:val="22"/>
              </w:rPr>
              <w:t>Furthermore the median EBR recorded by Fo</w:t>
            </w:r>
            <w:r w:rsidR="00366FFD">
              <w:rPr>
                <w:rFonts w:ascii="Arial" w:eastAsiaTheme="minorHAnsi" w:hAnsi="Arial" w:cstheme="minorBidi"/>
                <w:sz w:val="22"/>
                <w:szCs w:val="22"/>
              </w:rPr>
              <w:t>r-P</w:t>
            </w:r>
            <w:r>
              <w:rPr>
                <w:rFonts w:ascii="Arial" w:eastAsiaTheme="minorHAnsi" w:hAnsi="Arial" w:cstheme="minorBidi"/>
                <w:sz w:val="22"/>
                <w:szCs w:val="22"/>
              </w:rPr>
              <w:t>rofit providers has declined from 39.2%</w:t>
            </w:r>
            <w:r w:rsidR="00366FFD">
              <w:rPr>
                <w:rFonts w:ascii="Arial" w:eastAsiaTheme="minorHAnsi" w:hAnsi="Arial" w:cstheme="minorBidi"/>
                <w:sz w:val="22"/>
                <w:szCs w:val="22"/>
              </w:rPr>
              <w:t xml:space="preserve"> in 2014</w:t>
            </w:r>
            <w:r>
              <w:rPr>
                <w:rFonts w:ascii="Arial" w:eastAsiaTheme="minorHAnsi" w:hAnsi="Arial" w:cstheme="minorBidi"/>
                <w:sz w:val="22"/>
                <w:szCs w:val="22"/>
              </w:rPr>
              <w:t xml:space="preserve"> to 36.6%</w:t>
            </w:r>
            <w:r w:rsidR="00366FFD">
              <w:rPr>
                <w:rFonts w:ascii="Arial" w:eastAsiaTheme="minorHAnsi" w:hAnsi="Arial" w:cstheme="minorBidi"/>
                <w:sz w:val="22"/>
                <w:szCs w:val="22"/>
              </w:rPr>
              <w:t xml:space="preserve"> in 2015</w:t>
            </w:r>
            <w:r w:rsidR="005328FB">
              <w:rPr>
                <w:rFonts w:ascii="Arial" w:eastAsiaTheme="minorHAnsi" w:hAnsi="Arial" w:cstheme="minorBidi"/>
                <w:sz w:val="22"/>
                <w:szCs w:val="22"/>
              </w:rPr>
              <w:t>,</w:t>
            </w:r>
            <w:r>
              <w:rPr>
                <w:rFonts w:ascii="Arial" w:eastAsiaTheme="minorHAnsi" w:hAnsi="Arial" w:cstheme="minorBidi"/>
                <w:sz w:val="22"/>
                <w:szCs w:val="22"/>
              </w:rPr>
              <w:t xml:space="preserve"> indicating that staff spending as a proportion of revenue has reduced.</w:t>
            </w:r>
          </w:p>
          <w:p w:rsidR="00FA6B80" w:rsidRPr="00B313C6" w:rsidRDefault="00C13C26" w:rsidP="00F506EC">
            <w:pPr>
              <w:pStyle w:val="ListParagraph"/>
              <w:numPr>
                <w:ilvl w:val="0"/>
                <w:numId w:val="16"/>
              </w:numPr>
              <w:rPr>
                <w:rFonts w:ascii="Arial" w:eastAsiaTheme="minorHAnsi" w:hAnsi="Arial" w:cstheme="minorBidi"/>
                <w:sz w:val="22"/>
                <w:szCs w:val="22"/>
              </w:rPr>
            </w:pPr>
            <w:r>
              <w:rPr>
                <w:rFonts w:ascii="Arial" w:eastAsiaTheme="minorHAnsi" w:hAnsi="Arial" w:cstheme="minorBidi"/>
                <w:sz w:val="22"/>
                <w:szCs w:val="22"/>
              </w:rPr>
              <w:t xml:space="preserve">In comparison, </w:t>
            </w:r>
            <w:r w:rsidR="005328FB">
              <w:rPr>
                <w:rFonts w:ascii="Arial" w:eastAsiaTheme="minorHAnsi" w:hAnsi="Arial" w:cstheme="minorBidi"/>
                <w:sz w:val="22"/>
                <w:szCs w:val="22"/>
              </w:rPr>
              <w:t xml:space="preserve">Figure 11 shows that </w:t>
            </w:r>
            <w:r>
              <w:rPr>
                <w:rFonts w:ascii="Arial" w:eastAsiaTheme="minorHAnsi" w:hAnsi="Arial" w:cstheme="minorBidi"/>
                <w:sz w:val="22"/>
                <w:szCs w:val="22"/>
              </w:rPr>
              <w:t xml:space="preserve">TAFE providers were only found in </w:t>
            </w:r>
            <w:r w:rsidR="00F506EC">
              <w:rPr>
                <w:rFonts w:ascii="Arial" w:eastAsiaTheme="minorHAnsi" w:hAnsi="Arial" w:cstheme="minorBidi"/>
                <w:sz w:val="22"/>
                <w:szCs w:val="22"/>
              </w:rPr>
              <w:t xml:space="preserve">the third and fourth quartiles </w:t>
            </w:r>
            <w:r>
              <w:rPr>
                <w:rFonts w:ascii="Arial" w:eastAsiaTheme="minorHAnsi" w:hAnsi="Arial" w:cstheme="minorBidi"/>
                <w:sz w:val="22"/>
                <w:szCs w:val="22"/>
              </w:rPr>
              <w:t xml:space="preserve">meaning that all TAFE providers </w:t>
            </w:r>
            <w:r w:rsidR="00F506EC">
              <w:rPr>
                <w:rFonts w:ascii="Arial" w:eastAsiaTheme="minorHAnsi" w:hAnsi="Arial" w:cstheme="minorBidi"/>
                <w:sz w:val="22"/>
                <w:szCs w:val="22"/>
              </w:rPr>
              <w:t xml:space="preserve">had an </w:t>
            </w:r>
            <w:r>
              <w:rPr>
                <w:rFonts w:ascii="Arial" w:eastAsiaTheme="minorHAnsi" w:hAnsi="Arial" w:cstheme="minorBidi"/>
                <w:sz w:val="22"/>
                <w:szCs w:val="22"/>
              </w:rPr>
              <w:t xml:space="preserve">EBR </w:t>
            </w:r>
            <w:r w:rsidR="00F506EC">
              <w:rPr>
                <w:rFonts w:ascii="Arial" w:eastAsiaTheme="minorHAnsi" w:hAnsi="Arial" w:cstheme="minorBidi"/>
                <w:sz w:val="22"/>
                <w:szCs w:val="22"/>
              </w:rPr>
              <w:t>above the sector media</w:t>
            </w:r>
            <w:r w:rsidR="00366FFD">
              <w:rPr>
                <w:rFonts w:ascii="Arial" w:eastAsiaTheme="minorHAnsi" w:hAnsi="Arial" w:cstheme="minorBidi"/>
                <w:sz w:val="22"/>
                <w:szCs w:val="22"/>
              </w:rPr>
              <w:t>n</w:t>
            </w:r>
            <w:r w:rsidR="00F506EC">
              <w:rPr>
                <w:rFonts w:ascii="Arial" w:eastAsiaTheme="minorHAnsi" w:hAnsi="Arial" w:cstheme="minorBidi"/>
                <w:sz w:val="22"/>
                <w:szCs w:val="22"/>
              </w:rPr>
              <w:t xml:space="preserve"> of</w:t>
            </w:r>
            <w:r>
              <w:rPr>
                <w:rFonts w:ascii="Arial" w:eastAsiaTheme="minorHAnsi" w:hAnsi="Arial" w:cstheme="minorBidi"/>
                <w:sz w:val="22"/>
                <w:szCs w:val="22"/>
              </w:rPr>
              <w:t xml:space="preserve"> 51.8%.  </w:t>
            </w:r>
          </w:p>
        </w:tc>
      </w:tr>
      <w:tr w:rsidR="00FA6B80" w:rsidRPr="00B313C6" w:rsidTr="007344DC">
        <w:tc>
          <w:tcPr>
            <w:tcW w:w="9640" w:type="dxa"/>
            <w:shd w:val="clear" w:color="auto" w:fill="E5ECED" w:themeFill="accent4" w:themeFillTint="66"/>
          </w:tcPr>
          <w:p w:rsidR="00FA6B80" w:rsidRPr="00B313C6" w:rsidRDefault="00C13C26" w:rsidP="006C4F26">
            <w:pPr>
              <w:pStyle w:val="ListParagraph"/>
              <w:numPr>
                <w:ilvl w:val="0"/>
                <w:numId w:val="16"/>
              </w:numPr>
              <w:spacing w:after="240"/>
              <w:ind w:left="357" w:hanging="357"/>
              <w:rPr>
                <w:rFonts w:ascii="Arial" w:eastAsiaTheme="minorHAnsi" w:hAnsi="Arial" w:cstheme="minorBidi"/>
                <w:sz w:val="22"/>
                <w:szCs w:val="22"/>
              </w:rPr>
            </w:pPr>
            <w:r>
              <w:rPr>
                <w:rFonts w:ascii="Arial" w:eastAsiaTheme="minorHAnsi" w:hAnsi="Arial" w:cstheme="minorBidi"/>
                <w:sz w:val="22"/>
                <w:szCs w:val="22"/>
              </w:rPr>
              <w:t xml:space="preserve">Only 3% of </w:t>
            </w:r>
            <w:r w:rsidR="00450DAD">
              <w:rPr>
                <w:rFonts w:ascii="Arial" w:eastAsiaTheme="minorHAnsi" w:hAnsi="Arial" w:cstheme="minorBidi"/>
                <w:sz w:val="22"/>
                <w:szCs w:val="22"/>
              </w:rPr>
              <w:t>u</w:t>
            </w:r>
            <w:r>
              <w:rPr>
                <w:rFonts w:ascii="Arial" w:eastAsiaTheme="minorHAnsi" w:hAnsi="Arial" w:cstheme="minorBidi"/>
                <w:sz w:val="22"/>
                <w:szCs w:val="22"/>
              </w:rPr>
              <w:t xml:space="preserve">niversities were found in </w:t>
            </w:r>
            <w:r w:rsidR="00F506EC">
              <w:rPr>
                <w:rFonts w:ascii="Arial" w:eastAsiaTheme="minorHAnsi" w:hAnsi="Arial" w:cstheme="minorBidi"/>
                <w:sz w:val="22"/>
                <w:szCs w:val="22"/>
              </w:rPr>
              <w:t>the first quartile</w:t>
            </w:r>
            <w:r>
              <w:rPr>
                <w:rFonts w:ascii="Arial" w:eastAsiaTheme="minorHAnsi" w:hAnsi="Arial" w:cstheme="minorBidi"/>
                <w:sz w:val="22"/>
                <w:szCs w:val="22"/>
              </w:rPr>
              <w:t xml:space="preserve">. </w:t>
            </w:r>
          </w:p>
        </w:tc>
      </w:tr>
    </w:tbl>
    <w:p w:rsidR="00AF31E9" w:rsidRDefault="00AF31E9" w:rsidP="003B6D8C">
      <w:pPr>
        <w:pStyle w:val="H2"/>
      </w:pPr>
    </w:p>
    <w:p w:rsidR="00A701B1" w:rsidRPr="00F506EC" w:rsidRDefault="00D62AA3" w:rsidP="003B6D8C">
      <w:pPr>
        <w:pStyle w:val="H2"/>
      </w:pPr>
      <w:r w:rsidRPr="00F506EC">
        <w:lastRenderedPageBreak/>
        <w:t>4</w:t>
      </w:r>
      <w:r w:rsidR="00242EC3" w:rsidRPr="00F506EC">
        <w:t xml:space="preserve">.4 </w:t>
      </w:r>
      <w:r w:rsidR="004E52A4" w:rsidRPr="00F506EC">
        <w:t>Asset replacement</w:t>
      </w:r>
    </w:p>
    <w:p w:rsidR="004E52A4" w:rsidRPr="00552E46" w:rsidRDefault="00784967" w:rsidP="001567F7">
      <w:pPr>
        <w:pStyle w:val="H2"/>
        <w:spacing w:before="120"/>
        <w:outlineLvl w:val="9"/>
        <w:rPr>
          <w:rFonts w:ascii="Arial" w:hAnsi="Arial" w:cstheme="minorBidi"/>
          <w:b w:val="0"/>
          <w:bCs w:val="0"/>
          <w:color w:val="auto"/>
          <w:sz w:val="22"/>
          <w:szCs w:val="22"/>
          <w:lang w:val="en-AU"/>
        </w:rPr>
      </w:pPr>
      <w:r>
        <w:rPr>
          <w:rFonts w:ascii="Arial" w:hAnsi="Arial" w:cstheme="minorBidi"/>
          <w:b w:val="0"/>
          <w:bCs w:val="0"/>
          <w:color w:val="auto"/>
          <w:sz w:val="22"/>
          <w:szCs w:val="22"/>
          <w:lang w:val="en-AU"/>
        </w:rPr>
        <w:t>P</w:t>
      </w:r>
      <w:r w:rsidR="00A701B1" w:rsidRPr="00552E46">
        <w:rPr>
          <w:rFonts w:ascii="Arial" w:hAnsi="Arial" w:cstheme="minorBidi"/>
          <w:b w:val="0"/>
          <w:bCs w:val="0"/>
          <w:color w:val="auto"/>
          <w:sz w:val="22"/>
          <w:szCs w:val="22"/>
          <w:lang w:val="en-AU"/>
        </w:rPr>
        <w:t xml:space="preserve">hysical </w:t>
      </w:r>
      <w:r w:rsidR="00BF19F0">
        <w:rPr>
          <w:rFonts w:ascii="Arial" w:hAnsi="Arial" w:cstheme="minorBidi"/>
          <w:b w:val="0"/>
          <w:bCs w:val="0"/>
          <w:color w:val="auto"/>
          <w:sz w:val="22"/>
          <w:szCs w:val="22"/>
          <w:lang w:val="en-AU"/>
        </w:rPr>
        <w:t>res</w:t>
      </w:r>
      <w:r w:rsidR="00B518AF">
        <w:rPr>
          <w:rFonts w:ascii="Arial" w:hAnsi="Arial" w:cstheme="minorBidi"/>
          <w:b w:val="0"/>
          <w:bCs w:val="0"/>
          <w:color w:val="auto"/>
          <w:sz w:val="22"/>
          <w:szCs w:val="22"/>
          <w:lang w:val="en-AU"/>
        </w:rPr>
        <w:t>ources</w:t>
      </w:r>
      <w:r>
        <w:rPr>
          <w:rFonts w:ascii="Arial" w:hAnsi="Arial" w:cstheme="minorBidi"/>
          <w:b w:val="0"/>
          <w:bCs w:val="0"/>
          <w:color w:val="auto"/>
          <w:sz w:val="22"/>
          <w:szCs w:val="22"/>
          <w:lang w:val="en-AU"/>
        </w:rPr>
        <w:t xml:space="preserve"> such as leasehold improvements, IT equipment, librar</w:t>
      </w:r>
      <w:r w:rsidR="00B00FC7">
        <w:rPr>
          <w:rFonts w:ascii="Arial" w:hAnsi="Arial" w:cstheme="minorBidi"/>
          <w:b w:val="0"/>
          <w:bCs w:val="0"/>
          <w:color w:val="auto"/>
          <w:sz w:val="22"/>
          <w:szCs w:val="22"/>
          <w:lang w:val="en-AU"/>
        </w:rPr>
        <w:t>ies</w:t>
      </w:r>
      <w:r>
        <w:rPr>
          <w:rFonts w:ascii="Arial" w:hAnsi="Arial" w:cstheme="minorBidi"/>
          <w:b w:val="0"/>
          <w:bCs w:val="0"/>
          <w:color w:val="auto"/>
          <w:sz w:val="22"/>
          <w:szCs w:val="22"/>
          <w:lang w:val="en-AU"/>
        </w:rPr>
        <w:t>, furniture and buildings</w:t>
      </w:r>
      <w:r w:rsidR="00A701B1" w:rsidRPr="00552E46">
        <w:rPr>
          <w:rFonts w:ascii="Arial" w:hAnsi="Arial" w:cstheme="minorBidi"/>
          <w:b w:val="0"/>
          <w:bCs w:val="0"/>
          <w:color w:val="auto"/>
          <w:sz w:val="22"/>
          <w:szCs w:val="22"/>
          <w:lang w:val="en-AU"/>
        </w:rPr>
        <w:t xml:space="preserve"> </w:t>
      </w:r>
      <w:r>
        <w:rPr>
          <w:rFonts w:ascii="Arial" w:hAnsi="Arial" w:cstheme="minorBidi"/>
          <w:b w:val="0"/>
          <w:bCs w:val="0"/>
          <w:color w:val="auto"/>
          <w:sz w:val="22"/>
          <w:szCs w:val="22"/>
          <w:lang w:val="en-AU"/>
        </w:rPr>
        <w:t xml:space="preserve">are </w:t>
      </w:r>
      <w:r w:rsidR="00A701B1" w:rsidRPr="00552E46">
        <w:rPr>
          <w:rFonts w:ascii="Arial" w:hAnsi="Arial" w:cstheme="minorBidi"/>
          <w:b w:val="0"/>
          <w:bCs w:val="0"/>
          <w:color w:val="auto"/>
          <w:sz w:val="22"/>
          <w:szCs w:val="22"/>
          <w:lang w:val="en-AU"/>
        </w:rPr>
        <w:t xml:space="preserve">necessary for providers to achieve their higher education objectives. </w:t>
      </w:r>
      <w:r>
        <w:rPr>
          <w:rFonts w:ascii="Arial" w:hAnsi="Arial" w:cstheme="minorBidi"/>
          <w:b w:val="0"/>
          <w:bCs w:val="0"/>
          <w:color w:val="auto"/>
          <w:sz w:val="22"/>
          <w:szCs w:val="22"/>
          <w:lang w:val="en-AU"/>
        </w:rPr>
        <w:t>These items</w:t>
      </w:r>
      <w:r w:rsidR="00A701B1" w:rsidRPr="00552E46">
        <w:rPr>
          <w:rFonts w:ascii="Arial" w:hAnsi="Arial" w:cstheme="minorBidi"/>
          <w:b w:val="0"/>
          <w:bCs w:val="0"/>
          <w:color w:val="auto"/>
          <w:sz w:val="22"/>
          <w:szCs w:val="22"/>
          <w:lang w:val="en-AU"/>
        </w:rPr>
        <w:t xml:space="preserve"> are</w:t>
      </w:r>
      <w:r>
        <w:rPr>
          <w:rFonts w:ascii="Arial" w:hAnsi="Arial" w:cstheme="minorBidi"/>
          <w:b w:val="0"/>
          <w:bCs w:val="0"/>
          <w:color w:val="auto"/>
          <w:sz w:val="22"/>
          <w:szCs w:val="22"/>
          <w:lang w:val="en-AU"/>
        </w:rPr>
        <w:t xml:space="preserve"> typically</w:t>
      </w:r>
      <w:r w:rsidR="00A701B1" w:rsidRPr="00552E46">
        <w:rPr>
          <w:rFonts w:ascii="Arial" w:hAnsi="Arial" w:cstheme="minorBidi"/>
          <w:b w:val="0"/>
          <w:bCs w:val="0"/>
          <w:color w:val="auto"/>
          <w:sz w:val="22"/>
          <w:szCs w:val="22"/>
          <w:lang w:val="en-AU"/>
        </w:rPr>
        <w:t xml:space="preserve"> depreciated over their useful lives. Over time, accumulated depreciation reduces the </w:t>
      </w:r>
      <w:r>
        <w:rPr>
          <w:rFonts w:ascii="Arial" w:hAnsi="Arial" w:cstheme="minorBidi"/>
          <w:b w:val="0"/>
          <w:bCs w:val="0"/>
          <w:color w:val="auto"/>
          <w:sz w:val="22"/>
          <w:szCs w:val="22"/>
          <w:lang w:val="en-AU"/>
        </w:rPr>
        <w:t xml:space="preserve">carrying </w:t>
      </w:r>
      <w:r w:rsidR="00A701B1" w:rsidRPr="00552E46">
        <w:rPr>
          <w:rFonts w:ascii="Arial" w:hAnsi="Arial" w:cstheme="minorBidi"/>
          <w:b w:val="0"/>
          <w:bCs w:val="0"/>
          <w:color w:val="auto"/>
          <w:sz w:val="22"/>
          <w:szCs w:val="22"/>
          <w:lang w:val="en-AU"/>
        </w:rPr>
        <w:t xml:space="preserve">value of </w:t>
      </w:r>
      <w:r>
        <w:rPr>
          <w:rFonts w:ascii="Arial" w:hAnsi="Arial" w:cstheme="minorBidi"/>
          <w:b w:val="0"/>
          <w:bCs w:val="0"/>
          <w:color w:val="auto"/>
          <w:sz w:val="22"/>
          <w:szCs w:val="22"/>
          <w:lang w:val="en-AU"/>
        </w:rPr>
        <w:t>these items</w:t>
      </w:r>
      <w:r w:rsidR="00A701B1" w:rsidRPr="00552E46">
        <w:rPr>
          <w:rFonts w:ascii="Arial" w:hAnsi="Arial" w:cstheme="minorBidi"/>
          <w:b w:val="0"/>
          <w:bCs w:val="0"/>
          <w:color w:val="auto"/>
          <w:sz w:val="22"/>
          <w:szCs w:val="22"/>
          <w:lang w:val="en-AU"/>
        </w:rPr>
        <w:t xml:space="preserve">. In order to maintain </w:t>
      </w:r>
      <w:r>
        <w:rPr>
          <w:rFonts w:ascii="Arial" w:hAnsi="Arial" w:cstheme="minorBidi"/>
          <w:b w:val="0"/>
          <w:bCs w:val="0"/>
          <w:color w:val="auto"/>
          <w:sz w:val="22"/>
          <w:szCs w:val="22"/>
          <w:lang w:val="en-AU"/>
        </w:rPr>
        <w:t xml:space="preserve">a </w:t>
      </w:r>
      <w:r w:rsidR="00A701B1" w:rsidRPr="00552E46">
        <w:rPr>
          <w:rFonts w:ascii="Arial" w:hAnsi="Arial" w:cstheme="minorBidi"/>
          <w:b w:val="0"/>
          <w:bCs w:val="0"/>
          <w:color w:val="auto"/>
          <w:sz w:val="22"/>
          <w:szCs w:val="22"/>
          <w:lang w:val="en-AU"/>
        </w:rPr>
        <w:t xml:space="preserve">consistent level of </w:t>
      </w:r>
      <w:r>
        <w:rPr>
          <w:rFonts w:ascii="Arial" w:hAnsi="Arial" w:cstheme="minorBidi"/>
          <w:b w:val="0"/>
          <w:bCs w:val="0"/>
          <w:color w:val="auto"/>
          <w:sz w:val="22"/>
          <w:szCs w:val="22"/>
          <w:lang w:val="en-AU"/>
        </w:rPr>
        <w:t xml:space="preserve">physical resourcing </w:t>
      </w:r>
      <w:r w:rsidR="00A701B1" w:rsidRPr="00552E46">
        <w:rPr>
          <w:rFonts w:ascii="Arial" w:hAnsi="Arial" w:cstheme="minorBidi"/>
          <w:b w:val="0"/>
          <w:bCs w:val="0"/>
          <w:color w:val="auto"/>
          <w:sz w:val="22"/>
          <w:szCs w:val="22"/>
          <w:lang w:val="en-AU"/>
        </w:rPr>
        <w:t xml:space="preserve">and </w:t>
      </w:r>
      <w:r w:rsidR="00F7324D">
        <w:rPr>
          <w:rFonts w:ascii="Arial" w:hAnsi="Arial" w:cstheme="minorBidi"/>
          <w:b w:val="0"/>
          <w:bCs w:val="0"/>
          <w:color w:val="auto"/>
          <w:sz w:val="22"/>
          <w:szCs w:val="22"/>
          <w:lang w:val="en-AU"/>
        </w:rPr>
        <w:t xml:space="preserve">to </w:t>
      </w:r>
      <w:r w:rsidR="00A701B1" w:rsidRPr="00552E46">
        <w:rPr>
          <w:rFonts w:ascii="Arial" w:hAnsi="Arial" w:cstheme="minorBidi"/>
          <w:b w:val="0"/>
          <w:bCs w:val="0"/>
          <w:color w:val="auto"/>
          <w:sz w:val="22"/>
          <w:szCs w:val="22"/>
          <w:lang w:val="en-AU"/>
        </w:rPr>
        <w:t>avoid the impact of large unexpected capital expenditures</w:t>
      </w:r>
      <w:r w:rsidR="00F7324D">
        <w:rPr>
          <w:rFonts w:ascii="Arial" w:hAnsi="Arial" w:cstheme="minorBidi"/>
          <w:b w:val="0"/>
          <w:bCs w:val="0"/>
          <w:color w:val="auto"/>
          <w:sz w:val="22"/>
          <w:szCs w:val="22"/>
          <w:lang w:val="en-AU"/>
        </w:rPr>
        <w:t>,</w:t>
      </w:r>
      <w:r w:rsidR="00A701B1" w:rsidRPr="00552E46">
        <w:rPr>
          <w:rFonts w:ascii="Arial" w:hAnsi="Arial" w:cstheme="minorBidi"/>
          <w:b w:val="0"/>
          <w:bCs w:val="0"/>
          <w:color w:val="auto"/>
          <w:sz w:val="22"/>
          <w:szCs w:val="22"/>
          <w:lang w:val="en-AU"/>
        </w:rPr>
        <w:t xml:space="preserve"> it is considered soun</w:t>
      </w:r>
      <w:r>
        <w:rPr>
          <w:rFonts w:ascii="Arial" w:hAnsi="Arial" w:cstheme="minorBidi"/>
          <w:b w:val="0"/>
          <w:bCs w:val="0"/>
          <w:color w:val="auto"/>
          <w:sz w:val="22"/>
          <w:szCs w:val="22"/>
          <w:lang w:val="en-AU"/>
        </w:rPr>
        <w:t xml:space="preserve">d practice to reinvest </w:t>
      </w:r>
      <w:r w:rsidR="00A701B1" w:rsidRPr="00552E46">
        <w:rPr>
          <w:rFonts w:ascii="Arial" w:hAnsi="Arial" w:cstheme="minorBidi"/>
          <w:b w:val="0"/>
          <w:bCs w:val="0"/>
          <w:color w:val="auto"/>
          <w:sz w:val="22"/>
          <w:szCs w:val="22"/>
          <w:lang w:val="en-AU"/>
        </w:rPr>
        <w:t>at a rate that is comparable to, or greater than</w:t>
      </w:r>
      <w:r w:rsidR="00F7324D">
        <w:rPr>
          <w:rFonts w:ascii="Arial" w:hAnsi="Arial" w:cstheme="minorBidi"/>
          <w:b w:val="0"/>
          <w:bCs w:val="0"/>
          <w:color w:val="auto"/>
          <w:sz w:val="22"/>
          <w:szCs w:val="22"/>
          <w:lang w:val="en-AU"/>
        </w:rPr>
        <w:t>,</w:t>
      </w:r>
      <w:r w:rsidR="00A701B1" w:rsidRPr="00552E46">
        <w:rPr>
          <w:rFonts w:ascii="Arial" w:hAnsi="Arial" w:cstheme="minorBidi"/>
          <w:b w:val="0"/>
          <w:bCs w:val="0"/>
          <w:color w:val="auto"/>
          <w:sz w:val="22"/>
          <w:szCs w:val="22"/>
          <w:lang w:val="en-AU"/>
        </w:rPr>
        <w:t xml:space="preserve"> the rate</w:t>
      </w:r>
      <w:r>
        <w:rPr>
          <w:rFonts w:ascii="Arial" w:hAnsi="Arial" w:cstheme="minorBidi"/>
          <w:b w:val="0"/>
          <w:bCs w:val="0"/>
          <w:color w:val="auto"/>
          <w:sz w:val="22"/>
          <w:szCs w:val="22"/>
          <w:lang w:val="en-AU"/>
        </w:rPr>
        <w:t xml:space="preserve"> of depreciation</w:t>
      </w:r>
      <w:r w:rsidR="00A701B1" w:rsidRPr="00552E46">
        <w:rPr>
          <w:rFonts w:ascii="Arial" w:hAnsi="Arial" w:cstheme="minorBidi"/>
          <w:b w:val="0"/>
          <w:bCs w:val="0"/>
          <w:color w:val="auto"/>
          <w:sz w:val="22"/>
          <w:szCs w:val="22"/>
          <w:lang w:val="en-AU"/>
        </w:rPr>
        <w:t xml:space="preserve">. The asset replacement </w:t>
      </w:r>
      <w:r w:rsidR="00A83B31" w:rsidRPr="00552E46">
        <w:rPr>
          <w:rFonts w:ascii="Arial" w:hAnsi="Arial" w:cstheme="minorBidi"/>
          <w:b w:val="0"/>
          <w:bCs w:val="0"/>
          <w:color w:val="auto"/>
          <w:sz w:val="22"/>
          <w:szCs w:val="22"/>
          <w:lang w:val="en-AU"/>
        </w:rPr>
        <w:t>ratio</w:t>
      </w:r>
      <w:r w:rsidR="00C86061">
        <w:rPr>
          <w:rFonts w:ascii="Arial" w:hAnsi="Arial" w:cstheme="minorBidi"/>
          <w:b w:val="0"/>
          <w:bCs w:val="0"/>
          <w:color w:val="auto"/>
          <w:sz w:val="22"/>
          <w:szCs w:val="22"/>
          <w:lang w:val="en-AU"/>
        </w:rPr>
        <w:t xml:space="preserve"> </w:t>
      </w:r>
      <w:r w:rsidR="00A701B1" w:rsidRPr="00552E46">
        <w:rPr>
          <w:rFonts w:ascii="Arial" w:hAnsi="Arial" w:cstheme="minorBidi"/>
          <w:b w:val="0"/>
          <w:bCs w:val="0"/>
          <w:color w:val="auto"/>
          <w:sz w:val="22"/>
          <w:szCs w:val="22"/>
          <w:lang w:val="en-AU"/>
        </w:rPr>
        <w:t xml:space="preserve">not only provides an indication of how a provider is managing its assets but also whether an unanticipated capital expenditure event </w:t>
      </w:r>
      <w:r>
        <w:rPr>
          <w:rFonts w:ascii="Arial" w:hAnsi="Arial" w:cstheme="minorBidi"/>
          <w:b w:val="0"/>
          <w:bCs w:val="0"/>
          <w:color w:val="auto"/>
          <w:sz w:val="22"/>
          <w:szCs w:val="22"/>
          <w:lang w:val="en-AU"/>
        </w:rPr>
        <w:t>is likely</w:t>
      </w:r>
      <w:r w:rsidR="00A701B1" w:rsidRPr="00552E46">
        <w:rPr>
          <w:rFonts w:ascii="Arial" w:hAnsi="Arial" w:cstheme="minorBidi"/>
          <w:b w:val="0"/>
          <w:bCs w:val="0"/>
          <w:color w:val="auto"/>
          <w:sz w:val="22"/>
          <w:szCs w:val="22"/>
          <w:lang w:val="en-AU"/>
        </w:rPr>
        <w:t>.</w:t>
      </w:r>
      <w:r w:rsidR="00C86061" w:rsidRPr="008F6516">
        <w:rPr>
          <w:rFonts w:ascii="Arial" w:hAnsi="Arial" w:cstheme="minorBidi"/>
          <w:b w:val="0"/>
          <w:bCs w:val="0"/>
          <w:color w:val="auto"/>
          <w:sz w:val="18"/>
          <w:szCs w:val="18"/>
          <w:vertAlign w:val="superscript"/>
          <w:lang w:val="en-AU"/>
        </w:rPr>
        <w:footnoteReference w:id="11"/>
      </w:r>
      <w:r w:rsidR="00C86061" w:rsidRPr="008F6516">
        <w:rPr>
          <w:rFonts w:ascii="Arial" w:hAnsi="Arial" w:cstheme="minorBidi"/>
          <w:b w:val="0"/>
          <w:bCs w:val="0"/>
          <w:color w:val="auto"/>
          <w:sz w:val="18"/>
          <w:szCs w:val="18"/>
          <w:vertAlign w:val="superscript"/>
          <w:lang w:val="en-AU"/>
        </w:rPr>
        <w:t xml:space="preserve"> </w:t>
      </w:r>
      <w:r w:rsidR="00A701B1" w:rsidRPr="00552E46">
        <w:rPr>
          <w:rFonts w:ascii="Arial" w:hAnsi="Arial" w:cstheme="minorBidi"/>
          <w:b w:val="0"/>
          <w:bCs w:val="0"/>
          <w:color w:val="auto"/>
          <w:sz w:val="22"/>
          <w:szCs w:val="22"/>
          <w:lang w:val="en-AU"/>
        </w:rPr>
        <w:t xml:space="preserve"> A ratio </w:t>
      </w:r>
      <w:r w:rsidR="00213F91">
        <w:rPr>
          <w:rFonts w:ascii="Arial" w:hAnsi="Arial" w:cstheme="minorBidi"/>
          <w:b w:val="0"/>
          <w:bCs w:val="0"/>
          <w:color w:val="auto"/>
          <w:sz w:val="22"/>
          <w:szCs w:val="22"/>
          <w:lang w:val="en-AU"/>
        </w:rPr>
        <w:t xml:space="preserve">above </w:t>
      </w:r>
      <w:r w:rsidR="00A701B1" w:rsidRPr="00552E46">
        <w:rPr>
          <w:rFonts w:ascii="Arial" w:hAnsi="Arial" w:cstheme="minorBidi"/>
          <w:b w:val="0"/>
          <w:bCs w:val="0"/>
          <w:color w:val="auto"/>
          <w:sz w:val="22"/>
          <w:szCs w:val="22"/>
          <w:lang w:val="en-AU"/>
        </w:rPr>
        <w:t>1 indicates</w:t>
      </w:r>
      <w:r w:rsidR="00213F91">
        <w:rPr>
          <w:rFonts w:ascii="Arial" w:hAnsi="Arial" w:cstheme="minorBidi"/>
          <w:b w:val="0"/>
          <w:bCs w:val="0"/>
          <w:color w:val="auto"/>
          <w:sz w:val="22"/>
          <w:szCs w:val="22"/>
          <w:lang w:val="en-AU"/>
        </w:rPr>
        <w:t xml:space="preserve"> recent </w:t>
      </w:r>
      <w:r w:rsidR="00A701B1" w:rsidRPr="00552E46">
        <w:rPr>
          <w:rFonts w:ascii="Arial" w:hAnsi="Arial" w:cstheme="minorBidi"/>
          <w:b w:val="0"/>
          <w:bCs w:val="0"/>
          <w:color w:val="auto"/>
          <w:sz w:val="22"/>
          <w:szCs w:val="22"/>
          <w:lang w:val="en-AU"/>
        </w:rPr>
        <w:t xml:space="preserve">investment in </w:t>
      </w:r>
      <w:r>
        <w:rPr>
          <w:rFonts w:ascii="Arial" w:hAnsi="Arial" w:cstheme="minorBidi"/>
          <w:b w:val="0"/>
          <w:bCs w:val="0"/>
          <w:color w:val="auto"/>
          <w:sz w:val="22"/>
          <w:szCs w:val="22"/>
          <w:lang w:val="en-AU"/>
        </w:rPr>
        <w:t>physical resourcing</w:t>
      </w:r>
      <w:r w:rsidR="003F5F4D">
        <w:rPr>
          <w:rFonts w:ascii="Arial" w:hAnsi="Arial" w:cstheme="minorBidi"/>
          <w:b w:val="0"/>
          <w:bCs w:val="0"/>
          <w:color w:val="auto"/>
          <w:sz w:val="22"/>
          <w:szCs w:val="22"/>
          <w:lang w:val="en-AU"/>
        </w:rPr>
        <w:t xml:space="preserve"> (such as refurbishment, replacing existing assets, purchase of new assets)</w:t>
      </w:r>
      <w:r w:rsidR="00A701B1" w:rsidRPr="00552E46">
        <w:rPr>
          <w:rFonts w:ascii="Arial" w:hAnsi="Arial" w:cstheme="minorBidi"/>
          <w:b w:val="0"/>
          <w:bCs w:val="0"/>
          <w:color w:val="auto"/>
          <w:sz w:val="22"/>
          <w:szCs w:val="22"/>
          <w:lang w:val="en-AU"/>
        </w:rPr>
        <w:t>.</w:t>
      </w:r>
    </w:p>
    <w:p w:rsidR="004E52A4" w:rsidRDefault="004E52A4" w:rsidP="00767EAB">
      <w:pPr>
        <w:rPr>
          <w:rFonts w:ascii="Georgia" w:hAnsi="Georgia" w:cs="Arial"/>
          <w:b/>
          <w:color w:val="004855" w:themeColor="text1"/>
          <w:sz w:val="22"/>
          <w:szCs w:val="22"/>
          <w:lang w:val="en-US"/>
        </w:rPr>
      </w:pPr>
    </w:p>
    <w:p w:rsidR="00767EAB" w:rsidRPr="001567F7" w:rsidDel="0024327E" w:rsidRDefault="00767EAB" w:rsidP="00767EAB">
      <w:pPr>
        <w:rPr>
          <w:rFonts w:ascii="Georgia" w:hAnsi="Georgia" w:cs="Arial"/>
          <w:b/>
          <w:color w:val="004855" w:themeColor="text1"/>
          <w:sz w:val="20"/>
          <w:szCs w:val="20"/>
          <w:lang w:val="en-US"/>
        </w:rPr>
      </w:pPr>
      <w:r w:rsidRPr="00AF61CE"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1</w:t>
      </w:r>
      <w:r w:rsidR="00D62AA3">
        <w:rPr>
          <w:rFonts w:ascii="Georgia" w:hAnsi="Georgia" w:cs="Arial"/>
          <w:b/>
          <w:color w:val="004855" w:themeColor="text1"/>
          <w:sz w:val="20"/>
          <w:szCs w:val="20"/>
          <w:lang w:val="en-US"/>
        </w:rPr>
        <w:t>2</w:t>
      </w:r>
      <w:r w:rsidRPr="00AF61CE" w:rsidDel="0024327E">
        <w:rPr>
          <w:rFonts w:ascii="Georgia" w:hAnsi="Georgia" w:cs="Arial"/>
          <w:b/>
          <w:color w:val="004855" w:themeColor="text1"/>
          <w:sz w:val="20"/>
          <w:szCs w:val="20"/>
          <w:lang w:val="en-US"/>
        </w:rPr>
        <w:t>: Asset replacement</w:t>
      </w:r>
      <w:r w:rsidR="006C4591" w:rsidRPr="00AF61CE" w:rsidDel="0024327E">
        <w:rPr>
          <w:rFonts w:ascii="Georgia" w:hAnsi="Georgia" w:cs="Arial"/>
          <w:b/>
          <w:color w:val="004855" w:themeColor="text1"/>
          <w:sz w:val="20"/>
          <w:szCs w:val="20"/>
          <w:lang w:val="en-US"/>
        </w:rPr>
        <w:t xml:space="preserve"> ratio</w:t>
      </w:r>
      <w:r w:rsidR="00A8413E" w:rsidRPr="00AF61CE" w:rsidDel="0024327E">
        <w:rPr>
          <w:rFonts w:ascii="Georgia" w:hAnsi="Georgia" w:cs="Arial"/>
          <w:b/>
          <w:color w:val="004855" w:themeColor="text1"/>
          <w:sz w:val="20"/>
          <w:szCs w:val="20"/>
          <w:lang w:val="en-US"/>
        </w:rPr>
        <w:t xml:space="preserve">, by provider </w:t>
      </w:r>
      <w:r w:rsidR="00452500" w:rsidRPr="00AF61CE" w:rsidDel="0024327E">
        <w:rPr>
          <w:rFonts w:ascii="Georgia" w:hAnsi="Georgia" w:cs="Arial"/>
          <w:b/>
          <w:color w:val="004855" w:themeColor="text1"/>
          <w:sz w:val="20"/>
          <w:szCs w:val="20"/>
          <w:lang w:val="en-US"/>
        </w:rPr>
        <w:t>type</w:t>
      </w:r>
    </w:p>
    <w:p w:rsidR="005D7486" w:rsidRPr="00E30440" w:rsidRDefault="005E5FC5" w:rsidP="00C36B70">
      <w:pPr>
        <w:rPr>
          <w:rFonts w:ascii="Georgia" w:hAnsi="Georgia"/>
          <w:b/>
          <w:color w:val="004855" w:themeColor="text1"/>
        </w:rPr>
      </w:pPr>
      <w:r>
        <w:rPr>
          <w:rFonts w:ascii="Georgia" w:hAnsi="Georgia"/>
          <w:b/>
          <w:noProof/>
          <w:color w:val="004855" w:themeColor="text1"/>
          <w:lang w:eastAsia="en-AU"/>
        </w:rPr>
        <w:drawing>
          <wp:inline distT="0" distB="0" distL="0" distR="0" wp14:anchorId="6E59D9C4" wp14:editId="08042EF0">
            <wp:extent cx="5943600" cy="345757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060" cy="3456097"/>
                    </a:xfrm>
                    <a:prstGeom prst="rect">
                      <a:avLst/>
                    </a:prstGeom>
                    <a:noFill/>
                    <a:ln>
                      <a:noFill/>
                    </a:ln>
                  </pic:spPr>
                </pic:pic>
              </a:graphicData>
            </a:graphic>
          </wp:inline>
        </w:drawing>
      </w:r>
    </w:p>
    <w:p w:rsidR="00D244F0" w:rsidRDefault="00D244F0" w:rsidP="00D244F0">
      <w:pPr>
        <w:spacing w:after="0" w:line="80" w:lineRule="atLeast"/>
        <w:jc w:val="center"/>
        <w:rPr>
          <w:rFonts w:ascii="Georgia" w:hAnsi="Georgia" w:cs="Arial"/>
          <w:b/>
          <w:color w:val="004855" w:themeColor="text1"/>
          <w:sz w:val="22"/>
          <w:szCs w:val="22"/>
          <w:lang w:val="en-US"/>
        </w:rPr>
      </w:pPr>
      <w:r>
        <w:rPr>
          <w:noProof/>
          <w:lang w:eastAsia="en-AU"/>
        </w:rPr>
        <w:drawing>
          <wp:inline distT="0" distB="0" distL="0" distR="0" wp14:anchorId="238974E5" wp14:editId="6B564882">
            <wp:extent cx="1054510" cy="172102"/>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9802"/>
                    <a:stretch/>
                  </pic:blipFill>
                  <pic:spPr bwMode="auto">
                    <a:xfrm>
                      <a:off x="0" y="0"/>
                      <a:ext cx="1058284" cy="1727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828A2D4" wp14:editId="79FB85BD">
            <wp:extent cx="1054510" cy="213852"/>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b="18466"/>
                    <a:stretch/>
                  </pic:blipFill>
                  <pic:spPr bwMode="auto">
                    <a:xfrm>
                      <a:off x="0" y="0"/>
                      <a:ext cx="1058284" cy="214617"/>
                    </a:xfrm>
                    <a:prstGeom prst="rect">
                      <a:avLst/>
                    </a:prstGeom>
                    <a:noFill/>
                    <a:ln>
                      <a:noFill/>
                    </a:ln>
                    <a:extLst>
                      <a:ext uri="{53640926-AAD7-44D8-BBD7-CCE9431645EC}">
                        <a14:shadowObscured xmlns:a14="http://schemas.microsoft.com/office/drawing/2010/main"/>
                      </a:ext>
                    </a:extLst>
                  </pic:spPr>
                </pic:pic>
              </a:graphicData>
            </a:graphic>
          </wp:inline>
        </w:drawing>
      </w:r>
    </w:p>
    <w:p w:rsidR="00D244F0" w:rsidRDefault="00D244F0" w:rsidP="00D244F0">
      <w:pPr>
        <w:spacing w:after="0" w:line="80" w:lineRule="atLeast"/>
        <w:jc w:val="cente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4146A4FD" wp14:editId="4E344504">
            <wp:extent cx="1053458" cy="191729"/>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6088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b/>
          <w:noProof/>
          <w:color w:val="004855" w:themeColor="text1"/>
          <w:sz w:val="22"/>
          <w:szCs w:val="22"/>
          <w:lang w:eastAsia="en-AU"/>
        </w:rPr>
        <w:drawing>
          <wp:inline distT="0" distB="0" distL="0" distR="0" wp14:anchorId="464892C1" wp14:editId="6932C9F5">
            <wp:extent cx="1053458" cy="191729"/>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87" b="4016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p>
    <w:p w:rsidR="00AA1656" w:rsidRDefault="00AA1656" w:rsidP="00735F31">
      <w:pPr>
        <w:rPr>
          <w:rFonts w:ascii="Georgia" w:hAnsi="Georgia" w:cs="Arial"/>
          <w:b/>
          <w:color w:val="004855" w:themeColor="text1"/>
          <w:sz w:val="22"/>
          <w:szCs w:val="22"/>
          <w:lang w:val="en-US"/>
        </w:rPr>
      </w:pPr>
    </w:p>
    <w:p w:rsidR="00735F31" w:rsidRPr="001567F7" w:rsidRDefault="00735F31" w:rsidP="00735F31">
      <w:pPr>
        <w:rPr>
          <w:rFonts w:ascii="Georgia" w:hAnsi="Georgia" w:cs="Arial"/>
          <w:b/>
          <w:color w:val="004855" w:themeColor="text1"/>
          <w:sz w:val="20"/>
          <w:szCs w:val="20"/>
          <w:lang w:val="en-US"/>
        </w:rPr>
      </w:pPr>
      <w:r w:rsidRPr="001567F7">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9</w:t>
      </w:r>
      <w:r w:rsidRPr="001567F7">
        <w:rPr>
          <w:rFonts w:ascii="Georgia" w:hAnsi="Georgia" w:cs="Arial"/>
          <w:b/>
          <w:color w:val="004855" w:themeColor="text1"/>
          <w:sz w:val="20"/>
          <w:szCs w:val="20"/>
          <w:lang w:val="en-US"/>
        </w:rPr>
        <w:t>: Asset replacement</w:t>
      </w:r>
      <w:r w:rsidR="006C4591" w:rsidRPr="001567F7">
        <w:rPr>
          <w:rFonts w:ascii="Georgia" w:hAnsi="Georgia" w:cs="Arial"/>
          <w:b/>
          <w:color w:val="004855" w:themeColor="text1"/>
          <w:sz w:val="20"/>
          <w:szCs w:val="20"/>
          <w:lang w:val="en-US"/>
        </w:rPr>
        <w:t xml:space="preserve"> ratio</w:t>
      </w:r>
      <w:r w:rsidRPr="001567F7">
        <w:rPr>
          <w:rFonts w:ascii="Georgia" w:hAnsi="Georgia" w:cs="Arial"/>
          <w:b/>
          <w:color w:val="004855" w:themeColor="text1"/>
          <w:sz w:val="20"/>
          <w:szCs w:val="20"/>
          <w:lang w:val="en-US"/>
        </w:rPr>
        <w:t xml:space="preserve"> range, by provider </w:t>
      </w:r>
      <w:r w:rsidR="00452500" w:rsidRPr="001567F7">
        <w:rPr>
          <w:rFonts w:ascii="Georgia" w:hAnsi="Georgia" w:cs="Arial"/>
          <w:b/>
          <w:color w:val="004855" w:themeColor="text1"/>
          <w:sz w:val="20"/>
          <w:szCs w:val="20"/>
          <w:lang w:val="en-US"/>
        </w:rPr>
        <w:t>type</w:t>
      </w:r>
    </w:p>
    <w:tbl>
      <w:tblPr>
        <w:tblW w:w="5092" w:type="pct"/>
        <w:tblLook w:val="04A0" w:firstRow="1" w:lastRow="0" w:firstColumn="1" w:lastColumn="0" w:noHBand="0" w:noVBand="1"/>
      </w:tblPr>
      <w:tblGrid>
        <w:gridCol w:w="2303"/>
        <w:gridCol w:w="1443"/>
        <w:gridCol w:w="1610"/>
        <w:gridCol w:w="16"/>
        <w:gridCol w:w="1390"/>
        <w:gridCol w:w="1573"/>
        <w:gridCol w:w="1413"/>
      </w:tblGrid>
      <w:tr w:rsidR="00675F21" w:rsidRPr="00797118" w:rsidTr="002922C1">
        <w:trPr>
          <w:trHeight w:val="300"/>
        </w:trPr>
        <w:tc>
          <w:tcPr>
            <w:tcW w:w="1181" w:type="pct"/>
            <w:tcBorders>
              <w:top w:val="nil"/>
              <w:left w:val="nil"/>
              <w:bottom w:val="single" w:sz="4" w:space="0" w:color="366092"/>
              <w:right w:val="nil"/>
            </w:tcBorders>
            <w:shd w:val="clear" w:color="auto" w:fill="004855"/>
            <w:noWrap/>
            <w:vAlign w:val="center"/>
            <w:hideMark/>
          </w:tcPr>
          <w:p w:rsidR="00675F21" w:rsidRPr="00797118" w:rsidRDefault="00675F21" w:rsidP="00C86061">
            <w:pPr>
              <w:spacing w:after="0"/>
              <w:rPr>
                <w:rFonts w:asciiTheme="minorHAnsi" w:hAnsiTheme="minorHAnsi" w:cstheme="minorHAnsi"/>
                <w:b/>
                <w:sz w:val="20"/>
                <w:szCs w:val="20"/>
              </w:rPr>
            </w:pPr>
          </w:p>
        </w:tc>
        <w:tc>
          <w:tcPr>
            <w:tcW w:w="740" w:type="pct"/>
            <w:tcBorders>
              <w:top w:val="nil"/>
              <w:left w:val="nil"/>
              <w:bottom w:val="single" w:sz="4" w:space="0" w:color="366092"/>
              <w:right w:val="nil"/>
            </w:tcBorders>
            <w:shd w:val="clear" w:color="auto" w:fill="004855"/>
            <w:noWrap/>
            <w:vAlign w:val="center"/>
          </w:tcPr>
          <w:p w:rsidR="00675F2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26" w:type="pct"/>
            <w:tcBorders>
              <w:top w:val="nil"/>
              <w:left w:val="nil"/>
              <w:bottom w:val="single" w:sz="4" w:space="0" w:color="366092"/>
              <w:right w:val="nil"/>
            </w:tcBorders>
            <w:shd w:val="clear" w:color="auto" w:fill="004855"/>
            <w:vAlign w:val="center"/>
          </w:tcPr>
          <w:p w:rsidR="00675F21" w:rsidRPr="00797118" w:rsidRDefault="00E34B4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1" w:type="pct"/>
            <w:gridSpan w:val="2"/>
            <w:tcBorders>
              <w:top w:val="nil"/>
              <w:left w:val="nil"/>
              <w:bottom w:val="single" w:sz="4" w:space="0" w:color="366092"/>
              <w:right w:val="nil"/>
            </w:tcBorders>
            <w:shd w:val="clear" w:color="auto" w:fill="004855"/>
            <w:noWrap/>
            <w:vAlign w:val="center"/>
          </w:tcPr>
          <w:p w:rsidR="00675F21" w:rsidRPr="00797118" w:rsidRDefault="00675F21"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7" w:type="pct"/>
            <w:tcBorders>
              <w:top w:val="nil"/>
              <w:left w:val="nil"/>
              <w:bottom w:val="single" w:sz="4" w:space="0" w:color="366092"/>
              <w:right w:val="nil"/>
            </w:tcBorders>
            <w:shd w:val="clear" w:color="auto" w:fill="004855"/>
            <w:noWrap/>
            <w:vAlign w:val="center"/>
          </w:tcPr>
          <w:p w:rsidR="00ED5A37" w:rsidRPr="00797118" w:rsidRDefault="00ED5A3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w:t>
            </w:r>
            <w:r w:rsidR="00E94E9B">
              <w:rPr>
                <w:rFonts w:asciiTheme="minorHAnsi" w:hAnsiTheme="minorHAnsi" w:cstheme="minorHAnsi"/>
                <w:b/>
                <w:sz w:val="20"/>
                <w:szCs w:val="20"/>
              </w:rPr>
              <w:t xml:space="preserve"> </w:t>
            </w:r>
            <w:r>
              <w:rPr>
                <w:rFonts w:asciiTheme="minorHAnsi" w:hAnsiTheme="minorHAnsi" w:cstheme="minorHAnsi"/>
                <w:b/>
                <w:sz w:val="20"/>
                <w:szCs w:val="20"/>
              </w:rPr>
              <w:t>quartile</w:t>
            </w:r>
          </w:p>
        </w:tc>
        <w:tc>
          <w:tcPr>
            <w:tcW w:w="725" w:type="pct"/>
            <w:tcBorders>
              <w:top w:val="nil"/>
              <w:left w:val="nil"/>
              <w:bottom w:val="single" w:sz="4" w:space="0" w:color="366092"/>
              <w:right w:val="nil"/>
            </w:tcBorders>
            <w:shd w:val="clear" w:color="auto" w:fill="004855"/>
            <w:vAlign w:val="center"/>
          </w:tcPr>
          <w:p w:rsidR="00675F2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2922C1" w:rsidRPr="00797118" w:rsidTr="002922C1">
        <w:trPr>
          <w:trHeight w:val="300"/>
        </w:trPr>
        <w:tc>
          <w:tcPr>
            <w:tcW w:w="1181" w:type="pct"/>
            <w:tcBorders>
              <w:top w:val="nil"/>
              <w:left w:val="nil"/>
              <w:bottom w:val="single" w:sz="4" w:space="0" w:color="366092"/>
              <w:right w:val="nil"/>
            </w:tcBorders>
            <w:shd w:val="clear" w:color="auto" w:fill="auto"/>
            <w:noWrap/>
            <w:vAlign w:val="center"/>
          </w:tcPr>
          <w:p w:rsidR="002922C1" w:rsidRPr="00797118" w:rsidRDefault="002922C1" w:rsidP="00C86061">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740"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0.7</w:t>
            </w:r>
          </w:p>
        </w:tc>
        <w:tc>
          <w:tcPr>
            <w:tcW w:w="834" w:type="pct"/>
            <w:gridSpan w:val="2"/>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1.8</w:t>
            </w:r>
          </w:p>
        </w:tc>
        <w:tc>
          <w:tcPr>
            <w:tcW w:w="713"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2.1</w:t>
            </w:r>
          </w:p>
        </w:tc>
        <w:tc>
          <w:tcPr>
            <w:tcW w:w="807"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3.0</w:t>
            </w:r>
          </w:p>
        </w:tc>
        <w:tc>
          <w:tcPr>
            <w:tcW w:w="725"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14.2</w:t>
            </w:r>
          </w:p>
        </w:tc>
      </w:tr>
      <w:tr w:rsidR="005D695F" w:rsidRPr="00797118" w:rsidTr="0089015D">
        <w:trPr>
          <w:trHeight w:val="300"/>
        </w:trPr>
        <w:tc>
          <w:tcPr>
            <w:tcW w:w="1181" w:type="pct"/>
            <w:tcBorders>
              <w:top w:val="nil"/>
              <w:left w:val="nil"/>
              <w:bottom w:val="single" w:sz="4" w:space="0" w:color="366092"/>
              <w:right w:val="nil"/>
            </w:tcBorders>
            <w:shd w:val="clear" w:color="auto" w:fill="auto"/>
            <w:noWrap/>
            <w:vAlign w:val="center"/>
          </w:tcPr>
          <w:p w:rsidR="005D695F" w:rsidRPr="00797118" w:rsidRDefault="005D695F"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740" w:type="pct"/>
            <w:tcBorders>
              <w:top w:val="nil"/>
              <w:left w:val="nil"/>
              <w:bottom w:val="single" w:sz="4" w:space="0" w:color="366092"/>
              <w:right w:val="nil"/>
            </w:tcBorders>
            <w:vAlign w:val="bottom"/>
          </w:tcPr>
          <w:p w:rsidR="005D695F" w:rsidRPr="002922C1" w:rsidRDefault="005D695F"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834" w:type="pct"/>
            <w:gridSpan w:val="2"/>
            <w:tcBorders>
              <w:top w:val="nil"/>
              <w:left w:val="nil"/>
              <w:bottom w:val="single" w:sz="4" w:space="0" w:color="366092"/>
              <w:right w:val="nil"/>
            </w:tcBorders>
            <w:shd w:val="clear" w:color="auto" w:fill="auto"/>
            <w:noWrap/>
            <w:vAlign w:val="bottom"/>
          </w:tcPr>
          <w:p w:rsidR="005D695F" w:rsidRPr="002922C1" w:rsidRDefault="005D695F"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0.6</w:t>
            </w:r>
          </w:p>
        </w:tc>
        <w:tc>
          <w:tcPr>
            <w:tcW w:w="713" w:type="pct"/>
            <w:tcBorders>
              <w:top w:val="nil"/>
              <w:left w:val="nil"/>
              <w:bottom w:val="single" w:sz="4" w:space="0" w:color="366092"/>
              <w:right w:val="nil"/>
            </w:tcBorders>
            <w:shd w:val="clear" w:color="auto" w:fill="auto"/>
            <w:noWrap/>
            <w:vAlign w:val="bottom"/>
          </w:tcPr>
          <w:p w:rsidR="005D695F" w:rsidRPr="002922C1" w:rsidRDefault="005D695F"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0.7</w:t>
            </w:r>
          </w:p>
        </w:tc>
        <w:tc>
          <w:tcPr>
            <w:tcW w:w="807" w:type="pct"/>
            <w:tcBorders>
              <w:top w:val="nil"/>
              <w:left w:val="nil"/>
              <w:bottom w:val="single" w:sz="4" w:space="0" w:color="366092"/>
              <w:right w:val="nil"/>
            </w:tcBorders>
            <w:shd w:val="clear" w:color="auto" w:fill="auto"/>
            <w:noWrap/>
            <w:vAlign w:val="bottom"/>
          </w:tcPr>
          <w:p w:rsidR="005D695F" w:rsidRPr="002922C1" w:rsidRDefault="005D695F"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1.1</w:t>
            </w:r>
          </w:p>
        </w:tc>
        <w:tc>
          <w:tcPr>
            <w:tcW w:w="725" w:type="pct"/>
            <w:tcBorders>
              <w:top w:val="nil"/>
              <w:left w:val="nil"/>
              <w:bottom w:val="single" w:sz="4" w:space="0" w:color="366092"/>
              <w:right w:val="nil"/>
            </w:tcBorders>
            <w:vAlign w:val="bottom"/>
          </w:tcPr>
          <w:p w:rsidR="005D695F" w:rsidRPr="002922C1" w:rsidRDefault="005D695F"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2.9</w:t>
            </w:r>
          </w:p>
        </w:tc>
      </w:tr>
      <w:tr w:rsidR="002922C1" w:rsidRPr="00797118" w:rsidTr="002922C1">
        <w:trPr>
          <w:trHeight w:val="300"/>
        </w:trPr>
        <w:tc>
          <w:tcPr>
            <w:tcW w:w="1181" w:type="pct"/>
            <w:tcBorders>
              <w:top w:val="nil"/>
              <w:left w:val="nil"/>
              <w:bottom w:val="single" w:sz="4" w:space="0" w:color="366092"/>
              <w:right w:val="nil"/>
            </w:tcBorders>
            <w:shd w:val="clear" w:color="auto" w:fill="auto"/>
            <w:noWrap/>
            <w:vAlign w:val="center"/>
          </w:tcPr>
          <w:p w:rsidR="002922C1" w:rsidRPr="00296D08" w:rsidRDefault="00CF3E1F" w:rsidP="00C86061">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40"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0.0</w:t>
            </w:r>
          </w:p>
        </w:tc>
        <w:tc>
          <w:tcPr>
            <w:tcW w:w="834" w:type="pct"/>
            <w:gridSpan w:val="2"/>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713"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0.9</w:t>
            </w:r>
          </w:p>
        </w:tc>
        <w:tc>
          <w:tcPr>
            <w:tcW w:w="807"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1.9</w:t>
            </w:r>
          </w:p>
        </w:tc>
        <w:tc>
          <w:tcPr>
            <w:tcW w:w="725"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10.3</w:t>
            </w:r>
          </w:p>
        </w:tc>
      </w:tr>
      <w:tr w:rsidR="002922C1" w:rsidRPr="00797118" w:rsidTr="002922C1">
        <w:trPr>
          <w:trHeight w:val="300"/>
        </w:trPr>
        <w:tc>
          <w:tcPr>
            <w:tcW w:w="1181" w:type="pct"/>
            <w:tcBorders>
              <w:top w:val="nil"/>
              <w:left w:val="nil"/>
              <w:bottom w:val="single" w:sz="4" w:space="0" w:color="366092"/>
              <w:right w:val="nil"/>
            </w:tcBorders>
            <w:shd w:val="clear" w:color="auto" w:fill="auto"/>
            <w:noWrap/>
            <w:vAlign w:val="center"/>
          </w:tcPr>
          <w:p w:rsidR="002922C1" w:rsidRPr="00296D08" w:rsidRDefault="00CF3E1F" w:rsidP="00C86061">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40"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0.0</w:t>
            </w:r>
          </w:p>
        </w:tc>
        <w:tc>
          <w:tcPr>
            <w:tcW w:w="834" w:type="pct"/>
            <w:gridSpan w:val="2"/>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713"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w:t>
            </w:r>
          </w:p>
        </w:tc>
        <w:tc>
          <w:tcPr>
            <w:tcW w:w="807"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2.3</w:t>
            </w:r>
          </w:p>
        </w:tc>
        <w:tc>
          <w:tcPr>
            <w:tcW w:w="725"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12.6</w:t>
            </w:r>
          </w:p>
        </w:tc>
      </w:tr>
      <w:tr w:rsidR="002922C1" w:rsidRPr="002922C1" w:rsidTr="00A02129">
        <w:trPr>
          <w:trHeight w:val="300"/>
        </w:trPr>
        <w:tc>
          <w:tcPr>
            <w:tcW w:w="1181" w:type="pct"/>
            <w:tcBorders>
              <w:top w:val="single" w:sz="4" w:space="0" w:color="366092"/>
              <w:left w:val="nil"/>
              <w:bottom w:val="single" w:sz="4" w:space="0" w:color="366092"/>
              <w:right w:val="nil"/>
            </w:tcBorders>
            <w:shd w:val="clear" w:color="000000" w:fill="E5F6F6"/>
            <w:noWrap/>
            <w:vAlign w:val="center"/>
          </w:tcPr>
          <w:p w:rsidR="002922C1" w:rsidRPr="002922C1" w:rsidRDefault="00456661" w:rsidP="00C86061">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0" w:type="pct"/>
            <w:tcBorders>
              <w:top w:val="single" w:sz="4" w:space="0" w:color="366092"/>
              <w:left w:val="nil"/>
              <w:bottom w:val="single" w:sz="4" w:space="0" w:color="366092"/>
              <w:right w:val="nil"/>
            </w:tcBorders>
            <w:shd w:val="clear" w:color="000000" w:fill="E5F6F6"/>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834" w:type="pct"/>
            <w:gridSpan w:val="2"/>
            <w:tcBorders>
              <w:top w:val="single" w:sz="4" w:space="0" w:color="366092"/>
              <w:left w:val="nil"/>
              <w:bottom w:val="single" w:sz="4" w:space="0" w:color="366092"/>
              <w:right w:val="nil"/>
            </w:tcBorders>
            <w:shd w:val="clear" w:color="000000" w:fill="E5F6F6"/>
            <w:noWrap/>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0.6</w:t>
            </w:r>
          </w:p>
        </w:tc>
        <w:tc>
          <w:tcPr>
            <w:tcW w:w="713" w:type="pct"/>
            <w:tcBorders>
              <w:top w:val="single" w:sz="4" w:space="0" w:color="366092"/>
              <w:left w:val="nil"/>
              <w:bottom w:val="single" w:sz="4" w:space="0" w:color="366092"/>
              <w:right w:val="nil"/>
            </w:tcBorders>
            <w:shd w:val="clear" w:color="000000" w:fill="E5F6F6"/>
            <w:noWrap/>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w:t>
            </w:r>
          </w:p>
        </w:tc>
        <w:tc>
          <w:tcPr>
            <w:tcW w:w="807" w:type="pct"/>
            <w:tcBorders>
              <w:top w:val="single" w:sz="4" w:space="0" w:color="366092"/>
              <w:left w:val="nil"/>
              <w:bottom w:val="single" w:sz="4" w:space="0" w:color="366092"/>
              <w:right w:val="nil"/>
            </w:tcBorders>
            <w:shd w:val="clear" w:color="000000" w:fill="E5F6F6"/>
            <w:noWrap/>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2.4</w:t>
            </w:r>
          </w:p>
        </w:tc>
        <w:tc>
          <w:tcPr>
            <w:tcW w:w="725" w:type="pct"/>
            <w:tcBorders>
              <w:top w:val="single" w:sz="4" w:space="0" w:color="366092"/>
              <w:left w:val="nil"/>
              <w:bottom w:val="single" w:sz="4" w:space="0" w:color="366092"/>
              <w:right w:val="nil"/>
            </w:tcBorders>
            <w:shd w:val="clear" w:color="000000" w:fill="E5F6F6"/>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14.2</w:t>
            </w:r>
          </w:p>
        </w:tc>
      </w:tr>
    </w:tbl>
    <w:p w:rsidR="000E7BD1" w:rsidRDefault="000E7BD1" w:rsidP="000E7BD1">
      <w:pPr>
        <w:rPr>
          <w:rFonts w:ascii="Georgia" w:hAnsi="Georgia" w:cs="Arial"/>
          <w:b/>
          <w:color w:val="004855" w:themeColor="text1"/>
          <w:sz w:val="20"/>
          <w:szCs w:val="20"/>
          <w:lang w:val="en-US"/>
        </w:rPr>
      </w:pPr>
    </w:p>
    <w:p w:rsidR="00D106EB" w:rsidRPr="00130AB7" w:rsidRDefault="00D106EB" w:rsidP="009028AB">
      <w:pPr>
        <w:rPr>
          <w:rFonts w:ascii="Arial" w:eastAsiaTheme="minorHAnsi" w:hAnsi="Arial" w:cstheme="minorBidi"/>
          <w:sz w:val="22"/>
          <w:szCs w:val="22"/>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D5D87" w:rsidRPr="000F6D35" w:rsidTr="007344DC">
        <w:tc>
          <w:tcPr>
            <w:tcW w:w="9640" w:type="dxa"/>
            <w:shd w:val="clear" w:color="auto" w:fill="E5ECED" w:themeFill="accent4" w:themeFillTint="66"/>
          </w:tcPr>
          <w:p w:rsidR="007D5D87" w:rsidRDefault="007D5D87" w:rsidP="00B26132">
            <w:pPr>
              <w:pStyle w:val="ListParagraph"/>
              <w:ind w:left="360"/>
              <w:rPr>
                <w:rFonts w:ascii="Arial" w:eastAsiaTheme="minorHAnsi" w:hAnsi="Arial" w:cstheme="minorBidi"/>
                <w:sz w:val="22"/>
                <w:szCs w:val="22"/>
              </w:rPr>
            </w:pPr>
          </w:p>
          <w:p w:rsidR="007D5D87" w:rsidRPr="000F6D35" w:rsidRDefault="00F506EC" w:rsidP="00366FFD">
            <w:pPr>
              <w:pStyle w:val="ListParagraph"/>
              <w:numPr>
                <w:ilvl w:val="0"/>
                <w:numId w:val="18"/>
              </w:numPr>
              <w:rPr>
                <w:rFonts w:ascii="Arial" w:eastAsiaTheme="minorHAnsi" w:hAnsi="Arial" w:cstheme="minorBidi"/>
                <w:sz w:val="22"/>
                <w:szCs w:val="22"/>
              </w:rPr>
            </w:pPr>
            <w:r>
              <w:rPr>
                <w:rFonts w:ascii="Arial" w:eastAsiaTheme="minorHAnsi" w:hAnsi="Arial" w:cstheme="minorBidi"/>
                <w:sz w:val="22"/>
                <w:szCs w:val="22"/>
              </w:rPr>
              <w:t>T</w:t>
            </w:r>
            <w:r w:rsidR="007D5D87" w:rsidRPr="000F6D35">
              <w:rPr>
                <w:rFonts w:ascii="Arial" w:eastAsiaTheme="minorHAnsi" w:hAnsi="Arial" w:cstheme="minorBidi"/>
                <w:sz w:val="22"/>
                <w:szCs w:val="22"/>
              </w:rPr>
              <w:t>he median asset replacement ratio</w:t>
            </w:r>
            <w:r w:rsidR="00366FFD">
              <w:rPr>
                <w:rFonts w:ascii="Arial" w:eastAsiaTheme="minorHAnsi" w:hAnsi="Arial" w:cstheme="minorBidi"/>
                <w:sz w:val="22"/>
                <w:szCs w:val="22"/>
              </w:rPr>
              <w:t xml:space="preserve"> for the sector wa</w:t>
            </w:r>
            <w:r w:rsidR="007D5D87" w:rsidRPr="000F6D35">
              <w:rPr>
                <w:rFonts w:ascii="Arial" w:eastAsiaTheme="minorHAnsi" w:hAnsi="Arial" w:cstheme="minorBidi"/>
                <w:sz w:val="22"/>
                <w:szCs w:val="22"/>
              </w:rPr>
              <w:t>s 1.3, reflecting a healthy level of reinvestment in assets.</w:t>
            </w:r>
          </w:p>
        </w:tc>
      </w:tr>
      <w:tr w:rsidR="00484A70" w:rsidRPr="000F6D35" w:rsidTr="007344DC">
        <w:tc>
          <w:tcPr>
            <w:tcW w:w="9640" w:type="dxa"/>
            <w:shd w:val="clear" w:color="auto" w:fill="E5ECED" w:themeFill="accent4" w:themeFillTint="66"/>
          </w:tcPr>
          <w:p w:rsidR="00484A70" w:rsidRDefault="00484A70" w:rsidP="003440F6">
            <w:pPr>
              <w:pStyle w:val="ListParagraph"/>
              <w:numPr>
                <w:ilvl w:val="0"/>
                <w:numId w:val="18"/>
              </w:numPr>
              <w:rPr>
                <w:rFonts w:ascii="Arial" w:eastAsiaTheme="minorHAnsi" w:hAnsi="Arial" w:cstheme="minorBidi"/>
                <w:sz w:val="22"/>
                <w:szCs w:val="22"/>
              </w:rPr>
            </w:pPr>
            <w:r w:rsidRPr="000F6D35">
              <w:rPr>
                <w:rFonts w:ascii="Arial" w:eastAsiaTheme="minorHAnsi" w:hAnsi="Arial" w:cstheme="minorBidi"/>
                <w:sz w:val="22"/>
                <w:szCs w:val="22"/>
              </w:rPr>
              <w:t xml:space="preserve">There was a general decline in the rate of asset replacement compared </w:t>
            </w:r>
            <w:r w:rsidR="00A92B8F">
              <w:rPr>
                <w:rFonts w:ascii="Arial" w:eastAsiaTheme="minorHAnsi" w:hAnsi="Arial" w:cstheme="minorBidi"/>
                <w:sz w:val="22"/>
                <w:szCs w:val="22"/>
              </w:rPr>
              <w:t>with</w:t>
            </w:r>
            <w:r w:rsidRPr="000F6D35">
              <w:rPr>
                <w:rFonts w:ascii="Arial" w:eastAsiaTheme="minorHAnsi" w:hAnsi="Arial" w:cstheme="minorBidi"/>
                <w:sz w:val="22"/>
                <w:szCs w:val="22"/>
              </w:rPr>
              <w:t xml:space="preserve"> 2014</w:t>
            </w:r>
            <w:r>
              <w:rPr>
                <w:rFonts w:ascii="Arial" w:eastAsiaTheme="minorHAnsi" w:hAnsi="Arial" w:cstheme="minorBidi"/>
                <w:sz w:val="22"/>
                <w:szCs w:val="22"/>
              </w:rPr>
              <w:t xml:space="preserve"> </w:t>
            </w:r>
            <w:r w:rsidRPr="000F6D35">
              <w:rPr>
                <w:rFonts w:ascii="Arial" w:eastAsiaTheme="minorHAnsi" w:hAnsi="Arial" w:cstheme="minorBidi"/>
                <w:sz w:val="22"/>
                <w:szCs w:val="22"/>
              </w:rPr>
              <w:t xml:space="preserve">when a median of 1.7 was observed. Most provider types experienced a decline in the median asset replacement rates compared </w:t>
            </w:r>
            <w:r w:rsidR="00A92B8F">
              <w:rPr>
                <w:rFonts w:ascii="Arial" w:eastAsiaTheme="minorHAnsi" w:hAnsi="Arial" w:cstheme="minorBidi"/>
                <w:sz w:val="22"/>
                <w:szCs w:val="22"/>
              </w:rPr>
              <w:t>with</w:t>
            </w:r>
            <w:r w:rsidRPr="000F6D35">
              <w:rPr>
                <w:rFonts w:ascii="Arial" w:eastAsiaTheme="minorHAnsi" w:hAnsi="Arial" w:cstheme="minorBidi"/>
                <w:sz w:val="22"/>
                <w:szCs w:val="22"/>
              </w:rPr>
              <w:t xml:space="preserve"> 2014</w:t>
            </w:r>
            <w:r w:rsidR="005D695F">
              <w:rPr>
                <w:rFonts w:ascii="Arial" w:eastAsiaTheme="minorHAnsi" w:hAnsi="Arial" w:cstheme="minorBidi"/>
                <w:sz w:val="22"/>
                <w:szCs w:val="22"/>
              </w:rPr>
              <w:t xml:space="preserve">. </w:t>
            </w:r>
            <w:r w:rsidRPr="000F6D35">
              <w:rPr>
                <w:rFonts w:ascii="Arial" w:eastAsiaTheme="minorHAnsi" w:hAnsi="Arial" w:cstheme="minorBidi"/>
                <w:sz w:val="22"/>
                <w:szCs w:val="22"/>
              </w:rPr>
              <w:t xml:space="preserve">The median asset replacement ratio for 2015 compared </w:t>
            </w:r>
            <w:r w:rsidR="00A92B8F">
              <w:rPr>
                <w:rFonts w:ascii="Arial" w:eastAsiaTheme="minorHAnsi" w:hAnsi="Arial" w:cstheme="minorBidi"/>
                <w:sz w:val="22"/>
                <w:szCs w:val="22"/>
              </w:rPr>
              <w:t>with</w:t>
            </w:r>
            <w:r w:rsidRPr="000F6D35">
              <w:rPr>
                <w:rFonts w:ascii="Arial" w:eastAsiaTheme="minorHAnsi" w:hAnsi="Arial" w:cstheme="minorBidi"/>
                <w:sz w:val="22"/>
                <w:szCs w:val="22"/>
              </w:rPr>
              <w:t xml:space="preserve"> 2014 for each provider type was:</w:t>
            </w:r>
          </w:p>
          <w:p w:rsidR="00484A70" w:rsidRDefault="00484A70" w:rsidP="003440F6">
            <w:pPr>
              <w:pStyle w:val="ListParagraph"/>
              <w:numPr>
                <w:ilvl w:val="0"/>
                <w:numId w:val="18"/>
              </w:numPr>
              <w:ind w:left="774" w:hanging="425"/>
              <w:rPr>
                <w:rFonts w:ascii="Arial" w:eastAsiaTheme="minorHAnsi" w:hAnsi="Arial" w:cstheme="minorBidi"/>
                <w:sz w:val="22"/>
                <w:szCs w:val="22"/>
              </w:rPr>
            </w:pPr>
            <w:r w:rsidRPr="000F6D35">
              <w:rPr>
                <w:rFonts w:ascii="Arial" w:eastAsiaTheme="minorHAnsi" w:hAnsi="Arial" w:cstheme="minorBidi"/>
                <w:sz w:val="22"/>
                <w:szCs w:val="22"/>
              </w:rPr>
              <w:t>Universities: 2.1 (2014: 2.4)</w:t>
            </w:r>
          </w:p>
          <w:p w:rsidR="005D695F" w:rsidRDefault="005D695F" w:rsidP="003440F6">
            <w:pPr>
              <w:pStyle w:val="ListParagraph"/>
              <w:numPr>
                <w:ilvl w:val="0"/>
                <w:numId w:val="18"/>
              </w:numPr>
              <w:ind w:left="774" w:hanging="425"/>
              <w:rPr>
                <w:rFonts w:ascii="Arial" w:eastAsiaTheme="minorHAnsi" w:hAnsi="Arial" w:cstheme="minorBidi"/>
                <w:sz w:val="22"/>
                <w:szCs w:val="22"/>
              </w:rPr>
            </w:pPr>
            <w:r w:rsidRPr="000F6D35">
              <w:rPr>
                <w:rFonts w:ascii="Arial" w:eastAsiaTheme="minorHAnsi" w:hAnsi="Arial" w:cstheme="minorBidi"/>
                <w:sz w:val="22"/>
                <w:szCs w:val="22"/>
              </w:rPr>
              <w:t>TAFE: 0.7 (2014: 0.</w:t>
            </w:r>
            <w:r>
              <w:rPr>
                <w:rFonts w:ascii="Arial" w:eastAsiaTheme="minorHAnsi" w:hAnsi="Arial" w:cstheme="minorBidi"/>
                <w:sz w:val="22"/>
                <w:szCs w:val="22"/>
              </w:rPr>
              <w:t>7)</w:t>
            </w:r>
          </w:p>
          <w:p w:rsidR="00484A70" w:rsidRDefault="00484A70" w:rsidP="003440F6">
            <w:pPr>
              <w:pStyle w:val="ListParagraph"/>
              <w:numPr>
                <w:ilvl w:val="0"/>
                <w:numId w:val="18"/>
              </w:numPr>
              <w:ind w:left="774" w:hanging="425"/>
              <w:rPr>
                <w:rFonts w:ascii="Arial" w:eastAsiaTheme="minorHAnsi" w:hAnsi="Arial" w:cstheme="minorBidi"/>
                <w:sz w:val="22"/>
                <w:szCs w:val="22"/>
              </w:rPr>
            </w:pPr>
            <w:r w:rsidRPr="000F6D35">
              <w:rPr>
                <w:rFonts w:ascii="Arial" w:eastAsiaTheme="minorHAnsi" w:hAnsi="Arial" w:cstheme="minorBidi"/>
                <w:sz w:val="22"/>
                <w:szCs w:val="22"/>
              </w:rPr>
              <w:t>For-Profit: 0.9 (2014: 1.1)</w:t>
            </w:r>
          </w:p>
          <w:p w:rsidR="00484A70" w:rsidRDefault="00484A70" w:rsidP="003440F6">
            <w:pPr>
              <w:pStyle w:val="ListParagraph"/>
              <w:numPr>
                <w:ilvl w:val="0"/>
                <w:numId w:val="18"/>
              </w:numPr>
              <w:ind w:left="774" w:hanging="425"/>
              <w:rPr>
                <w:rFonts w:ascii="Arial" w:eastAsiaTheme="minorHAnsi" w:hAnsi="Arial" w:cstheme="minorBidi"/>
                <w:sz w:val="22"/>
                <w:szCs w:val="22"/>
              </w:rPr>
            </w:pPr>
            <w:r w:rsidRPr="000F6D35">
              <w:rPr>
                <w:rFonts w:ascii="Arial" w:eastAsiaTheme="minorHAnsi" w:hAnsi="Arial" w:cstheme="minorBidi"/>
                <w:sz w:val="22"/>
                <w:szCs w:val="22"/>
              </w:rPr>
              <w:t>Not-For-Profit: 1.0 (2014: 1.4)</w:t>
            </w:r>
            <w:r w:rsidR="005D695F">
              <w:rPr>
                <w:rFonts w:ascii="Arial" w:eastAsiaTheme="minorHAnsi" w:hAnsi="Arial" w:cstheme="minorBidi"/>
                <w:sz w:val="22"/>
                <w:szCs w:val="22"/>
              </w:rPr>
              <w:t>.</w:t>
            </w:r>
          </w:p>
          <w:p w:rsidR="00484A70" w:rsidRPr="00F83793" w:rsidRDefault="00484A70" w:rsidP="003B6D8C">
            <w:pPr>
              <w:pStyle w:val="ListParagraph"/>
              <w:spacing w:after="0"/>
              <w:ind w:left="777"/>
              <w:rPr>
                <w:rFonts w:ascii="Arial" w:eastAsiaTheme="minorHAnsi" w:hAnsi="Arial" w:cstheme="minorBidi"/>
                <w:sz w:val="22"/>
                <w:szCs w:val="22"/>
              </w:rPr>
            </w:pPr>
          </w:p>
        </w:tc>
      </w:tr>
      <w:tr w:rsidR="007D5D87" w:rsidRPr="000F6D35" w:rsidTr="007344DC">
        <w:tc>
          <w:tcPr>
            <w:tcW w:w="9640" w:type="dxa"/>
            <w:shd w:val="clear" w:color="auto" w:fill="E5ECED" w:themeFill="accent4" w:themeFillTint="66"/>
          </w:tcPr>
          <w:p w:rsidR="007D5D87" w:rsidRPr="000F6D35" w:rsidRDefault="007D5D87" w:rsidP="00E971A1">
            <w:pPr>
              <w:pStyle w:val="ListParagraph"/>
              <w:numPr>
                <w:ilvl w:val="0"/>
                <w:numId w:val="18"/>
              </w:numPr>
              <w:rPr>
                <w:rFonts w:ascii="Arial" w:eastAsiaTheme="minorHAnsi" w:hAnsi="Arial" w:cstheme="minorBidi"/>
                <w:sz w:val="22"/>
                <w:szCs w:val="22"/>
              </w:rPr>
            </w:pPr>
            <w:r w:rsidRPr="000F6D35">
              <w:rPr>
                <w:rFonts w:ascii="Arial" w:eastAsiaTheme="minorHAnsi" w:hAnsi="Arial" w:cstheme="minorBidi"/>
                <w:sz w:val="22"/>
                <w:szCs w:val="22"/>
              </w:rPr>
              <w:t>Universities had a median asset replacement ratio of 2.1 which was far greater than the sector median</w:t>
            </w:r>
            <w:r w:rsidR="00366FFD">
              <w:rPr>
                <w:rFonts w:ascii="Arial" w:eastAsiaTheme="minorHAnsi" w:hAnsi="Arial" w:cstheme="minorBidi"/>
                <w:sz w:val="22"/>
                <w:szCs w:val="22"/>
              </w:rPr>
              <w:t xml:space="preserve"> and well above the accepted benchmark of 1</w:t>
            </w:r>
            <w:r w:rsidRPr="000F6D35">
              <w:rPr>
                <w:rFonts w:ascii="Arial" w:eastAsiaTheme="minorHAnsi" w:hAnsi="Arial" w:cstheme="minorBidi"/>
                <w:sz w:val="22"/>
                <w:szCs w:val="22"/>
              </w:rPr>
              <w:t xml:space="preserve">. This indicates that </w:t>
            </w:r>
            <w:r w:rsidR="00366FFD">
              <w:rPr>
                <w:rFonts w:ascii="Arial" w:eastAsiaTheme="minorHAnsi" w:hAnsi="Arial" w:cstheme="minorBidi"/>
                <w:sz w:val="22"/>
                <w:szCs w:val="22"/>
              </w:rPr>
              <w:t>u</w:t>
            </w:r>
            <w:r w:rsidRPr="000F6D35">
              <w:rPr>
                <w:rFonts w:ascii="Arial" w:eastAsiaTheme="minorHAnsi" w:hAnsi="Arial" w:cstheme="minorBidi"/>
                <w:sz w:val="22"/>
                <w:szCs w:val="22"/>
              </w:rPr>
              <w:t xml:space="preserve">niversities </w:t>
            </w:r>
            <w:r w:rsidR="00366FFD">
              <w:rPr>
                <w:rFonts w:ascii="Arial" w:eastAsiaTheme="minorHAnsi" w:hAnsi="Arial" w:cstheme="minorBidi"/>
                <w:sz w:val="22"/>
                <w:szCs w:val="22"/>
              </w:rPr>
              <w:t>were</w:t>
            </w:r>
            <w:r w:rsidRPr="000F6D35">
              <w:rPr>
                <w:rFonts w:ascii="Arial" w:eastAsiaTheme="minorHAnsi" w:hAnsi="Arial" w:cstheme="minorBidi"/>
                <w:sz w:val="22"/>
                <w:szCs w:val="22"/>
              </w:rPr>
              <w:t xml:space="preserve"> not merely replacing assets but also investing in new assets.</w:t>
            </w:r>
          </w:p>
        </w:tc>
      </w:tr>
      <w:tr w:rsidR="007D5D87" w:rsidRPr="000F6D35" w:rsidTr="007344DC">
        <w:tc>
          <w:tcPr>
            <w:tcW w:w="9640" w:type="dxa"/>
            <w:shd w:val="clear" w:color="auto" w:fill="E5ECED" w:themeFill="accent4" w:themeFillTint="66"/>
          </w:tcPr>
          <w:p w:rsidR="007D5D87" w:rsidRDefault="007D5D87" w:rsidP="003B6D8C">
            <w:pPr>
              <w:pStyle w:val="ListParagraph"/>
              <w:numPr>
                <w:ilvl w:val="0"/>
                <w:numId w:val="18"/>
              </w:numPr>
              <w:spacing w:after="240"/>
              <w:ind w:left="357" w:hanging="357"/>
              <w:rPr>
                <w:rFonts w:ascii="Arial" w:eastAsiaTheme="minorHAnsi" w:hAnsi="Arial" w:cstheme="minorBidi"/>
                <w:sz w:val="22"/>
                <w:szCs w:val="22"/>
              </w:rPr>
            </w:pPr>
            <w:r w:rsidRPr="000F6D35">
              <w:rPr>
                <w:rFonts w:ascii="Arial" w:eastAsiaTheme="minorHAnsi" w:hAnsi="Arial" w:cstheme="minorBidi"/>
                <w:sz w:val="22"/>
                <w:szCs w:val="22"/>
              </w:rPr>
              <w:t>The median asset replacement ratio for For-Profit providers was below the sector median but close to the generally accepted benchmark of 1, indicating that investment was generally replacement in nature.</w:t>
            </w:r>
          </w:p>
          <w:p w:rsidR="005D695F" w:rsidRDefault="005D695F" w:rsidP="003B6D8C">
            <w:pPr>
              <w:pStyle w:val="ListParagraph"/>
              <w:spacing w:after="240"/>
              <w:ind w:left="357"/>
              <w:rPr>
                <w:rFonts w:ascii="Arial" w:eastAsiaTheme="minorHAnsi" w:hAnsi="Arial" w:cstheme="minorBidi"/>
                <w:sz w:val="22"/>
                <w:szCs w:val="22"/>
              </w:rPr>
            </w:pPr>
          </w:p>
          <w:p w:rsidR="00366FFD" w:rsidRDefault="00366FFD" w:rsidP="008410D8">
            <w:pPr>
              <w:pStyle w:val="ListParagraph"/>
              <w:numPr>
                <w:ilvl w:val="0"/>
                <w:numId w:val="18"/>
              </w:numPr>
              <w:rPr>
                <w:rFonts w:ascii="Arial" w:eastAsiaTheme="minorHAnsi" w:hAnsi="Arial" w:cstheme="minorBidi"/>
                <w:sz w:val="22"/>
                <w:szCs w:val="22"/>
              </w:rPr>
            </w:pPr>
            <w:r>
              <w:rPr>
                <w:rFonts w:ascii="Arial" w:eastAsiaTheme="minorHAnsi" w:hAnsi="Arial" w:cstheme="minorBidi"/>
                <w:sz w:val="22"/>
                <w:szCs w:val="22"/>
              </w:rPr>
              <w:t xml:space="preserve">For-Profit and TAFE providers recorded median asset replacement ratios of 0.9 and 0.7 respectively which were below the sector median of 1.3 indicating that the </w:t>
            </w:r>
            <w:r w:rsidR="00DC28B1">
              <w:rPr>
                <w:rFonts w:ascii="Arial" w:eastAsiaTheme="minorHAnsi" w:hAnsi="Arial" w:cstheme="minorBidi"/>
                <w:sz w:val="22"/>
                <w:szCs w:val="22"/>
              </w:rPr>
              <w:t>rate</w:t>
            </w:r>
            <w:r>
              <w:rPr>
                <w:rFonts w:ascii="Arial" w:eastAsiaTheme="minorHAnsi" w:hAnsi="Arial" w:cstheme="minorBidi"/>
                <w:sz w:val="22"/>
                <w:szCs w:val="22"/>
              </w:rPr>
              <w:t xml:space="preserve"> of investment in asset</w:t>
            </w:r>
            <w:r w:rsidR="00E971A1">
              <w:rPr>
                <w:rFonts w:ascii="Arial" w:eastAsiaTheme="minorHAnsi" w:hAnsi="Arial" w:cstheme="minorBidi"/>
                <w:sz w:val="22"/>
                <w:szCs w:val="22"/>
              </w:rPr>
              <w:t>s</w:t>
            </w:r>
            <w:r>
              <w:rPr>
                <w:rFonts w:ascii="Arial" w:eastAsiaTheme="minorHAnsi" w:hAnsi="Arial" w:cstheme="minorBidi"/>
                <w:sz w:val="22"/>
                <w:szCs w:val="22"/>
              </w:rPr>
              <w:t xml:space="preserve"> was below depreciation.</w:t>
            </w:r>
          </w:p>
          <w:p w:rsidR="00484A70" w:rsidRPr="000F6D35" w:rsidRDefault="00484A70" w:rsidP="00F83793">
            <w:pPr>
              <w:pStyle w:val="ListParagraph"/>
              <w:ind w:left="360"/>
              <w:rPr>
                <w:rFonts w:ascii="Arial" w:eastAsiaTheme="minorHAnsi" w:hAnsi="Arial" w:cstheme="minorBidi"/>
                <w:sz w:val="22"/>
                <w:szCs w:val="22"/>
              </w:rPr>
            </w:pPr>
          </w:p>
        </w:tc>
      </w:tr>
    </w:tbl>
    <w:p w:rsidR="000E7BD1" w:rsidRDefault="000E7BD1">
      <w:pPr>
        <w:spacing w:after="0" w:line="240" w:lineRule="auto"/>
        <w:rPr>
          <w:rFonts w:asciiTheme="majorHAnsi" w:eastAsiaTheme="minorHAnsi" w:hAnsiTheme="majorHAnsi" w:cs="Garamond"/>
          <w:b/>
          <w:bCs/>
          <w:color w:val="00A6AA" w:themeColor="background1"/>
          <w:sz w:val="32"/>
          <w:szCs w:val="32"/>
          <w:lang w:val="en-GB"/>
        </w:rPr>
      </w:pPr>
      <w:r>
        <w:br w:type="page"/>
      </w:r>
    </w:p>
    <w:p w:rsidR="00920FF9" w:rsidRDefault="00366FFD" w:rsidP="001567F7">
      <w:pPr>
        <w:pStyle w:val="H2"/>
        <w:spacing w:after="120"/>
      </w:pPr>
      <w:r>
        <w:lastRenderedPageBreak/>
        <w:t>4</w:t>
      </w:r>
      <w:r w:rsidR="00242EC3">
        <w:t xml:space="preserve">.5 </w:t>
      </w:r>
      <w:r w:rsidR="00920FF9">
        <w:t>Liquidity</w:t>
      </w:r>
    </w:p>
    <w:p w:rsidR="00920FF9" w:rsidRPr="0033268E" w:rsidRDefault="00920FF9" w:rsidP="00920FF9">
      <w:pPr>
        <w:pStyle w:val="BulletsL1"/>
        <w:ind w:left="0" w:firstLine="0"/>
        <w:rPr>
          <w:lang w:val="en-AU"/>
        </w:rPr>
      </w:pPr>
      <w:r>
        <w:rPr>
          <w:lang w:val="en-AU"/>
        </w:rPr>
        <w:t>L</w:t>
      </w:r>
      <w:r w:rsidRPr="0033268E">
        <w:rPr>
          <w:lang w:val="en-AU"/>
        </w:rPr>
        <w:t>iquidity</w:t>
      </w:r>
      <w:r>
        <w:rPr>
          <w:lang w:val="en-AU"/>
        </w:rPr>
        <w:t xml:space="preserve">, </w:t>
      </w:r>
      <w:r w:rsidR="00F97A90">
        <w:rPr>
          <w:lang w:val="en-AU"/>
        </w:rPr>
        <w:t>commonly</w:t>
      </w:r>
      <w:r>
        <w:rPr>
          <w:lang w:val="en-AU"/>
        </w:rPr>
        <w:t xml:space="preserve"> measured using t</w:t>
      </w:r>
      <w:r w:rsidRPr="0033268E">
        <w:rPr>
          <w:lang w:val="en-AU"/>
        </w:rPr>
        <w:t>he current ratio</w:t>
      </w:r>
      <w:r w:rsidR="009413D0" w:rsidRPr="00A53586">
        <w:rPr>
          <w:rStyle w:val="FootnoteReference"/>
          <w:sz w:val="18"/>
          <w:szCs w:val="18"/>
          <w:lang w:val="en-AU"/>
        </w:rPr>
        <w:footnoteReference w:id="12"/>
      </w:r>
      <w:r>
        <w:rPr>
          <w:lang w:val="en-AU"/>
        </w:rPr>
        <w:t>,</w:t>
      </w:r>
      <w:r w:rsidRPr="0033268E">
        <w:rPr>
          <w:lang w:val="en-AU"/>
        </w:rPr>
        <w:t xml:space="preserve"> provides an indication of </w:t>
      </w:r>
      <w:r w:rsidR="00854C35">
        <w:rPr>
          <w:lang w:val="en-AU"/>
        </w:rPr>
        <w:t>a</w:t>
      </w:r>
      <w:r w:rsidRPr="0033268E">
        <w:rPr>
          <w:lang w:val="en-AU"/>
        </w:rPr>
        <w:t xml:space="preserve"> provider’s capacity to meet short-term financial obligations within its ordinary operating cycle (typically up to 12 months). </w:t>
      </w:r>
      <w:r w:rsidR="007306EA">
        <w:rPr>
          <w:lang w:val="en-AU"/>
        </w:rPr>
        <w:t xml:space="preserve">This ratio provides a snapshot of </w:t>
      </w:r>
      <w:r w:rsidR="00A53586">
        <w:rPr>
          <w:lang w:val="en-AU"/>
        </w:rPr>
        <w:t>a</w:t>
      </w:r>
      <w:r w:rsidR="007306EA">
        <w:rPr>
          <w:lang w:val="en-AU"/>
        </w:rPr>
        <w:t xml:space="preserve"> provider</w:t>
      </w:r>
      <w:r w:rsidR="00D8684C">
        <w:rPr>
          <w:lang w:val="en-AU"/>
        </w:rPr>
        <w:t>’</w:t>
      </w:r>
      <w:r w:rsidR="007306EA">
        <w:rPr>
          <w:lang w:val="en-AU"/>
        </w:rPr>
        <w:t>s capacity</w:t>
      </w:r>
      <w:r w:rsidR="009413D0">
        <w:rPr>
          <w:lang w:val="en-AU"/>
        </w:rPr>
        <w:t xml:space="preserve"> </w:t>
      </w:r>
      <w:r w:rsidR="009413D0" w:rsidRPr="00767EAB">
        <w:rPr>
          <w:lang w:val="en-AU"/>
        </w:rPr>
        <w:t xml:space="preserve">to meet </w:t>
      </w:r>
      <w:r w:rsidR="009413D0">
        <w:rPr>
          <w:lang w:val="en-AU"/>
        </w:rPr>
        <w:t xml:space="preserve">its </w:t>
      </w:r>
      <w:r w:rsidR="009413D0" w:rsidRPr="00767EAB">
        <w:rPr>
          <w:lang w:val="en-AU"/>
        </w:rPr>
        <w:t>short</w:t>
      </w:r>
      <w:r w:rsidR="00B00FC7">
        <w:rPr>
          <w:lang w:val="en-AU"/>
        </w:rPr>
        <w:t>-</w:t>
      </w:r>
      <w:r w:rsidR="009413D0" w:rsidRPr="00767EAB">
        <w:rPr>
          <w:lang w:val="en-AU"/>
        </w:rPr>
        <w:t>term financial commitments</w:t>
      </w:r>
      <w:r w:rsidR="007306EA">
        <w:rPr>
          <w:lang w:val="en-AU"/>
        </w:rPr>
        <w:t xml:space="preserve"> at a particular point in time. </w:t>
      </w:r>
      <w:r>
        <w:rPr>
          <w:lang w:val="en-AU"/>
        </w:rPr>
        <w:t>A</w:t>
      </w:r>
      <w:r w:rsidRPr="00767EAB">
        <w:rPr>
          <w:lang w:val="en-AU"/>
        </w:rPr>
        <w:t xml:space="preserve"> ratio of 1 o</w:t>
      </w:r>
      <w:r>
        <w:rPr>
          <w:lang w:val="en-AU"/>
        </w:rPr>
        <w:t>r above indica</w:t>
      </w:r>
      <w:r w:rsidR="00AF2BCE">
        <w:rPr>
          <w:lang w:val="en-AU"/>
        </w:rPr>
        <w:t>tes that a provider has a strong</w:t>
      </w:r>
      <w:r>
        <w:rPr>
          <w:lang w:val="en-AU"/>
        </w:rPr>
        <w:t xml:space="preserve"> </w:t>
      </w:r>
      <w:r w:rsidRPr="00767EAB">
        <w:rPr>
          <w:lang w:val="en-AU"/>
        </w:rPr>
        <w:t xml:space="preserve">capacity to meet </w:t>
      </w:r>
      <w:r>
        <w:rPr>
          <w:lang w:val="en-AU"/>
        </w:rPr>
        <w:t>it</w:t>
      </w:r>
      <w:r w:rsidR="00D8684C">
        <w:rPr>
          <w:lang w:val="en-AU"/>
        </w:rPr>
        <w:t>s</w:t>
      </w:r>
      <w:r>
        <w:rPr>
          <w:lang w:val="en-AU"/>
        </w:rPr>
        <w:t xml:space="preserve"> </w:t>
      </w:r>
      <w:r w:rsidRPr="00767EAB">
        <w:rPr>
          <w:lang w:val="en-AU"/>
        </w:rPr>
        <w:t>short</w:t>
      </w:r>
      <w:r w:rsidR="00E971A1">
        <w:rPr>
          <w:lang w:val="en-AU"/>
        </w:rPr>
        <w:t>-</w:t>
      </w:r>
      <w:r w:rsidRPr="00767EAB">
        <w:rPr>
          <w:lang w:val="en-AU"/>
        </w:rPr>
        <w:t>term financial commitments</w:t>
      </w:r>
      <w:r>
        <w:rPr>
          <w:lang w:val="en-AU"/>
        </w:rPr>
        <w:t xml:space="preserve"> within its ordinary operating cycle</w:t>
      </w:r>
      <w:r w:rsidRPr="00767EAB">
        <w:rPr>
          <w:lang w:val="en-AU"/>
        </w:rPr>
        <w:t>.</w:t>
      </w:r>
    </w:p>
    <w:p w:rsidR="00920FF9" w:rsidRDefault="00920FF9" w:rsidP="00920FF9">
      <w:pPr>
        <w:rPr>
          <w:rFonts w:ascii="Georgia" w:hAnsi="Georgia" w:cs="Arial"/>
          <w:b/>
          <w:color w:val="004855" w:themeColor="text1"/>
          <w:sz w:val="22"/>
          <w:szCs w:val="22"/>
          <w:lang w:val="en-US"/>
        </w:rPr>
      </w:pPr>
    </w:p>
    <w:p w:rsidR="00920FF9" w:rsidRPr="001567F7" w:rsidDel="0024327E" w:rsidRDefault="00920FF9" w:rsidP="00920FF9">
      <w:pPr>
        <w:rPr>
          <w:rFonts w:ascii="Georgia" w:hAnsi="Georgia" w:cs="Arial"/>
          <w:b/>
          <w:color w:val="004855" w:themeColor="text1"/>
          <w:sz w:val="20"/>
          <w:szCs w:val="20"/>
          <w:lang w:val="en-US"/>
        </w:rPr>
      </w:pPr>
      <w:r w:rsidRPr="00AF61CE"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1</w:t>
      </w:r>
      <w:r w:rsidR="00D62AA3">
        <w:rPr>
          <w:rFonts w:ascii="Georgia" w:hAnsi="Georgia" w:cs="Arial"/>
          <w:b/>
          <w:color w:val="004855" w:themeColor="text1"/>
          <w:sz w:val="20"/>
          <w:szCs w:val="20"/>
          <w:lang w:val="en-US"/>
        </w:rPr>
        <w:t>3</w:t>
      </w:r>
      <w:r w:rsidRPr="00AF61CE" w:rsidDel="0024327E">
        <w:rPr>
          <w:rFonts w:ascii="Georgia" w:hAnsi="Georgia" w:cs="Arial"/>
          <w:b/>
          <w:color w:val="004855" w:themeColor="text1"/>
          <w:sz w:val="20"/>
          <w:szCs w:val="20"/>
          <w:lang w:val="en-US"/>
        </w:rPr>
        <w:t>: Liquidity</w:t>
      </w:r>
      <w:r w:rsidR="00A8413E" w:rsidRPr="00AF61CE" w:rsidDel="0024327E">
        <w:rPr>
          <w:rFonts w:ascii="Georgia" w:hAnsi="Georgia" w:cs="Arial"/>
          <w:b/>
          <w:color w:val="004855" w:themeColor="text1"/>
          <w:sz w:val="20"/>
          <w:szCs w:val="20"/>
          <w:lang w:val="en-US"/>
        </w:rPr>
        <w:t xml:space="preserve">, by provider </w:t>
      </w:r>
      <w:r w:rsidR="00452500" w:rsidRPr="00AF61CE" w:rsidDel="0024327E">
        <w:rPr>
          <w:rFonts w:ascii="Georgia" w:hAnsi="Georgia" w:cs="Arial"/>
          <w:b/>
          <w:color w:val="004855" w:themeColor="text1"/>
          <w:sz w:val="20"/>
          <w:szCs w:val="20"/>
          <w:lang w:val="en-US"/>
        </w:rPr>
        <w:t>type</w:t>
      </w:r>
    </w:p>
    <w:p w:rsidR="00920FF9" w:rsidRDefault="001B39EA" w:rsidP="00920FF9">
      <w:pPr>
        <w:rPr>
          <w:rFonts w:ascii="Georgia" w:hAnsi="Georgia"/>
          <w:b/>
          <w:color w:val="004855" w:themeColor="text1"/>
        </w:rPr>
      </w:pPr>
      <w:r>
        <w:rPr>
          <w:rFonts w:ascii="Georgia" w:hAnsi="Georgia"/>
          <w:b/>
          <w:noProof/>
          <w:color w:val="004855" w:themeColor="text1"/>
          <w:lang w:eastAsia="en-AU"/>
        </w:rPr>
        <w:drawing>
          <wp:inline distT="0" distB="0" distL="0" distR="0" wp14:anchorId="5C7A9FA8" wp14:editId="674BE032">
            <wp:extent cx="5934113" cy="3362325"/>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1060" cy="3366261"/>
                    </a:xfrm>
                    <a:prstGeom prst="rect">
                      <a:avLst/>
                    </a:prstGeom>
                    <a:noFill/>
                    <a:ln>
                      <a:noFill/>
                    </a:ln>
                  </pic:spPr>
                </pic:pic>
              </a:graphicData>
            </a:graphic>
          </wp:inline>
        </w:drawing>
      </w:r>
    </w:p>
    <w:p w:rsidR="007344DC" w:rsidRDefault="007344DC" w:rsidP="007344DC">
      <w:pPr>
        <w:spacing w:after="0" w:line="80" w:lineRule="atLeast"/>
        <w:jc w:val="center"/>
        <w:rPr>
          <w:rFonts w:ascii="Georgia" w:hAnsi="Georgia" w:cs="Arial"/>
          <w:b/>
          <w:color w:val="004855" w:themeColor="text1"/>
          <w:sz w:val="22"/>
          <w:szCs w:val="22"/>
          <w:lang w:val="en-US"/>
        </w:rPr>
      </w:pPr>
      <w:r>
        <w:rPr>
          <w:noProof/>
          <w:lang w:eastAsia="en-AU"/>
        </w:rPr>
        <w:drawing>
          <wp:inline distT="0" distB="0" distL="0" distR="0" wp14:anchorId="64E4DB24" wp14:editId="3AB7F362">
            <wp:extent cx="1054510" cy="172102"/>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9802"/>
                    <a:stretch/>
                  </pic:blipFill>
                  <pic:spPr bwMode="auto">
                    <a:xfrm>
                      <a:off x="0" y="0"/>
                      <a:ext cx="1058284" cy="1727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E00C161" wp14:editId="3E078AB8">
            <wp:extent cx="1054510" cy="213852"/>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b="18466"/>
                    <a:stretch/>
                  </pic:blipFill>
                  <pic:spPr bwMode="auto">
                    <a:xfrm>
                      <a:off x="0" y="0"/>
                      <a:ext cx="1058284" cy="214617"/>
                    </a:xfrm>
                    <a:prstGeom prst="rect">
                      <a:avLst/>
                    </a:prstGeom>
                    <a:noFill/>
                    <a:ln>
                      <a:noFill/>
                    </a:ln>
                    <a:extLst>
                      <a:ext uri="{53640926-AAD7-44D8-BBD7-CCE9431645EC}">
                        <a14:shadowObscured xmlns:a14="http://schemas.microsoft.com/office/drawing/2010/main"/>
                      </a:ext>
                    </a:extLst>
                  </pic:spPr>
                </pic:pic>
              </a:graphicData>
            </a:graphic>
          </wp:inline>
        </w:drawing>
      </w:r>
    </w:p>
    <w:p w:rsidR="007344DC" w:rsidRDefault="007344DC" w:rsidP="007344DC">
      <w:pPr>
        <w:spacing w:after="0" w:line="80" w:lineRule="atLeast"/>
        <w:jc w:val="cente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42617E93" wp14:editId="31419D0D">
            <wp:extent cx="1053458" cy="191729"/>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6088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b/>
          <w:noProof/>
          <w:color w:val="004855" w:themeColor="text1"/>
          <w:sz w:val="22"/>
          <w:szCs w:val="22"/>
          <w:lang w:eastAsia="en-AU"/>
        </w:rPr>
        <w:drawing>
          <wp:inline distT="0" distB="0" distL="0" distR="0" wp14:anchorId="3D32D8C9" wp14:editId="62B3616C">
            <wp:extent cx="1053458" cy="191729"/>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87" b="40166"/>
                    <a:stretch/>
                  </pic:blipFill>
                  <pic:spPr bwMode="auto">
                    <a:xfrm>
                      <a:off x="0" y="0"/>
                      <a:ext cx="1057275" cy="192424"/>
                    </a:xfrm>
                    <a:prstGeom prst="rect">
                      <a:avLst/>
                    </a:prstGeom>
                    <a:noFill/>
                    <a:ln>
                      <a:noFill/>
                    </a:ln>
                    <a:extLst>
                      <a:ext uri="{53640926-AAD7-44D8-BBD7-CCE9431645EC}">
                        <a14:shadowObscured xmlns:a14="http://schemas.microsoft.com/office/drawing/2010/main"/>
                      </a:ext>
                    </a:extLst>
                  </pic:spPr>
                </pic:pic>
              </a:graphicData>
            </a:graphic>
          </wp:inline>
        </w:drawing>
      </w:r>
    </w:p>
    <w:p w:rsidR="00F22670" w:rsidRDefault="00F22670" w:rsidP="00F22670">
      <w:pPr>
        <w:jc w:val="center"/>
        <w:rPr>
          <w:rFonts w:ascii="Georgia" w:hAnsi="Georgia" w:cs="Arial"/>
          <w:b/>
          <w:color w:val="004855" w:themeColor="text1"/>
          <w:sz w:val="22"/>
          <w:szCs w:val="22"/>
          <w:lang w:val="en-US"/>
        </w:rPr>
      </w:pPr>
    </w:p>
    <w:p w:rsidR="00920FF9" w:rsidRPr="001567F7" w:rsidRDefault="00920FF9" w:rsidP="00920FF9">
      <w:pPr>
        <w:rPr>
          <w:rFonts w:ascii="Georgia" w:hAnsi="Georgia" w:cs="Arial"/>
          <w:b/>
          <w:color w:val="004855" w:themeColor="text1"/>
          <w:sz w:val="20"/>
          <w:szCs w:val="20"/>
          <w:lang w:val="en-US"/>
        </w:rPr>
      </w:pPr>
      <w:r w:rsidRPr="001567F7">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10</w:t>
      </w:r>
      <w:r w:rsidRPr="001567F7">
        <w:rPr>
          <w:rFonts w:ascii="Georgia" w:hAnsi="Georgia" w:cs="Arial"/>
          <w:b/>
          <w:color w:val="004855" w:themeColor="text1"/>
          <w:sz w:val="20"/>
          <w:szCs w:val="20"/>
          <w:lang w:val="en-US"/>
        </w:rPr>
        <w:t xml:space="preserve">: Liquidity range, by provider </w:t>
      </w:r>
      <w:r w:rsidR="00452500" w:rsidRPr="001567F7">
        <w:rPr>
          <w:rFonts w:ascii="Georgia" w:hAnsi="Georgia" w:cs="Arial"/>
          <w:b/>
          <w:color w:val="004855" w:themeColor="text1"/>
          <w:sz w:val="20"/>
          <w:szCs w:val="20"/>
          <w:lang w:val="en-US"/>
        </w:rPr>
        <w:t>type</w:t>
      </w:r>
    </w:p>
    <w:tbl>
      <w:tblPr>
        <w:tblW w:w="5000" w:type="pct"/>
        <w:tblLook w:val="04A0" w:firstRow="1" w:lastRow="0" w:firstColumn="1" w:lastColumn="0" w:noHBand="0" w:noVBand="1"/>
      </w:tblPr>
      <w:tblGrid>
        <w:gridCol w:w="2283"/>
        <w:gridCol w:w="1426"/>
        <w:gridCol w:w="1595"/>
        <w:gridCol w:w="10"/>
        <w:gridCol w:w="1365"/>
        <w:gridCol w:w="1494"/>
        <w:gridCol w:w="1399"/>
      </w:tblGrid>
      <w:tr w:rsidR="00675F21" w:rsidRPr="00797118" w:rsidTr="00F34CCC">
        <w:trPr>
          <w:trHeight w:val="300"/>
        </w:trPr>
        <w:tc>
          <w:tcPr>
            <w:tcW w:w="1193" w:type="pct"/>
            <w:tcBorders>
              <w:top w:val="nil"/>
              <w:left w:val="nil"/>
              <w:bottom w:val="single" w:sz="4" w:space="0" w:color="366092"/>
              <w:right w:val="nil"/>
            </w:tcBorders>
            <w:shd w:val="clear" w:color="auto" w:fill="004855"/>
            <w:noWrap/>
            <w:vAlign w:val="bottom"/>
            <w:hideMark/>
          </w:tcPr>
          <w:p w:rsidR="00675F21" w:rsidRPr="00797118" w:rsidRDefault="00675F21" w:rsidP="00675F21">
            <w:pPr>
              <w:spacing w:after="0"/>
              <w:jc w:val="center"/>
              <w:rPr>
                <w:rFonts w:asciiTheme="minorHAnsi" w:hAnsiTheme="minorHAnsi" w:cstheme="minorHAnsi"/>
                <w:b/>
                <w:sz w:val="20"/>
                <w:szCs w:val="20"/>
              </w:rPr>
            </w:pPr>
          </w:p>
        </w:tc>
        <w:tc>
          <w:tcPr>
            <w:tcW w:w="745" w:type="pct"/>
            <w:tcBorders>
              <w:top w:val="nil"/>
              <w:left w:val="nil"/>
              <w:bottom w:val="single" w:sz="4" w:space="0" w:color="366092"/>
              <w:right w:val="nil"/>
            </w:tcBorders>
            <w:shd w:val="clear" w:color="auto" w:fill="004855"/>
            <w:noWrap/>
            <w:vAlign w:val="bottom"/>
          </w:tcPr>
          <w:p w:rsidR="00675F2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33" w:type="pct"/>
            <w:tcBorders>
              <w:top w:val="nil"/>
              <w:left w:val="nil"/>
              <w:bottom w:val="single" w:sz="4" w:space="0" w:color="366092"/>
              <w:right w:val="nil"/>
            </w:tcBorders>
            <w:shd w:val="clear" w:color="auto" w:fill="004855"/>
            <w:vAlign w:val="bottom"/>
          </w:tcPr>
          <w:p w:rsidR="00675F21" w:rsidRPr="00797118" w:rsidRDefault="00E34B4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18" w:type="pct"/>
            <w:gridSpan w:val="2"/>
            <w:tcBorders>
              <w:top w:val="nil"/>
              <w:left w:val="nil"/>
              <w:bottom w:val="single" w:sz="4" w:space="0" w:color="366092"/>
              <w:right w:val="nil"/>
            </w:tcBorders>
            <w:shd w:val="clear" w:color="auto" w:fill="004855"/>
            <w:noWrap/>
            <w:vAlign w:val="bottom"/>
          </w:tcPr>
          <w:p w:rsidR="00675F21" w:rsidRPr="00797118" w:rsidRDefault="00675F21"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80" w:type="pct"/>
            <w:tcBorders>
              <w:top w:val="nil"/>
              <w:left w:val="nil"/>
              <w:bottom w:val="single" w:sz="4" w:space="0" w:color="366092"/>
              <w:right w:val="nil"/>
            </w:tcBorders>
            <w:shd w:val="clear" w:color="auto" w:fill="004855"/>
            <w:noWrap/>
            <w:vAlign w:val="bottom"/>
          </w:tcPr>
          <w:p w:rsidR="00675F21" w:rsidRPr="00797118" w:rsidRDefault="00ED5A3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w:t>
            </w:r>
            <w:r w:rsidR="00E94E9B">
              <w:rPr>
                <w:rFonts w:asciiTheme="minorHAnsi" w:hAnsiTheme="minorHAnsi" w:cstheme="minorHAnsi"/>
                <w:b/>
                <w:sz w:val="20"/>
                <w:szCs w:val="20"/>
              </w:rPr>
              <w:t xml:space="preserve"> </w:t>
            </w:r>
            <w:r>
              <w:rPr>
                <w:rFonts w:asciiTheme="minorHAnsi" w:hAnsiTheme="minorHAnsi" w:cstheme="minorHAnsi"/>
                <w:b/>
                <w:sz w:val="20"/>
                <w:szCs w:val="20"/>
              </w:rPr>
              <w:t>quartile</w:t>
            </w:r>
          </w:p>
        </w:tc>
        <w:tc>
          <w:tcPr>
            <w:tcW w:w="731" w:type="pct"/>
            <w:tcBorders>
              <w:top w:val="nil"/>
              <w:left w:val="nil"/>
              <w:bottom w:val="single" w:sz="4" w:space="0" w:color="366092"/>
              <w:right w:val="nil"/>
            </w:tcBorders>
            <w:shd w:val="clear" w:color="auto" w:fill="004855"/>
            <w:vAlign w:val="bottom"/>
          </w:tcPr>
          <w:p w:rsidR="00675F21" w:rsidRPr="00797118" w:rsidRDefault="00B6321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2922C1" w:rsidRPr="00797118" w:rsidTr="00A02129">
        <w:trPr>
          <w:trHeight w:val="300"/>
        </w:trPr>
        <w:tc>
          <w:tcPr>
            <w:tcW w:w="1193" w:type="pct"/>
            <w:tcBorders>
              <w:top w:val="nil"/>
              <w:left w:val="nil"/>
              <w:bottom w:val="single" w:sz="4" w:space="0" w:color="366092"/>
              <w:right w:val="nil"/>
            </w:tcBorders>
            <w:shd w:val="clear" w:color="auto" w:fill="auto"/>
            <w:noWrap/>
            <w:vAlign w:val="bottom"/>
          </w:tcPr>
          <w:p w:rsidR="002922C1" w:rsidRPr="00797118" w:rsidRDefault="002922C1" w:rsidP="00675F21">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745"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0.3</w:t>
            </w:r>
          </w:p>
        </w:tc>
        <w:tc>
          <w:tcPr>
            <w:tcW w:w="838" w:type="pct"/>
            <w:gridSpan w:val="2"/>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w:t>
            </w:r>
          </w:p>
        </w:tc>
        <w:tc>
          <w:tcPr>
            <w:tcW w:w="713"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1.4</w:t>
            </w:r>
          </w:p>
        </w:tc>
        <w:tc>
          <w:tcPr>
            <w:tcW w:w="780"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2.2</w:t>
            </w:r>
          </w:p>
        </w:tc>
        <w:tc>
          <w:tcPr>
            <w:tcW w:w="731"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5.3</w:t>
            </w:r>
          </w:p>
        </w:tc>
      </w:tr>
      <w:tr w:rsidR="00605D3D" w:rsidRPr="00797118" w:rsidTr="0089015D">
        <w:trPr>
          <w:trHeight w:val="300"/>
        </w:trPr>
        <w:tc>
          <w:tcPr>
            <w:tcW w:w="1193" w:type="pct"/>
            <w:tcBorders>
              <w:top w:val="nil"/>
              <w:left w:val="nil"/>
              <w:bottom w:val="single" w:sz="4" w:space="0" w:color="366092"/>
              <w:right w:val="nil"/>
            </w:tcBorders>
            <w:shd w:val="clear" w:color="auto" w:fill="auto"/>
            <w:noWrap/>
            <w:vAlign w:val="bottom"/>
          </w:tcPr>
          <w:p w:rsidR="00605D3D" w:rsidRPr="00797118" w:rsidRDefault="00605D3D"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745" w:type="pct"/>
            <w:tcBorders>
              <w:top w:val="nil"/>
              <w:left w:val="nil"/>
              <w:bottom w:val="single" w:sz="4" w:space="0" w:color="366092"/>
              <w:right w:val="nil"/>
            </w:tcBorders>
            <w:vAlign w:val="bottom"/>
          </w:tcPr>
          <w:p w:rsidR="00605D3D" w:rsidRPr="002922C1" w:rsidRDefault="00605D3D"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838" w:type="pct"/>
            <w:gridSpan w:val="2"/>
            <w:tcBorders>
              <w:top w:val="nil"/>
              <w:left w:val="nil"/>
              <w:bottom w:val="single" w:sz="4" w:space="0" w:color="366092"/>
              <w:right w:val="nil"/>
            </w:tcBorders>
            <w:shd w:val="clear" w:color="auto" w:fill="auto"/>
            <w:noWrap/>
            <w:vAlign w:val="bottom"/>
          </w:tcPr>
          <w:p w:rsidR="00605D3D" w:rsidRPr="002922C1" w:rsidRDefault="00605D3D"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1.0</w:t>
            </w:r>
          </w:p>
        </w:tc>
        <w:tc>
          <w:tcPr>
            <w:tcW w:w="713" w:type="pct"/>
            <w:tcBorders>
              <w:top w:val="nil"/>
              <w:left w:val="nil"/>
              <w:bottom w:val="single" w:sz="4" w:space="0" w:color="366092"/>
              <w:right w:val="nil"/>
            </w:tcBorders>
            <w:shd w:val="clear" w:color="auto" w:fill="auto"/>
            <w:noWrap/>
            <w:vAlign w:val="bottom"/>
          </w:tcPr>
          <w:p w:rsidR="00605D3D" w:rsidRPr="002922C1" w:rsidRDefault="00605D3D"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1.4</w:t>
            </w:r>
          </w:p>
        </w:tc>
        <w:tc>
          <w:tcPr>
            <w:tcW w:w="780" w:type="pct"/>
            <w:tcBorders>
              <w:top w:val="nil"/>
              <w:left w:val="nil"/>
              <w:bottom w:val="single" w:sz="4" w:space="0" w:color="366092"/>
              <w:right w:val="nil"/>
            </w:tcBorders>
            <w:shd w:val="clear" w:color="auto" w:fill="auto"/>
            <w:noWrap/>
            <w:vAlign w:val="bottom"/>
          </w:tcPr>
          <w:p w:rsidR="00605D3D" w:rsidRPr="002922C1" w:rsidRDefault="00605D3D"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2.4</w:t>
            </w:r>
          </w:p>
        </w:tc>
        <w:tc>
          <w:tcPr>
            <w:tcW w:w="731" w:type="pct"/>
            <w:tcBorders>
              <w:top w:val="nil"/>
              <w:left w:val="nil"/>
              <w:bottom w:val="single" w:sz="4" w:space="0" w:color="366092"/>
              <w:right w:val="nil"/>
            </w:tcBorders>
            <w:vAlign w:val="bottom"/>
          </w:tcPr>
          <w:p w:rsidR="00605D3D" w:rsidRPr="002922C1" w:rsidRDefault="00605D3D" w:rsidP="0089015D">
            <w:pPr>
              <w:spacing w:after="0"/>
              <w:jc w:val="right"/>
              <w:rPr>
                <w:rFonts w:asciiTheme="minorHAnsi" w:hAnsiTheme="minorHAnsi" w:cstheme="minorHAnsi"/>
                <w:sz w:val="20"/>
                <w:szCs w:val="20"/>
              </w:rPr>
            </w:pPr>
            <w:r w:rsidRPr="002922C1">
              <w:rPr>
                <w:rFonts w:asciiTheme="minorHAnsi" w:hAnsiTheme="minorHAnsi" w:cstheme="minorHAnsi"/>
                <w:sz w:val="20"/>
                <w:szCs w:val="20"/>
              </w:rPr>
              <w:t>3.1</w:t>
            </w:r>
          </w:p>
        </w:tc>
      </w:tr>
      <w:tr w:rsidR="002922C1" w:rsidRPr="00797118" w:rsidTr="00A02129">
        <w:trPr>
          <w:trHeight w:val="300"/>
        </w:trPr>
        <w:tc>
          <w:tcPr>
            <w:tcW w:w="1193" w:type="pct"/>
            <w:tcBorders>
              <w:top w:val="nil"/>
              <w:left w:val="nil"/>
              <w:bottom w:val="single" w:sz="4" w:space="0" w:color="366092"/>
              <w:right w:val="nil"/>
            </w:tcBorders>
            <w:shd w:val="clear" w:color="auto" w:fill="auto"/>
            <w:noWrap/>
            <w:vAlign w:val="bottom"/>
          </w:tcPr>
          <w:p w:rsidR="002922C1" w:rsidRPr="00296D08" w:rsidRDefault="00CF3E1F" w:rsidP="00F1088D">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45"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0.3</w:t>
            </w:r>
          </w:p>
        </w:tc>
        <w:tc>
          <w:tcPr>
            <w:tcW w:w="838" w:type="pct"/>
            <w:gridSpan w:val="2"/>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0.7</w:t>
            </w:r>
          </w:p>
        </w:tc>
        <w:tc>
          <w:tcPr>
            <w:tcW w:w="713"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1.1</w:t>
            </w:r>
          </w:p>
        </w:tc>
        <w:tc>
          <w:tcPr>
            <w:tcW w:w="780"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1.9</w:t>
            </w:r>
          </w:p>
        </w:tc>
        <w:tc>
          <w:tcPr>
            <w:tcW w:w="731"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10.2</w:t>
            </w:r>
          </w:p>
        </w:tc>
      </w:tr>
      <w:tr w:rsidR="002922C1" w:rsidRPr="00797118" w:rsidTr="00A02129">
        <w:trPr>
          <w:trHeight w:val="300"/>
        </w:trPr>
        <w:tc>
          <w:tcPr>
            <w:tcW w:w="1193" w:type="pct"/>
            <w:tcBorders>
              <w:top w:val="nil"/>
              <w:left w:val="nil"/>
              <w:bottom w:val="single" w:sz="4" w:space="0" w:color="366092"/>
              <w:right w:val="nil"/>
            </w:tcBorders>
            <w:shd w:val="clear" w:color="auto" w:fill="auto"/>
            <w:noWrap/>
            <w:vAlign w:val="bottom"/>
          </w:tcPr>
          <w:p w:rsidR="002922C1" w:rsidRPr="00296D08" w:rsidRDefault="00CF3E1F" w:rsidP="00F1088D">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45"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0.2</w:t>
            </w:r>
          </w:p>
        </w:tc>
        <w:tc>
          <w:tcPr>
            <w:tcW w:w="838" w:type="pct"/>
            <w:gridSpan w:val="2"/>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1.1</w:t>
            </w:r>
          </w:p>
        </w:tc>
        <w:tc>
          <w:tcPr>
            <w:tcW w:w="713"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1.6</w:t>
            </w:r>
          </w:p>
        </w:tc>
        <w:tc>
          <w:tcPr>
            <w:tcW w:w="780" w:type="pct"/>
            <w:tcBorders>
              <w:top w:val="nil"/>
              <w:left w:val="nil"/>
              <w:bottom w:val="single" w:sz="4" w:space="0" w:color="366092"/>
              <w:right w:val="nil"/>
            </w:tcBorders>
            <w:shd w:val="clear" w:color="auto" w:fill="auto"/>
            <w:noWrap/>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2.9</w:t>
            </w:r>
          </w:p>
        </w:tc>
        <w:tc>
          <w:tcPr>
            <w:tcW w:w="731" w:type="pct"/>
            <w:tcBorders>
              <w:top w:val="nil"/>
              <w:left w:val="nil"/>
              <w:bottom w:val="single" w:sz="4" w:space="0" w:color="366092"/>
              <w:right w:val="nil"/>
            </w:tcBorders>
            <w:vAlign w:val="bottom"/>
          </w:tcPr>
          <w:p w:rsidR="002922C1" w:rsidRPr="002922C1" w:rsidRDefault="002922C1"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13.6</w:t>
            </w:r>
          </w:p>
        </w:tc>
      </w:tr>
      <w:tr w:rsidR="002922C1" w:rsidRPr="002922C1" w:rsidTr="00F34CCC">
        <w:trPr>
          <w:trHeight w:val="300"/>
        </w:trPr>
        <w:tc>
          <w:tcPr>
            <w:tcW w:w="1193" w:type="pct"/>
            <w:tcBorders>
              <w:top w:val="single" w:sz="4" w:space="0" w:color="366092"/>
              <w:left w:val="nil"/>
              <w:bottom w:val="single" w:sz="4" w:space="0" w:color="366092"/>
              <w:right w:val="nil"/>
            </w:tcBorders>
            <w:shd w:val="clear" w:color="000000" w:fill="E5F6F6"/>
            <w:noWrap/>
            <w:vAlign w:val="bottom"/>
          </w:tcPr>
          <w:p w:rsidR="002922C1" w:rsidRPr="002922C1" w:rsidRDefault="00456661" w:rsidP="00675F21">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5" w:type="pct"/>
            <w:tcBorders>
              <w:top w:val="single" w:sz="4" w:space="0" w:color="366092"/>
              <w:left w:val="nil"/>
              <w:bottom w:val="single" w:sz="4" w:space="0" w:color="366092"/>
              <w:right w:val="nil"/>
            </w:tcBorders>
            <w:shd w:val="clear" w:color="000000" w:fill="E5F6F6"/>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0.2</w:t>
            </w:r>
          </w:p>
        </w:tc>
        <w:tc>
          <w:tcPr>
            <w:tcW w:w="838" w:type="pct"/>
            <w:gridSpan w:val="2"/>
            <w:tcBorders>
              <w:top w:val="single" w:sz="4" w:space="0" w:color="366092"/>
              <w:left w:val="nil"/>
              <w:bottom w:val="single" w:sz="4" w:space="0" w:color="366092"/>
              <w:right w:val="nil"/>
            </w:tcBorders>
            <w:shd w:val="clear" w:color="000000" w:fill="E5F6F6"/>
            <w:noWrap/>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0.9</w:t>
            </w:r>
          </w:p>
        </w:tc>
        <w:tc>
          <w:tcPr>
            <w:tcW w:w="713" w:type="pct"/>
            <w:tcBorders>
              <w:top w:val="single" w:sz="4" w:space="0" w:color="366092"/>
              <w:left w:val="nil"/>
              <w:bottom w:val="single" w:sz="4" w:space="0" w:color="366092"/>
              <w:right w:val="nil"/>
            </w:tcBorders>
            <w:shd w:val="clear" w:color="000000" w:fill="E5F6F6"/>
            <w:noWrap/>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w:t>
            </w:r>
          </w:p>
        </w:tc>
        <w:tc>
          <w:tcPr>
            <w:tcW w:w="780" w:type="pct"/>
            <w:tcBorders>
              <w:top w:val="single" w:sz="4" w:space="0" w:color="366092"/>
              <w:left w:val="nil"/>
              <w:bottom w:val="single" w:sz="4" w:space="0" w:color="366092"/>
              <w:right w:val="nil"/>
            </w:tcBorders>
            <w:shd w:val="clear" w:color="000000" w:fill="E5F6F6"/>
            <w:noWrap/>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2.2</w:t>
            </w:r>
          </w:p>
        </w:tc>
        <w:tc>
          <w:tcPr>
            <w:tcW w:w="731" w:type="pct"/>
            <w:tcBorders>
              <w:top w:val="single" w:sz="4" w:space="0" w:color="366092"/>
              <w:left w:val="nil"/>
              <w:bottom w:val="single" w:sz="4" w:space="0" w:color="366092"/>
              <w:right w:val="nil"/>
            </w:tcBorders>
            <w:shd w:val="clear" w:color="000000" w:fill="E5F6F6"/>
            <w:vAlign w:val="bottom"/>
          </w:tcPr>
          <w:p w:rsidR="002922C1" w:rsidRPr="002922C1" w:rsidRDefault="002922C1"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13.6</w:t>
            </w:r>
          </w:p>
        </w:tc>
      </w:tr>
    </w:tbl>
    <w:p w:rsidR="004E52A4" w:rsidRDefault="004E52A4">
      <w:pPr>
        <w:spacing w:after="0" w:line="240" w:lineRule="auto"/>
        <w:rPr>
          <w:rFonts w:asciiTheme="majorHAnsi" w:eastAsiaTheme="minorHAnsi" w:hAnsiTheme="majorHAnsi" w:cs="Garamond"/>
          <w:b/>
          <w:bCs/>
          <w:color w:val="00A6AA" w:themeColor="background1"/>
          <w:sz w:val="32"/>
          <w:szCs w:val="32"/>
          <w:lang w:val="en-GB"/>
        </w:rPr>
      </w:pPr>
    </w:p>
    <w:p w:rsidR="000E7BD1" w:rsidRDefault="000E7BD1">
      <w:pPr>
        <w:spacing w:after="0" w:line="240" w:lineRule="auto"/>
        <w:rPr>
          <w:rFonts w:ascii="Georgia" w:hAnsi="Georgia" w:cs="Arial"/>
          <w:b/>
          <w:color w:val="004855" w:themeColor="text1"/>
          <w:sz w:val="22"/>
          <w:szCs w:val="22"/>
          <w:lang w:val="en-US"/>
        </w:rPr>
      </w:pPr>
    </w:p>
    <w:p w:rsidR="000E7BD1" w:rsidRDefault="000E7BD1" w:rsidP="000E7BD1">
      <w:pPr>
        <w:rPr>
          <w:rFonts w:ascii="Georgia" w:hAnsi="Georgia" w:cs="Arial"/>
          <w:b/>
          <w:color w:val="004855" w:themeColor="text1"/>
          <w:sz w:val="20"/>
          <w:szCs w:val="20"/>
          <w:highlight w:val="yellow"/>
          <w:lang w:val="en-US"/>
        </w:rPr>
      </w:pPr>
    </w:p>
    <w:p w:rsidR="00B26132" w:rsidRDefault="00B26132" w:rsidP="000E7BD1">
      <w:pPr>
        <w:rPr>
          <w:rFonts w:ascii="Georgia" w:hAnsi="Georgia" w:cs="Arial"/>
          <w:b/>
          <w:color w:val="004855" w:themeColor="text1"/>
          <w:sz w:val="20"/>
          <w:szCs w:val="20"/>
          <w:highlight w:val="yellow"/>
          <w:lang w:val="en-US"/>
        </w:rPr>
      </w:pPr>
    </w:p>
    <w:p w:rsidR="000E7BD1" w:rsidRDefault="000E7BD1" w:rsidP="000E7BD1">
      <w:pPr>
        <w:rPr>
          <w:rFonts w:ascii="Georgia" w:hAnsi="Georgia" w:cs="Arial"/>
          <w:b/>
          <w:color w:val="004855" w:themeColor="text1"/>
          <w:sz w:val="20"/>
          <w:szCs w:val="20"/>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CED" w:themeFill="accent4" w:themeFillTint="66"/>
        <w:tblLook w:val="04A0" w:firstRow="1" w:lastRow="0" w:firstColumn="1" w:lastColumn="0" w:noHBand="0" w:noVBand="1"/>
      </w:tblPr>
      <w:tblGrid>
        <w:gridCol w:w="9572"/>
      </w:tblGrid>
      <w:tr w:rsidR="00F24915" w:rsidTr="00BC05D3">
        <w:trPr>
          <w:trHeight w:val="6359"/>
        </w:trPr>
        <w:tc>
          <w:tcPr>
            <w:tcW w:w="9572" w:type="dxa"/>
            <w:shd w:val="clear" w:color="auto" w:fill="E5ECED" w:themeFill="accent4" w:themeFillTint="66"/>
          </w:tcPr>
          <w:p w:rsidR="00CE1CF0" w:rsidRPr="00CE1CF0" w:rsidRDefault="00CE1CF0" w:rsidP="00CE1CF0">
            <w:pPr>
              <w:shd w:val="clear" w:color="auto" w:fill="E5ECED" w:themeFill="accent4" w:themeFillTint="66"/>
              <w:spacing w:before="40" w:after="0" w:line="240" w:lineRule="auto"/>
              <w:rPr>
                <w:rFonts w:ascii="Arial" w:eastAsiaTheme="minorHAnsi" w:hAnsi="Arial" w:cstheme="minorBidi"/>
                <w:sz w:val="22"/>
                <w:szCs w:val="22"/>
              </w:rPr>
            </w:pPr>
          </w:p>
          <w:p w:rsidR="00CE1CF0" w:rsidRDefault="00CE1CF0" w:rsidP="00854C35">
            <w:pPr>
              <w:pStyle w:val="ListParagraph"/>
              <w:numPr>
                <w:ilvl w:val="0"/>
                <w:numId w:val="17"/>
              </w:numPr>
              <w:shd w:val="clear" w:color="auto" w:fill="E5ECED" w:themeFill="accent4" w:themeFillTint="66"/>
              <w:spacing w:before="40" w:after="0" w:line="240" w:lineRule="auto"/>
              <w:ind w:left="357" w:hanging="357"/>
              <w:rPr>
                <w:rFonts w:ascii="Arial" w:eastAsiaTheme="minorHAnsi" w:hAnsi="Arial" w:cstheme="minorBidi"/>
                <w:sz w:val="22"/>
                <w:szCs w:val="22"/>
              </w:rPr>
            </w:pPr>
            <w:r w:rsidRPr="00ED65B8">
              <w:rPr>
                <w:rFonts w:ascii="Arial" w:eastAsiaTheme="minorHAnsi" w:hAnsi="Arial" w:cstheme="minorBidi"/>
                <w:sz w:val="22"/>
                <w:szCs w:val="22"/>
              </w:rPr>
              <w:t xml:space="preserve">All provider types recorded </w:t>
            </w:r>
            <w:r>
              <w:rPr>
                <w:rFonts w:ascii="Arial" w:eastAsiaTheme="minorHAnsi" w:hAnsi="Arial" w:cstheme="minorBidi"/>
                <w:sz w:val="22"/>
                <w:szCs w:val="22"/>
              </w:rPr>
              <w:t xml:space="preserve">a </w:t>
            </w:r>
            <w:r w:rsidRPr="00ED65B8">
              <w:rPr>
                <w:rFonts w:ascii="Arial" w:eastAsiaTheme="minorHAnsi" w:hAnsi="Arial" w:cstheme="minorBidi"/>
                <w:sz w:val="22"/>
                <w:szCs w:val="22"/>
              </w:rPr>
              <w:t>median</w:t>
            </w:r>
            <w:r>
              <w:rPr>
                <w:rFonts w:ascii="Arial" w:eastAsiaTheme="minorHAnsi" w:hAnsi="Arial" w:cstheme="minorBidi"/>
                <w:sz w:val="22"/>
                <w:szCs w:val="22"/>
              </w:rPr>
              <w:t xml:space="preserve"> current ratio of </w:t>
            </w:r>
            <w:r w:rsidRPr="00ED65B8">
              <w:rPr>
                <w:rFonts w:ascii="Arial" w:eastAsiaTheme="minorHAnsi" w:hAnsi="Arial" w:cstheme="minorBidi"/>
                <w:sz w:val="22"/>
                <w:szCs w:val="22"/>
              </w:rPr>
              <w:t>greater than 1</w:t>
            </w:r>
            <w:r>
              <w:rPr>
                <w:rFonts w:ascii="Arial" w:eastAsiaTheme="minorHAnsi" w:hAnsi="Arial" w:cstheme="minorBidi"/>
                <w:sz w:val="22"/>
                <w:szCs w:val="22"/>
              </w:rPr>
              <w:t>,</w:t>
            </w:r>
            <w:r w:rsidRPr="00ED65B8">
              <w:rPr>
                <w:rFonts w:ascii="Arial" w:eastAsiaTheme="minorHAnsi" w:hAnsi="Arial" w:cstheme="minorBidi"/>
                <w:sz w:val="22"/>
                <w:szCs w:val="22"/>
              </w:rPr>
              <w:t xml:space="preserve"> indicating adequate liquidity levels are being maintained across the sector.</w:t>
            </w:r>
          </w:p>
          <w:p w:rsidR="00CE1CF0" w:rsidRDefault="00CE1CF0" w:rsidP="00CE1CF0">
            <w:pPr>
              <w:pStyle w:val="ListParagraph"/>
              <w:shd w:val="clear" w:color="auto" w:fill="E5ECED" w:themeFill="accent4" w:themeFillTint="66"/>
              <w:spacing w:before="40" w:after="0" w:line="240" w:lineRule="auto"/>
              <w:ind w:left="357"/>
              <w:rPr>
                <w:rFonts w:ascii="Arial" w:eastAsiaTheme="minorHAnsi" w:hAnsi="Arial" w:cstheme="minorBidi"/>
                <w:sz w:val="22"/>
                <w:szCs w:val="22"/>
              </w:rPr>
            </w:pPr>
          </w:p>
          <w:p w:rsidR="00F506EC" w:rsidRDefault="00605D3D" w:rsidP="00854C35">
            <w:pPr>
              <w:pStyle w:val="ListParagraph"/>
              <w:numPr>
                <w:ilvl w:val="0"/>
                <w:numId w:val="17"/>
              </w:numPr>
              <w:shd w:val="clear" w:color="auto" w:fill="E5ECED" w:themeFill="accent4" w:themeFillTint="66"/>
              <w:spacing w:before="40" w:after="0" w:line="240" w:lineRule="auto"/>
              <w:ind w:left="357" w:hanging="357"/>
              <w:rPr>
                <w:rFonts w:ascii="Arial" w:eastAsiaTheme="minorHAnsi" w:hAnsi="Arial" w:cstheme="minorBidi"/>
                <w:sz w:val="22"/>
                <w:szCs w:val="22"/>
              </w:rPr>
            </w:pPr>
            <w:r>
              <w:rPr>
                <w:rFonts w:ascii="Arial" w:eastAsiaTheme="minorHAnsi" w:hAnsi="Arial" w:cstheme="minorBidi"/>
                <w:sz w:val="22"/>
                <w:szCs w:val="22"/>
              </w:rPr>
              <w:t xml:space="preserve">Overall, </w:t>
            </w:r>
            <w:r w:rsidR="00F24915">
              <w:rPr>
                <w:rFonts w:ascii="Arial" w:eastAsiaTheme="minorHAnsi" w:hAnsi="Arial" w:cstheme="minorBidi"/>
                <w:sz w:val="22"/>
                <w:szCs w:val="22"/>
              </w:rPr>
              <w:t>71.</w:t>
            </w:r>
            <w:r w:rsidR="00C7367C">
              <w:rPr>
                <w:rFonts w:ascii="Arial" w:eastAsiaTheme="minorHAnsi" w:hAnsi="Arial" w:cstheme="minorBidi"/>
                <w:sz w:val="22"/>
                <w:szCs w:val="22"/>
              </w:rPr>
              <w:t>7</w:t>
            </w:r>
            <w:r w:rsidR="00F24915">
              <w:rPr>
                <w:rFonts w:ascii="Arial" w:eastAsiaTheme="minorHAnsi" w:hAnsi="Arial" w:cstheme="minorBidi"/>
                <w:sz w:val="22"/>
                <w:szCs w:val="22"/>
              </w:rPr>
              <w:t xml:space="preserve">% of </w:t>
            </w:r>
            <w:r w:rsidR="00F97A90">
              <w:rPr>
                <w:rFonts w:ascii="Arial" w:eastAsiaTheme="minorHAnsi" w:hAnsi="Arial" w:cstheme="minorBidi"/>
                <w:sz w:val="22"/>
                <w:szCs w:val="22"/>
              </w:rPr>
              <w:t>providers</w:t>
            </w:r>
            <w:r w:rsidR="00F24915">
              <w:rPr>
                <w:rFonts w:ascii="Arial" w:eastAsiaTheme="minorHAnsi" w:hAnsi="Arial" w:cstheme="minorBidi"/>
                <w:sz w:val="22"/>
                <w:szCs w:val="22"/>
              </w:rPr>
              <w:t xml:space="preserve"> had liquidity levels above 1, the generally accepted benchmark.</w:t>
            </w:r>
          </w:p>
          <w:p w:rsidR="004C58EF" w:rsidRDefault="004C58EF" w:rsidP="00854C35">
            <w:pPr>
              <w:pStyle w:val="ListParagraph"/>
              <w:shd w:val="clear" w:color="auto" w:fill="E5ECED" w:themeFill="accent4" w:themeFillTint="66"/>
              <w:spacing w:before="40" w:after="0" w:line="240" w:lineRule="auto"/>
              <w:ind w:left="357"/>
              <w:rPr>
                <w:rFonts w:ascii="Arial" w:eastAsiaTheme="minorHAnsi" w:hAnsi="Arial" w:cstheme="minorBidi"/>
                <w:sz w:val="22"/>
                <w:szCs w:val="22"/>
              </w:rPr>
            </w:pPr>
          </w:p>
          <w:p w:rsidR="00B15391" w:rsidRDefault="00B15391" w:rsidP="00B15391">
            <w:pPr>
              <w:pStyle w:val="ListParagraph"/>
              <w:numPr>
                <w:ilvl w:val="0"/>
                <w:numId w:val="17"/>
              </w:numPr>
              <w:shd w:val="clear" w:color="auto" w:fill="E5ECED" w:themeFill="accent4" w:themeFillTint="66"/>
              <w:spacing w:before="40" w:after="120" w:line="276" w:lineRule="auto"/>
              <w:ind w:left="357" w:hanging="357"/>
              <w:rPr>
                <w:rFonts w:ascii="Arial" w:eastAsiaTheme="minorHAnsi" w:hAnsi="Arial" w:cstheme="minorBidi"/>
                <w:sz w:val="22"/>
                <w:szCs w:val="22"/>
              </w:rPr>
            </w:pPr>
            <w:r>
              <w:rPr>
                <w:rFonts w:ascii="Arial" w:eastAsiaTheme="minorHAnsi" w:hAnsi="Arial" w:cstheme="minorBidi"/>
                <w:sz w:val="22"/>
                <w:szCs w:val="22"/>
              </w:rPr>
              <w:t>Liquidity levels in 2015 were comparable to 2014 levels (sector median: 1.3).</w:t>
            </w:r>
          </w:p>
          <w:p w:rsidR="004C58EF" w:rsidRDefault="004C58EF" w:rsidP="003B6D8C">
            <w:pPr>
              <w:pStyle w:val="ListParagraph"/>
              <w:shd w:val="clear" w:color="auto" w:fill="E5ECED" w:themeFill="accent4" w:themeFillTint="66"/>
              <w:spacing w:before="40" w:after="120" w:line="276" w:lineRule="auto"/>
              <w:ind w:left="357"/>
              <w:rPr>
                <w:rFonts w:ascii="Arial" w:eastAsiaTheme="minorHAnsi" w:hAnsi="Arial" w:cstheme="minorBidi"/>
                <w:sz w:val="22"/>
                <w:szCs w:val="22"/>
              </w:rPr>
            </w:pPr>
          </w:p>
          <w:p w:rsidR="00B15391" w:rsidRDefault="00B15391" w:rsidP="00B15391">
            <w:pPr>
              <w:pStyle w:val="ListParagraph"/>
              <w:numPr>
                <w:ilvl w:val="0"/>
                <w:numId w:val="17"/>
              </w:numPr>
              <w:shd w:val="clear" w:color="auto" w:fill="E5ECED" w:themeFill="accent4" w:themeFillTint="66"/>
              <w:spacing w:before="40" w:after="120" w:line="276" w:lineRule="auto"/>
              <w:ind w:left="357" w:hanging="357"/>
              <w:rPr>
                <w:rFonts w:ascii="Arial" w:eastAsiaTheme="minorHAnsi" w:hAnsi="Arial" w:cstheme="minorBidi"/>
                <w:sz w:val="22"/>
                <w:szCs w:val="22"/>
              </w:rPr>
            </w:pPr>
            <w:r>
              <w:rPr>
                <w:rFonts w:ascii="Arial" w:eastAsiaTheme="minorHAnsi" w:hAnsi="Arial" w:cstheme="minorBidi"/>
                <w:sz w:val="22"/>
                <w:szCs w:val="22"/>
              </w:rPr>
              <w:t>For-Profit providers accounted for 55% of providers with liquidity level of below 0.9</w:t>
            </w:r>
            <w:r w:rsidR="00605D3D">
              <w:rPr>
                <w:rFonts w:ascii="Arial" w:eastAsiaTheme="minorHAnsi" w:hAnsi="Arial" w:cstheme="minorBidi"/>
                <w:sz w:val="22"/>
                <w:szCs w:val="22"/>
              </w:rPr>
              <w:t xml:space="preserve"> (i.e. </w:t>
            </w:r>
            <w:r w:rsidR="00854C35">
              <w:rPr>
                <w:rFonts w:ascii="Arial" w:eastAsiaTheme="minorHAnsi" w:hAnsi="Arial" w:cstheme="minorBidi"/>
                <w:sz w:val="22"/>
                <w:szCs w:val="22"/>
              </w:rPr>
              <w:t xml:space="preserve">the </w:t>
            </w:r>
            <w:r w:rsidR="00605D3D">
              <w:rPr>
                <w:rFonts w:ascii="Arial" w:eastAsiaTheme="minorHAnsi" w:hAnsi="Arial" w:cstheme="minorBidi"/>
                <w:sz w:val="22"/>
                <w:szCs w:val="22"/>
              </w:rPr>
              <w:t>first quartile)</w:t>
            </w:r>
            <w:r>
              <w:rPr>
                <w:rFonts w:ascii="Arial" w:eastAsiaTheme="minorHAnsi" w:hAnsi="Arial" w:cstheme="minorBidi"/>
                <w:sz w:val="22"/>
                <w:szCs w:val="22"/>
              </w:rPr>
              <w:t>, indicating that additional liquidity may be required for some providers.</w:t>
            </w:r>
          </w:p>
          <w:p w:rsidR="004C58EF" w:rsidRPr="003B6D8C" w:rsidRDefault="004C58EF" w:rsidP="003B6D8C">
            <w:pPr>
              <w:pStyle w:val="ListParagraph"/>
              <w:rPr>
                <w:rFonts w:ascii="Arial" w:eastAsiaTheme="minorHAnsi" w:hAnsi="Arial" w:cstheme="minorBidi"/>
                <w:sz w:val="22"/>
                <w:szCs w:val="22"/>
              </w:rPr>
            </w:pPr>
          </w:p>
          <w:p w:rsidR="00F24915" w:rsidRDefault="00B15391" w:rsidP="003B6D8C">
            <w:pPr>
              <w:pStyle w:val="ListParagraph"/>
              <w:numPr>
                <w:ilvl w:val="0"/>
                <w:numId w:val="17"/>
              </w:numPr>
              <w:shd w:val="clear" w:color="auto" w:fill="E5ECED" w:themeFill="accent4" w:themeFillTint="66"/>
              <w:spacing w:before="40" w:after="120" w:line="276" w:lineRule="auto"/>
              <w:ind w:left="357" w:hanging="357"/>
              <w:rPr>
                <w:rFonts w:ascii="Arial" w:eastAsiaTheme="minorHAnsi" w:hAnsi="Arial" w:cstheme="minorBidi"/>
                <w:sz w:val="22"/>
                <w:szCs w:val="22"/>
              </w:rPr>
            </w:pPr>
            <w:r>
              <w:rPr>
                <w:rFonts w:ascii="Arial" w:eastAsiaTheme="minorHAnsi" w:hAnsi="Arial" w:cstheme="minorBidi"/>
                <w:sz w:val="22"/>
                <w:szCs w:val="22"/>
              </w:rPr>
              <w:t>Not-For-Profit providers had the highest median liquidity of 1.6 and accounted for 40% of those providers with the highest levels of liquidity (i.e. greater than 2.2)</w:t>
            </w:r>
            <w:r w:rsidR="00605D3D">
              <w:rPr>
                <w:rFonts w:ascii="Arial" w:eastAsiaTheme="minorHAnsi" w:hAnsi="Arial" w:cstheme="minorBidi"/>
                <w:sz w:val="22"/>
                <w:szCs w:val="22"/>
              </w:rPr>
              <w:t>,</w:t>
            </w:r>
            <w:r>
              <w:rPr>
                <w:rFonts w:ascii="Arial" w:eastAsiaTheme="minorHAnsi" w:hAnsi="Arial" w:cstheme="minorBidi"/>
                <w:sz w:val="22"/>
                <w:szCs w:val="22"/>
              </w:rPr>
              <w:t xml:space="preserve"> indicating a conservative approach in the management of financial resources. </w:t>
            </w:r>
            <w:r w:rsidR="00F24915" w:rsidRPr="003B6D8C">
              <w:rPr>
                <w:rFonts w:ascii="Arial" w:eastAsiaTheme="minorHAnsi" w:hAnsi="Arial" w:cstheme="minorBidi"/>
                <w:sz w:val="22"/>
                <w:szCs w:val="22"/>
              </w:rPr>
              <w:t xml:space="preserve">  </w:t>
            </w:r>
          </w:p>
          <w:p w:rsidR="00CE1CF0" w:rsidRPr="00CE1CF0" w:rsidRDefault="00CE1CF0" w:rsidP="00CE1CF0">
            <w:pPr>
              <w:pStyle w:val="ListParagraph"/>
              <w:rPr>
                <w:rFonts w:ascii="Arial" w:eastAsiaTheme="minorHAnsi" w:hAnsi="Arial" w:cstheme="minorBidi"/>
                <w:sz w:val="22"/>
                <w:szCs w:val="22"/>
              </w:rPr>
            </w:pPr>
          </w:p>
          <w:p w:rsidR="00CE1CF0" w:rsidRDefault="00CE1CF0" w:rsidP="00CE1CF0">
            <w:pPr>
              <w:pStyle w:val="ListParagraph"/>
              <w:numPr>
                <w:ilvl w:val="0"/>
                <w:numId w:val="17"/>
              </w:numPr>
              <w:shd w:val="clear" w:color="auto" w:fill="E5ECED" w:themeFill="accent4" w:themeFillTint="66"/>
              <w:spacing w:before="40" w:after="120" w:line="276" w:lineRule="auto"/>
              <w:ind w:left="357" w:hanging="357"/>
              <w:rPr>
                <w:rFonts w:ascii="Arial" w:eastAsiaTheme="minorHAnsi" w:hAnsi="Arial" w:cstheme="minorBidi"/>
                <w:sz w:val="22"/>
                <w:szCs w:val="22"/>
              </w:rPr>
            </w:pPr>
            <w:r>
              <w:rPr>
                <w:rFonts w:ascii="Arial" w:eastAsiaTheme="minorHAnsi" w:hAnsi="Arial" w:cstheme="minorBidi"/>
                <w:sz w:val="22"/>
                <w:szCs w:val="22"/>
              </w:rPr>
              <w:t>Liquidity levels in 2015 were comparable to 2014 levels (sector median: 1.3).</w:t>
            </w:r>
            <w:r w:rsidRPr="004A738F">
              <w:rPr>
                <w:rFonts w:ascii="Arial" w:eastAsiaTheme="minorHAnsi" w:hAnsi="Arial" w:cstheme="minorBidi"/>
                <w:sz w:val="22"/>
                <w:szCs w:val="22"/>
              </w:rPr>
              <w:t xml:space="preserve">The median </w:t>
            </w:r>
            <w:r>
              <w:rPr>
                <w:rFonts w:ascii="Arial" w:eastAsiaTheme="minorHAnsi" w:hAnsi="Arial" w:cstheme="minorBidi"/>
                <w:sz w:val="22"/>
                <w:szCs w:val="22"/>
              </w:rPr>
              <w:t>liquidity</w:t>
            </w:r>
            <w:r w:rsidRPr="004A738F">
              <w:rPr>
                <w:rFonts w:ascii="Arial" w:eastAsiaTheme="minorHAnsi" w:hAnsi="Arial" w:cstheme="minorBidi"/>
                <w:sz w:val="22"/>
                <w:szCs w:val="22"/>
              </w:rPr>
              <w:t xml:space="preserve"> </w:t>
            </w:r>
            <w:r>
              <w:rPr>
                <w:rFonts w:ascii="Arial" w:eastAsiaTheme="minorHAnsi" w:hAnsi="Arial" w:cstheme="minorBidi"/>
                <w:sz w:val="22"/>
                <w:szCs w:val="22"/>
              </w:rPr>
              <w:t xml:space="preserve">levels </w:t>
            </w:r>
            <w:r w:rsidRPr="004A738F">
              <w:rPr>
                <w:rFonts w:ascii="Arial" w:eastAsiaTheme="minorHAnsi" w:hAnsi="Arial" w:cstheme="minorBidi"/>
                <w:sz w:val="22"/>
                <w:szCs w:val="22"/>
              </w:rPr>
              <w:t xml:space="preserve">for 2015 compared </w:t>
            </w:r>
            <w:r>
              <w:rPr>
                <w:rFonts w:ascii="Arial" w:eastAsiaTheme="minorHAnsi" w:hAnsi="Arial" w:cstheme="minorBidi"/>
                <w:sz w:val="22"/>
                <w:szCs w:val="22"/>
              </w:rPr>
              <w:t>with</w:t>
            </w:r>
            <w:r w:rsidRPr="004A738F">
              <w:rPr>
                <w:rFonts w:ascii="Arial" w:eastAsiaTheme="minorHAnsi" w:hAnsi="Arial" w:cstheme="minorBidi"/>
                <w:sz w:val="22"/>
                <w:szCs w:val="22"/>
              </w:rPr>
              <w:t xml:space="preserve"> 2014 for each provider type was:</w:t>
            </w:r>
          </w:p>
          <w:p w:rsidR="00CE1CF0" w:rsidRDefault="00CE1CF0" w:rsidP="00CE1CF0">
            <w:pPr>
              <w:pStyle w:val="ListParagraph"/>
              <w:numPr>
                <w:ilvl w:val="0"/>
                <w:numId w:val="17"/>
              </w:numPr>
              <w:shd w:val="clear" w:color="auto" w:fill="E5ECED" w:themeFill="accent4" w:themeFillTint="66"/>
              <w:ind w:left="709" w:hanging="425"/>
              <w:rPr>
                <w:rFonts w:ascii="Arial" w:eastAsiaTheme="minorHAnsi" w:hAnsi="Arial" w:cstheme="minorBidi"/>
                <w:sz w:val="22"/>
                <w:szCs w:val="22"/>
              </w:rPr>
            </w:pPr>
            <w:r w:rsidRPr="000F6D35">
              <w:rPr>
                <w:rFonts w:ascii="Arial" w:eastAsiaTheme="minorHAnsi" w:hAnsi="Arial" w:cstheme="minorBidi"/>
                <w:sz w:val="22"/>
                <w:szCs w:val="22"/>
              </w:rPr>
              <w:t xml:space="preserve">Universities: </w:t>
            </w:r>
            <w:r>
              <w:rPr>
                <w:rFonts w:ascii="Arial" w:eastAsiaTheme="minorHAnsi" w:hAnsi="Arial" w:cstheme="minorBidi"/>
                <w:sz w:val="22"/>
                <w:szCs w:val="22"/>
              </w:rPr>
              <w:t>1.4</w:t>
            </w:r>
            <w:r w:rsidRPr="000F6D35">
              <w:rPr>
                <w:rFonts w:ascii="Arial" w:eastAsiaTheme="minorHAnsi" w:hAnsi="Arial" w:cstheme="minorBidi"/>
                <w:sz w:val="22"/>
                <w:szCs w:val="22"/>
              </w:rPr>
              <w:t xml:space="preserve"> (2014: </w:t>
            </w:r>
            <w:r>
              <w:rPr>
                <w:rFonts w:ascii="Arial" w:eastAsiaTheme="minorHAnsi" w:hAnsi="Arial" w:cstheme="minorBidi"/>
                <w:sz w:val="22"/>
                <w:szCs w:val="22"/>
              </w:rPr>
              <w:t>1.4</w:t>
            </w:r>
            <w:r w:rsidRPr="000F6D35">
              <w:rPr>
                <w:rFonts w:ascii="Arial" w:eastAsiaTheme="minorHAnsi" w:hAnsi="Arial" w:cstheme="minorBidi"/>
                <w:sz w:val="22"/>
                <w:szCs w:val="22"/>
              </w:rPr>
              <w:t>)</w:t>
            </w:r>
          </w:p>
          <w:p w:rsidR="00CE1CF0" w:rsidRDefault="00CE1CF0" w:rsidP="00CE1CF0">
            <w:pPr>
              <w:pStyle w:val="ListParagraph"/>
              <w:numPr>
                <w:ilvl w:val="0"/>
                <w:numId w:val="17"/>
              </w:numPr>
              <w:shd w:val="clear" w:color="auto" w:fill="E5ECED" w:themeFill="accent4" w:themeFillTint="66"/>
              <w:ind w:left="709" w:hanging="425"/>
              <w:rPr>
                <w:rFonts w:ascii="Arial" w:eastAsiaTheme="minorHAnsi" w:hAnsi="Arial" w:cstheme="minorBidi"/>
                <w:sz w:val="22"/>
                <w:szCs w:val="22"/>
              </w:rPr>
            </w:pPr>
            <w:r>
              <w:rPr>
                <w:rFonts w:ascii="Arial" w:eastAsiaTheme="minorHAnsi" w:hAnsi="Arial" w:cstheme="minorBidi"/>
                <w:sz w:val="22"/>
                <w:szCs w:val="22"/>
              </w:rPr>
              <w:t>TAFE: 1.4 (2014: 1.1)</w:t>
            </w:r>
          </w:p>
          <w:p w:rsidR="00CE1CF0" w:rsidRDefault="00CE1CF0" w:rsidP="00CE1CF0">
            <w:pPr>
              <w:pStyle w:val="ListParagraph"/>
              <w:numPr>
                <w:ilvl w:val="0"/>
                <w:numId w:val="17"/>
              </w:numPr>
              <w:shd w:val="clear" w:color="auto" w:fill="E5ECED" w:themeFill="accent4" w:themeFillTint="66"/>
              <w:ind w:left="709" w:hanging="425"/>
              <w:rPr>
                <w:rFonts w:ascii="Arial" w:eastAsiaTheme="minorHAnsi" w:hAnsi="Arial" w:cstheme="minorBidi"/>
                <w:sz w:val="22"/>
                <w:szCs w:val="22"/>
              </w:rPr>
            </w:pPr>
            <w:r w:rsidRPr="000F6D35">
              <w:rPr>
                <w:rFonts w:ascii="Arial" w:eastAsiaTheme="minorHAnsi" w:hAnsi="Arial" w:cstheme="minorBidi"/>
                <w:sz w:val="22"/>
                <w:szCs w:val="22"/>
              </w:rPr>
              <w:t xml:space="preserve">For-Profit: </w:t>
            </w:r>
            <w:r>
              <w:rPr>
                <w:rFonts w:ascii="Arial" w:eastAsiaTheme="minorHAnsi" w:hAnsi="Arial" w:cstheme="minorBidi"/>
                <w:sz w:val="22"/>
                <w:szCs w:val="22"/>
              </w:rPr>
              <w:t>1.1</w:t>
            </w:r>
            <w:r w:rsidRPr="000F6D35">
              <w:rPr>
                <w:rFonts w:ascii="Arial" w:eastAsiaTheme="minorHAnsi" w:hAnsi="Arial" w:cstheme="minorBidi"/>
                <w:sz w:val="22"/>
                <w:szCs w:val="22"/>
              </w:rPr>
              <w:t xml:space="preserve"> (2014: 1.</w:t>
            </w:r>
            <w:r>
              <w:rPr>
                <w:rFonts w:ascii="Arial" w:eastAsiaTheme="minorHAnsi" w:hAnsi="Arial" w:cstheme="minorBidi"/>
                <w:sz w:val="22"/>
                <w:szCs w:val="22"/>
              </w:rPr>
              <w:t>1</w:t>
            </w:r>
            <w:r w:rsidRPr="000F6D35">
              <w:rPr>
                <w:rFonts w:ascii="Arial" w:eastAsiaTheme="minorHAnsi" w:hAnsi="Arial" w:cstheme="minorBidi"/>
                <w:sz w:val="22"/>
                <w:szCs w:val="22"/>
              </w:rPr>
              <w:t>)</w:t>
            </w:r>
          </w:p>
          <w:p w:rsidR="00CE1CF0" w:rsidRDefault="00CE1CF0" w:rsidP="00CE1CF0">
            <w:pPr>
              <w:pStyle w:val="ListParagraph"/>
              <w:numPr>
                <w:ilvl w:val="0"/>
                <w:numId w:val="17"/>
              </w:numPr>
              <w:shd w:val="clear" w:color="auto" w:fill="E5ECED" w:themeFill="accent4" w:themeFillTint="66"/>
              <w:ind w:left="709" w:hanging="425"/>
              <w:rPr>
                <w:rFonts w:ascii="Arial" w:eastAsiaTheme="minorHAnsi" w:hAnsi="Arial" w:cstheme="minorBidi"/>
                <w:sz w:val="22"/>
                <w:szCs w:val="22"/>
              </w:rPr>
            </w:pPr>
            <w:r w:rsidRPr="000F6D35">
              <w:rPr>
                <w:rFonts w:ascii="Arial" w:eastAsiaTheme="minorHAnsi" w:hAnsi="Arial" w:cstheme="minorBidi"/>
                <w:sz w:val="22"/>
                <w:szCs w:val="22"/>
              </w:rPr>
              <w:t>Not-For-Profit: 1.</w:t>
            </w:r>
            <w:r>
              <w:rPr>
                <w:rFonts w:ascii="Arial" w:eastAsiaTheme="minorHAnsi" w:hAnsi="Arial" w:cstheme="minorBidi"/>
                <w:sz w:val="22"/>
                <w:szCs w:val="22"/>
              </w:rPr>
              <w:t>6</w:t>
            </w:r>
            <w:r w:rsidRPr="000F6D35">
              <w:rPr>
                <w:rFonts w:ascii="Arial" w:eastAsiaTheme="minorHAnsi" w:hAnsi="Arial" w:cstheme="minorBidi"/>
                <w:sz w:val="22"/>
                <w:szCs w:val="22"/>
              </w:rPr>
              <w:t xml:space="preserve"> (2014: 1.</w:t>
            </w:r>
            <w:r>
              <w:rPr>
                <w:rFonts w:ascii="Arial" w:eastAsiaTheme="minorHAnsi" w:hAnsi="Arial" w:cstheme="minorBidi"/>
                <w:sz w:val="22"/>
                <w:szCs w:val="22"/>
              </w:rPr>
              <w:t>4</w:t>
            </w:r>
            <w:r w:rsidRPr="000F6D35">
              <w:rPr>
                <w:rFonts w:ascii="Arial" w:eastAsiaTheme="minorHAnsi" w:hAnsi="Arial" w:cstheme="minorBidi"/>
                <w:sz w:val="22"/>
                <w:szCs w:val="22"/>
              </w:rPr>
              <w:t>)</w:t>
            </w:r>
            <w:r>
              <w:rPr>
                <w:rFonts w:ascii="Arial" w:eastAsiaTheme="minorHAnsi" w:hAnsi="Arial" w:cstheme="minorBidi"/>
                <w:sz w:val="22"/>
                <w:szCs w:val="22"/>
              </w:rPr>
              <w:t>.</w:t>
            </w:r>
          </w:p>
          <w:p w:rsidR="00CE1CF0" w:rsidRPr="00BC05D3" w:rsidRDefault="00CE1CF0" w:rsidP="00BC05D3">
            <w:pPr>
              <w:pStyle w:val="ListParagraph"/>
              <w:shd w:val="clear" w:color="auto" w:fill="E5ECED" w:themeFill="accent4" w:themeFillTint="66"/>
              <w:ind w:left="709"/>
              <w:rPr>
                <w:rFonts w:ascii="Arial" w:eastAsiaTheme="minorHAnsi" w:hAnsi="Arial" w:cstheme="minorBidi"/>
                <w:sz w:val="22"/>
                <w:szCs w:val="22"/>
              </w:rPr>
            </w:pPr>
          </w:p>
        </w:tc>
      </w:tr>
    </w:tbl>
    <w:p w:rsidR="00FA6B80" w:rsidRDefault="00FA6B80">
      <w:pPr>
        <w:spacing w:after="0" w:line="240" w:lineRule="auto"/>
        <w:rPr>
          <w:rFonts w:ascii="Georgia" w:hAnsi="Georgia" w:cs="Arial"/>
          <w:b/>
          <w:color w:val="004855" w:themeColor="text1"/>
          <w:sz w:val="20"/>
          <w:szCs w:val="20"/>
          <w:lang w:val="en-US"/>
        </w:rPr>
      </w:pPr>
      <w:r>
        <w:rPr>
          <w:rFonts w:ascii="Georgia" w:hAnsi="Georgia" w:cs="Arial"/>
          <w:b/>
          <w:color w:val="004855" w:themeColor="text1"/>
          <w:sz w:val="20"/>
          <w:szCs w:val="20"/>
          <w:lang w:val="en-US"/>
        </w:rPr>
        <w:br w:type="page"/>
      </w:r>
    </w:p>
    <w:p w:rsidR="00E65946" w:rsidRPr="00D7092A" w:rsidRDefault="00D62AA3" w:rsidP="00E65946">
      <w:pPr>
        <w:pStyle w:val="H1"/>
        <w:rPr>
          <w:sz w:val="40"/>
          <w:szCs w:val="40"/>
        </w:rPr>
      </w:pPr>
      <w:bookmarkStart w:id="23" w:name="_Toc467075177"/>
      <w:r>
        <w:rPr>
          <w:sz w:val="40"/>
          <w:szCs w:val="40"/>
        </w:rPr>
        <w:lastRenderedPageBreak/>
        <w:t>5</w:t>
      </w:r>
      <w:r w:rsidR="00E65946">
        <w:rPr>
          <w:sz w:val="40"/>
          <w:szCs w:val="40"/>
        </w:rPr>
        <w:t xml:space="preserve">. </w:t>
      </w:r>
      <w:r w:rsidR="00A32B63">
        <w:rPr>
          <w:sz w:val="40"/>
          <w:szCs w:val="40"/>
        </w:rPr>
        <w:t xml:space="preserve">Revenue from </w:t>
      </w:r>
      <w:r w:rsidR="007744F0">
        <w:rPr>
          <w:sz w:val="40"/>
          <w:szCs w:val="40"/>
        </w:rPr>
        <w:t>i</w:t>
      </w:r>
      <w:r w:rsidR="001D2FEE">
        <w:rPr>
          <w:sz w:val="40"/>
          <w:szCs w:val="40"/>
        </w:rPr>
        <w:t>nternational student</w:t>
      </w:r>
      <w:r w:rsidR="00A32B63">
        <w:rPr>
          <w:sz w:val="40"/>
          <w:szCs w:val="40"/>
        </w:rPr>
        <w:t>s</w:t>
      </w:r>
      <w:bookmarkEnd w:id="23"/>
    </w:p>
    <w:p w:rsidR="0010414D" w:rsidRDefault="00366FFD" w:rsidP="00E65946">
      <w:pPr>
        <w:pStyle w:val="H2"/>
        <w:rPr>
          <w:rFonts w:asciiTheme="minorHAnsi" w:eastAsia="Times New Roman" w:hAnsiTheme="minorHAnsi" w:cstheme="minorHAnsi"/>
          <w:b w:val="0"/>
          <w:bCs w:val="0"/>
          <w:color w:val="auto"/>
          <w:sz w:val="22"/>
          <w:szCs w:val="22"/>
          <w:lang w:val="en-AU"/>
        </w:rPr>
      </w:pPr>
      <w:r>
        <w:rPr>
          <w:rFonts w:asciiTheme="minorHAnsi" w:eastAsia="Times New Roman" w:hAnsiTheme="minorHAnsi" w:cstheme="minorHAnsi"/>
          <w:b w:val="0"/>
          <w:bCs w:val="0"/>
          <w:color w:val="auto"/>
          <w:sz w:val="22"/>
          <w:szCs w:val="22"/>
          <w:lang w:val="en-AU"/>
        </w:rPr>
        <w:t xml:space="preserve">This section includes additional analysis of international student </w:t>
      </w:r>
      <w:r w:rsidR="00A32B63">
        <w:rPr>
          <w:rFonts w:asciiTheme="minorHAnsi" w:eastAsia="Times New Roman" w:hAnsiTheme="minorHAnsi" w:cstheme="minorHAnsi"/>
          <w:b w:val="0"/>
          <w:bCs w:val="0"/>
          <w:color w:val="auto"/>
          <w:sz w:val="22"/>
          <w:szCs w:val="22"/>
          <w:lang w:val="en-AU"/>
        </w:rPr>
        <w:t>revenue</w:t>
      </w:r>
      <w:r>
        <w:rPr>
          <w:rFonts w:asciiTheme="minorHAnsi" w:eastAsia="Times New Roman" w:hAnsiTheme="minorHAnsi" w:cstheme="minorHAnsi"/>
          <w:b w:val="0"/>
          <w:bCs w:val="0"/>
          <w:color w:val="auto"/>
          <w:sz w:val="22"/>
          <w:szCs w:val="22"/>
          <w:lang w:val="en-AU"/>
        </w:rPr>
        <w:t xml:space="preserve"> which are an important source of revenue for many providers</w:t>
      </w:r>
      <w:r w:rsidR="00CD14A5">
        <w:rPr>
          <w:rFonts w:asciiTheme="minorHAnsi" w:eastAsia="Times New Roman" w:hAnsiTheme="minorHAnsi" w:cstheme="minorHAnsi"/>
          <w:b w:val="0"/>
          <w:bCs w:val="0"/>
          <w:color w:val="auto"/>
          <w:sz w:val="22"/>
          <w:szCs w:val="22"/>
          <w:lang w:val="en-AU"/>
        </w:rPr>
        <w:t>.</w:t>
      </w:r>
    </w:p>
    <w:p w:rsidR="00CD14A5" w:rsidRDefault="000E6545" w:rsidP="00E65946">
      <w:pPr>
        <w:pStyle w:val="H2"/>
        <w:rPr>
          <w:rFonts w:asciiTheme="minorHAnsi" w:eastAsia="Times New Roman" w:hAnsiTheme="minorHAnsi" w:cstheme="minorHAnsi"/>
          <w:b w:val="0"/>
          <w:bCs w:val="0"/>
          <w:color w:val="auto"/>
          <w:sz w:val="22"/>
          <w:szCs w:val="22"/>
          <w:lang w:val="en-AU"/>
        </w:rPr>
      </w:pPr>
      <w:r>
        <w:rPr>
          <w:rFonts w:asciiTheme="minorHAnsi" w:eastAsia="Times New Roman" w:hAnsiTheme="minorHAnsi" w:cstheme="minorHAnsi"/>
          <w:b w:val="0"/>
          <w:bCs w:val="0"/>
          <w:color w:val="auto"/>
          <w:sz w:val="22"/>
          <w:szCs w:val="22"/>
          <w:lang w:val="en-AU"/>
        </w:rPr>
        <w:t xml:space="preserve">In the latest reporting year, </w:t>
      </w:r>
      <w:r w:rsidR="00155F98">
        <w:rPr>
          <w:rFonts w:asciiTheme="minorHAnsi" w:eastAsia="Times New Roman" w:hAnsiTheme="minorHAnsi" w:cstheme="minorHAnsi"/>
          <w:b w:val="0"/>
          <w:bCs w:val="0"/>
          <w:color w:val="auto"/>
          <w:sz w:val="22"/>
          <w:szCs w:val="22"/>
          <w:lang w:val="en-AU"/>
        </w:rPr>
        <w:t>there were over 0.26 million international</w:t>
      </w:r>
      <w:r w:rsidR="008C3A9F">
        <w:rPr>
          <w:rFonts w:asciiTheme="minorHAnsi" w:eastAsia="Times New Roman" w:hAnsiTheme="minorHAnsi" w:cstheme="minorHAnsi"/>
          <w:b w:val="0"/>
          <w:bCs w:val="0"/>
          <w:color w:val="auto"/>
          <w:sz w:val="22"/>
          <w:szCs w:val="22"/>
          <w:lang w:val="en-AU"/>
        </w:rPr>
        <w:t xml:space="preserve"> students</w:t>
      </w:r>
      <w:r w:rsidR="00D95D5A">
        <w:rPr>
          <w:rStyle w:val="FootnoteReference"/>
          <w:rFonts w:asciiTheme="minorHAnsi" w:eastAsia="Times New Roman" w:hAnsiTheme="minorHAnsi" w:cstheme="minorHAnsi"/>
          <w:b w:val="0"/>
          <w:bCs w:val="0"/>
          <w:color w:val="auto"/>
          <w:sz w:val="22"/>
          <w:szCs w:val="22"/>
          <w:lang w:val="en-AU"/>
        </w:rPr>
        <w:footnoteReference w:id="13"/>
      </w:r>
      <w:r w:rsidR="00EA2851">
        <w:rPr>
          <w:rFonts w:asciiTheme="minorHAnsi" w:eastAsia="Times New Roman" w:hAnsiTheme="minorHAnsi" w:cstheme="minorHAnsi"/>
          <w:b w:val="0"/>
          <w:bCs w:val="0"/>
          <w:color w:val="auto"/>
          <w:sz w:val="22"/>
          <w:szCs w:val="22"/>
          <w:lang w:val="en-AU"/>
        </w:rPr>
        <w:t xml:space="preserve"> </w:t>
      </w:r>
      <w:r w:rsidR="00155F98">
        <w:rPr>
          <w:rFonts w:asciiTheme="minorHAnsi" w:eastAsia="Times New Roman" w:hAnsiTheme="minorHAnsi" w:cstheme="minorHAnsi"/>
          <w:b w:val="0"/>
          <w:bCs w:val="0"/>
          <w:color w:val="auto"/>
          <w:sz w:val="22"/>
          <w:szCs w:val="22"/>
          <w:lang w:val="en-AU"/>
        </w:rPr>
        <w:t xml:space="preserve">(covering both onshore and offshore enrolments) </w:t>
      </w:r>
      <w:r w:rsidR="00EA2851">
        <w:rPr>
          <w:rFonts w:asciiTheme="minorHAnsi" w:eastAsia="Times New Roman" w:hAnsiTheme="minorHAnsi" w:cstheme="minorHAnsi"/>
          <w:b w:val="0"/>
          <w:bCs w:val="0"/>
          <w:color w:val="auto"/>
          <w:sz w:val="22"/>
          <w:szCs w:val="22"/>
          <w:lang w:val="en-AU"/>
        </w:rPr>
        <w:t>studying an Australian course</w:t>
      </w:r>
      <w:r w:rsidR="00D95D5A">
        <w:rPr>
          <w:rFonts w:asciiTheme="minorHAnsi" w:eastAsia="Times New Roman" w:hAnsiTheme="minorHAnsi" w:cstheme="minorHAnsi"/>
          <w:b w:val="0"/>
          <w:bCs w:val="0"/>
          <w:color w:val="auto"/>
          <w:sz w:val="22"/>
          <w:szCs w:val="22"/>
          <w:lang w:val="en-AU"/>
        </w:rPr>
        <w:t>.</w:t>
      </w:r>
      <w:r w:rsidR="00155F98">
        <w:rPr>
          <w:rFonts w:asciiTheme="minorHAnsi" w:eastAsia="Times New Roman" w:hAnsiTheme="minorHAnsi" w:cstheme="minorHAnsi"/>
          <w:b w:val="0"/>
          <w:bCs w:val="0"/>
          <w:color w:val="auto"/>
          <w:sz w:val="22"/>
          <w:szCs w:val="22"/>
          <w:lang w:val="en-AU"/>
        </w:rPr>
        <w:t xml:space="preserve"> This represented 27% of all students. </w:t>
      </w:r>
      <w:r w:rsidR="00A44C12">
        <w:rPr>
          <w:rFonts w:asciiTheme="minorHAnsi" w:eastAsia="Times New Roman" w:hAnsiTheme="minorHAnsi" w:cstheme="minorHAnsi"/>
          <w:b w:val="0"/>
          <w:bCs w:val="0"/>
          <w:color w:val="auto"/>
          <w:sz w:val="22"/>
          <w:szCs w:val="22"/>
          <w:lang w:val="en-AU"/>
        </w:rPr>
        <w:t>E</w:t>
      </w:r>
      <w:r w:rsidR="00F271A4">
        <w:rPr>
          <w:rFonts w:asciiTheme="minorHAnsi" w:eastAsia="Times New Roman" w:hAnsiTheme="minorHAnsi" w:cstheme="minorHAnsi"/>
          <w:b w:val="0"/>
          <w:bCs w:val="0"/>
          <w:color w:val="auto"/>
          <w:sz w:val="22"/>
          <w:szCs w:val="22"/>
          <w:lang w:val="en-AU"/>
        </w:rPr>
        <w:t>nrolment</w:t>
      </w:r>
      <w:r w:rsidR="00D454F5">
        <w:rPr>
          <w:rFonts w:asciiTheme="minorHAnsi" w:eastAsia="Times New Roman" w:hAnsiTheme="minorHAnsi" w:cstheme="minorHAnsi"/>
          <w:b w:val="0"/>
          <w:bCs w:val="0"/>
          <w:color w:val="auto"/>
          <w:sz w:val="22"/>
          <w:szCs w:val="22"/>
          <w:lang w:val="en-AU"/>
        </w:rPr>
        <w:t>s</w:t>
      </w:r>
      <w:r w:rsidR="00F271A4">
        <w:rPr>
          <w:rFonts w:asciiTheme="minorHAnsi" w:eastAsia="Times New Roman" w:hAnsiTheme="minorHAnsi" w:cstheme="minorHAnsi"/>
          <w:b w:val="0"/>
          <w:bCs w:val="0"/>
          <w:color w:val="auto"/>
          <w:sz w:val="22"/>
          <w:szCs w:val="22"/>
          <w:lang w:val="en-AU"/>
        </w:rPr>
        <w:t xml:space="preserve"> from </w:t>
      </w:r>
      <w:r w:rsidR="00C50A10">
        <w:rPr>
          <w:rFonts w:asciiTheme="minorHAnsi" w:eastAsia="Times New Roman" w:hAnsiTheme="minorHAnsi" w:cstheme="minorHAnsi"/>
          <w:b w:val="0"/>
          <w:bCs w:val="0"/>
          <w:color w:val="auto"/>
          <w:sz w:val="22"/>
          <w:szCs w:val="22"/>
          <w:lang w:val="en-AU"/>
        </w:rPr>
        <w:t xml:space="preserve">international </w:t>
      </w:r>
      <w:r w:rsidR="00F271A4">
        <w:rPr>
          <w:rFonts w:asciiTheme="minorHAnsi" w:eastAsia="Times New Roman" w:hAnsiTheme="minorHAnsi" w:cstheme="minorHAnsi"/>
          <w:b w:val="0"/>
          <w:bCs w:val="0"/>
          <w:color w:val="auto"/>
          <w:sz w:val="22"/>
          <w:szCs w:val="22"/>
          <w:lang w:val="en-AU"/>
        </w:rPr>
        <w:t>s</w:t>
      </w:r>
      <w:r w:rsidR="00A15E0A" w:rsidRPr="00F851C2">
        <w:rPr>
          <w:rFonts w:asciiTheme="minorHAnsi" w:eastAsia="Times New Roman" w:hAnsiTheme="minorHAnsi" w:cstheme="minorHAnsi"/>
          <w:b w:val="0"/>
          <w:bCs w:val="0"/>
          <w:color w:val="auto"/>
          <w:sz w:val="22"/>
          <w:szCs w:val="22"/>
          <w:lang w:val="en-AU"/>
        </w:rPr>
        <w:t xml:space="preserve">tudents have grown to become an important source of revenue for Australian </w:t>
      </w:r>
      <w:r w:rsidR="00C50A10">
        <w:rPr>
          <w:rFonts w:asciiTheme="minorHAnsi" w:eastAsia="Times New Roman" w:hAnsiTheme="minorHAnsi" w:cstheme="minorHAnsi"/>
          <w:b w:val="0"/>
          <w:bCs w:val="0"/>
          <w:color w:val="auto"/>
          <w:sz w:val="22"/>
          <w:szCs w:val="22"/>
          <w:lang w:val="en-AU"/>
        </w:rPr>
        <w:t>h</w:t>
      </w:r>
      <w:r w:rsidR="00C50A10" w:rsidRPr="00F851C2">
        <w:rPr>
          <w:rFonts w:asciiTheme="minorHAnsi" w:eastAsia="Times New Roman" w:hAnsiTheme="minorHAnsi" w:cstheme="minorHAnsi"/>
          <w:b w:val="0"/>
          <w:bCs w:val="0"/>
          <w:color w:val="auto"/>
          <w:sz w:val="22"/>
          <w:szCs w:val="22"/>
          <w:lang w:val="en-AU"/>
        </w:rPr>
        <w:t xml:space="preserve">igher </w:t>
      </w:r>
      <w:r w:rsidR="00C50A10">
        <w:rPr>
          <w:rFonts w:asciiTheme="minorHAnsi" w:eastAsia="Times New Roman" w:hAnsiTheme="minorHAnsi" w:cstheme="minorHAnsi"/>
          <w:b w:val="0"/>
          <w:bCs w:val="0"/>
          <w:color w:val="auto"/>
          <w:sz w:val="22"/>
          <w:szCs w:val="22"/>
          <w:lang w:val="en-AU"/>
        </w:rPr>
        <w:t>e</w:t>
      </w:r>
      <w:r w:rsidR="00A15E0A" w:rsidRPr="00F851C2">
        <w:rPr>
          <w:rFonts w:asciiTheme="minorHAnsi" w:eastAsia="Times New Roman" w:hAnsiTheme="minorHAnsi" w:cstheme="minorHAnsi"/>
          <w:b w:val="0"/>
          <w:bCs w:val="0"/>
          <w:color w:val="auto"/>
          <w:sz w:val="22"/>
          <w:szCs w:val="22"/>
          <w:lang w:val="en-AU"/>
        </w:rPr>
        <w:t>ducation providers.</w:t>
      </w:r>
      <w:r w:rsidR="008C3A9F" w:rsidRPr="00F851C2">
        <w:rPr>
          <w:rFonts w:asciiTheme="minorHAnsi" w:eastAsia="Times New Roman" w:hAnsiTheme="minorHAnsi" w:cstheme="minorHAnsi"/>
          <w:b w:val="0"/>
          <w:bCs w:val="0"/>
          <w:color w:val="auto"/>
          <w:sz w:val="22"/>
          <w:szCs w:val="22"/>
          <w:lang w:val="en-AU"/>
        </w:rPr>
        <w:t xml:space="preserve"> </w:t>
      </w:r>
      <w:r>
        <w:rPr>
          <w:rFonts w:asciiTheme="minorHAnsi" w:eastAsia="Times New Roman" w:hAnsiTheme="minorHAnsi" w:cstheme="minorHAnsi"/>
          <w:b w:val="0"/>
          <w:bCs w:val="0"/>
          <w:color w:val="auto"/>
          <w:sz w:val="22"/>
          <w:szCs w:val="22"/>
          <w:lang w:val="en-AU"/>
        </w:rPr>
        <w:t xml:space="preserve">In total, </w:t>
      </w:r>
      <w:r w:rsidR="00DC28B1">
        <w:rPr>
          <w:rFonts w:asciiTheme="minorHAnsi" w:eastAsia="Times New Roman" w:hAnsiTheme="minorHAnsi" w:cstheme="minorHAnsi"/>
          <w:b w:val="0"/>
          <w:bCs w:val="0"/>
          <w:color w:val="auto"/>
          <w:sz w:val="22"/>
          <w:szCs w:val="22"/>
          <w:lang w:val="en-AU"/>
        </w:rPr>
        <w:t>125 providers</w:t>
      </w:r>
      <w:r w:rsidR="00F97A90">
        <w:rPr>
          <w:rFonts w:asciiTheme="minorHAnsi" w:eastAsia="Times New Roman" w:hAnsiTheme="minorHAnsi" w:cstheme="minorHAnsi"/>
          <w:b w:val="0"/>
          <w:bCs w:val="0"/>
          <w:color w:val="auto"/>
          <w:sz w:val="22"/>
          <w:szCs w:val="22"/>
          <w:lang w:val="en-AU"/>
        </w:rPr>
        <w:t xml:space="preserve"> had enrolled international students</w:t>
      </w:r>
      <w:r w:rsidR="00A86EBB">
        <w:rPr>
          <w:rFonts w:asciiTheme="minorHAnsi" w:eastAsia="Times New Roman" w:hAnsiTheme="minorHAnsi" w:cstheme="minorHAnsi"/>
          <w:b w:val="0"/>
          <w:bCs w:val="0"/>
          <w:color w:val="auto"/>
          <w:sz w:val="22"/>
          <w:szCs w:val="22"/>
          <w:lang w:val="en-AU"/>
        </w:rPr>
        <w:t>,</w:t>
      </w:r>
      <w:r w:rsidR="00F97A90">
        <w:rPr>
          <w:rFonts w:asciiTheme="minorHAnsi" w:eastAsia="Times New Roman" w:hAnsiTheme="minorHAnsi" w:cstheme="minorHAnsi"/>
          <w:b w:val="0"/>
          <w:bCs w:val="0"/>
          <w:color w:val="auto"/>
          <w:sz w:val="22"/>
          <w:szCs w:val="22"/>
          <w:lang w:val="en-AU"/>
        </w:rPr>
        <w:t xml:space="preserve"> represent</w:t>
      </w:r>
      <w:r>
        <w:rPr>
          <w:rFonts w:asciiTheme="minorHAnsi" w:eastAsia="Times New Roman" w:hAnsiTheme="minorHAnsi" w:cstheme="minorHAnsi"/>
          <w:b w:val="0"/>
          <w:bCs w:val="0"/>
          <w:color w:val="auto"/>
          <w:sz w:val="22"/>
          <w:szCs w:val="22"/>
          <w:lang w:val="en-AU"/>
        </w:rPr>
        <w:t>ing</w:t>
      </w:r>
      <w:r w:rsidR="00F97A90">
        <w:rPr>
          <w:rFonts w:asciiTheme="minorHAnsi" w:eastAsia="Times New Roman" w:hAnsiTheme="minorHAnsi" w:cstheme="minorHAnsi"/>
          <w:b w:val="0"/>
          <w:bCs w:val="0"/>
          <w:color w:val="auto"/>
          <w:sz w:val="22"/>
          <w:szCs w:val="22"/>
          <w:lang w:val="en-AU"/>
        </w:rPr>
        <w:t xml:space="preserve"> 79% of providers in the sector.</w:t>
      </w:r>
      <w:r w:rsidR="00A86EBB">
        <w:rPr>
          <w:rFonts w:asciiTheme="minorHAnsi" w:eastAsia="Times New Roman" w:hAnsiTheme="minorHAnsi" w:cstheme="minorHAnsi"/>
          <w:b w:val="0"/>
          <w:bCs w:val="0"/>
          <w:color w:val="auto"/>
          <w:sz w:val="22"/>
          <w:szCs w:val="22"/>
          <w:lang w:val="en-AU"/>
        </w:rPr>
        <w:t xml:space="preserve"> </w:t>
      </w:r>
      <w:r>
        <w:rPr>
          <w:rFonts w:asciiTheme="minorHAnsi" w:eastAsia="Times New Roman" w:hAnsiTheme="minorHAnsi" w:cstheme="minorHAnsi"/>
          <w:b w:val="0"/>
          <w:bCs w:val="0"/>
          <w:color w:val="auto"/>
          <w:sz w:val="22"/>
          <w:szCs w:val="22"/>
          <w:lang w:val="en-AU"/>
        </w:rPr>
        <w:t xml:space="preserve">Table 11 shows that all 43 universities have international student enrolments and collectively </w:t>
      </w:r>
      <w:r w:rsidR="00F97A90">
        <w:rPr>
          <w:rFonts w:asciiTheme="minorHAnsi" w:eastAsia="Times New Roman" w:hAnsiTheme="minorHAnsi" w:cstheme="minorHAnsi"/>
          <w:b w:val="0"/>
          <w:bCs w:val="0"/>
          <w:color w:val="auto"/>
          <w:sz w:val="22"/>
          <w:szCs w:val="22"/>
          <w:lang w:val="en-AU"/>
        </w:rPr>
        <w:t>accounted for 89.5% of international student enrolments</w:t>
      </w:r>
      <w:r>
        <w:rPr>
          <w:rFonts w:asciiTheme="minorHAnsi" w:eastAsia="Times New Roman" w:hAnsiTheme="minorHAnsi" w:cstheme="minorHAnsi"/>
          <w:b w:val="0"/>
          <w:bCs w:val="0"/>
          <w:color w:val="auto"/>
          <w:sz w:val="22"/>
          <w:szCs w:val="22"/>
          <w:lang w:val="en-AU"/>
        </w:rPr>
        <w:t xml:space="preserve"> in the sector</w:t>
      </w:r>
      <w:r w:rsidR="00F97A90">
        <w:rPr>
          <w:rFonts w:asciiTheme="minorHAnsi" w:eastAsia="Times New Roman" w:hAnsiTheme="minorHAnsi" w:cstheme="minorHAnsi"/>
          <w:b w:val="0"/>
          <w:bCs w:val="0"/>
          <w:color w:val="auto"/>
          <w:sz w:val="22"/>
          <w:szCs w:val="22"/>
          <w:lang w:val="en-AU"/>
        </w:rPr>
        <w:t>.</w:t>
      </w:r>
      <w:r w:rsidR="00CD14A5">
        <w:rPr>
          <w:rFonts w:asciiTheme="minorHAnsi" w:eastAsia="Times New Roman" w:hAnsiTheme="minorHAnsi" w:cstheme="minorHAnsi"/>
          <w:b w:val="0"/>
          <w:bCs w:val="0"/>
          <w:color w:val="auto"/>
          <w:sz w:val="22"/>
          <w:szCs w:val="22"/>
          <w:lang w:val="en-AU"/>
        </w:rPr>
        <w:t xml:space="preserve"> </w:t>
      </w:r>
      <w:r w:rsidR="00E0267B">
        <w:rPr>
          <w:rFonts w:asciiTheme="minorHAnsi" w:eastAsia="Times New Roman" w:hAnsiTheme="minorHAnsi" w:cstheme="minorHAnsi"/>
          <w:b w:val="0"/>
          <w:bCs w:val="0"/>
          <w:color w:val="auto"/>
          <w:sz w:val="22"/>
          <w:szCs w:val="22"/>
          <w:lang w:val="en-AU"/>
        </w:rPr>
        <w:t xml:space="preserve">In comparison, only half of Not-For-Profit providers enrol international students. </w:t>
      </w:r>
    </w:p>
    <w:p w:rsidR="00946255" w:rsidRPr="00353F0C" w:rsidRDefault="00946255" w:rsidP="00D10A9B">
      <w:pPr>
        <w:spacing w:after="0" w:line="120" w:lineRule="atLeast"/>
        <w:rPr>
          <w:rFonts w:ascii="Georgia" w:hAnsi="Georgia" w:cs="Arial"/>
          <w:b/>
          <w:color w:val="004855" w:themeColor="text1"/>
          <w:sz w:val="16"/>
          <w:szCs w:val="16"/>
          <w:lang w:val="en-US"/>
        </w:rPr>
      </w:pPr>
    </w:p>
    <w:p w:rsidR="00D00FE5" w:rsidRPr="001567F7" w:rsidRDefault="00D00FE5" w:rsidP="00BA607A">
      <w:pPr>
        <w:spacing w:after="120"/>
        <w:rPr>
          <w:rFonts w:ascii="Georgia" w:hAnsi="Georgia" w:cs="Arial"/>
          <w:b/>
          <w:color w:val="004855" w:themeColor="text1"/>
          <w:sz w:val="20"/>
          <w:szCs w:val="20"/>
          <w:lang w:val="en-US"/>
        </w:rPr>
      </w:pPr>
      <w:r w:rsidRPr="001567F7">
        <w:rPr>
          <w:rFonts w:ascii="Georgia" w:hAnsi="Georgia" w:cs="Arial"/>
          <w:b/>
          <w:color w:val="004855" w:themeColor="text1"/>
          <w:sz w:val="20"/>
          <w:szCs w:val="20"/>
          <w:lang w:val="en-US"/>
        </w:rPr>
        <w:t>Table 1</w:t>
      </w:r>
      <w:r w:rsidR="00127249">
        <w:rPr>
          <w:rFonts w:ascii="Georgia" w:hAnsi="Georgia" w:cs="Arial"/>
          <w:b/>
          <w:color w:val="004855" w:themeColor="text1"/>
          <w:sz w:val="20"/>
          <w:szCs w:val="20"/>
          <w:lang w:val="en-US"/>
        </w:rPr>
        <w:t>1</w:t>
      </w:r>
      <w:r w:rsidRPr="001567F7">
        <w:rPr>
          <w:rFonts w:ascii="Georgia" w:hAnsi="Georgia" w:cs="Arial"/>
          <w:b/>
          <w:color w:val="004855" w:themeColor="text1"/>
          <w:sz w:val="20"/>
          <w:szCs w:val="20"/>
          <w:lang w:val="en-US"/>
        </w:rPr>
        <w:t xml:space="preserve">: </w:t>
      </w:r>
      <w:r>
        <w:rPr>
          <w:rFonts w:ascii="Georgia" w:hAnsi="Georgia" w:cs="Arial"/>
          <w:b/>
          <w:color w:val="004855" w:themeColor="text1"/>
          <w:sz w:val="20"/>
          <w:szCs w:val="20"/>
          <w:lang w:val="en-US"/>
        </w:rPr>
        <w:t>Breakdown of international student EFTSL</w:t>
      </w:r>
      <w:r w:rsidRPr="001567F7">
        <w:rPr>
          <w:rFonts w:ascii="Georgia" w:hAnsi="Georgia" w:cs="Arial"/>
          <w:b/>
          <w:color w:val="004855" w:themeColor="text1"/>
          <w:sz w:val="20"/>
          <w:szCs w:val="20"/>
          <w:lang w:val="en-US"/>
        </w:rPr>
        <w:t>, by provider type</w:t>
      </w:r>
    </w:p>
    <w:tbl>
      <w:tblPr>
        <w:tblW w:w="5000" w:type="pct"/>
        <w:tblLayout w:type="fixed"/>
        <w:tblLook w:val="04A0" w:firstRow="1" w:lastRow="0" w:firstColumn="1" w:lastColumn="0" w:noHBand="0" w:noVBand="1"/>
      </w:tblPr>
      <w:tblGrid>
        <w:gridCol w:w="2393"/>
        <w:gridCol w:w="2393"/>
        <w:gridCol w:w="2393"/>
        <w:gridCol w:w="2393"/>
      </w:tblGrid>
      <w:tr w:rsidR="00155F98" w:rsidRPr="00797118" w:rsidTr="00AF31E9">
        <w:trPr>
          <w:trHeight w:val="300"/>
        </w:trPr>
        <w:tc>
          <w:tcPr>
            <w:tcW w:w="1250" w:type="pct"/>
            <w:tcBorders>
              <w:top w:val="nil"/>
              <w:left w:val="nil"/>
              <w:bottom w:val="single" w:sz="4" w:space="0" w:color="366092"/>
              <w:right w:val="nil"/>
            </w:tcBorders>
            <w:shd w:val="clear" w:color="auto" w:fill="004855"/>
            <w:noWrap/>
            <w:vAlign w:val="center"/>
            <w:hideMark/>
          </w:tcPr>
          <w:p w:rsidR="00155F98" w:rsidRPr="00797118" w:rsidRDefault="00155F98" w:rsidP="00AF31E9">
            <w:pPr>
              <w:spacing w:after="0" w:line="160" w:lineRule="atLeast"/>
              <w:rPr>
                <w:rFonts w:asciiTheme="minorHAnsi" w:hAnsiTheme="minorHAnsi" w:cstheme="minorHAnsi"/>
                <w:b/>
                <w:sz w:val="20"/>
                <w:szCs w:val="20"/>
              </w:rPr>
            </w:pPr>
          </w:p>
        </w:tc>
        <w:tc>
          <w:tcPr>
            <w:tcW w:w="1250" w:type="pct"/>
            <w:tcBorders>
              <w:top w:val="nil"/>
              <w:left w:val="nil"/>
              <w:bottom w:val="single" w:sz="4" w:space="0" w:color="366092"/>
              <w:right w:val="nil"/>
            </w:tcBorders>
            <w:shd w:val="clear" w:color="auto" w:fill="004855"/>
          </w:tcPr>
          <w:p w:rsidR="00155F98" w:rsidRPr="00AF31E9" w:rsidRDefault="00155F98" w:rsidP="00AF31E9">
            <w:pPr>
              <w:spacing w:after="0" w:line="160" w:lineRule="atLeast"/>
              <w:jc w:val="right"/>
              <w:rPr>
                <w:rFonts w:asciiTheme="minorHAnsi" w:hAnsiTheme="minorHAnsi" w:cstheme="minorHAnsi"/>
                <w:b/>
                <w:sz w:val="18"/>
                <w:szCs w:val="18"/>
              </w:rPr>
            </w:pPr>
            <w:r w:rsidRPr="00AF31E9">
              <w:rPr>
                <w:rFonts w:asciiTheme="minorHAnsi" w:hAnsiTheme="minorHAnsi" w:cstheme="minorHAnsi"/>
                <w:b/>
                <w:sz w:val="18"/>
                <w:szCs w:val="18"/>
              </w:rPr>
              <w:t xml:space="preserve">International </w:t>
            </w:r>
          </w:p>
          <w:p w:rsidR="00155F98" w:rsidRPr="00AF31E9" w:rsidRDefault="00155F98" w:rsidP="00AF31E9">
            <w:pPr>
              <w:spacing w:after="0" w:line="160" w:lineRule="atLeast"/>
              <w:jc w:val="right"/>
              <w:rPr>
                <w:rFonts w:asciiTheme="minorHAnsi" w:hAnsiTheme="minorHAnsi" w:cstheme="minorHAnsi"/>
                <w:b/>
                <w:sz w:val="18"/>
                <w:szCs w:val="18"/>
              </w:rPr>
            </w:pPr>
            <w:r>
              <w:rPr>
                <w:rFonts w:asciiTheme="minorHAnsi" w:hAnsiTheme="minorHAnsi" w:cstheme="minorHAnsi"/>
                <w:b/>
                <w:sz w:val="18"/>
                <w:szCs w:val="18"/>
              </w:rPr>
              <w:t>s</w:t>
            </w:r>
            <w:r w:rsidRPr="00AF31E9">
              <w:rPr>
                <w:rFonts w:asciiTheme="minorHAnsi" w:hAnsiTheme="minorHAnsi" w:cstheme="minorHAnsi"/>
                <w:b/>
                <w:sz w:val="18"/>
                <w:szCs w:val="18"/>
              </w:rPr>
              <w:t>tudent</w:t>
            </w:r>
            <w:r>
              <w:rPr>
                <w:rFonts w:asciiTheme="minorHAnsi" w:hAnsiTheme="minorHAnsi" w:cstheme="minorHAnsi"/>
                <w:b/>
                <w:sz w:val="18"/>
                <w:szCs w:val="18"/>
              </w:rPr>
              <w:t xml:space="preserve"> </w:t>
            </w:r>
            <w:r w:rsidRPr="00AF31E9">
              <w:rPr>
                <w:rFonts w:asciiTheme="minorHAnsi" w:hAnsiTheme="minorHAnsi" w:cstheme="minorHAnsi"/>
                <w:b/>
                <w:sz w:val="18"/>
                <w:szCs w:val="18"/>
              </w:rPr>
              <w:t xml:space="preserve"> EFTSL </w:t>
            </w:r>
            <w:r>
              <w:rPr>
                <w:rFonts w:asciiTheme="minorHAnsi" w:hAnsiTheme="minorHAnsi" w:cstheme="minorHAnsi"/>
                <w:b/>
                <w:sz w:val="18"/>
                <w:szCs w:val="18"/>
              </w:rPr>
              <w:br/>
              <w:t>(‘000)</w:t>
            </w:r>
          </w:p>
        </w:tc>
        <w:tc>
          <w:tcPr>
            <w:tcW w:w="1250" w:type="pct"/>
            <w:tcBorders>
              <w:top w:val="nil"/>
              <w:left w:val="nil"/>
              <w:bottom w:val="single" w:sz="4" w:space="0" w:color="366092"/>
              <w:right w:val="nil"/>
            </w:tcBorders>
            <w:shd w:val="clear" w:color="auto" w:fill="004855"/>
            <w:noWrap/>
            <w:vAlign w:val="center"/>
          </w:tcPr>
          <w:p w:rsidR="00155F98" w:rsidRPr="00AF31E9" w:rsidRDefault="00155F98" w:rsidP="00AF31E9">
            <w:pPr>
              <w:spacing w:after="0" w:line="160" w:lineRule="atLeast"/>
              <w:jc w:val="right"/>
              <w:rPr>
                <w:rFonts w:asciiTheme="minorHAnsi" w:hAnsiTheme="minorHAnsi" w:cstheme="minorHAnsi"/>
                <w:b/>
                <w:sz w:val="18"/>
                <w:szCs w:val="18"/>
              </w:rPr>
            </w:pPr>
            <w:r w:rsidRPr="00AF31E9">
              <w:rPr>
                <w:rFonts w:asciiTheme="minorHAnsi" w:hAnsiTheme="minorHAnsi" w:cstheme="minorHAnsi"/>
                <w:b/>
                <w:sz w:val="18"/>
                <w:szCs w:val="18"/>
              </w:rPr>
              <w:t xml:space="preserve">Proportion of </w:t>
            </w:r>
          </w:p>
          <w:p w:rsidR="00155F98" w:rsidRPr="00AF31E9" w:rsidRDefault="00155F98" w:rsidP="00AF31E9">
            <w:pPr>
              <w:spacing w:after="0" w:line="160" w:lineRule="atLeast"/>
              <w:jc w:val="right"/>
              <w:rPr>
                <w:rFonts w:asciiTheme="minorHAnsi" w:hAnsiTheme="minorHAnsi" w:cstheme="minorHAnsi"/>
                <w:b/>
                <w:sz w:val="18"/>
                <w:szCs w:val="18"/>
              </w:rPr>
            </w:pPr>
            <w:r w:rsidRPr="00AF31E9">
              <w:rPr>
                <w:rFonts w:asciiTheme="minorHAnsi" w:hAnsiTheme="minorHAnsi" w:cstheme="minorHAnsi"/>
                <w:b/>
                <w:sz w:val="18"/>
                <w:szCs w:val="18"/>
              </w:rPr>
              <w:t xml:space="preserve">providers with </w:t>
            </w:r>
          </w:p>
          <w:p w:rsidR="00155F98" w:rsidRPr="00AF31E9" w:rsidRDefault="00155F98" w:rsidP="00AF31E9">
            <w:pPr>
              <w:spacing w:after="0" w:line="160" w:lineRule="atLeast"/>
              <w:jc w:val="right"/>
              <w:rPr>
                <w:rFonts w:asciiTheme="minorHAnsi" w:hAnsiTheme="minorHAnsi" w:cstheme="minorHAnsi"/>
                <w:b/>
                <w:sz w:val="18"/>
                <w:szCs w:val="18"/>
              </w:rPr>
            </w:pPr>
            <w:r w:rsidRPr="00AF31E9">
              <w:rPr>
                <w:rFonts w:asciiTheme="minorHAnsi" w:hAnsiTheme="minorHAnsi" w:cstheme="minorHAnsi"/>
                <w:b/>
                <w:sz w:val="18"/>
                <w:szCs w:val="18"/>
              </w:rPr>
              <w:t>international students</w:t>
            </w:r>
          </w:p>
        </w:tc>
        <w:tc>
          <w:tcPr>
            <w:tcW w:w="1250" w:type="pct"/>
            <w:tcBorders>
              <w:top w:val="nil"/>
              <w:left w:val="nil"/>
              <w:bottom w:val="single" w:sz="4" w:space="0" w:color="366092"/>
              <w:right w:val="nil"/>
            </w:tcBorders>
            <w:shd w:val="clear" w:color="auto" w:fill="004855"/>
            <w:vAlign w:val="center"/>
          </w:tcPr>
          <w:p w:rsidR="00155F98" w:rsidRPr="00AF31E9" w:rsidRDefault="00155F98" w:rsidP="00AF31E9">
            <w:pPr>
              <w:spacing w:after="0" w:line="160" w:lineRule="atLeast"/>
              <w:jc w:val="right"/>
              <w:rPr>
                <w:rFonts w:asciiTheme="minorHAnsi" w:hAnsiTheme="minorHAnsi" w:cstheme="minorHAnsi"/>
                <w:b/>
                <w:sz w:val="18"/>
                <w:szCs w:val="18"/>
              </w:rPr>
            </w:pPr>
            <w:r w:rsidRPr="00AF31E9">
              <w:rPr>
                <w:rFonts w:asciiTheme="minorHAnsi" w:hAnsiTheme="minorHAnsi" w:cstheme="minorHAnsi"/>
                <w:b/>
                <w:sz w:val="18"/>
                <w:szCs w:val="18"/>
              </w:rPr>
              <w:t xml:space="preserve">Proportion of </w:t>
            </w:r>
          </w:p>
          <w:p w:rsidR="00155F98" w:rsidRPr="00AF31E9" w:rsidRDefault="00155F98" w:rsidP="00AF31E9">
            <w:pPr>
              <w:spacing w:after="0" w:line="160" w:lineRule="atLeast"/>
              <w:jc w:val="right"/>
              <w:rPr>
                <w:rFonts w:asciiTheme="minorHAnsi" w:hAnsiTheme="minorHAnsi" w:cstheme="minorHAnsi"/>
                <w:b/>
                <w:sz w:val="18"/>
                <w:szCs w:val="18"/>
              </w:rPr>
            </w:pPr>
            <w:r w:rsidRPr="00AF31E9">
              <w:rPr>
                <w:rFonts w:asciiTheme="minorHAnsi" w:hAnsiTheme="minorHAnsi" w:cstheme="minorHAnsi"/>
                <w:b/>
                <w:sz w:val="18"/>
                <w:szCs w:val="18"/>
              </w:rPr>
              <w:t xml:space="preserve">international </w:t>
            </w:r>
          </w:p>
          <w:p w:rsidR="00155F98" w:rsidRPr="00AF31E9" w:rsidRDefault="00155F98" w:rsidP="00AF31E9">
            <w:pPr>
              <w:spacing w:after="0" w:line="160" w:lineRule="atLeast"/>
              <w:jc w:val="right"/>
              <w:rPr>
                <w:rFonts w:asciiTheme="minorHAnsi" w:hAnsiTheme="minorHAnsi" w:cstheme="minorHAnsi"/>
                <w:b/>
                <w:sz w:val="18"/>
                <w:szCs w:val="18"/>
              </w:rPr>
            </w:pPr>
            <w:r w:rsidRPr="00AF31E9">
              <w:rPr>
                <w:rFonts w:asciiTheme="minorHAnsi" w:hAnsiTheme="minorHAnsi" w:cstheme="minorHAnsi"/>
                <w:b/>
                <w:sz w:val="18"/>
                <w:szCs w:val="18"/>
              </w:rPr>
              <w:t>students</w:t>
            </w:r>
          </w:p>
        </w:tc>
      </w:tr>
      <w:tr w:rsidR="00155F98" w:rsidRPr="00797118" w:rsidTr="00AF31E9">
        <w:trPr>
          <w:trHeight w:val="300"/>
        </w:trPr>
        <w:tc>
          <w:tcPr>
            <w:tcW w:w="1250" w:type="pct"/>
            <w:tcBorders>
              <w:top w:val="nil"/>
              <w:left w:val="nil"/>
              <w:bottom w:val="single" w:sz="4" w:space="0" w:color="366092"/>
              <w:right w:val="nil"/>
            </w:tcBorders>
            <w:shd w:val="clear" w:color="auto" w:fill="auto"/>
            <w:noWrap/>
            <w:vAlign w:val="center"/>
          </w:tcPr>
          <w:p w:rsidR="00155F98" w:rsidRPr="00797118" w:rsidRDefault="00155F98" w:rsidP="00276B3E">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1250" w:type="pct"/>
            <w:tcBorders>
              <w:top w:val="nil"/>
              <w:left w:val="nil"/>
              <w:bottom w:val="single" w:sz="4" w:space="0" w:color="366092"/>
              <w:right w:val="nil"/>
            </w:tcBorders>
          </w:tcPr>
          <w:p w:rsidR="00155F98"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233.2</w:t>
            </w:r>
          </w:p>
        </w:tc>
        <w:tc>
          <w:tcPr>
            <w:tcW w:w="1250" w:type="pct"/>
            <w:tcBorders>
              <w:top w:val="nil"/>
              <w:left w:val="nil"/>
              <w:bottom w:val="single" w:sz="4" w:space="0" w:color="366092"/>
              <w:right w:val="nil"/>
            </w:tcBorders>
            <w:shd w:val="clear" w:color="auto" w:fill="auto"/>
            <w:noWrap/>
            <w:vAlign w:val="bottom"/>
          </w:tcPr>
          <w:p w:rsidR="00155F98" w:rsidRPr="002922C1"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100.0%</w:t>
            </w:r>
          </w:p>
        </w:tc>
        <w:tc>
          <w:tcPr>
            <w:tcW w:w="1250" w:type="pct"/>
            <w:tcBorders>
              <w:top w:val="nil"/>
              <w:left w:val="nil"/>
              <w:bottom w:val="single" w:sz="4" w:space="0" w:color="366092"/>
              <w:right w:val="nil"/>
            </w:tcBorders>
            <w:vAlign w:val="bottom"/>
          </w:tcPr>
          <w:p w:rsidR="00155F98" w:rsidRPr="002922C1"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89.5%</w:t>
            </w:r>
          </w:p>
        </w:tc>
      </w:tr>
      <w:tr w:rsidR="00155F98" w:rsidRPr="00797118" w:rsidTr="00AF31E9">
        <w:trPr>
          <w:trHeight w:val="300"/>
        </w:trPr>
        <w:tc>
          <w:tcPr>
            <w:tcW w:w="1250" w:type="pct"/>
            <w:tcBorders>
              <w:top w:val="nil"/>
              <w:left w:val="nil"/>
              <w:bottom w:val="single" w:sz="4" w:space="0" w:color="366092"/>
              <w:right w:val="nil"/>
            </w:tcBorders>
            <w:shd w:val="clear" w:color="auto" w:fill="auto"/>
            <w:noWrap/>
            <w:vAlign w:val="center"/>
          </w:tcPr>
          <w:p w:rsidR="00155F98" w:rsidRPr="00797118" w:rsidRDefault="00155F98"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1250" w:type="pct"/>
            <w:tcBorders>
              <w:top w:val="nil"/>
              <w:left w:val="nil"/>
              <w:bottom w:val="single" w:sz="4" w:space="0" w:color="366092"/>
              <w:right w:val="nil"/>
            </w:tcBorders>
          </w:tcPr>
          <w:p w:rsidR="00155F98" w:rsidRDefault="00155F98" w:rsidP="0089015D">
            <w:pPr>
              <w:spacing w:after="0"/>
              <w:jc w:val="right"/>
              <w:rPr>
                <w:rFonts w:asciiTheme="minorHAnsi" w:hAnsiTheme="minorHAnsi" w:cstheme="minorHAnsi"/>
                <w:sz w:val="20"/>
                <w:szCs w:val="20"/>
              </w:rPr>
            </w:pPr>
            <w:r>
              <w:rPr>
                <w:rFonts w:asciiTheme="minorHAnsi" w:hAnsiTheme="minorHAnsi" w:cstheme="minorHAnsi"/>
                <w:sz w:val="20"/>
                <w:szCs w:val="20"/>
              </w:rPr>
              <w:t>1.5</w:t>
            </w:r>
          </w:p>
        </w:tc>
        <w:tc>
          <w:tcPr>
            <w:tcW w:w="1250" w:type="pct"/>
            <w:tcBorders>
              <w:top w:val="nil"/>
              <w:left w:val="nil"/>
              <w:bottom w:val="single" w:sz="4" w:space="0" w:color="366092"/>
              <w:right w:val="nil"/>
            </w:tcBorders>
            <w:shd w:val="clear" w:color="auto" w:fill="auto"/>
            <w:noWrap/>
            <w:vAlign w:val="bottom"/>
          </w:tcPr>
          <w:p w:rsidR="00155F98" w:rsidRPr="002922C1" w:rsidRDefault="00155F98" w:rsidP="0089015D">
            <w:pPr>
              <w:spacing w:after="0"/>
              <w:jc w:val="right"/>
              <w:rPr>
                <w:rFonts w:asciiTheme="minorHAnsi" w:hAnsiTheme="minorHAnsi" w:cstheme="minorHAnsi"/>
                <w:sz w:val="20"/>
                <w:szCs w:val="20"/>
              </w:rPr>
            </w:pPr>
            <w:r>
              <w:rPr>
                <w:rFonts w:asciiTheme="minorHAnsi" w:hAnsiTheme="minorHAnsi" w:cstheme="minorHAnsi"/>
                <w:sz w:val="20"/>
                <w:szCs w:val="20"/>
              </w:rPr>
              <w:t>81.8%</w:t>
            </w:r>
          </w:p>
        </w:tc>
        <w:tc>
          <w:tcPr>
            <w:tcW w:w="1250" w:type="pct"/>
            <w:tcBorders>
              <w:top w:val="nil"/>
              <w:left w:val="nil"/>
              <w:bottom w:val="single" w:sz="4" w:space="0" w:color="366092"/>
              <w:right w:val="nil"/>
            </w:tcBorders>
            <w:vAlign w:val="bottom"/>
          </w:tcPr>
          <w:p w:rsidR="00155F98" w:rsidRPr="002922C1" w:rsidRDefault="00155F98" w:rsidP="0089015D">
            <w:pPr>
              <w:spacing w:after="0"/>
              <w:jc w:val="right"/>
              <w:rPr>
                <w:rFonts w:asciiTheme="minorHAnsi" w:hAnsiTheme="minorHAnsi" w:cstheme="minorHAnsi"/>
                <w:sz w:val="20"/>
                <w:szCs w:val="20"/>
              </w:rPr>
            </w:pPr>
            <w:r>
              <w:rPr>
                <w:rFonts w:asciiTheme="minorHAnsi" w:hAnsiTheme="minorHAnsi" w:cstheme="minorHAnsi"/>
                <w:sz w:val="20"/>
                <w:szCs w:val="20"/>
              </w:rPr>
              <w:t>0.6%</w:t>
            </w:r>
          </w:p>
        </w:tc>
      </w:tr>
      <w:tr w:rsidR="00155F98" w:rsidRPr="00797118" w:rsidTr="00AF31E9">
        <w:trPr>
          <w:trHeight w:val="300"/>
        </w:trPr>
        <w:tc>
          <w:tcPr>
            <w:tcW w:w="1250" w:type="pct"/>
            <w:tcBorders>
              <w:top w:val="nil"/>
              <w:left w:val="nil"/>
              <w:bottom w:val="single" w:sz="4" w:space="0" w:color="366092"/>
              <w:right w:val="nil"/>
            </w:tcBorders>
            <w:shd w:val="clear" w:color="auto" w:fill="auto"/>
            <w:noWrap/>
            <w:vAlign w:val="center"/>
          </w:tcPr>
          <w:p w:rsidR="00155F98" w:rsidRPr="00296D08" w:rsidRDefault="00155F98" w:rsidP="00276B3E">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1250" w:type="pct"/>
            <w:tcBorders>
              <w:top w:val="nil"/>
              <w:left w:val="nil"/>
              <w:bottom w:val="single" w:sz="4" w:space="0" w:color="366092"/>
              <w:right w:val="nil"/>
            </w:tcBorders>
          </w:tcPr>
          <w:p w:rsidR="00155F98"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22.3</w:t>
            </w:r>
          </w:p>
        </w:tc>
        <w:tc>
          <w:tcPr>
            <w:tcW w:w="1250" w:type="pct"/>
            <w:tcBorders>
              <w:top w:val="nil"/>
              <w:left w:val="nil"/>
              <w:bottom w:val="single" w:sz="4" w:space="0" w:color="366092"/>
              <w:right w:val="nil"/>
            </w:tcBorders>
            <w:shd w:val="clear" w:color="auto" w:fill="auto"/>
            <w:noWrap/>
            <w:vAlign w:val="bottom"/>
          </w:tcPr>
          <w:p w:rsidR="00155F98" w:rsidRPr="002922C1"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84.2%</w:t>
            </w:r>
          </w:p>
        </w:tc>
        <w:tc>
          <w:tcPr>
            <w:tcW w:w="1250" w:type="pct"/>
            <w:tcBorders>
              <w:top w:val="nil"/>
              <w:left w:val="nil"/>
              <w:bottom w:val="single" w:sz="4" w:space="0" w:color="366092"/>
              <w:right w:val="nil"/>
            </w:tcBorders>
            <w:vAlign w:val="bottom"/>
          </w:tcPr>
          <w:p w:rsidR="00155F98" w:rsidRPr="002922C1"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8.6%</w:t>
            </w:r>
          </w:p>
        </w:tc>
      </w:tr>
      <w:tr w:rsidR="00155F98" w:rsidRPr="00797118" w:rsidTr="00AF31E9">
        <w:trPr>
          <w:trHeight w:val="300"/>
        </w:trPr>
        <w:tc>
          <w:tcPr>
            <w:tcW w:w="1250" w:type="pct"/>
            <w:tcBorders>
              <w:top w:val="nil"/>
              <w:left w:val="nil"/>
              <w:bottom w:val="single" w:sz="4" w:space="0" w:color="366092"/>
              <w:right w:val="nil"/>
            </w:tcBorders>
            <w:shd w:val="clear" w:color="auto" w:fill="auto"/>
            <w:noWrap/>
            <w:vAlign w:val="center"/>
          </w:tcPr>
          <w:p w:rsidR="00155F98" w:rsidRPr="00296D08" w:rsidRDefault="00155F98" w:rsidP="00276B3E">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1250" w:type="pct"/>
            <w:tcBorders>
              <w:top w:val="nil"/>
              <w:left w:val="nil"/>
              <w:bottom w:val="single" w:sz="4" w:space="0" w:color="366092"/>
              <w:right w:val="nil"/>
            </w:tcBorders>
          </w:tcPr>
          <w:p w:rsidR="00155F98"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3.4</w:t>
            </w:r>
          </w:p>
        </w:tc>
        <w:tc>
          <w:tcPr>
            <w:tcW w:w="1250" w:type="pct"/>
            <w:tcBorders>
              <w:top w:val="nil"/>
              <w:left w:val="nil"/>
              <w:bottom w:val="single" w:sz="4" w:space="0" w:color="366092"/>
              <w:right w:val="nil"/>
            </w:tcBorders>
            <w:shd w:val="clear" w:color="auto" w:fill="auto"/>
            <w:noWrap/>
            <w:vAlign w:val="bottom"/>
          </w:tcPr>
          <w:p w:rsidR="00155F98" w:rsidRPr="002922C1" w:rsidRDefault="00155F98" w:rsidP="005C332B">
            <w:pPr>
              <w:spacing w:after="0"/>
              <w:jc w:val="right"/>
              <w:rPr>
                <w:rFonts w:asciiTheme="minorHAnsi" w:hAnsiTheme="minorHAnsi" w:cstheme="minorHAnsi"/>
                <w:sz w:val="20"/>
                <w:szCs w:val="20"/>
              </w:rPr>
            </w:pPr>
            <w:r>
              <w:rPr>
                <w:rFonts w:asciiTheme="minorHAnsi" w:hAnsiTheme="minorHAnsi" w:cstheme="minorHAnsi"/>
                <w:sz w:val="20"/>
                <w:szCs w:val="20"/>
              </w:rPr>
              <w:t>50.0%</w:t>
            </w:r>
          </w:p>
        </w:tc>
        <w:tc>
          <w:tcPr>
            <w:tcW w:w="1250" w:type="pct"/>
            <w:tcBorders>
              <w:top w:val="nil"/>
              <w:left w:val="nil"/>
              <w:bottom w:val="single" w:sz="4" w:space="0" w:color="366092"/>
              <w:right w:val="nil"/>
            </w:tcBorders>
            <w:vAlign w:val="bottom"/>
          </w:tcPr>
          <w:p w:rsidR="00155F98" w:rsidRPr="002922C1" w:rsidRDefault="00155F98"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w:t>
            </w:r>
            <w:r>
              <w:rPr>
                <w:rFonts w:asciiTheme="minorHAnsi" w:hAnsiTheme="minorHAnsi" w:cstheme="minorHAnsi"/>
                <w:sz w:val="20"/>
                <w:szCs w:val="20"/>
              </w:rPr>
              <w:t>.3%</w:t>
            </w:r>
          </w:p>
        </w:tc>
      </w:tr>
    </w:tbl>
    <w:p w:rsidR="00F97180" w:rsidRDefault="00F97180" w:rsidP="00F97180">
      <w:pPr>
        <w:spacing w:after="0" w:line="240" w:lineRule="auto"/>
        <w:rPr>
          <w:rFonts w:ascii="Arial" w:hAnsi="Arial" w:cs="Arial"/>
          <w:i/>
          <w:sz w:val="16"/>
          <w:szCs w:val="16"/>
        </w:rPr>
      </w:pPr>
      <w:r w:rsidRPr="004130E8">
        <w:rPr>
          <w:rFonts w:ascii="Arial" w:hAnsi="Arial" w:cs="Arial"/>
          <w:i/>
          <w:sz w:val="16"/>
          <w:szCs w:val="16"/>
        </w:rPr>
        <w:t>Source: TEQSA analysis; 2015 PIR; Department</w:t>
      </w:r>
      <w:r>
        <w:rPr>
          <w:rFonts w:ascii="Arial" w:hAnsi="Arial" w:cs="Arial"/>
          <w:i/>
          <w:sz w:val="16"/>
          <w:szCs w:val="16"/>
        </w:rPr>
        <w:t xml:space="preserve"> of Education and Training</w:t>
      </w:r>
    </w:p>
    <w:p w:rsidR="00A15E0A" w:rsidRDefault="00D454F5" w:rsidP="00AF31E9">
      <w:pPr>
        <w:pStyle w:val="H2"/>
        <w:spacing w:before="120"/>
        <w:rPr>
          <w:rFonts w:asciiTheme="minorHAnsi" w:eastAsia="Times New Roman" w:hAnsiTheme="minorHAnsi" w:cstheme="minorHAnsi"/>
          <w:b w:val="0"/>
          <w:bCs w:val="0"/>
          <w:color w:val="auto"/>
          <w:sz w:val="22"/>
          <w:szCs w:val="22"/>
          <w:lang w:val="en-AU"/>
        </w:rPr>
      </w:pPr>
      <w:r>
        <w:rPr>
          <w:rFonts w:asciiTheme="minorHAnsi" w:eastAsia="Times New Roman" w:hAnsiTheme="minorHAnsi" w:cstheme="minorHAnsi"/>
          <w:b w:val="0"/>
          <w:bCs w:val="0"/>
          <w:color w:val="auto"/>
          <w:sz w:val="22"/>
          <w:szCs w:val="22"/>
          <w:lang w:val="en-AU"/>
        </w:rPr>
        <w:t>In</w:t>
      </w:r>
      <w:r w:rsidR="007C2CEF">
        <w:rPr>
          <w:rFonts w:asciiTheme="minorHAnsi" w:eastAsia="Times New Roman" w:hAnsiTheme="minorHAnsi" w:cstheme="minorHAnsi"/>
          <w:b w:val="0"/>
          <w:bCs w:val="0"/>
          <w:color w:val="auto"/>
          <w:sz w:val="22"/>
          <w:szCs w:val="22"/>
          <w:lang w:val="en-AU"/>
        </w:rPr>
        <w:t xml:space="preserve"> the latest reporting year, </w:t>
      </w:r>
      <w:r w:rsidR="00A32B63">
        <w:rPr>
          <w:rFonts w:asciiTheme="minorHAnsi" w:eastAsia="Times New Roman" w:hAnsiTheme="minorHAnsi" w:cstheme="minorHAnsi"/>
          <w:b w:val="0"/>
          <w:bCs w:val="0"/>
          <w:color w:val="auto"/>
          <w:sz w:val="22"/>
          <w:szCs w:val="22"/>
          <w:lang w:val="en-AU"/>
        </w:rPr>
        <w:t xml:space="preserve">revenue </w:t>
      </w:r>
      <w:r w:rsidR="00AE2ED2">
        <w:rPr>
          <w:rFonts w:ascii="Arial" w:hAnsi="Arial" w:cstheme="minorBidi"/>
          <w:b w:val="0"/>
          <w:color w:val="auto"/>
          <w:sz w:val="22"/>
          <w:szCs w:val="22"/>
        </w:rPr>
        <w:t>e</w:t>
      </w:r>
      <w:r w:rsidR="00EA2851" w:rsidRPr="00F851C2">
        <w:rPr>
          <w:rFonts w:ascii="Arial" w:hAnsi="Arial" w:cstheme="minorBidi"/>
          <w:b w:val="0"/>
          <w:color w:val="auto"/>
          <w:sz w:val="22"/>
          <w:szCs w:val="22"/>
        </w:rPr>
        <w:t xml:space="preserve">arned from </w:t>
      </w:r>
      <w:r w:rsidR="00C50A10">
        <w:rPr>
          <w:rFonts w:ascii="Arial" w:hAnsi="Arial" w:cstheme="minorBidi"/>
          <w:b w:val="0"/>
          <w:color w:val="auto"/>
          <w:sz w:val="22"/>
          <w:szCs w:val="22"/>
        </w:rPr>
        <w:t>international</w:t>
      </w:r>
      <w:r w:rsidR="00C50A10" w:rsidRPr="00F851C2">
        <w:rPr>
          <w:rFonts w:ascii="Arial" w:hAnsi="Arial" w:cstheme="minorBidi"/>
          <w:b w:val="0"/>
          <w:color w:val="auto"/>
          <w:sz w:val="22"/>
          <w:szCs w:val="22"/>
        </w:rPr>
        <w:t xml:space="preserve"> </w:t>
      </w:r>
      <w:r w:rsidR="00EA2851" w:rsidRPr="00F851C2">
        <w:rPr>
          <w:rFonts w:ascii="Arial" w:hAnsi="Arial" w:cstheme="minorBidi"/>
          <w:b w:val="0"/>
          <w:color w:val="auto"/>
          <w:sz w:val="22"/>
          <w:szCs w:val="22"/>
        </w:rPr>
        <w:t>students totalled</w:t>
      </w:r>
      <w:r w:rsidR="00F271A4">
        <w:rPr>
          <w:rFonts w:ascii="Arial" w:hAnsi="Arial" w:cstheme="minorBidi"/>
          <w:b w:val="0"/>
          <w:color w:val="auto"/>
          <w:sz w:val="22"/>
          <w:szCs w:val="22"/>
        </w:rPr>
        <w:t xml:space="preserve"> </w:t>
      </w:r>
      <w:r w:rsidR="00EA2851" w:rsidRPr="00F851C2">
        <w:rPr>
          <w:rFonts w:ascii="Arial" w:hAnsi="Arial" w:cstheme="minorBidi"/>
          <w:b w:val="0"/>
          <w:color w:val="auto"/>
          <w:sz w:val="22"/>
          <w:szCs w:val="22"/>
        </w:rPr>
        <w:t>$5.</w:t>
      </w:r>
      <w:r w:rsidR="0010414D">
        <w:rPr>
          <w:rFonts w:ascii="Arial" w:hAnsi="Arial" w:cstheme="minorBidi"/>
          <w:b w:val="0"/>
          <w:color w:val="auto"/>
          <w:sz w:val="22"/>
          <w:szCs w:val="22"/>
        </w:rPr>
        <w:t>47</w:t>
      </w:r>
      <w:r w:rsidR="00EA2851" w:rsidRPr="00F851C2">
        <w:rPr>
          <w:rFonts w:ascii="Arial" w:hAnsi="Arial" w:cstheme="minorBidi"/>
          <w:b w:val="0"/>
          <w:color w:val="auto"/>
          <w:sz w:val="22"/>
          <w:szCs w:val="22"/>
        </w:rPr>
        <w:t xml:space="preserve"> billion and</w:t>
      </w:r>
      <w:r w:rsidR="00EA2851" w:rsidRPr="00F851C2">
        <w:rPr>
          <w:rFonts w:ascii="Arial" w:hAnsi="Arial" w:cstheme="minorBidi"/>
          <w:color w:val="auto"/>
          <w:sz w:val="22"/>
          <w:szCs w:val="22"/>
        </w:rPr>
        <w:t xml:space="preserve"> </w:t>
      </w:r>
      <w:r w:rsidR="00A15E0A" w:rsidRPr="00F851C2">
        <w:rPr>
          <w:rFonts w:asciiTheme="minorHAnsi" w:eastAsia="Times New Roman" w:hAnsiTheme="minorHAnsi" w:cstheme="minorHAnsi"/>
          <w:b w:val="0"/>
          <w:bCs w:val="0"/>
          <w:color w:val="auto"/>
          <w:sz w:val="22"/>
          <w:szCs w:val="22"/>
          <w:lang w:val="en-AU"/>
        </w:rPr>
        <w:t xml:space="preserve">accounted for </w:t>
      </w:r>
      <w:r w:rsidR="008C3A9F" w:rsidRPr="00F851C2">
        <w:rPr>
          <w:rFonts w:asciiTheme="minorHAnsi" w:eastAsia="Times New Roman" w:hAnsiTheme="minorHAnsi" w:cstheme="minorHAnsi"/>
          <w:b w:val="0"/>
          <w:bCs w:val="0"/>
          <w:color w:val="auto"/>
          <w:sz w:val="22"/>
          <w:szCs w:val="22"/>
          <w:lang w:val="en-AU"/>
        </w:rPr>
        <w:t>16% of total sector revenue (2014: 15</w:t>
      </w:r>
      <w:r w:rsidR="00A15E0A" w:rsidRPr="00F851C2">
        <w:rPr>
          <w:rFonts w:asciiTheme="minorHAnsi" w:eastAsia="Times New Roman" w:hAnsiTheme="minorHAnsi" w:cstheme="minorHAnsi"/>
          <w:b w:val="0"/>
          <w:bCs w:val="0"/>
          <w:color w:val="auto"/>
          <w:sz w:val="22"/>
          <w:szCs w:val="22"/>
          <w:lang w:val="en-AU"/>
        </w:rPr>
        <w:t>%)</w:t>
      </w:r>
      <w:r w:rsidR="00EA2851" w:rsidRPr="00F851C2">
        <w:rPr>
          <w:rFonts w:asciiTheme="minorHAnsi" w:eastAsia="Times New Roman" w:hAnsiTheme="minorHAnsi" w:cstheme="minorHAnsi"/>
          <w:b w:val="0"/>
          <w:bCs w:val="0"/>
          <w:color w:val="auto"/>
          <w:sz w:val="22"/>
          <w:szCs w:val="22"/>
          <w:lang w:val="en-AU"/>
        </w:rPr>
        <w:t>.</w:t>
      </w:r>
    </w:p>
    <w:p w:rsidR="00E65946" w:rsidRPr="00353F0C" w:rsidRDefault="0010414D" w:rsidP="00BA607A">
      <w:pPr>
        <w:pStyle w:val="H2"/>
        <w:spacing w:before="0" w:after="0"/>
        <w:rPr>
          <w:rFonts w:ascii="Georgia" w:hAnsi="Georgia"/>
          <w:sz w:val="16"/>
          <w:szCs w:val="16"/>
        </w:rPr>
      </w:pPr>
      <w:r w:rsidRPr="00353F0C">
        <w:rPr>
          <w:rFonts w:asciiTheme="minorHAnsi" w:hAnsiTheme="minorHAnsi" w:cstheme="minorHAnsi"/>
          <w:b w:val="0"/>
          <w:bCs w:val="0"/>
          <w:sz w:val="16"/>
          <w:szCs w:val="16"/>
        </w:rPr>
        <w:t xml:space="preserve"> </w:t>
      </w:r>
    </w:p>
    <w:p w:rsidR="0095537D" w:rsidRPr="00E23F9A" w:rsidDel="0024327E" w:rsidRDefault="0095537D" w:rsidP="00AF31E9">
      <w:pPr>
        <w:pStyle w:val="Figureheading"/>
        <w:spacing w:after="120"/>
        <w:rPr>
          <w:rFonts w:ascii="Georgia" w:hAnsi="Georgia"/>
          <w:sz w:val="20"/>
          <w:szCs w:val="20"/>
        </w:rPr>
      </w:pPr>
      <w:r w:rsidRPr="00353F0C" w:rsidDel="0024327E">
        <w:rPr>
          <w:rFonts w:ascii="Georgia" w:hAnsi="Georgia"/>
          <w:sz w:val="20"/>
          <w:szCs w:val="20"/>
        </w:rPr>
        <w:t xml:space="preserve">Figure </w:t>
      </w:r>
      <w:r w:rsidR="008C384C" w:rsidRPr="00353F0C">
        <w:rPr>
          <w:rFonts w:ascii="Georgia" w:hAnsi="Georgia"/>
          <w:sz w:val="20"/>
          <w:szCs w:val="20"/>
        </w:rPr>
        <w:t>1</w:t>
      </w:r>
      <w:r w:rsidR="00D62AA3">
        <w:rPr>
          <w:rFonts w:ascii="Georgia" w:hAnsi="Georgia"/>
          <w:sz w:val="20"/>
          <w:szCs w:val="20"/>
        </w:rPr>
        <w:t>4</w:t>
      </w:r>
      <w:r w:rsidRPr="00353F0C" w:rsidDel="0024327E">
        <w:rPr>
          <w:rFonts w:ascii="Georgia" w:hAnsi="Georgia"/>
          <w:sz w:val="20"/>
          <w:szCs w:val="20"/>
        </w:rPr>
        <w:t xml:space="preserve">: Total international student </w:t>
      </w:r>
      <w:r w:rsidR="00A32B63">
        <w:rPr>
          <w:rFonts w:ascii="Georgia" w:hAnsi="Georgia"/>
          <w:sz w:val="20"/>
          <w:szCs w:val="20"/>
        </w:rPr>
        <w:t>revenue</w:t>
      </w:r>
      <w:r w:rsidRPr="00353F0C" w:rsidDel="0024327E">
        <w:rPr>
          <w:rFonts w:ascii="Georgia" w:hAnsi="Georgia"/>
          <w:sz w:val="20"/>
          <w:szCs w:val="20"/>
        </w:rPr>
        <w:t xml:space="preserve"> ($), by provider type</w:t>
      </w:r>
    </w:p>
    <w:p w:rsidR="0095537D" w:rsidRDefault="00361FFD" w:rsidP="00E65946">
      <w:pPr>
        <w:pStyle w:val="Figureheading"/>
        <w:spacing w:after="0"/>
        <w:rPr>
          <w:rFonts w:ascii="Georgia" w:hAnsi="Georgia"/>
          <w:sz w:val="20"/>
          <w:szCs w:val="20"/>
        </w:rPr>
      </w:pPr>
      <w:r w:rsidRPr="003B6D8C">
        <w:rPr>
          <w:rFonts w:ascii="Georgia" w:hAnsi="Georgia"/>
          <w:noProof/>
          <w:sz w:val="20"/>
          <w:szCs w:val="20"/>
          <w:lang w:val="en-AU" w:eastAsia="en-AU"/>
        </w:rPr>
        <w:drawing>
          <wp:inline distT="0" distB="0" distL="0" distR="0" wp14:anchorId="16AD543D" wp14:editId="12856022">
            <wp:extent cx="5943600" cy="2638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1060" cy="2637297"/>
                    </a:xfrm>
                    <a:prstGeom prst="rect">
                      <a:avLst/>
                    </a:prstGeom>
                    <a:noFill/>
                    <a:ln>
                      <a:noFill/>
                    </a:ln>
                  </pic:spPr>
                </pic:pic>
              </a:graphicData>
            </a:graphic>
          </wp:inline>
        </w:drawing>
      </w:r>
    </w:p>
    <w:p w:rsidR="00774FAC" w:rsidRDefault="00774FAC" w:rsidP="00774FAC">
      <w:pPr>
        <w:jc w:val="center"/>
        <w:rPr>
          <w:rFonts w:ascii="Georgia" w:hAnsi="Georgia" w:cs="Arial"/>
          <w:b/>
          <w:color w:val="004855" w:themeColor="text1"/>
          <w:sz w:val="22"/>
          <w:szCs w:val="22"/>
          <w:lang w:val="en-US"/>
        </w:rPr>
      </w:pPr>
      <w:r w:rsidRPr="003B6D8C">
        <w:rPr>
          <w:rFonts w:ascii="Georgia" w:hAnsi="Georgia" w:cs="Arial"/>
          <w:b/>
          <w:noProof/>
          <w:color w:val="004855" w:themeColor="text1"/>
          <w:sz w:val="22"/>
          <w:szCs w:val="22"/>
          <w:lang w:eastAsia="en-AU"/>
        </w:rPr>
        <w:drawing>
          <wp:inline distT="0" distB="0" distL="0" distR="0" wp14:anchorId="21C5C621" wp14:editId="3B4EA84B">
            <wp:extent cx="1055077" cy="369277"/>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40166"/>
                    <a:stretch/>
                  </pic:blipFill>
                  <pic:spPr bwMode="auto">
                    <a:xfrm>
                      <a:off x="0" y="0"/>
                      <a:ext cx="1057275" cy="3700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39B29F3" wp14:editId="02A52DEA">
            <wp:extent cx="1058284" cy="372534"/>
            <wp:effectExtent l="0" t="0" r="0" b="889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a:stretch/>
                  </pic:blipFill>
                  <pic:spPr bwMode="auto">
                    <a:xfrm>
                      <a:off x="0" y="0"/>
                      <a:ext cx="1058284" cy="372534"/>
                    </a:xfrm>
                    <a:prstGeom prst="rect">
                      <a:avLst/>
                    </a:prstGeom>
                    <a:noFill/>
                    <a:ln>
                      <a:noFill/>
                    </a:ln>
                    <a:extLst>
                      <a:ext uri="{53640926-AAD7-44D8-BBD7-CCE9431645EC}">
                        <a14:shadowObscured xmlns:a14="http://schemas.microsoft.com/office/drawing/2010/main"/>
                      </a:ext>
                    </a:extLst>
                  </pic:spPr>
                </pic:pic>
              </a:graphicData>
            </a:graphic>
          </wp:inline>
        </w:drawing>
      </w:r>
    </w:p>
    <w:p w:rsidR="003440F6" w:rsidRPr="00BA607A" w:rsidRDefault="003440F6" w:rsidP="00D10A9B">
      <w:pPr>
        <w:shd w:val="clear" w:color="auto" w:fill="E5ECED" w:themeFill="accent4" w:themeFillTint="66"/>
        <w:spacing w:after="0" w:line="140" w:lineRule="atLeast"/>
        <w:rPr>
          <w:rFonts w:ascii="Arial" w:eastAsiaTheme="minorHAnsi" w:hAnsi="Arial" w:cstheme="minorBidi"/>
          <w:sz w:val="8"/>
          <w:szCs w:val="8"/>
        </w:rPr>
      </w:pPr>
    </w:p>
    <w:p w:rsidR="00A32B63" w:rsidRDefault="00193538" w:rsidP="003440F6">
      <w:pPr>
        <w:pStyle w:val="ListParagraph"/>
        <w:numPr>
          <w:ilvl w:val="0"/>
          <w:numId w:val="21"/>
        </w:numPr>
        <w:shd w:val="clear" w:color="auto" w:fill="E5ECED" w:themeFill="accent4" w:themeFillTint="66"/>
        <w:spacing w:after="0"/>
        <w:rPr>
          <w:rFonts w:ascii="Arial" w:eastAsiaTheme="minorHAnsi" w:hAnsi="Arial" w:cstheme="minorBidi"/>
          <w:sz w:val="22"/>
          <w:szCs w:val="22"/>
        </w:rPr>
      </w:pPr>
      <w:r>
        <w:rPr>
          <w:rFonts w:ascii="Arial" w:eastAsiaTheme="minorHAnsi" w:hAnsi="Arial" w:cstheme="minorBidi"/>
          <w:sz w:val="22"/>
          <w:szCs w:val="22"/>
        </w:rPr>
        <w:t xml:space="preserve">Figure </w:t>
      </w:r>
      <w:r w:rsidR="00D62AA3">
        <w:rPr>
          <w:rFonts w:ascii="Arial" w:eastAsiaTheme="minorHAnsi" w:hAnsi="Arial" w:cstheme="minorBidi"/>
          <w:sz w:val="22"/>
          <w:szCs w:val="22"/>
        </w:rPr>
        <w:t>14</w:t>
      </w:r>
      <w:r>
        <w:rPr>
          <w:rFonts w:ascii="Arial" w:eastAsiaTheme="minorHAnsi" w:hAnsi="Arial" w:cstheme="minorBidi"/>
          <w:sz w:val="22"/>
          <w:szCs w:val="22"/>
        </w:rPr>
        <w:t xml:space="preserve"> shows </w:t>
      </w:r>
      <w:r w:rsidR="00A86EBB">
        <w:rPr>
          <w:rFonts w:ascii="Arial" w:eastAsiaTheme="minorHAnsi" w:hAnsi="Arial" w:cstheme="minorBidi"/>
          <w:sz w:val="22"/>
          <w:szCs w:val="22"/>
        </w:rPr>
        <w:t xml:space="preserve">that universities accounted for much of the international student </w:t>
      </w:r>
      <w:r w:rsidR="00A32B63">
        <w:rPr>
          <w:rFonts w:ascii="Arial" w:eastAsiaTheme="minorHAnsi" w:hAnsi="Arial" w:cstheme="minorBidi"/>
          <w:sz w:val="22"/>
          <w:szCs w:val="22"/>
        </w:rPr>
        <w:t>revenue</w:t>
      </w:r>
      <w:r w:rsidR="00A86EBB">
        <w:rPr>
          <w:rFonts w:ascii="Arial" w:eastAsiaTheme="minorHAnsi" w:hAnsi="Arial" w:cstheme="minorBidi"/>
          <w:sz w:val="22"/>
          <w:szCs w:val="22"/>
        </w:rPr>
        <w:t xml:space="preserve"> generated by the sector.</w:t>
      </w:r>
      <w:r>
        <w:rPr>
          <w:rFonts w:ascii="Arial" w:eastAsiaTheme="minorHAnsi" w:hAnsi="Arial" w:cstheme="minorBidi"/>
          <w:sz w:val="22"/>
          <w:szCs w:val="22"/>
        </w:rPr>
        <w:t xml:space="preserve"> </w:t>
      </w:r>
    </w:p>
    <w:p w:rsidR="00193538" w:rsidRDefault="00A32B63" w:rsidP="003440F6">
      <w:pPr>
        <w:pStyle w:val="ListParagraph"/>
        <w:numPr>
          <w:ilvl w:val="0"/>
          <w:numId w:val="21"/>
        </w:numPr>
        <w:shd w:val="clear" w:color="auto" w:fill="E5ECED" w:themeFill="accent4" w:themeFillTint="66"/>
        <w:spacing w:after="0"/>
        <w:rPr>
          <w:rFonts w:ascii="Arial" w:eastAsiaTheme="minorHAnsi" w:hAnsi="Arial" w:cstheme="minorBidi"/>
          <w:sz w:val="22"/>
          <w:szCs w:val="22"/>
        </w:rPr>
      </w:pPr>
      <w:r>
        <w:rPr>
          <w:rFonts w:ascii="Arial" w:eastAsiaTheme="minorHAnsi" w:hAnsi="Arial" w:cstheme="minorBidi"/>
          <w:sz w:val="22"/>
          <w:szCs w:val="22"/>
        </w:rPr>
        <w:t>T</w:t>
      </w:r>
      <w:r w:rsidR="00193538">
        <w:rPr>
          <w:rFonts w:ascii="Arial" w:eastAsiaTheme="minorHAnsi" w:hAnsi="Arial" w:cstheme="minorBidi"/>
          <w:sz w:val="22"/>
          <w:szCs w:val="22"/>
        </w:rPr>
        <w:t xml:space="preserve">here </w:t>
      </w:r>
      <w:r w:rsidR="00A86EBB">
        <w:rPr>
          <w:rFonts w:ascii="Arial" w:eastAsiaTheme="minorHAnsi" w:hAnsi="Arial" w:cstheme="minorBidi"/>
          <w:sz w:val="22"/>
          <w:szCs w:val="22"/>
        </w:rPr>
        <w:t>were</w:t>
      </w:r>
      <w:r w:rsidR="00193538">
        <w:rPr>
          <w:rFonts w:ascii="Arial" w:eastAsiaTheme="minorHAnsi" w:hAnsi="Arial" w:cstheme="minorBidi"/>
          <w:sz w:val="22"/>
          <w:szCs w:val="22"/>
        </w:rPr>
        <w:t xml:space="preserve"> 38 providers that </w:t>
      </w:r>
      <w:r w:rsidR="00A86EBB">
        <w:rPr>
          <w:rFonts w:ascii="Arial" w:eastAsiaTheme="minorHAnsi" w:hAnsi="Arial" w:cstheme="minorBidi"/>
          <w:sz w:val="22"/>
          <w:szCs w:val="22"/>
        </w:rPr>
        <w:t>generated</w:t>
      </w:r>
      <w:r w:rsidR="00193538">
        <w:rPr>
          <w:rFonts w:ascii="Arial" w:eastAsiaTheme="minorHAnsi" w:hAnsi="Arial" w:cstheme="minorBidi"/>
          <w:sz w:val="22"/>
          <w:szCs w:val="22"/>
        </w:rPr>
        <w:t xml:space="preserve"> less than $1 million</w:t>
      </w:r>
      <w:r w:rsidR="00A86EBB">
        <w:rPr>
          <w:rFonts w:ascii="Arial" w:eastAsiaTheme="minorHAnsi" w:hAnsi="Arial" w:cstheme="minorBidi"/>
          <w:sz w:val="22"/>
          <w:szCs w:val="22"/>
        </w:rPr>
        <w:t xml:space="preserve"> in </w:t>
      </w:r>
      <w:r w:rsidR="00193538">
        <w:rPr>
          <w:rFonts w:ascii="Arial" w:eastAsiaTheme="minorHAnsi" w:hAnsi="Arial" w:cstheme="minorBidi"/>
          <w:sz w:val="22"/>
          <w:szCs w:val="22"/>
        </w:rPr>
        <w:t>international</w:t>
      </w:r>
      <w:r w:rsidR="00A86EBB">
        <w:rPr>
          <w:rFonts w:ascii="Arial" w:eastAsiaTheme="minorHAnsi" w:hAnsi="Arial" w:cstheme="minorBidi"/>
          <w:sz w:val="22"/>
          <w:szCs w:val="22"/>
        </w:rPr>
        <w:t xml:space="preserve"> student </w:t>
      </w:r>
      <w:r>
        <w:rPr>
          <w:rFonts w:ascii="Arial" w:eastAsiaTheme="minorHAnsi" w:hAnsi="Arial" w:cstheme="minorBidi"/>
          <w:sz w:val="22"/>
          <w:szCs w:val="22"/>
        </w:rPr>
        <w:t>revenue</w:t>
      </w:r>
      <w:r w:rsidR="00193538">
        <w:rPr>
          <w:rFonts w:ascii="Arial" w:eastAsiaTheme="minorHAnsi" w:hAnsi="Arial" w:cstheme="minorBidi"/>
          <w:sz w:val="22"/>
          <w:szCs w:val="22"/>
        </w:rPr>
        <w:t xml:space="preserve">. </w:t>
      </w:r>
    </w:p>
    <w:p w:rsidR="006716BD" w:rsidRPr="00BA607A" w:rsidRDefault="006716BD" w:rsidP="00BA607A">
      <w:pPr>
        <w:shd w:val="clear" w:color="auto" w:fill="E5ECED" w:themeFill="accent4" w:themeFillTint="66"/>
        <w:spacing w:after="0" w:line="240" w:lineRule="atLeast"/>
        <w:rPr>
          <w:rFonts w:ascii="Arial" w:eastAsiaTheme="minorHAnsi" w:hAnsi="Arial" w:cstheme="minorBidi"/>
          <w:sz w:val="16"/>
          <w:szCs w:val="16"/>
        </w:rPr>
      </w:pPr>
    </w:p>
    <w:p w:rsidR="00193538" w:rsidRDefault="008F5C3F" w:rsidP="00353F0C">
      <w:pPr>
        <w:pStyle w:val="H2"/>
        <w:rPr>
          <w:rFonts w:asciiTheme="minorHAnsi" w:eastAsia="Times New Roman" w:hAnsiTheme="minorHAnsi" w:cstheme="minorHAnsi"/>
          <w:b w:val="0"/>
          <w:bCs w:val="0"/>
          <w:color w:val="auto"/>
          <w:sz w:val="22"/>
          <w:szCs w:val="22"/>
          <w:lang w:val="en-AU"/>
        </w:rPr>
      </w:pPr>
      <w:r>
        <w:rPr>
          <w:rFonts w:asciiTheme="minorHAnsi" w:eastAsia="Times New Roman" w:hAnsiTheme="minorHAnsi" w:cstheme="minorHAnsi"/>
          <w:b w:val="0"/>
          <w:bCs w:val="0"/>
          <w:color w:val="auto"/>
          <w:sz w:val="22"/>
          <w:szCs w:val="22"/>
          <w:lang w:val="en-AU"/>
        </w:rPr>
        <w:lastRenderedPageBreak/>
        <w:t>Figure</w:t>
      </w:r>
      <w:r w:rsidR="00366FFD">
        <w:rPr>
          <w:rFonts w:asciiTheme="minorHAnsi" w:eastAsia="Times New Roman" w:hAnsiTheme="minorHAnsi" w:cstheme="minorHAnsi"/>
          <w:b w:val="0"/>
          <w:bCs w:val="0"/>
          <w:color w:val="auto"/>
          <w:sz w:val="22"/>
          <w:szCs w:val="22"/>
          <w:lang w:val="en-AU"/>
        </w:rPr>
        <w:t>s</w:t>
      </w:r>
      <w:r>
        <w:rPr>
          <w:rFonts w:asciiTheme="minorHAnsi" w:eastAsia="Times New Roman" w:hAnsiTheme="minorHAnsi" w:cstheme="minorHAnsi"/>
          <w:b w:val="0"/>
          <w:bCs w:val="0"/>
          <w:color w:val="auto"/>
          <w:sz w:val="22"/>
          <w:szCs w:val="22"/>
          <w:lang w:val="en-AU"/>
        </w:rPr>
        <w:t xml:space="preserve"> 15 and 16</w:t>
      </w:r>
      <w:r w:rsidR="00DB1A2C">
        <w:rPr>
          <w:rFonts w:asciiTheme="minorHAnsi" w:eastAsia="Times New Roman" w:hAnsiTheme="minorHAnsi" w:cstheme="minorHAnsi"/>
          <w:b w:val="0"/>
          <w:bCs w:val="0"/>
          <w:color w:val="auto"/>
          <w:sz w:val="22"/>
          <w:szCs w:val="22"/>
          <w:lang w:val="en-AU"/>
        </w:rPr>
        <w:t xml:space="preserve"> below examine the growth in international student </w:t>
      </w:r>
      <w:r w:rsidR="00A32B63">
        <w:rPr>
          <w:rFonts w:asciiTheme="minorHAnsi" w:eastAsia="Times New Roman" w:hAnsiTheme="minorHAnsi" w:cstheme="minorHAnsi"/>
          <w:b w:val="0"/>
          <w:bCs w:val="0"/>
          <w:color w:val="auto"/>
          <w:sz w:val="22"/>
          <w:szCs w:val="22"/>
          <w:lang w:val="en-AU"/>
        </w:rPr>
        <w:t xml:space="preserve">revenue </w:t>
      </w:r>
      <w:r w:rsidR="00DB1A2C">
        <w:rPr>
          <w:rFonts w:asciiTheme="minorHAnsi" w:eastAsia="Times New Roman" w:hAnsiTheme="minorHAnsi" w:cstheme="minorHAnsi"/>
          <w:b w:val="0"/>
          <w:bCs w:val="0"/>
          <w:color w:val="auto"/>
          <w:sz w:val="22"/>
          <w:szCs w:val="22"/>
          <w:lang w:val="en-AU"/>
        </w:rPr>
        <w:t xml:space="preserve">by provider type. </w:t>
      </w:r>
    </w:p>
    <w:p w:rsidR="00193538" w:rsidRDefault="00193538" w:rsidP="00E65946">
      <w:pPr>
        <w:pStyle w:val="Figureheading"/>
        <w:spacing w:after="0"/>
        <w:rPr>
          <w:rFonts w:ascii="Georgia" w:hAnsi="Georgia"/>
          <w:sz w:val="20"/>
          <w:szCs w:val="20"/>
        </w:rPr>
      </w:pPr>
    </w:p>
    <w:p w:rsidR="00E65946" w:rsidRPr="00E23F9A" w:rsidDel="0024327E" w:rsidRDefault="00E65946" w:rsidP="00E65946">
      <w:pPr>
        <w:pStyle w:val="Figureheading"/>
        <w:spacing w:after="0"/>
        <w:rPr>
          <w:rFonts w:ascii="Georgia" w:hAnsi="Georgia"/>
          <w:sz w:val="20"/>
          <w:szCs w:val="20"/>
        </w:rPr>
      </w:pPr>
      <w:r w:rsidRPr="001156F3" w:rsidDel="0024327E">
        <w:rPr>
          <w:rFonts w:ascii="Georgia" w:hAnsi="Georgia"/>
          <w:sz w:val="20"/>
          <w:szCs w:val="20"/>
        </w:rPr>
        <w:t xml:space="preserve">Figure </w:t>
      </w:r>
      <w:r w:rsidR="008C384C">
        <w:rPr>
          <w:rFonts w:ascii="Georgia" w:hAnsi="Georgia"/>
          <w:sz w:val="20"/>
          <w:szCs w:val="20"/>
        </w:rPr>
        <w:t>1</w:t>
      </w:r>
      <w:r w:rsidR="00D62AA3">
        <w:rPr>
          <w:rFonts w:ascii="Georgia" w:hAnsi="Georgia"/>
          <w:sz w:val="20"/>
          <w:szCs w:val="20"/>
        </w:rPr>
        <w:t>5</w:t>
      </w:r>
      <w:r w:rsidR="005526BB" w:rsidDel="0024327E">
        <w:rPr>
          <w:rFonts w:ascii="Georgia" w:hAnsi="Georgia"/>
          <w:sz w:val="20"/>
          <w:szCs w:val="20"/>
        </w:rPr>
        <w:t xml:space="preserve">: </w:t>
      </w:r>
      <w:r w:rsidR="001D2FEE" w:rsidDel="0024327E">
        <w:rPr>
          <w:rFonts w:ascii="Georgia" w:hAnsi="Georgia"/>
          <w:sz w:val="20"/>
          <w:szCs w:val="20"/>
        </w:rPr>
        <w:t xml:space="preserve">Total international student </w:t>
      </w:r>
      <w:r w:rsidR="00A32B63">
        <w:rPr>
          <w:rFonts w:ascii="Georgia" w:hAnsi="Georgia"/>
          <w:sz w:val="20"/>
          <w:szCs w:val="20"/>
        </w:rPr>
        <w:t>revenue</w:t>
      </w:r>
      <w:r w:rsidR="00B26132" w:rsidDel="0024327E">
        <w:rPr>
          <w:rFonts w:ascii="Georgia" w:hAnsi="Georgia"/>
          <w:sz w:val="20"/>
          <w:szCs w:val="20"/>
        </w:rPr>
        <w:t xml:space="preserve"> ($)</w:t>
      </w:r>
      <w:r w:rsidRPr="001156F3" w:rsidDel="0024327E">
        <w:rPr>
          <w:rFonts w:ascii="Georgia" w:hAnsi="Georgia"/>
          <w:sz w:val="20"/>
          <w:szCs w:val="20"/>
        </w:rPr>
        <w:t>, by provider type</w:t>
      </w:r>
    </w:p>
    <w:p w:rsidR="00897908" w:rsidRDefault="00196766" w:rsidP="001D2FEE">
      <w:pPr>
        <w:spacing w:after="0" w:line="240" w:lineRule="auto"/>
        <w:jc w:val="center"/>
      </w:pPr>
      <w:r w:rsidRPr="00516FF6">
        <w:rPr>
          <w:rFonts w:asciiTheme="majorHAnsi" w:hAnsiTheme="majorHAnsi"/>
          <w:noProof/>
          <w:lang w:eastAsia="en-AU"/>
        </w:rPr>
        <w:drawing>
          <wp:inline distT="0" distB="0" distL="0" distR="0" wp14:anchorId="15DF2D4C" wp14:editId="2DD9746F">
            <wp:extent cx="5943600" cy="2371725"/>
            <wp:effectExtent l="0" t="0" r="0" b="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106EB" w:rsidRPr="00873224" w:rsidRDefault="00D106EB" w:rsidP="009028AB">
      <w:pPr>
        <w:shd w:val="clear" w:color="auto" w:fill="E5ECED" w:themeFill="accent4" w:themeFillTint="66"/>
        <w:spacing w:after="0"/>
        <w:rPr>
          <w:rFonts w:ascii="Arial" w:eastAsiaTheme="minorHAnsi" w:hAnsi="Arial" w:cstheme="minorBidi"/>
          <w:sz w:val="16"/>
          <w:szCs w:val="16"/>
        </w:rPr>
      </w:pPr>
    </w:p>
    <w:p w:rsidR="00F271A4" w:rsidRDefault="001D2FEE" w:rsidP="009028AB">
      <w:pPr>
        <w:pStyle w:val="ListParagraph"/>
        <w:numPr>
          <w:ilvl w:val="0"/>
          <w:numId w:val="21"/>
        </w:numPr>
        <w:shd w:val="clear" w:color="auto" w:fill="E5ECED" w:themeFill="accent4" w:themeFillTint="66"/>
        <w:spacing w:after="0"/>
        <w:rPr>
          <w:rFonts w:ascii="Arial" w:eastAsiaTheme="minorHAnsi" w:hAnsi="Arial" w:cstheme="minorBidi"/>
          <w:sz w:val="22"/>
          <w:szCs w:val="22"/>
        </w:rPr>
      </w:pPr>
      <w:r>
        <w:rPr>
          <w:rFonts w:ascii="Arial" w:eastAsiaTheme="minorHAnsi" w:hAnsi="Arial" w:cstheme="minorBidi"/>
          <w:sz w:val="22"/>
          <w:szCs w:val="22"/>
        </w:rPr>
        <w:t xml:space="preserve">The amount of international student </w:t>
      </w:r>
      <w:r w:rsidR="004C1A9D">
        <w:rPr>
          <w:rFonts w:ascii="Arial" w:eastAsiaTheme="minorHAnsi" w:hAnsi="Arial" w:cstheme="minorBidi"/>
          <w:sz w:val="22"/>
          <w:szCs w:val="22"/>
        </w:rPr>
        <w:t>revenue</w:t>
      </w:r>
      <w:r w:rsidR="00196766">
        <w:rPr>
          <w:rFonts w:ascii="Arial" w:eastAsiaTheme="minorHAnsi" w:hAnsi="Arial" w:cstheme="minorBidi"/>
          <w:sz w:val="22"/>
          <w:szCs w:val="22"/>
        </w:rPr>
        <w:t xml:space="preserve"> var</w:t>
      </w:r>
      <w:r w:rsidR="0070194A">
        <w:rPr>
          <w:rFonts w:ascii="Arial" w:eastAsiaTheme="minorHAnsi" w:hAnsi="Arial" w:cstheme="minorBidi"/>
          <w:sz w:val="22"/>
          <w:szCs w:val="22"/>
        </w:rPr>
        <w:t>ied</w:t>
      </w:r>
      <w:r w:rsidR="00196766">
        <w:rPr>
          <w:rFonts w:ascii="Arial" w:eastAsiaTheme="minorHAnsi" w:hAnsi="Arial" w:cstheme="minorBidi"/>
          <w:sz w:val="22"/>
          <w:szCs w:val="22"/>
        </w:rPr>
        <w:t xml:space="preserve"> </w:t>
      </w:r>
      <w:r w:rsidR="000550D4">
        <w:rPr>
          <w:rFonts w:ascii="Arial" w:eastAsiaTheme="minorHAnsi" w:hAnsi="Arial" w:cstheme="minorBidi"/>
          <w:sz w:val="22"/>
          <w:szCs w:val="22"/>
        </w:rPr>
        <w:t xml:space="preserve">across </w:t>
      </w:r>
      <w:r w:rsidR="00196766">
        <w:rPr>
          <w:rFonts w:ascii="Arial" w:eastAsiaTheme="minorHAnsi" w:hAnsi="Arial" w:cstheme="minorBidi"/>
          <w:sz w:val="22"/>
          <w:szCs w:val="22"/>
        </w:rPr>
        <w:t>the provider types</w:t>
      </w:r>
      <w:r w:rsidR="000550D4">
        <w:rPr>
          <w:rFonts w:ascii="Arial" w:eastAsiaTheme="minorHAnsi" w:hAnsi="Arial" w:cstheme="minorBidi"/>
          <w:sz w:val="22"/>
          <w:szCs w:val="22"/>
        </w:rPr>
        <w:t>.</w:t>
      </w:r>
      <w:r>
        <w:rPr>
          <w:rFonts w:ascii="Arial" w:eastAsiaTheme="minorHAnsi" w:hAnsi="Arial" w:cstheme="minorBidi"/>
          <w:sz w:val="22"/>
          <w:szCs w:val="22"/>
        </w:rPr>
        <w:t xml:space="preserve"> </w:t>
      </w:r>
      <w:r w:rsidR="0068172D">
        <w:rPr>
          <w:rFonts w:ascii="Arial" w:eastAsiaTheme="minorHAnsi" w:hAnsi="Arial" w:cstheme="minorBidi"/>
          <w:sz w:val="22"/>
          <w:szCs w:val="22"/>
        </w:rPr>
        <w:t xml:space="preserve">Nonetheless, </w:t>
      </w:r>
      <w:r w:rsidR="00196766">
        <w:rPr>
          <w:rFonts w:ascii="Arial" w:eastAsiaTheme="minorHAnsi" w:hAnsi="Arial" w:cstheme="minorBidi"/>
          <w:sz w:val="22"/>
          <w:szCs w:val="22"/>
        </w:rPr>
        <w:t>a</w:t>
      </w:r>
      <w:r w:rsidR="00F271A4" w:rsidRPr="00810124">
        <w:rPr>
          <w:rFonts w:ascii="Arial" w:eastAsiaTheme="minorHAnsi" w:hAnsi="Arial" w:cstheme="minorBidi"/>
          <w:sz w:val="22"/>
          <w:szCs w:val="22"/>
        </w:rPr>
        <w:t xml:space="preserve">ll provider types experienced </w:t>
      </w:r>
      <w:r>
        <w:rPr>
          <w:rFonts w:ascii="Arial" w:eastAsiaTheme="minorHAnsi" w:hAnsi="Arial" w:cstheme="minorBidi"/>
          <w:sz w:val="22"/>
          <w:szCs w:val="22"/>
        </w:rPr>
        <w:t xml:space="preserve">growth in international student </w:t>
      </w:r>
      <w:r w:rsidR="004C1A9D">
        <w:rPr>
          <w:rFonts w:ascii="Arial" w:eastAsiaTheme="minorHAnsi" w:hAnsi="Arial" w:cstheme="minorBidi"/>
          <w:sz w:val="22"/>
          <w:szCs w:val="22"/>
        </w:rPr>
        <w:t>revenue</w:t>
      </w:r>
      <w:r w:rsidR="00F271A4" w:rsidRPr="00810124">
        <w:rPr>
          <w:rFonts w:ascii="Arial" w:eastAsiaTheme="minorHAnsi" w:hAnsi="Arial" w:cstheme="minorBidi"/>
          <w:sz w:val="22"/>
          <w:szCs w:val="22"/>
        </w:rPr>
        <w:t>.</w:t>
      </w:r>
    </w:p>
    <w:p w:rsidR="009E22F4" w:rsidRPr="00353F0C" w:rsidRDefault="00D73C76" w:rsidP="009E22F4">
      <w:pPr>
        <w:pStyle w:val="ListParagraph"/>
        <w:numPr>
          <w:ilvl w:val="0"/>
          <w:numId w:val="22"/>
        </w:numPr>
        <w:shd w:val="clear" w:color="auto" w:fill="E5ECED" w:themeFill="accent4" w:themeFillTint="66"/>
        <w:rPr>
          <w:rFonts w:ascii="Arial" w:eastAsiaTheme="minorHAnsi" w:hAnsi="Arial" w:cstheme="minorBidi"/>
          <w:sz w:val="22"/>
          <w:szCs w:val="22"/>
        </w:rPr>
      </w:pPr>
      <w:r w:rsidRPr="009E22F4">
        <w:rPr>
          <w:rFonts w:ascii="Arial" w:eastAsiaTheme="minorHAnsi" w:hAnsi="Arial" w:cstheme="minorBidi"/>
          <w:sz w:val="22"/>
          <w:szCs w:val="22"/>
        </w:rPr>
        <w:t xml:space="preserve">Universities </w:t>
      </w:r>
      <w:r w:rsidR="008F5C3F">
        <w:rPr>
          <w:rFonts w:ascii="Arial" w:eastAsiaTheme="minorHAnsi" w:hAnsi="Arial" w:cstheme="minorBidi"/>
          <w:sz w:val="22"/>
          <w:szCs w:val="22"/>
        </w:rPr>
        <w:t>generated</w:t>
      </w:r>
      <w:r w:rsidRPr="009E22F4">
        <w:rPr>
          <w:rFonts w:ascii="Arial" w:eastAsiaTheme="minorHAnsi" w:hAnsi="Arial" w:cstheme="minorBidi"/>
          <w:sz w:val="22"/>
          <w:szCs w:val="22"/>
        </w:rPr>
        <w:t xml:space="preserve"> close to $4.8 billion</w:t>
      </w:r>
      <w:r w:rsidR="008F5C3F">
        <w:rPr>
          <w:rFonts w:ascii="Arial" w:eastAsiaTheme="minorHAnsi" w:hAnsi="Arial" w:cstheme="minorBidi"/>
          <w:sz w:val="22"/>
          <w:szCs w:val="22"/>
        </w:rPr>
        <w:t xml:space="preserve"> in international student </w:t>
      </w:r>
      <w:r w:rsidR="004C1A9D">
        <w:rPr>
          <w:rFonts w:ascii="Arial" w:eastAsiaTheme="minorHAnsi" w:hAnsi="Arial" w:cstheme="minorBidi"/>
          <w:sz w:val="22"/>
          <w:szCs w:val="22"/>
        </w:rPr>
        <w:t>revenue</w:t>
      </w:r>
      <w:r w:rsidRPr="009E22F4">
        <w:rPr>
          <w:rFonts w:ascii="Arial" w:eastAsiaTheme="minorHAnsi" w:hAnsi="Arial" w:cstheme="minorBidi"/>
          <w:sz w:val="22"/>
          <w:szCs w:val="22"/>
        </w:rPr>
        <w:t>,</w:t>
      </w:r>
      <w:r w:rsidR="00020E4D" w:rsidRPr="009E22F4">
        <w:rPr>
          <w:rFonts w:ascii="Arial" w:eastAsiaTheme="minorHAnsi" w:hAnsi="Arial" w:cstheme="minorBidi"/>
          <w:sz w:val="22"/>
          <w:szCs w:val="22"/>
        </w:rPr>
        <w:t xml:space="preserve"> an</w:t>
      </w:r>
      <w:r w:rsidRPr="009E22F4">
        <w:rPr>
          <w:rFonts w:ascii="Arial" w:eastAsiaTheme="minorHAnsi" w:hAnsi="Arial" w:cstheme="minorBidi"/>
          <w:sz w:val="22"/>
          <w:szCs w:val="22"/>
        </w:rPr>
        <w:t xml:space="preserve"> increase of 10.4% from 2014. </w:t>
      </w:r>
      <w:r w:rsidR="009E22F4" w:rsidRPr="009E22F4">
        <w:rPr>
          <w:rFonts w:ascii="Arial" w:eastAsiaTheme="minorHAnsi" w:hAnsi="Arial" w:cstheme="minorBidi"/>
          <w:sz w:val="22"/>
          <w:szCs w:val="22"/>
        </w:rPr>
        <w:t xml:space="preserve">This </w:t>
      </w:r>
      <w:r w:rsidR="009E22F4" w:rsidRPr="00353F0C">
        <w:rPr>
          <w:rFonts w:ascii="Arial" w:eastAsiaTheme="minorHAnsi" w:hAnsi="Arial" w:cstheme="minorBidi"/>
          <w:sz w:val="22"/>
          <w:szCs w:val="22"/>
        </w:rPr>
        <w:t>represented 87% of the sector’s international student revenue.</w:t>
      </w:r>
    </w:p>
    <w:p w:rsidR="001C4FCA" w:rsidRDefault="001C4FCA" w:rsidP="009028AB">
      <w:pPr>
        <w:pStyle w:val="ListParagraph"/>
        <w:numPr>
          <w:ilvl w:val="0"/>
          <w:numId w:val="21"/>
        </w:numPr>
        <w:shd w:val="clear" w:color="auto" w:fill="E5ECED" w:themeFill="accent4" w:themeFillTint="66"/>
        <w:spacing w:after="0"/>
        <w:rPr>
          <w:rFonts w:ascii="Arial" w:eastAsiaTheme="minorHAnsi" w:hAnsi="Arial" w:cstheme="minorBidi"/>
          <w:sz w:val="22"/>
          <w:szCs w:val="22"/>
        </w:rPr>
      </w:pPr>
      <w:r>
        <w:rPr>
          <w:rFonts w:ascii="Arial" w:eastAsiaTheme="minorHAnsi" w:hAnsi="Arial" w:cstheme="minorBidi"/>
          <w:sz w:val="22"/>
          <w:szCs w:val="22"/>
        </w:rPr>
        <w:t>Not-For-Profit providers collectively received $149</w:t>
      </w:r>
      <w:r w:rsidR="004C1A9D">
        <w:rPr>
          <w:rFonts w:ascii="Arial" w:eastAsiaTheme="minorHAnsi" w:hAnsi="Arial" w:cstheme="minorBidi"/>
          <w:sz w:val="22"/>
          <w:szCs w:val="22"/>
        </w:rPr>
        <w:t>.4</w:t>
      </w:r>
      <w:r>
        <w:rPr>
          <w:rFonts w:ascii="Arial" w:eastAsiaTheme="minorHAnsi" w:hAnsi="Arial" w:cstheme="minorBidi"/>
          <w:sz w:val="22"/>
          <w:szCs w:val="22"/>
        </w:rPr>
        <w:t xml:space="preserve"> million in </w:t>
      </w:r>
      <w:r w:rsidR="00E2659D">
        <w:rPr>
          <w:rFonts w:ascii="Arial" w:eastAsiaTheme="minorHAnsi" w:hAnsi="Arial" w:cstheme="minorBidi"/>
          <w:sz w:val="22"/>
          <w:szCs w:val="22"/>
        </w:rPr>
        <w:t xml:space="preserve">fees </w:t>
      </w:r>
      <w:r>
        <w:rPr>
          <w:rFonts w:ascii="Arial" w:eastAsiaTheme="minorHAnsi" w:hAnsi="Arial" w:cstheme="minorBidi"/>
          <w:sz w:val="22"/>
          <w:szCs w:val="22"/>
        </w:rPr>
        <w:t>from higher education international students</w:t>
      </w:r>
      <w:r w:rsidR="0070194A">
        <w:rPr>
          <w:rFonts w:ascii="Arial" w:eastAsiaTheme="minorHAnsi" w:hAnsi="Arial" w:cstheme="minorBidi"/>
          <w:sz w:val="22"/>
          <w:szCs w:val="22"/>
        </w:rPr>
        <w:t xml:space="preserve">, a </w:t>
      </w:r>
      <w:r>
        <w:rPr>
          <w:rFonts w:ascii="Arial" w:eastAsiaTheme="minorHAnsi" w:hAnsi="Arial" w:cstheme="minorBidi"/>
          <w:sz w:val="22"/>
          <w:szCs w:val="22"/>
        </w:rPr>
        <w:t>47.</w:t>
      </w:r>
      <w:r w:rsidR="00A32B63">
        <w:rPr>
          <w:rFonts w:ascii="Arial" w:eastAsiaTheme="minorHAnsi" w:hAnsi="Arial" w:cstheme="minorBidi"/>
          <w:sz w:val="22"/>
          <w:szCs w:val="22"/>
        </w:rPr>
        <w:t>8</w:t>
      </w:r>
      <w:r>
        <w:rPr>
          <w:rFonts w:ascii="Arial" w:eastAsiaTheme="minorHAnsi" w:hAnsi="Arial" w:cstheme="minorBidi"/>
          <w:sz w:val="22"/>
          <w:szCs w:val="22"/>
        </w:rPr>
        <w:t xml:space="preserve">% </w:t>
      </w:r>
      <w:r w:rsidR="0070194A">
        <w:rPr>
          <w:rFonts w:ascii="Arial" w:eastAsiaTheme="minorHAnsi" w:hAnsi="Arial" w:cstheme="minorBidi"/>
          <w:sz w:val="22"/>
          <w:szCs w:val="22"/>
        </w:rPr>
        <w:t xml:space="preserve">increase from </w:t>
      </w:r>
      <w:r>
        <w:rPr>
          <w:rFonts w:ascii="Arial" w:eastAsiaTheme="minorHAnsi" w:hAnsi="Arial" w:cstheme="minorBidi"/>
          <w:sz w:val="22"/>
          <w:szCs w:val="22"/>
        </w:rPr>
        <w:t xml:space="preserve">2014. </w:t>
      </w:r>
    </w:p>
    <w:p w:rsidR="00D106EB" w:rsidRPr="00873224" w:rsidRDefault="00D106EB" w:rsidP="009028AB">
      <w:pPr>
        <w:shd w:val="clear" w:color="auto" w:fill="E5ECED" w:themeFill="accent4" w:themeFillTint="66"/>
        <w:spacing w:after="0"/>
        <w:rPr>
          <w:rFonts w:ascii="Arial" w:eastAsiaTheme="minorHAnsi" w:hAnsi="Arial" w:cstheme="minorBidi"/>
          <w:sz w:val="16"/>
          <w:szCs w:val="16"/>
        </w:rPr>
      </w:pPr>
    </w:p>
    <w:p w:rsidR="00B503E8" w:rsidRDefault="00B503E8" w:rsidP="00F851C2">
      <w:pPr>
        <w:pStyle w:val="Figureheading"/>
        <w:spacing w:after="0"/>
        <w:rPr>
          <w:rFonts w:ascii="Georgia" w:hAnsi="Georgia"/>
          <w:sz w:val="20"/>
          <w:szCs w:val="20"/>
        </w:rPr>
      </w:pPr>
    </w:p>
    <w:p w:rsidR="000318F3" w:rsidRPr="001D2FEE" w:rsidDel="0024327E" w:rsidRDefault="00B503E8" w:rsidP="00E65946">
      <w:pPr>
        <w:pStyle w:val="Figureheading"/>
        <w:spacing w:after="0"/>
        <w:rPr>
          <w:rFonts w:ascii="Georgia" w:hAnsi="Georgia"/>
          <w:sz w:val="20"/>
          <w:szCs w:val="20"/>
        </w:rPr>
      </w:pPr>
      <w:r w:rsidRPr="004401E1" w:rsidDel="0024327E">
        <w:rPr>
          <w:rFonts w:ascii="Georgia" w:hAnsi="Georgia"/>
          <w:sz w:val="20"/>
          <w:szCs w:val="20"/>
        </w:rPr>
        <w:t xml:space="preserve">Figure </w:t>
      </w:r>
      <w:r w:rsidR="008C384C">
        <w:rPr>
          <w:rFonts w:ascii="Georgia" w:hAnsi="Georgia"/>
          <w:sz w:val="20"/>
          <w:szCs w:val="20"/>
        </w:rPr>
        <w:t>1</w:t>
      </w:r>
      <w:r w:rsidR="00D62AA3">
        <w:rPr>
          <w:rFonts w:ascii="Georgia" w:hAnsi="Georgia"/>
          <w:sz w:val="20"/>
          <w:szCs w:val="20"/>
        </w:rPr>
        <w:t>6</w:t>
      </w:r>
      <w:r w:rsidRPr="004401E1" w:rsidDel="0024327E">
        <w:rPr>
          <w:rFonts w:ascii="Georgia" w:hAnsi="Georgia"/>
          <w:sz w:val="20"/>
          <w:szCs w:val="20"/>
        </w:rPr>
        <w:t xml:space="preserve">: </w:t>
      </w:r>
      <w:r w:rsidR="001D2FEE" w:rsidDel="0024327E">
        <w:rPr>
          <w:rFonts w:ascii="Georgia" w:hAnsi="Georgia"/>
          <w:sz w:val="20"/>
          <w:szCs w:val="20"/>
        </w:rPr>
        <w:t xml:space="preserve">International student </w:t>
      </w:r>
      <w:r w:rsidR="004C1A9D">
        <w:rPr>
          <w:rFonts w:ascii="Georgia" w:hAnsi="Georgia"/>
          <w:sz w:val="20"/>
          <w:szCs w:val="20"/>
        </w:rPr>
        <w:t xml:space="preserve">revenue </w:t>
      </w:r>
      <w:r w:rsidR="001D2FEE" w:rsidDel="0024327E">
        <w:rPr>
          <w:rFonts w:ascii="Georgia" w:hAnsi="Georgia"/>
          <w:sz w:val="20"/>
          <w:szCs w:val="20"/>
        </w:rPr>
        <w:t>growth ($)</w:t>
      </w:r>
      <w:r w:rsidDel="0024327E">
        <w:rPr>
          <w:rFonts w:ascii="Georgia" w:hAnsi="Georgia"/>
          <w:sz w:val="20"/>
          <w:szCs w:val="20"/>
        </w:rPr>
        <w:t xml:space="preserve">, by </w:t>
      </w:r>
      <w:r w:rsidRPr="004401E1" w:rsidDel="0024327E">
        <w:rPr>
          <w:rFonts w:ascii="Georgia" w:hAnsi="Georgia"/>
          <w:sz w:val="20"/>
          <w:szCs w:val="20"/>
        </w:rPr>
        <w:t>provider type</w:t>
      </w:r>
    </w:p>
    <w:p w:rsidR="000318F3" w:rsidRDefault="000318F3" w:rsidP="00E65946">
      <w:pPr>
        <w:pStyle w:val="Figureheading"/>
        <w:spacing w:after="0"/>
        <w:rPr>
          <w:rFonts w:ascii="Arial" w:eastAsiaTheme="minorHAnsi" w:hAnsi="Arial" w:cstheme="minorBidi"/>
        </w:rPr>
      </w:pPr>
    </w:p>
    <w:p w:rsidR="00F271A4" w:rsidRDefault="001C4FCA" w:rsidP="00E65946">
      <w:pPr>
        <w:pStyle w:val="Figureheading"/>
        <w:spacing w:after="0"/>
        <w:rPr>
          <w:rFonts w:ascii="Georgia" w:hAnsi="Georgia"/>
          <w:sz w:val="20"/>
          <w:szCs w:val="20"/>
        </w:rPr>
      </w:pPr>
      <w:r w:rsidRPr="003B6D8C">
        <w:rPr>
          <w:rFonts w:ascii="Georgia" w:hAnsi="Georgia"/>
          <w:noProof/>
          <w:sz w:val="20"/>
          <w:szCs w:val="20"/>
          <w:lang w:val="en-AU" w:eastAsia="en-AU"/>
        </w:rPr>
        <mc:AlternateContent>
          <mc:Choice Requires="wps">
            <w:drawing>
              <wp:anchor distT="0" distB="0" distL="114300" distR="114300" simplePos="0" relativeHeight="251662848" behindDoc="0" locked="0" layoutInCell="1" allowOverlap="1" wp14:anchorId="0A549D2B" wp14:editId="6B1E421A">
                <wp:simplePos x="0" y="0"/>
                <wp:positionH relativeFrom="column">
                  <wp:posOffset>4100195</wp:posOffset>
                </wp:positionH>
                <wp:positionV relativeFrom="paragraph">
                  <wp:posOffset>336127</wp:posOffset>
                </wp:positionV>
                <wp:extent cx="676910" cy="3302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30200"/>
                        </a:xfrm>
                        <a:prstGeom prst="rect">
                          <a:avLst/>
                        </a:prstGeom>
                        <a:noFill/>
                        <a:ln w="9525">
                          <a:noFill/>
                          <a:miter lim="800000"/>
                          <a:headEnd/>
                          <a:tailEnd/>
                        </a:ln>
                      </wps:spPr>
                      <wps:txbx>
                        <w:txbxContent>
                          <w:p w:rsidR="00BD3847" w:rsidRPr="001C4FCA" w:rsidRDefault="00BD3847" w:rsidP="001C4FCA">
                            <w:pPr>
                              <w:jc w:val="center"/>
                              <w:rPr>
                                <w:rFonts w:asciiTheme="majorHAnsi" w:hAnsiTheme="majorHAnsi"/>
                                <w:sz w:val="16"/>
                                <w:szCs w:val="16"/>
                              </w:rPr>
                            </w:pPr>
                            <w:r>
                              <w:rPr>
                                <w:rFonts w:asciiTheme="majorHAnsi" w:hAnsiTheme="majorHAnsi"/>
                                <w:sz w:val="16"/>
                                <w:szCs w:val="16"/>
                              </w:rPr>
                              <w:t>∆ 21.1%</w:t>
                            </w:r>
                          </w:p>
                          <w:p w:rsidR="00BD3847" w:rsidRDefault="00BD3847" w:rsidP="001C4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49D2B" id="_x0000_s1037" type="#_x0000_t202" style="position:absolute;margin-left:322.85pt;margin-top:26.45pt;width:53.3pt;height: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" filled="f" stroked="f">
                <v:textbox>
                  <w:txbxContent>
                    <w:p w:rsidR="00BD3847" w:rsidRPr="001C4FCA" w:rsidRDefault="00BD3847" w:rsidP="001C4FCA">
                      <w:pPr>
                        <w:jc w:val="center"/>
                        <w:rPr>
                          <w:rFonts w:asciiTheme="majorHAnsi" w:hAnsiTheme="majorHAnsi"/>
                          <w:sz w:val="16"/>
                          <w:szCs w:val="16"/>
                        </w:rPr>
                      </w:pPr>
                      <w:r>
                        <w:rPr>
                          <w:rFonts w:asciiTheme="majorHAnsi" w:hAnsiTheme="majorHAnsi"/>
                          <w:sz w:val="16"/>
                          <w:szCs w:val="16"/>
                        </w:rPr>
                        <w:t>∆ 21.1%</w:t>
                      </w:r>
                    </w:p>
                    <w:p w:rsidR="00BD3847" w:rsidRDefault="00BD3847" w:rsidP="001C4FCA"/>
                  </w:txbxContent>
                </v:textbox>
              </v:shape>
            </w:pict>
          </mc:Fallback>
        </mc:AlternateContent>
      </w:r>
      <w:r w:rsidRPr="003B6D8C">
        <w:rPr>
          <w:rFonts w:ascii="Georgia" w:hAnsi="Georgia"/>
          <w:noProof/>
          <w:sz w:val="20"/>
          <w:szCs w:val="20"/>
          <w:lang w:val="en-AU" w:eastAsia="en-AU"/>
        </w:rPr>
        <mc:AlternateContent>
          <mc:Choice Requires="wps">
            <w:drawing>
              <wp:anchor distT="0" distB="0" distL="114300" distR="114300" simplePos="0" relativeHeight="251663872" behindDoc="0" locked="0" layoutInCell="1" allowOverlap="1" wp14:anchorId="02DAC43A" wp14:editId="1DA6A463">
                <wp:simplePos x="0" y="0"/>
                <wp:positionH relativeFrom="column">
                  <wp:posOffset>3227705</wp:posOffset>
                </wp:positionH>
                <wp:positionV relativeFrom="paragraph">
                  <wp:posOffset>319405</wp:posOffset>
                </wp:positionV>
                <wp:extent cx="676910" cy="33020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30200"/>
                        </a:xfrm>
                        <a:prstGeom prst="rect">
                          <a:avLst/>
                        </a:prstGeom>
                        <a:noFill/>
                        <a:ln w="9525">
                          <a:noFill/>
                          <a:miter lim="800000"/>
                          <a:headEnd/>
                          <a:tailEnd/>
                        </a:ln>
                      </wps:spPr>
                      <wps:txbx>
                        <w:txbxContent>
                          <w:p w:rsidR="00BD3847" w:rsidRPr="001C4FCA" w:rsidRDefault="00BD3847" w:rsidP="001C4FCA">
                            <w:pPr>
                              <w:jc w:val="center"/>
                              <w:rPr>
                                <w:rFonts w:asciiTheme="majorHAnsi" w:hAnsiTheme="majorHAnsi"/>
                                <w:sz w:val="16"/>
                                <w:szCs w:val="16"/>
                              </w:rPr>
                            </w:pPr>
                            <w:r>
                              <w:rPr>
                                <w:rFonts w:asciiTheme="majorHAnsi" w:hAnsiTheme="majorHAnsi"/>
                                <w:sz w:val="16"/>
                                <w:szCs w:val="16"/>
                              </w:rPr>
                              <w:t>∆ 47.8%</w:t>
                            </w:r>
                          </w:p>
                          <w:p w:rsidR="00BD3847" w:rsidRDefault="00BD3847" w:rsidP="001C4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C43A" id="_x0000_s1038" type="#_x0000_t202" style="position:absolute;margin-left:254.15pt;margin-top:25.15pt;width:53.3pt;height: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" filled="f" stroked="f">
                <v:textbox>
                  <w:txbxContent>
                    <w:p w:rsidR="00BD3847" w:rsidRPr="001C4FCA" w:rsidRDefault="00BD3847" w:rsidP="001C4FCA">
                      <w:pPr>
                        <w:jc w:val="center"/>
                        <w:rPr>
                          <w:rFonts w:asciiTheme="majorHAnsi" w:hAnsiTheme="majorHAnsi"/>
                          <w:sz w:val="16"/>
                          <w:szCs w:val="16"/>
                        </w:rPr>
                      </w:pPr>
                      <w:r>
                        <w:rPr>
                          <w:rFonts w:asciiTheme="majorHAnsi" w:hAnsiTheme="majorHAnsi"/>
                          <w:sz w:val="16"/>
                          <w:szCs w:val="16"/>
                        </w:rPr>
                        <w:t>∆ 47.8%</w:t>
                      </w:r>
                    </w:p>
                    <w:p w:rsidR="00BD3847" w:rsidRDefault="00BD3847" w:rsidP="001C4FCA"/>
                  </w:txbxContent>
                </v:textbox>
              </v:shape>
            </w:pict>
          </mc:Fallback>
        </mc:AlternateContent>
      </w:r>
      <w:r w:rsidRPr="003B6D8C">
        <w:rPr>
          <w:rFonts w:ascii="Georgia" w:hAnsi="Georgia"/>
          <w:noProof/>
          <w:sz w:val="20"/>
          <w:szCs w:val="20"/>
          <w:lang w:val="en-AU" w:eastAsia="en-AU"/>
        </w:rPr>
        <mc:AlternateContent>
          <mc:Choice Requires="wps">
            <w:drawing>
              <wp:anchor distT="0" distB="0" distL="114300" distR="114300" simplePos="0" relativeHeight="251661824" behindDoc="0" locked="0" layoutInCell="1" allowOverlap="1" wp14:anchorId="1CFD301A" wp14:editId="382B2086">
                <wp:simplePos x="0" y="0"/>
                <wp:positionH relativeFrom="column">
                  <wp:posOffset>2296795</wp:posOffset>
                </wp:positionH>
                <wp:positionV relativeFrom="paragraph">
                  <wp:posOffset>319405</wp:posOffset>
                </wp:positionV>
                <wp:extent cx="676910" cy="330200"/>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30200"/>
                        </a:xfrm>
                        <a:prstGeom prst="rect">
                          <a:avLst/>
                        </a:prstGeom>
                        <a:noFill/>
                        <a:ln w="9525">
                          <a:noFill/>
                          <a:miter lim="800000"/>
                          <a:headEnd/>
                          <a:tailEnd/>
                        </a:ln>
                      </wps:spPr>
                      <wps:txbx>
                        <w:txbxContent>
                          <w:p w:rsidR="00BD3847" w:rsidRPr="001C4FCA" w:rsidRDefault="00BD3847" w:rsidP="001C4FCA">
                            <w:pPr>
                              <w:jc w:val="center"/>
                              <w:rPr>
                                <w:rFonts w:asciiTheme="majorHAnsi" w:hAnsiTheme="majorHAnsi"/>
                                <w:sz w:val="16"/>
                                <w:szCs w:val="16"/>
                              </w:rPr>
                            </w:pPr>
                            <w:r>
                              <w:rPr>
                                <w:rFonts w:asciiTheme="majorHAnsi" w:hAnsiTheme="majorHAnsi"/>
                                <w:sz w:val="16"/>
                                <w:szCs w:val="16"/>
                              </w:rPr>
                              <w:t>∆ 31.6%</w:t>
                            </w:r>
                          </w:p>
                          <w:p w:rsidR="00BD3847" w:rsidRDefault="00BD3847" w:rsidP="001C4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D301A" id="_x0000_s1039" type="#_x0000_t202" style="position:absolute;margin-left:180.85pt;margin-top:25.15pt;width:53.3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" filled="f" stroked="f">
                <v:textbox>
                  <w:txbxContent>
                    <w:p w:rsidR="00BD3847" w:rsidRPr="001C4FCA" w:rsidRDefault="00BD3847" w:rsidP="001C4FCA">
                      <w:pPr>
                        <w:jc w:val="center"/>
                        <w:rPr>
                          <w:rFonts w:asciiTheme="majorHAnsi" w:hAnsiTheme="majorHAnsi"/>
                          <w:sz w:val="16"/>
                          <w:szCs w:val="16"/>
                        </w:rPr>
                      </w:pPr>
                      <w:r>
                        <w:rPr>
                          <w:rFonts w:asciiTheme="majorHAnsi" w:hAnsiTheme="majorHAnsi"/>
                          <w:sz w:val="16"/>
                          <w:szCs w:val="16"/>
                        </w:rPr>
                        <w:t>∆ 31.6%</w:t>
                      </w:r>
                    </w:p>
                    <w:p w:rsidR="00BD3847" w:rsidRDefault="00BD3847" w:rsidP="001C4FCA"/>
                  </w:txbxContent>
                </v:textbox>
              </v:shape>
            </w:pict>
          </mc:Fallback>
        </mc:AlternateContent>
      </w:r>
      <w:r w:rsidR="009578A9" w:rsidRPr="003B6D8C">
        <w:rPr>
          <w:rFonts w:ascii="Georgia" w:hAnsi="Georgia"/>
          <w:noProof/>
          <w:sz w:val="20"/>
          <w:szCs w:val="20"/>
          <w:lang w:val="en-AU" w:eastAsia="en-AU"/>
        </w:rPr>
        <mc:AlternateContent>
          <mc:Choice Requires="wps">
            <w:drawing>
              <wp:anchor distT="0" distB="0" distL="114300" distR="114300" simplePos="0" relativeHeight="251660800" behindDoc="0" locked="0" layoutInCell="1" allowOverlap="1" wp14:anchorId="698B8EAB" wp14:editId="29ED15BB">
                <wp:simplePos x="0" y="0"/>
                <wp:positionH relativeFrom="column">
                  <wp:posOffset>1424940</wp:posOffset>
                </wp:positionH>
                <wp:positionV relativeFrom="paragraph">
                  <wp:posOffset>379307</wp:posOffset>
                </wp:positionV>
                <wp:extent cx="677334" cy="330200"/>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34" cy="330200"/>
                        </a:xfrm>
                        <a:prstGeom prst="rect">
                          <a:avLst/>
                        </a:prstGeom>
                        <a:noFill/>
                        <a:ln w="9525">
                          <a:noFill/>
                          <a:miter lim="800000"/>
                          <a:headEnd/>
                          <a:tailEnd/>
                        </a:ln>
                      </wps:spPr>
                      <wps:txbx>
                        <w:txbxContent>
                          <w:p w:rsidR="00BD3847" w:rsidRPr="001C4FCA" w:rsidRDefault="00BD3847" w:rsidP="009578A9">
                            <w:pPr>
                              <w:jc w:val="center"/>
                              <w:rPr>
                                <w:rFonts w:asciiTheme="majorHAnsi" w:hAnsiTheme="majorHAnsi"/>
                                <w:sz w:val="16"/>
                                <w:szCs w:val="16"/>
                              </w:rPr>
                            </w:pPr>
                            <w:r>
                              <w:rPr>
                                <w:rFonts w:asciiTheme="majorHAnsi" w:hAnsiTheme="majorHAnsi"/>
                                <w:sz w:val="16"/>
                                <w:szCs w:val="16"/>
                              </w:rPr>
                              <w:t>∆ 10.4%</w:t>
                            </w:r>
                          </w:p>
                          <w:p w:rsidR="00BD3847" w:rsidRDefault="00BD38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8EAB" id="_x0000_s1040" type="#_x0000_t202" style="position:absolute;margin-left:112.2pt;margin-top:29.85pt;width:53.35pt;height: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" filled="f" stroked="f">
                <v:textbox>
                  <w:txbxContent>
                    <w:p w:rsidR="00BD3847" w:rsidRPr="001C4FCA" w:rsidRDefault="00BD3847" w:rsidP="009578A9">
                      <w:pPr>
                        <w:jc w:val="center"/>
                        <w:rPr>
                          <w:rFonts w:asciiTheme="majorHAnsi" w:hAnsiTheme="majorHAnsi"/>
                          <w:sz w:val="16"/>
                          <w:szCs w:val="16"/>
                        </w:rPr>
                      </w:pPr>
                      <w:r>
                        <w:rPr>
                          <w:rFonts w:asciiTheme="majorHAnsi" w:hAnsiTheme="majorHAnsi"/>
                          <w:sz w:val="16"/>
                          <w:szCs w:val="16"/>
                        </w:rPr>
                        <w:t>∆ 10.4%</w:t>
                      </w:r>
                    </w:p>
                    <w:p w:rsidR="00BD3847" w:rsidRDefault="00BD3847"/>
                  </w:txbxContent>
                </v:textbox>
              </v:shape>
            </w:pict>
          </mc:Fallback>
        </mc:AlternateContent>
      </w:r>
      <w:r w:rsidR="00311C48" w:rsidRPr="00B503E8">
        <w:rPr>
          <w:rFonts w:ascii="Georgia" w:hAnsi="Georgia"/>
          <w:noProof/>
          <w:sz w:val="20"/>
          <w:szCs w:val="20"/>
          <w:lang w:val="en-AU" w:eastAsia="en-AU"/>
        </w:rPr>
        <mc:AlternateContent>
          <mc:Choice Requires="wps">
            <w:drawing>
              <wp:anchor distT="0" distB="0" distL="114300" distR="114300" simplePos="0" relativeHeight="251646464" behindDoc="0" locked="0" layoutInCell="1" allowOverlap="1" wp14:anchorId="07677816" wp14:editId="27768C9B">
                <wp:simplePos x="0" y="0"/>
                <wp:positionH relativeFrom="column">
                  <wp:posOffset>2553970</wp:posOffset>
                </wp:positionH>
                <wp:positionV relativeFrom="paragraph">
                  <wp:posOffset>779780</wp:posOffset>
                </wp:positionV>
                <wp:extent cx="112395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noFill/>
                        <a:ln w="9525">
                          <a:noFill/>
                          <a:miter lim="800000"/>
                          <a:headEnd/>
                          <a:tailEnd/>
                        </a:ln>
                      </wps:spPr>
                      <wps:txbx>
                        <w:txbxContent>
                          <w:p w:rsidR="00BD3847" w:rsidRPr="00311C48" w:rsidRDefault="00BD3847" w:rsidP="00311C48">
                            <w:pPr>
                              <w:jc w:val="center"/>
                              <w:rPr>
                                <w:rFonts w:asciiTheme="majorHAnsi" w:hAnsiTheme="majorHAnsi"/>
                                <w:b/>
                                <w:sz w:val="20"/>
                              </w:rPr>
                            </w:pPr>
                            <w:r w:rsidRPr="00311C48">
                              <w:rPr>
                                <w:rFonts w:asciiTheme="majorHAnsi" w:hAnsiTheme="majorHAnsi"/>
                                <w:b/>
                                <w:sz w:val="20"/>
                              </w:rPr>
                              <w:t>12.9%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77816" id="_x0000_s1041" type="#_x0000_t202" style="position:absolute;margin-left:201.1pt;margin-top:61.4pt;width:88.5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" filled="f" stroked="f">
                <v:textbox style="mso-fit-shape-to-text:t">
                  <w:txbxContent>
                    <w:p w:rsidR="00BD3847" w:rsidRPr="00311C48" w:rsidRDefault="00BD3847" w:rsidP="00311C48">
                      <w:pPr>
                        <w:jc w:val="center"/>
                        <w:rPr>
                          <w:rFonts w:asciiTheme="majorHAnsi" w:hAnsiTheme="majorHAnsi"/>
                          <w:b/>
                          <w:sz w:val="20"/>
                        </w:rPr>
                      </w:pPr>
                      <w:r w:rsidRPr="00311C48">
                        <w:rPr>
                          <w:rFonts w:asciiTheme="majorHAnsi" w:hAnsiTheme="majorHAnsi"/>
                          <w:b/>
                          <w:sz w:val="20"/>
                        </w:rPr>
                        <w:t>12.9% growth</w:t>
                      </w:r>
                    </w:p>
                  </w:txbxContent>
                </v:textbox>
              </v:shape>
            </w:pict>
          </mc:Fallback>
        </mc:AlternateContent>
      </w:r>
      <w:r w:rsidR="00B503E8">
        <w:rPr>
          <w:noProof/>
          <w:lang w:val="en-AU" w:eastAsia="en-AU"/>
        </w:rPr>
        <w:drawing>
          <wp:inline distT="0" distB="0" distL="0" distR="0" wp14:anchorId="09FCDB05" wp14:editId="446B17F2">
            <wp:extent cx="5943600" cy="2407920"/>
            <wp:effectExtent l="0" t="0" r="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028AD" w:rsidRDefault="001028AD" w:rsidP="009028AB">
      <w:pPr>
        <w:pStyle w:val="H2"/>
        <w:shd w:val="clear" w:color="auto" w:fill="E5ECED" w:themeFill="accent4" w:themeFillTint="66"/>
        <w:spacing w:before="0" w:after="0"/>
        <w:rPr>
          <w:rFonts w:asciiTheme="minorHAnsi" w:eastAsia="Times New Roman" w:hAnsiTheme="minorHAnsi" w:cstheme="minorHAnsi"/>
          <w:b w:val="0"/>
          <w:bCs w:val="0"/>
          <w:color w:val="auto"/>
          <w:sz w:val="22"/>
          <w:szCs w:val="22"/>
          <w:lang w:val="en-AU"/>
        </w:rPr>
      </w:pPr>
    </w:p>
    <w:p w:rsidR="00B503E8" w:rsidRPr="00F851C2" w:rsidRDefault="004C1A9D" w:rsidP="009028AB">
      <w:pPr>
        <w:pStyle w:val="H2"/>
        <w:numPr>
          <w:ilvl w:val="0"/>
          <w:numId w:val="13"/>
        </w:numPr>
        <w:shd w:val="clear" w:color="auto" w:fill="E5ECED" w:themeFill="accent4" w:themeFillTint="66"/>
        <w:spacing w:before="0"/>
        <w:ind w:left="357" w:hanging="357"/>
        <w:rPr>
          <w:rFonts w:asciiTheme="minorHAnsi" w:eastAsia="Times New Roman" w:hAnsiTheme="minorHAnsi" w:cstheme="minorHAnsi"/>
          <w:b w:val="0"/>
          <w:bCs w:val="0"/>
          <w:color w:val="auto"/>
          <w:sz w:val="22"/>
          <w:szCs w:val="22"/>
          <w:lang w:val="en-AU"/>
        </w:rPr>
      </w:pPr>
      <w:r>
        <w:rPr>
          <w:rFonts w:asciiTheme="minorHAnsi" w:eastAsia="Times New Roman" w:hAnsiTheme="minorHAnsi" w:cstheme="minorHAnsi"/>
          <w:b w:val="0"/>
          <w:bCs w:val="0"/>
          <w:color w:val="auto"/>
          <w:sz w:val="22"/>
          <w:szCs w:val="22"/>
          <w:lang w:val="en-AU"/>
        </w:rPr>
        <w:t>Revenue from i</w:t>
      </w:r>
      <w:r w:rsidR="001D2FEE">
        <w:rPr>
          <w:rFonts w:asciiTheme="minorHAnsi" w:eastAsia="Times New Roman" w:hAnsiTheme="minorHAnsi" w:cstheme="minorHAnsi"/>
          <w:b w:val="0"/>
          <w:bCs w:val="0"/>
          <w:color w:val="auto"/>
          <w:sz w:val="22"/>
          <w:szCs w:val="22"/>
          <w:lang w:val="en-AU"/>
        </w:rPr>
        <w:t>nternational student</w:t>
      </w:r>
      <w:r>
        <w:rPr>
          <w:rFonts w:asciiTheme="minorHAnsi" w:eastAsia="Times New Roman" w:hAnsiTheme="minorHAnsi" w:cstheme="minorHAnsi"/>
          <w:b w:val="0"/>
          <w:bCs w:val="0"/>
          <w:color w:val="auto"/>
          <w:sz w:val="22"/>
          <w:szCs w:val="22"/>
          <w:lang w:val="en-AU"/>
        </w:rPr>
        <w:t>s</w:t>
      </w:r>
      <w:r w:rsidR="001D2FEE">
        <w:rPr>
          <w:rFonts w:asciiTheme="minorHAnsi" w:eastAsia="Times New Roman" w:hAnsiTheme="minorHAnsi" w:cstheme="minorHAnsi"/>
          <w:b w:val="0"/>
          <w:bCs w:val="0"/>
          <w:color w:val="auto"/>
          <w:sz w:val="22"/>
          <w:szCs w:val="22"/>
          <w:lang w:val="en-AU"/>
        </w:rPr>
        <w:t xml:space="preserve"> </w:t>
      </w:r>
      <w:r w:rsidR="004C3445">
        <w:rPr>
          <w:rFonts w:asciiTheme="minorHAnsi" w:eastAsia="Times New Roman" w:hAnsiTheme="minorHAnsi" w:cstheme="minorHAnsi"/>
          <w:b w:val="0"/>
          <w:bCs w:val="0"/>
          <w:color w:val="auto"/>
          <w:sz w:val="22"/>
          <w:szCs w:val="22"/>
          <w:lang w:val="en-AU"/>
        </w:rPr>
        <w:t>grew</w:t>
      </w:r>
      <w:r w:rsidR="001D2FEE">
        <w:rPr>
          <w:rFonts w:asciiTheme="minorHAnsi" w:eastAsia="Times New Roman" w:hAnsiTheme="minorHAnsi" w:cstheme="minorHAnsi"/>
          <w:b w:val="0"/>
          <w:bCs w:val="0"/>
          <w:color w:val="auto"/>
          <w:sz w:val="22"/>
          <w:szCs w:val="22"/>
          <w:lang w:val="en-AU"/>
        </w:rPr>
        <w:t xml:space="preserve"> by 12.9% in 2015.</w:t>
      </w:r>
    </w:p>
    <w:p w:rsidR="00B503E8" w:rsidRDefault="001D2FEE" w:rsidP="009028AB">
      <w:pPr>
        <w:pStyle w:val="ListParagraph"/>
        <w:numPr>
          <w:ilvl w:val="0"/>
          <w:numId w:val="13"/>
        </w:numPr>
        <w:shd w:val="clear" w:color="auto" w:fill="E5ECED" w:themeFill="accent4" w:themeFillTint="66"/>
        <w:spacing w:after="0"/>
        <w:ind w:left="357" w:hanging="357"/>
        <w:rPr>
          <w:rFonts w:ascii="Arial" w:eastAsiaTheme="minorHAnsi" w:hAnsi="Arial" w:cstheme="minorBidi"/>
          <w:sz w:val="22"/>
          <w:szCs w:val="22"/>
        </w:rPr>
      </w:pPr>
      <w:r>
        <w:rPr>
          <w:rFonts w:ascii="Arial" w:eastAsiaTheme="minorHAnsi" w:hAnsi="Arial" w:cstheme="minorBidi"/>
          <w:sz w:val="22"/>
          <w:szCs w:val="22"/>
        </w:rPr>
        <w:t>Universities and For</w:t>
      </w:r>
      <w:r w:rsidR="00814721">
        <w:rPr>
          <w:rFonts w:ascii="Arial" w:eastAsiaTheme="minorHAnsi" w:hAnsi="Arial" w:cstheme="minorBidi"/>
          <w:sz w:val="22"/>
          <w:szCs w:val="22"/>
        </w:rPr>
        <w:t>-</w:t>
      </w:r>
      <w:r>
        <w:rPr>
          <w:rFonts w:ascii="Arial" w:eastAsiaTheme="minorHAnsi" w:hAnsi="Arial" w:cstheme="minorBidi"/>
          <w:sz w:val="22"/>
          <w:szCs w:val="22"/>
        </w:rPr>
        <w:t>Profit providers</w:t>
      </w:r>
      <w:r w:rsidR="00DB1A2C">
        <w:rPr>
          <w:rFonts w:ascii="Arial" w:eastAsiaTheme="minorHAnsi" w:hAnsi="Arial" w:cstheme="minorBidi"/>
          <w:sz w:val="22"/>
          <w:szCs w:val="22"/>
        </w:rPr>
        <w:t xml:space="preserve"> collectively</w:t>
      </w:r>
      <w:r>
        <w:rPr>
          <w:rFonts w:ascii="Arial" w:eastAsiaTheme="minorHAnsi" w:hAnsi="Arial" w:cstheme="minorBidi"/>
          <w:sz w:val="22"/>
          <w:szCs w:val="22"/>
        </w:rPr>
        <w:t xml:space="preserve"> acco</w:t>
      </w:r>
      <w:r w:rsidR="004C3445">
        <w:rPr>
          <w:rFonts w:ascii="Arial" w:eastAsiaTheme="minorHAnsi" w:hAnsi="Arial" w:cstheme="minorBidi"/>
          <w:sz w:val="22"/>
          <w:szCs w:val="22"/>
        </w:rPr>
        <w:t xml:space="preserve">unted for </w:t>
      </w:r>
      <w:r w:rsidR="00A22504">
        <w:rPr>
          <w:rFonts w:ascii="Arial" w:eastAsiaTheme="minorHAnsi" w:hAnsi="Arial" w:cstheme="minorBidi"/>
          <w:sz w:val="22"/>
          <w:szCs w:val="22"/>
        </w:rPr>
        <w:t xml:space="preserve">$575 million of the growth in 2015, which equated to </w:t>
      </w:r>
      <w:r w:rsidR="004C3445">
        <w:rPr>
          <w:rFonts w:ascii="Arial" w:eastAsiaTheme="minorHAnsi" w:hAnsi="Arial" w:cstheme="minorBidi"/>
          <w:sz w:val="22"/>
          <w:szCs w:val="22"/>
        </w:rPr>
        <w:t>9</w:t>
      </w:r>
      <w:r w:rsidR="00A22504">
        <w:rPr>
          <w:rFonts w:ascii="Arial" w:eastAsiaTheme="minorHAnsi" w:hAnsi="Arial" w:cstheme="minorBidi"/>
          <w:sz w:val="22"/>
          <w:szCs w:val="22"/>
        </w:rPr>
        <w:t>1.7</w:t>
      </w:r>
      <w:r w:rsidR="004C3445">
        <w:rPr>
          <w:rFonts w:ascii="Arial" w:eastAsiaTheme="minorHAnsi" w:hAnsi="Arial" w:cstheme="minorBidi"/>
          <w:sz w:val="22"/>
          <w:szCs w:val="22"/>
        </w:rPr>
        <w:t xml:space="preserve">% of the </w:t>
      </w:r>
      <w:r w:rsidR="008F5C3F">
        <w:rPr>
          <w:rFonts w:ascii="Arial" w:eastAsiaTheme="minorHAnsi" w:hAnsi="Arial" w:cstheme="minorBidi"/>
          <w:sz w:val="22"/>
          <w:szCs w:val="22"/>
        </w:rPr>
        <w:t xml:space="preserve">total </w:t>
      </w:r>
      <w:r w:rsidR="004C3445">
        <w:rPr>
          <w:rFonts w:ascii="Arial" w:eastAsiaTheme="minorHAnsi" w:hAnsi="Arial" w:cstheme="minorBidi"/>
          <w:sz w:val="22"/>
          <w:szCs w:val="22"/>
        </w:rPr>
        <w:t>growth</w:t>
      </w:r>
      <w:r w:rsidR="00B503E8" w:rsidRPr="00F851C2">
        <w:rPr>
          <w:rFonts w:ascii="Arial" w:eastAsiaTheme="minorHAnsi" w:hAnsi="Arial" w:cstheme="minorBidi"/>
          <w:sz w:val="22"/>
          <w:szCs w:val="22"/>
        </w:rPr>
        <w:t>.</w:t>
      </w:r>
    </w:p>
    <w:p w:rsidR="001C4FCA" w:rsidRDefault="008F5C3F" w:rsidP="00082E66">
      <w:pPr>
        <w:pStyle w:val="ListParagraph"/>
        <w:numPr>
          <w:ilvl w:val="0"/>
          <w:numId w:val="13"/>
        </w:numPr>
        <w:shd w:val="clear" w:color="auto" w:fill="E5ECED" w:themeFill="accent4" w:themeFillTint="66"/>
        <w:spacing w:after="120"/>
        <w:ind w:left="357" w:hanging="357"/>
        <w:rPr>
          <w:rFonts w:ascii="Arial" w:eastAsiaTheme="minorHAnsi" w:hAnsi="Arial" w:cstheme="minorBidi"/>
          <w:sz w:val="22"/>
          <w:szCs w:val="22"/>
        </w:rPr>
      </w:pPr>
      <w:r>
        <w:rPr>
          <w:rFonts w:ascii="Arial" w:eastAsiaTheme="minorHAnsi" w:hAnsi="Arial" w:cstheme="minorBidi"/>
          <w:sz w:val="22"/>
          <w:szCs w:val="22"/>
        </w:rPr>
        <w:t>Not-For-Profit and For-Profit providers experienced the largest annual rates of growth recording 47.8% and 31.6% respectively</w:t>
      </w:r>
      <w:r w:rsidR="00DC28B1">
        <w:rPr>
          <w:rFonts w:ascii="Arial" w:eastAsiaTheme="minorHAnsi" w:hAnsi="Arial" w:cstheme="minorBidi"/>
          <w:sz w:val="22"/>
          <w:szCs w:val="22"/>
        </w:rPr>
        <w:t>.</w:t>
      </w:r>
      <w:r w:rsidR="001C4FCA">
        <w:rPr>
          <w:rFonts w:ascii="Arial" w:eastAsiaTheme="minorHAnsi" w:hAnsi="Arial" w:cstheme="minorBidi"/>
          <w:sz w:val="22"/>
          <w:szCs w:val="22"/>
        </w:rPr>
        <w:t xml:space="preserve"> </w:t>
      </w:r>
    </w:p>
    <w:p w:rsidR="00916F86" w:rsidRPr="00916F86" w:rsidRDefault="00916F86" w:rsidP="00916F86">
      <w:pPr>
        <w:shd w:val="clear" w:color="auto" w:fill="E5ECED" w:themeFill="accent4" w:themeFillTint="66"/>
        <w:spacing w:after="120"/>
        <w:rPr>
          <w:rFonts w:ascii="Arial" w:eastAsiaTheme="minorHAnsi" w:hAnsi="Arial" w:cstheme="minorBidi"/>
          <w:sz w:val="22"/>
          <w:szCs w:val="22"/>
        </w:rPr>
      </w:pPr>
    </w:p>
    <w:p w:rsidR="00774FAC" w:rsidRDefault="009F3AB0" w:rsidP="00F851C2">
      <w:pPr>
        <w:pStyle w:val="Figureheading"/>
        <w:spacing w:after="0"/>
        <w:rPr>
          <w:b w:val="0"/>
          <w:bCs/>
          <w:color w:val="auto"/>
          <w:lang w:val="en-AU"/>
        </w:rPr>
      </w:pPr>
      <w:r>
        <w:rPr>
          <w:b w:val="0"/>
          <w:bCs/>
          <w:color w:val="auto"/>
          <w:lang w:val="en-AU"/>
        </w:rPr>
        <w:lastRenderedPageBreak/>
        <w:t>The analysis</w:t>
      </w:r>
      <w:r w:rsidR="008F5C3F">
        <w:rPr>
          <w:b w:val="0"/>
          <w:bCs/>
          <w:color w:val="auto"/>
          <w:lang w:val="en-AU"/>
        </w:rPr>
        <w:t xml:space="preserve"> in </w:t>
      </w:r>
      <w:r w:rsidR="00E2659D">
        <w:rPr>
          <w:b w:val="0"/>
          <w:bCs/>
          <w:color w:val="auto"/>
          <w:lang w:val="en-AU"/>
        </w:rPr>
        <w:t>F</w:t>
      </w:r>
      <w:r w:rsidR="008F5C3F">
        <w:rPr>
          <w:b w:val="0"/>
          <w:bCs/>
          <w:color w:val="auto"/>
          <w:lang w:val="en-AU"/>
        </w:rPr>
        <w:t>igure 17</w:t>
      </w:r>
      <w:r>
        <w:rPr>
          <w:b w:val="0"/>
          <w:bCs/>
          <w:color w:val="auto"/>
          <w:lang w:val="en-AU"/>
        </w:rPr>
        <w:t xml:space="preserve"> below refers to </w:t>
      </w:r>
      <w:r w:rsidR="009028AB">
        <w:rPr>
          <w:b w:val="0"/>
          <w:bCs/>
          <w:color w:val="auto"/>
          <w:lang w:val="en-AU"/>
        </w:rPr>
        <w:t xml:space="preserve">international student </w:t>
      </w:r>
      <w:r w:rsidR="004C1A9D">
        <w:rPr>
          <w:b w:val="0"/>
          <w:bCs/>
          <w:color w:val="auto"/>
          <w:lang w:val="en-AU"/>
        </w:rPr>
        <w:t>revenue</w:t>
      </w:r>
      <w:r w:rsidR="009028AB">
        <w:rPr>
          <w:b w:val="0"/>
          <w:bCs/>
          <w:color w:val="auto"/>
          <w:lang w:val="en-AU"/>
        </w:rPr>
        <w:t xml:space="preserve"> as a</w:t>
      </w:r>
      <w:r>
        <w:rPr>
          <w:b w:val="0"/>
          <w:bCs/>
          <w:color w:val="auto"/>
          <w:lang w:val="en-AU"/>
        </w:rPr>
        <w:t xml:space="preserve"> proportion of higher education</w:t>
      </w:r>
      <w:r w:rsidR="009028AB">
        <w:rPr>
          <w:b w:val="0"/>
          <w:bCs/>
          <w:color w:val="auto"/>
          <w:lang w:val="en-AU"/>
        </w:rPr>
        <w:t xml:space="preserve"> activity</w:t>
      </w:r>
      <w:r w:rsidR="000161DB">
        <w:rPr>
          <w:b w:val="0"/>
          <w:bCs/>
          <w:color w:val="auto"/>
          <w:lang w:val="en-AU"/>
        </w:rPr>
        <w:t xml:space="preserve"> revenue</w:t>
      </w:r>
      <w:r w:rsidR="00774FAC">
        <w:rPr>
          <w:b w:val="0"/>
          <w:bCs/>
          <w:color w:val="auto"/>
          <w:lang w:val="en-AU"/>
        </w:rPr>
        <w:t>.</w:t>
      </w:r>
      <w:r w:rsidR="008F5C3F">
        <w:rPr>
          <w:b w:val="0"/>
          <w:bCs/>
          <w:color w:val="auto"/>
          <w:lang w:val="en-AU"/>
        </w:rPr>
        <w:t xml:space="preserve"> P</w:t>
      </w:r>
      <w:r w:rsidR="001A5D42">
        <w:rPr>
          <w:b w:val="0"/>
          <w:bCs/>
          <w:color w:val="auto"/>
          <w:lang w:val="en-AU"/>
        </w:rPr>
        <w:t xml:space="preserve">roviders with no international student </w:t>
      </w:r>
      <w:r w:rsidR="00E2659D">
        <w:rPr>
          <w:b w:val="0"/>
          <w:bCs/>
          <w:color w:val="auto"/>
          <w:lang w:val="en-AU"/>
        </w:rPr>
        <w:t xml:space="preserve">enrolments </w:t>
      </w:r>
      <w:r w:rsidR="001A5D42">
        <w:rPr>
          <w:b w:val="0"/>
          <w:bCs/>
          <w:color w:val="auto"/>
          <w:lang w:val="en-AU"/>
        </w:rPr>
        <w:t xml:space="preserve">have been removed from the analysis </w:t>
      </w:r>
      <w:r w:rsidR="006716BD">
        <w:rPr>
          <w:b w:val="0"/>
          <w:bCs/>
          <w:color w:val="auto"/>
          <w:lang w:val="en-AU"/>
        </w:rPr>
        <w:t>presented in Figure 1</w:t>
      </w:r>
      <w:r w:rsidR="00D62AA3">
        <w:rPr>
          <w:b w:val="0"/>
          <w:bCs/>
          <w:color w:val="auto"/>
          <w:lang w:val="en-AU"/>
        </w:rPr>
        <w:t>7</w:t>
      </w:r>
      <w:r w:rsidR="006716BD">
        <w:rPr>
          <w:b w:val="0"/>
          <w:bCs/>
          <w:color w:val="auto"/>
          <w:lang w:val="en-AU"/>
        </w:rPr>
        <w:t xml:space="preserve"> and Table 12</w:t>
      </w:r>
      <w:r w:rsidR="001A5D42">
        <w:rPr>
          <w:b w:val="0"/>
          <w:bCs/>
          <w:color w:val="auto"/>
          <w:lang w:val="en-AU"/>
        </w:rPr>
        <w:t xml:space="preserve">. </w:t>
      </w:r>
    </w:p>
    <w:p w:rsidR="009F3AB0" w:rsidRDefault="009F3AB0" w:rsidP="00F851C2">
      <w:pPr>
        <w:pStyle w:val="Figureheading"/>
        <w:spacing w:after="0"/>
        <w:rPr>
          <w:b w:val="0"/>
          <w:bCs/>
          <w:color w:val="auto"/>
          <w:lang w:val="en-AU"/>
        </w:rPr>
      </w:pPr>
      <w:r>
        <w:rPr>
          <w:b w:val="0"/>
          <w:bCs/>
          <w:color w:val="auto"/>
          <w:lang w:val="en-AU"/>
        </w:rPr>
        <w:t xml:space="preserve"> </w:t>
      </w:r>
    </w:p>
    <w:p w:rsidR="003C14A2" w:rsidRPr="00F851C2" w:rsidRDefault="003C14A2" w:rsidP="003C14A2">
      <w:pPr>
        <w:pStyle w:val="Figureheading"/>
        <w:spacing w:after="0"/>
        <w:rPr>
          <w:rFonts w:ascii="Georgia" w:hAnsi="Georgia"/>
          <w:sz w:val="20"/>
          <w:szCs w:val="20"/>
        </w:rPr>
      </w:pPr>
      <w:r w:rsidRPr="008C384C">
        <w:rPr>
          <w:rFonts w:ascii="Georgia" w:hAnsi="Georgia"/>
          <w:sz w:val="20"/>
          <w:szCs w:val="20"/>
        </w:rPr>
        <w:t xml:space="preserve">Figure </w:t>
      </w:r>
      <w:r w:rsidR="008C384C" w:rsidRPr="00353F0C">
        <w:rPr>
          <w:rFonts w:ascii="Georgia" w:hAnsi="Georgia"/>
          <w:sz w:val="20"/>
          <w:szCs w:val="20"/>
        </w:rPr>
        <w:t>1</w:t>
      </w:r>
      <w:r w:rsidR="00D62AA3">
        <w:rPr>
          <w:rFonts w:ascii="Georgia" w:hAnsi="Georgia"/>
          <w:sz w:val="20"/>
          <w:szCs w:val="20"/>
        </w:rPr>
        <w:t>7</w:t>
      </w:r>
      <w:r w:rsidRPr="008C384C">
        <w:rPr>
          <w:rFonts w:ascii="Georgia" w:hAnsi="Georgia"/>
          <w:sz w:val="20"/>
          <w:szCs w:val="20"/>
        </w:rPr>
        <w:t xml:space="preserve">: International student </w:t>
      </w:r>
      <w:r w:rsidR="004C1A9D">
        <w:rPr>
          <w:rFonts w:ascii="Georgia" w:hAnsi="Georgia"/>
          <w:sz w:val="20"/>
          <w:szCs w:val="20"/>
        </w:rPr>
        <w:t>revenue</w:t>
      </w:r>
      <w:r w:rsidRPr="008C384C">
        <w:rPr>
          <w:rFonts w:ascii="Georgia" w:hAnsi="Georgia"/>
          <w:sz w:val="20"/>
          <w:szCs w:val="20"/>
        </w:rPr>
        <w:t xml:space="preserve"> as proportion of higher education activity revenue, by provider type</w:t>
      </w:r>
    </w:p>
    <w:p w:rsidR="003C14A2" w:rsidRDefault="003C14A2" w:rsidP="00F851C2">
      <w:pPr>
        <w:pStyle w:val="Figureheading"/>
        <w:spacing w:after="0"/>
        <w:rPr>
          <w:rFonts w:ascii="Georgia" w:hAnsi="Georgia"/>
          <w:sz w:val="20"/>
          <w:szCs w:val="20"/>
        </w:rPr>
      </w:pPr>
    </w:p>
    <w:p w:rsidR="003C14A2" w:rsidRDefault="003C14A2" w:rsidP="00F851C2">
      <w:pPr>
        <w:pStyle w:val="Figureheading"/>
        <w:spacing w:after="0"/>
        <w:rPr>
          <w:rFonts w:ascii="Georgia" w:hAnsi="Georgia"/>
          <w:sz w:val="20"/>
          <w:szCs w:val="20"/>
        </w:rPr>
      </w:pPr>
      <w:r w:rsidRPr="003B6D8C">
        <w:rPr>
          <w:rFonts w:ascii="Georgia" w:hAnsi="Georgia"/>
          <w:noProof/>
          <w:sz w:val="20"/>
          <w:szCs w:val="20"/>
          <w:lang w:val="en-AU" w:eastAsia="en-AU"/>
        </w:rPr>
        <w:drawing>
          <wp:inline distT="0" distB="0" distL="0" distR="0" wp14:anchorId="5B82838B" wp14:editId="38FD432A">
            <wp:extent cx="5939340" cy="3914775"/>
            <wp:effectExtent l="0" t="0" r="444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1060" cy="3915909"/>
                    </a:xfrm>
                    <a:prstGeom prst="rect">
                      <a:avLst/>
                    </a:prstGeom>
                    <a:noFill/>
                    <a:ln>
                      <a:noFill/>
                    </a:ln>
                  </pic:spPr>
                </pic:pic>
              </a:graphicData>
            </a:graphic>
          </wp:inline>
        </w:drawing>
      </w:r>
    </w:p>
    <w:p w:rsidR="00774FAC" w:rsidRDefault="00774FAC" w:rsidP="00774FAC">
      <w:pPr>
        <w:jc w:val="center"/>
        <w:rPr>
          <w:rFonts w:ascii="Georgia" w:hAnsi="Georgia" w:cs="Arial"/>
          <w:b/>
          <w:color w:val="004855" w:themeColor="text1"/>
          <w:sz w:val="22"/>
          <w:szCs w:val="22"/>
          <w:lang w:val="en-US"/>
        </w:rPr>
      </w:pPr>
      <w:r w:rsidRPr="003B6D8C">
        <w:rPr>
          <w:rFonts w:ascii="Georgia" w:hAnsi="Georgia" w:cs="Arial"/>
          <w:b/>
          <w:noProof/>
          <w:color w:val="004855" w:themeColor="text1"/>
          <w:sz w:val="22"/>
          <w:szCs w:val="22"/>
          <w:lang w:eastAsia="en-AU"/>
        </w:rPr>
        <w:drawing>
          <wp:inline distT="0" distB="0" distL="0" distR="0" wp14:anchorId="670669AA" wp14:editId="7C107C91">
            <wp:extent cx="1055077" cy="369277"/>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667" b="40166"/>
                    <a:stretch/>
                  </pic:blipFill>
                  <pic:spPr bwMode="auto">
                    <a:xfrm>
                      <a:off x="0" y="0"/>
                      <a:ext cx="1057275" cy="3700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F87B067" wp14:editId="33871E49">
            <wp:extent cx="1058284" cy="372534"/>
            <wp:effectExtent l="0" t="0" r="0" b="889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436"/>
                    <a:stretch/>
                  </pic:blipFill>
                  <pic:spPr bwMode="auto">
                    <a:xfrm>
                      <a:off x="0" y="0"/>
                      <a:ext cx="1058284" cy="372534"/>
                    </a:xfrm>
                    <a:prstGeom prst="rect">
                      <a:avLst/>
                    </a:prstGeom>
                    <a:noFill/>
                    <a:ln>
                      <a:noFill/>
                    </a:ln>
                    <a:extLst>
                      <a:ext uri="{53640926-AAD7-44D8-BBD7-CCE9431645EC}">
                        <a14:shadowObscured xmlns:a14="http://schemas.microsoft.com/office/drawing/2010/main"/>
                      </a:ext>
                    </a:extLst>
                  </pic:spPr>
                </pic:pic>
              </a:graphicData>
            </a:graphic>
          </wp:inline>
        </w:drawing>
      </w:r>
    </w:p>
    <w:p w:rsidR="003C14A2" w:rsidRDefault="003C14A2" w:rsidP="00F851C2">
      <w:pPr>
        <w:pStyle w:val="Figureheading"/>
        <w:spacing w:after="0"/>
        <w:rPr>
          <w:rFonts w:ascii="Georgia" w:hAnsi="Georgia"/>
          <w:sz w:val="20"/>
          <w:szCs w:val="20"/>
        </w:rPr>
      </w:pPr>
    </w:p>
    <w:p w:rsidR="0079613C" w:rsidRPr="00353F0C" w:rsidRDefault="0079613C" w:rsidP="00353F0C">
      <w:pPr>
        <w:shd w:val="clear" w:color="auto" w:fill="E5ECED" w:themeFill="accent4" w:themeFillTint="66"/>
        <w:spacing w:after="0"/>
        <w:rPr>
          <w:rFonts w:ascii="Arial" w:eastAsiaTheme="minorHAnsi" w:hAnsi="Arial" w:cstheme="minorBidi"/>
          <w:sz w:val="16"/>
          <w:szCs w:val="16"/>
        </w:rPr>
      </w:pPr>
    </w:p>
    <w:p w:rsidR="001A5D42" w:rsidRDefault="001A5D42" w:rsidP="001A5D42">
      <w:pPr>
        <w:pStyle w:val="ListParagraph"/>
        <w:numPr>
          <w:ilvl w:val="0"/>
          <w:numId w:val="22"/>
        </w:numPr>
        <w:shd w:val="clear" w:color="auto" w:fill="E5ECED" w:themeFill="accent4" w:themeFillTint="66"/>
        <w:spacing w:after="120"/>
        <w:ind w:left="357" w:hanging="357"/>
        <w:rPr>
          <w:rFonts w:ascii="Arial" w:eastAsiaTheme="minorHAnsi" w:hAnsi="Arial" w:cstheme="minorBidi"/>
        </w:rPr>
      </w:pPr>
      <w:r>
        <w:rPr>
          <w:rFonts w:ascii="Arial" w:eastAsiaTheme="minorHAnsi" w:hAnsi="Arial" w:cstheme="minorBidi"/>
          <w:sz w:val="22"/>
          <w:szCs w:val="22"/>
        </w:rPr>
        <w:t>Providers with</w:t>
      </w:r>
      <w:r w:rsidR="008F5C3F">
        <w:rPr>
          <w:rFonts w:ascii="Arial" w:eastAsiaTheme="minorHAnsi" w:hAnsi="Arial" w:cstheme="minorBidi"/>
          <w:sz w:val="22"/>
          <w:szCs w:val="22"/>
        </w:rPr>
        <w:t xml:space="preserve"> a</w:t>
      </w:r>
      <w:r>
        <w:rPr>
          <w:rFonts w:ascii="Arial" w:eastAsiaTheme="minorHAnsi" w:hAnsi="Arial" w:cstheme="minorBidi"/>
          <w:sz w:val="22"/>
          <w:szCs w:val="22"/>
        </w:rPr>
        <w:t xml:space="preserve"> high reliance on international student </w:t>
      </w:r>
      <w:r w:rsidR="004C1A9D">
        <w:rPr>
          <w:rFonts w:ascii="Arial" w:eastAsiaTheme="minorHAnsi" w:hAnsi="Arial" w:cstheme="minorBidi"/>
          <w:sz w:val="22"/>
          <w:szCs w:val="22"/>
        </w:rPr>
        <w:t>revenue</w:t>
      </w:r>
      <w:r>
        <w:rPr>
          <w:rFonts w:ascii="Arial" w:eastAsiaTheme="minorHAnsi" w:hAnsi="Arial" w:cstheme="minorBidi"/>
          <w:sz w:val="22"/>
          <w:szCs w:val="22"/>
        </w:rPr>
        <w:t xml:space="preserve"> (i.e. over 50% reliance) were predominately For-Profit providers. </w:t>
      </w:r>
    </w:p>
    <w:p w:rsidR="008F5C3F" w:rsidRDefault="004C1A9D" w:rsidP="00774FAC">
      <w:pPr>
        <w:pStyle w:val="ListParagraph"/>
        <w:numPr>
          <w:ilvl w:val="0"/>
          <w:numId w:val="22"/>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Revenue from i</w:t>
      </w:r>
      <w:r w:rsidR="00DC28B1">
        <w:rPr>
          <w:rFonts w:ascii="Arial" w:eastAsiaTheme="minorHAnsi" w:hAnsi="Arial" w:cstheme="minorBidi"/>
          <w:sz w:val="22"/>
          <w:szCs w:val="22"/>
        </w:rPr>
        <w:t>nternational student</w:t>
      </w:r>
      <w:r>
        <w:rPr>
          <w:rFonts w:ascii="Arial" w:eastAsiaTheme="minorHAnsi" w:hAnsi="Arial" w:cstheme="minorBidi"/>
          <w:sz w:val="22"/>
          <w:szCs w:val="22"/>
        </w:rPr>
        <w:t>s</w:t>
      </w:r>
      <w:r w:rsidR="00DC28B1">
        <w:rPr>
          <w:rFonts w:ascii="Arial" w:eastAsiaTheme="minorHAnsi" w:hAnsi="Arial" w:cstheme="minorBidi"/>
          <w:sz w:val="22"/>
          <w:szCs w:val="22"/>
        </w:rPr>
        <w:t xml:space="preserve"> generally accounted for 10% to 35% of universities higher education revenue</w:t>
      </w:r>
      <w:r>
        <w:rPr>
          <w:rFonts w:ascii="Arial" w:eastAsiaTheme="minorHAnsi" w:hAnsi="Arial" w:cstheme="minorBidi"/>
          <w:sz w:val="22"/>
          <w:szCs w:val="22"/>
        </w:rPr>
        <w:t xml:space="preserve">, except for a few universities on either side of the distribution. </w:t>
      </w:r>
    </w:p>
    <w:p w:rsidR="00261684" w:rsidRDefault="008F5C3F" w:rsidP="00774FAC">
      <w:pPr>
        <w:pStyle w:val="ListParagraph"/>
        <w:numPr>
          <w:ilvl w:val="0"/>
          <w:numId w:val="22"/>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 xml:space="preserve">Not-For-Profit </w:t>
      </w:r>
      <w:r w:rsidR="00314BC5">
        <w:rPr>
          <w:rFonts w:ascii="Arial" w:eastAsiaTheme="minorHAnsi" w:hAnsi="Arial" w:cstheme="minorBidi"/>
          <w:sz w:val="22"/>
          <w:szCs w:val="22"/>
        </w:rPr>
        <w:t xml:space="preserve">and TAFE </w:t>
      </w:r>
      <w:r>
        <w:rPr>
          <w:rFonts w:ascii="Arial" w:eastAsiaTheme="minorHAnsi" w:hAnsi="Arial" w:cstheme="minorBidi"/>
          <w:sz w:val="22"/>
          <w:szCs w:val="22"/>
        </w:rPr>
        <w:t xml:space="preserve">providers’ reliance on international student </w:t>
      </w:r>
      <w:r w:rsidR="004C1A9D">
        <w:rPr>
          <w:rFonts w:ascii="Arial" w:eastAsiaTheme="minorHAnsi" w:hAnsi="Arial" w:cstheme="minorBidi"/>
          <w:sz w:val="22"/>
          <w:szCs w:val="22"/>
        </w:rPr>
        <w:t>revenue</w:t>
      </w:r>
      <w:r>
        <w:rPr>
          <w:rFonts w:ascii="Arial" w:eastAsiaTheme="minorHAnsi" w:hAnsi="Arial" w:cstheme="minorBidi"/>
          <w:sz w:val="22"/>
          <w:szCs w:val="22"/>
        </w:rPr>
        <w:t xml:space="preserve"> varied</w:t>
      </w:r>
      <w:r w:rsidR="004C1A9D">
        <w:rPr>
          <w:rFonts w:ascii="Arial" w:eastAsiaTheme="minorHAnsi" w:hAnsi="Arial" w:cstheme="minorBidi"/>
          <w:sz w:val="22"/>
          <w:szCs w:val="22"/>
        </w:rPr>
        <w:t xml:space="preserve"> widely. </w:t>
      </w:r>
    </w:p>
    <w:p w:rsidR="0079613C" w:rsidRPr="00353F0C" w:rsidRDefault="0079613C" w:rsidP="00353F0C">
      <w:pPr>
        <w:shd w:val="clear" w:color="auto" w:fill="E5ECED" w:themeFill="accent4" w:themeFillTint="66"/>
        <w:spacing w:after="0"/>
        <w:rPr>
          <w:rFonts w:ascii="Arial" w:eastAsiaTheme="minorHAnsi" w:hAnsi="Arial" w:cstheme="minorBidi"/>
        </w:rPr>
      </w:pPr>
    </w:p>
    <w:p w:rsidR="001A5D42" w:rsidRDefault="001A5D42">
      <w:pPr>
        <w:spacing w:after="0" w:line="240" w:lineRule="auto"/>
        <w:rPr>
          <w:rFonts w:ascii="Georgia" w:hAnsi="Georgia" w:cstheme="minorHAnsi"/>
          <w:b/>
          <w:color w:val="004855" w:themeColor="text1"/>
          <w:sz w:val="20"/>
          <w:szCs w:val="20"/>
          <w:lang w:val="en-US"/>
        </w:rPr>
      </w:pPr>
      <w:r>
        <w:rPr>
          <w:rFonts w:ascii="Georgia" w:hAnsi="Georgia"/>
          <w:sz w:val="20"/>
          <w:szCs w:val="20"/>
        </w:rPr>
        <w:br w:type="page"/>
      </w:r>
    </w:p>
    <w:p w:rsidR="006716BD" w:rsidRDefault="00F83793" w:rsidP="00F851C2">
      <w:pPr>
        <w:pStyle w:val="Figureheading"/>
        <w:spacing w:after="0"/>
        <w:rPr>
          <w:b w:val="0"/>
          <w:bCs/>
          <w:color w:val="auto"/>
          <w:lang w:val="en-AU"/>
        </w:rPr>
      </w:pPr>
      <w:r>
        <w:rPr>
          <w:b w:val="0"/>
          <w:bCs/>
          <w:color w:val="auto"/>
          <w:lang w:val="en-AU"/>
        </w:rPr>
        <w:lastRenderedPageBreak/>
        <w:t>Table 12 below shows the propo</w:t>
      </w:r>
      <w:r w:rsidR="00A85C78">
        <w:rPr>
          <w:b w:val="0"/>
          <w:bCs/>
          <w:color w:val="auto"/>
          <w:lang w:val="en-AU"/>
        </w:rPr>
        <w:t xml:space="preserve">rtion of international student </w:t>
      </w:r>
      <w:r w:rsidR="004C1A9D">
        <w:rPr>
          <w:b w:val="0"/>
          <w:bCs/>
          <w:color w:val="auto"/>
          <w:lang w:val="en-AU"/>
        </w:rPr>
        <w:t>revenue</w:t>
      </w:r>
      <w:r>
        <w:rPr>
          <w:b w:val="0"/>
          <w:bCs/>
          <w:color w:val="auto"/>
          <w:lang w:val="en-AU"/>
        </w:rPr>
        <w:t xml:space="preserve"> relative to higher education revenue for each provider type. </w:t>
      </w:r>
    </w:p>
    <w:p w:rsidR="00F83793" w:rsidRDefault="00F83793" w:rsidP="00F851C2">
      <w:pPr>
        <w:pStyle w:val="Figureheading"/>
        <w:spacing w:after="0"/>
        <w:rPr>
          <w:rFonts w:ascii="Georgia" w:hAnsi="Georgia"/>
          <w:sz w:val="20"/>
          <w:szCs w:val="20"/>
        </w:rPr>
      </w:pPr>
    </w:p>
    <w:p w:rsidR="00DC6F68" w:rsidRPr="001567F7" w:rsidRDefault="00DC6F68" w:rsidP="00DC6F68">
      <w:pPr>
        <w:rPr>
          <w:rFonts w:ascii="Georgia" w:hAnsi="Georgia" w:cs="Arial"/>
          <w:b/>
          <w:color w:val="004855" w:themeColor="text1"/>
          <w:sz w:val="20"/>
          <w:szCs w:val="20"/>
          <w:lang w:val="en-US"/>
        </w:rPr>
      </w:pPr>
      <w:r w:rsidRPr="006716BD">
        <w:rPr>
          <w:rFonts w:ascii="Georgia" w:hAnsi="Georgia" w:cs="Arial"/>
          <w:b/>
          <w:color w:val="004855" w:themeColor="text1"/>
          <w:sz w:val="20"/>
          <w:szCs w:val="20"/>
          <w:lang w:val="en-US"/>
        </w:rPr>
        <w:t>Table 1</w:t>
      </w:r>
      <w:r w:rsidR="00127249" w:rsidRPr="006716BD">
        <w:rPr>
          <w:rFonts w:ascii="Georgia" w:hAnsi="Georgia" w:cs="Arial"/>
          <w:b/>
          <w:color w:val="004855" w:themeColor="text1"/>
          <w:sz w:val="20"/>
          <w:szCs w:val="20"/>
          <w:lang w:val="en-US"/>
        </w:rPr>
        <w:t>2</w:t>
      </w:r>
      <w:r w:rsidRPr="006716BD">
        <w:rPr>
          <w:rFonts w:ascii="Georgia" w:hAnsi="Georgia" w:cs="Arial"/>
          <w:b/>
          <w:color w:val="004855" w:themeColor="text1"/>
          <w:sz w:val="20"/>
          <w:szCs w:val="20"/>
          <w:lang w:val="en-US"/>
        </w:rPr>
        <w:t xml:space="preserve">: International student </w:t>
      </w:r>
      <w:r w:rsidR="004C1A9D">
        <w:rPr>
          <w:rFonts w:ascii="Georgia" w:hAnsi="Georgia" w:cs="Arial"/>
          <w:b/>
          <w:color w:val="004855" w:themeColor="text1"/>
          <w:sz w:val="20"/>
          <w:szCs w:val="20"/>
          <w:lang w:val="en-US"/>
        </w:rPr>
        <w:t>revenue</w:t>
      </w:r>
      <w:r w:rsidRPr="006716BD">
        <w:rPr>
          <w:rFonts w:ascii="Georgia" w:hAnsi="Georgia" w:cs="Arial"/>
          <w:b/>
          <w:color w:val="004855" w:themeColor="text1"/>
          <w:sz w:val="20"/>
          <w:szCs w:val="20"/>
          <w:lang w:val="en-US"/>
        </w:rPr>
        <w:t xml:space="preserve"> to</w:t>
      </w:r>
      <w:r w:rsidR="00045892">
        <w:rPr>
          <w:rFonts w:ascii="Georgia" w:hAnsi="Georgia" w:cs="Arial"/>
          <w:b/>
          <w:color w:val="004855" w:themeColor="text1"/>
          <w:sz w:val="20"/>
          <w:szCs w:val="20"/>
          <w:lang w:val="en-US"/>
        </w:rPr>
        <w:t xml:space="preserve"> total</w:t>
      </w:r>
      <w:r w:rsidRPr="006716BD">
        <w:rPr>
          <w:rFonts w:ascii="Georgia" w:hAnsi="Georgia" w:cs="Arial"/>
          <w:b/>
          <w:color w:val="004855" w:themeColor="text1"/>
          <w:sz w:val="20"/>
          <w:szCs w:val="20"/>
          <w:lang w:val="en-US"/>
        </w:rPr>
        <w:t xml:space="preserve"> </w:t>
      </w:r>
      <w:r w:rsidR="00F83793">
        <w:rPr>
          <w:rFonts w:ascii="Georgia" w:hAnsi="Georgia" w:cs="Arial"/>
          <w:b/>
          <w:color w:val="004855" w:themeColor="text1"/>
          <w:sz w:val="20"/>
          <w:szCs w:val="20"/>
          <w:lang w:val="en-US"/>
        </w:rPr>
        <w:t>higher education</w:t>
      </w:r>
      <w:r w:rsidRPr="006716BD">
        <w:rPr>
          <w:rFonts w:ascii="Georgia" w:hAnsi="Georgia" w:cs="Arial"/>
          <w:b/>
          <w:color w:val="004855" w:themeColor="text1"/>
          <w:sz w:val="20"/>
          <w:szCs w:val="20"/>
          <w:lang w:val="en-US"/>
        </w:rPr>
        <w:t xml:space="preserve"> revenue, by provider type</w:t>
      </w:r>
    </w:p>
    <w:tbl>
      <w:tblPr>
        <w:tblW w:w="5000" w:type="pct"/>
        <w:tblLook w:val="04A0" w:firstRow="1" w:lastRow="0" w:firstColumn="1" w:lastColumn="0" w:noHBand="0" w:noVBand="1"/>
      </w:tblPr>
      <w:tblGrid>
        <w:gridCol w:w="2283"/>
        <w:gridCol w:w="1426"/>
        <w:gridCol w:w="1595"/>
        <w:gridCol w:w="10"/>
        <w:gridCol w:w="1365"/>
        <w:gridCol w:w="1494"/>
        <w:gridCol w:w="1399"/>
      </w:tblGrid>
      <w:tr w:rsidR="00DC6F68" w:rsidRPr="00797118" w:rsidTr="00A24D60">
        <w:trPr>
          <w:trHeight w:val="300"/>
        </w:trPr>
        <w:tc>
          <w:tcPr>
            <w:tcW w:w="1193" w:type="pct"/>
            <w:tcBorders>
              <w:top w:val="nil"/>
              <w:left w:val="nil"/>
              <w:bottom w:val="single" w:sz="4" w:space="0" w:color="366092"/>
              <w:right w:val="nil"/>
            </w:tcBorders>
            <w:shd w:val="clear" w:color="auto" w:fill="004855"/>
            <w:noWrap/>
            <w:vAlign w:val="bottom"/>
            <w:hideMark/>
          </w:tcPr>
          <w:p w:rsidR="00DC6F68" w:rsidRPr="00797118" w:rsidRDefault="00DC6F68" w:rsidP="00A24D60">
            <w:pPr>
              <w:spacing w:after="0"/>
              <w:jc w:val="center"/>
              <w:rPr>
                <w:rFonts w:asciiTheme="minorHAnsi" w:hAnsiTheme="minorHAnsi" w:cstheme="minorHAnsi"/>
                <w:b/>
                <w:sz w:val="20"/>
                <w:szCs w:val="20"/>
              </w:rPr>
            </w:pPr>
          </w:p>
        </w:tc>
        <w:tc>
          <w:tcPr>
            <w:tcW w:w="745" w:type="pct"/>
            <w:tcBorders>
              <w:top w:val="nil"/>
              <w:left w:val="nil"/>
              <w:bottom w:val="single" w:sz="4" w:space="0" w:color="366092"/>
              <w:right w:val="nil"/>
            </w:tcBorders>
            <w:shd w:val="clear" w:color="auto" w:fill="004855"/>
            <w:noWrap/>
            <w:vAlign w:val="bottom"/>
          </w:tcPr>
          <w:p w:rsidR="00DC6F68" w:rsidRPr="00797118" w:rsidRDefault="00DC6F68"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33" w:type="pct"/>
            <w:tcBorders>
              <w:top w:val="nil"/>
              <w:left w:val="nil"/>
              <w:bottom w:val="single" w:sz="4" w:space="0" w:color="366092"/>
              <w:right w:val="nil"/>
            </w:tcBorders>
            <w:shd w:val="clear" w:color="auto" w:fill="004855"/>
            <w:vAlign w:val="bottom"/>
          </w:tcPr>
          <w:p w:rsidR="00DC6F68" w:rsidRPr="00797118" w:rsidRDefault="00DC6F68"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18" w:type="pct"/>
            <w:gridSpan w:val="2"/>
            <w:tcBorders>
              <w:top w:val="nil"/>
              <w:left w:val="nil"/>
              <w:bottom w:val="single" w:sz="4" w:space="0" w:color="366092"/>
              <w:right w:val="nil"/>
            </w:tcBorders>
            <w:shd w:val="clear" w:color="auto" w:fill="004855"/>
            <w:noWrap/>
            <w:vAlign w:val="bottom"/>
          </w:tcPr>
          <w:p w:rsidR="00DC6F68" w:rsidRPr="00797118" w:rsidRDefault="00DC6F68"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80" w:type="pct"/>
            <w:tcBorders>
              <w:top w:val="nil"/>
              <w:left w:val="nil"/>
              <w:bottom w:val="single" w:sz="4" w:space="0" w:color="366092"/>
              <w:right w:val="nil"/>
            </w:tcBorders>
            <w:shd w:val="clear" w:color="auto" w:fill="004855"/>
            <w:noWrap/>
            <w:vAlign w:val="bottom"/>
          </w:tcPr>
          <w:p w:rsidR="00DC6F68" w:rsidRPr="00797118" w:rsidRDefault="00DC6F68"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1" w:type="pct"/>
            <w:tcBorders>
              <w:top w:val="nil"/>
              <w:left w:val="nil"/>
              <w:bottom w:val="single" w:sz="4" w:space="0" w:color="366092"/>
              <w:right w:val="nil"/>
            </w:tcBorders>
            <w:shd w:val="clear" w:color="auto" w:fill="004855"/>
            <w:vAlign w:val="bottom"/>
          </w:tcPr>
          <w:p w:rsidR="00DC6F68" w:rsidRPr="00797118" w:rsidRDefault="00DC6F68"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DC6F68" w:rsidRPr="00797118" w:rsidTr="00DC6F68">
        <w:trPr>
          <w:trHeight w:val="300"/>
        </w:trPr>
        <w:tc>
          <w:tcPr>
            <w:tcW w:w="1193" w:type="pct"/>
            <w:tcBorders>
              <w:top w:val="nil"/>
              <w:left w:val="nil"/>
              <w:bottom w:val="single" w:sz="4" w:space="0" w:color="366092"/>
              <w:right w:val="nil"/>
            </w:tcBorders>
            <w:shd w:val="clear" w:color="auto" w:fill="auto"/>
            <w:noWrap/>
            <w:vAlign w:val="bottom"/>
          </w:tcPr>
          <w:p w:rsidR="00DC6F68" w:rsidRPr="00797118" w:rsidRDefault="00DC6F68" w:rsidP="00A24D60">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745" w:type="pct"/>
            <w:tcBorders>
              <w:top w:val="nil"/>
              <w:left w:val="nil"/>
              <w:bottom w:val="single" w:sz="4" w:space="0" w:color="366092"/>
              <w:right w:val="nil"/>
            </w:tcBorders>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1.7%</w:t>
            </w:r>
          </w:p>
        </w:tc>
        <w:tc>
          <w:tcPr>
            <w:tcW w:w="838" w:type="pct"/>
            <w:gridSpan w:val="2"/>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12.5%</w:t>
            </w:r>
          </w:p>
        </w:tc>
        <w:tc>
          <w:tcPr>
            <w:tcW w:w="713" w:type="pct"/>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19.3%</w:t>
            </w:r>
          </w:p>
        </w:tc>
        <w:tc>
          <w:tcPr>
            <w:tcW w:w="780" w:type="pct"/>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23.8%</w:t>
            </w:r>
          </w:p>
        </w:tc>
        <w:tc>
          <w:tcPr>
            <w:tcW w:w="731" w:type="pct"/>
            <w:tcBorders>
              <w:top w:val="nil"/>
              <w:left w:val="nil"/>
              <w:bottom w:val="single" w:sz="4" w:space="0" w:color="366092"/>
              <w:right w:val="nil"/>
            </w:tcBorders>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81.5%</w:t>
            </w:r>
          </w:p>
        </w:tc>
      </w:tr>
      <w:tr w:rsidR="00FB66C9" w:rsidRPr="00797118" w:rsidTr="0089015D">
        <w:trPr>
          <w:trHeight w:val="300"/>
        </w:trPr>
        <w:tc>
          <w:tcPr>
            <w:tcW w:w="1193" w:type="pct"/>
            <w:tcBorders>
              <w:top w:val="nil"/>
              <w:left w:val="nil"/>
              <w:bottom w:val="single" w:sz="4" w:space="0" w:color="366092"/>
              <w:right w:val="nil"/>
            </w:tcBorders>
            <w:shd w:val="clear" w:color="auto" w:fill="auto"/>
            <w:noWrap/>
            <w:vAlign w:val="bottom"/>
          </w:tcPr>
          <w:p w:rsidR="00FB66C9" w:rsidRPr="00797118" w:rsidRDefault="00FB66C9" w:rsidP="0089015D">
            <w:pPr>
              <w:spacing w:after="0"/>
              <w:rPr>
                <w:rFonts w:asciiTheme="minorHAnsi" w:hAnsiTheme="minorHAnsi" w:cstheme="minorHAnsi"/>
                <w:sz w:val="20"/>
                <w:szCs w:val="20"/>
              </w:rPr>
            </w:pPr>
            <w:r>
              <w:rPr>
                <w:rFonts w:asciiTheme="minorHAnsi" w:hAnsiTheme="minorHAnsi" w:cstheme="minorHAnsi"/>
                <w:sz w:val="20"/>
                <w:szCs w:val="20"/>
              </w:rPr>
              <w:t>TAFE</w:t>
            </w:r>
          </w:p>
        </w:tc>
        <w:tc>
          <w:tcPr>
            <w:tcW w:w="745" w:type="pct"/>
            <w:tcBorders>
              <w:top w:val="nil"/>
              <w:left w:val="nil"/>
              <w:bottom w:val="single" w:sz="4" w:space="0" w:color="366092"/>
              <w:right w:val="nil"/>
            </w:tcBorders>
          </w:tcPr>
          <w:p w:rsidR="00FB66C9" w:rsidRPr="002922C1" w:rsidRDefault="00FB66C9" w:rsidP="0089015D">
            <w:pPr>
              <w:spacing w:after="0"/>
              <w:jc w:val="right"/>
              <w:rPr>
                <w:rFonts w:asciiTheme="minorHAnsi" w:hAnsiTheme="minorHAnsi" w:cstheme="minorHAnsi"/>
                <w:sz w:val="20"/>
                <w:szCs w:val="20"/>
              </w:rPr>
            </w:pPr>
            <w:r w:rsidRPr="00DC6F68">
              <w:rPr>
                <w:rFonts w:asciiTheme="minorHAnsi" w:hAnsiTheme="minorHAnsi" w:cstheme="minorHAnsi"/>
                <w:sz w:val="20"/>
                <w:szCs w:val="20"/>
              </w:rPr>
              <w:t>2.5%</w:t>
            </w:r>
          </w:p>
        </w:tc>
        <w:tc>
          <w:tcPr>
            <w:tcW w:w="838" w:type="pct"/>
            <w:gridSpan w:val="2"/>
            <w:tcBorders>
              <w:top w:val="nil"/>
              <w:left w:val="nil"/>
              <w:bottom w:val="single" w:sz="4" w:space="0" w:color="366092"/>
              <w:right w:val="nil"/>
            </w:tcBorders>
            <w:shd w:val="clear" w:color="auto" w:fill="auto"/>
            <w:noWrap/>
          </w:tcPr>
          <w:p w:rsidR="00FB66C9" w:rsidRPr="002922C1" w:rsidRDefault="00FB66C9" w:rsidP="0089015D">
            <w:pPr>
              <w:spacing w:after="0"/>
              <w:jc w:val="right"/>
              <w:rPr>
                <w:rFonts w:asciiTheme="minorHAnsi" w:hAnsiTheme="minorHAnsi" w:cstheme="minorHAnsi"/>
                <w:sz w:val="20"/>
                <w:szCs w:val="20"/>
              </w:rPr>
            </w:pPr>
            <w:r w:rsidRPr="00DC6F68">
              <w:rPr>
                <w:rFonts w:asciiTheme="minorHAnsi" w:hAnsiTheme="minorHAnsi" w:cstheme="minorHAnsi"/>
                <w:sz w:val="20"/>
                <w:szCs w:val="20"/>
              </w:rPr>
              <w:t>14.3%</w:t>
            </w:r>
          </w:p>
        </w:tc>
        <w:tc>
          <w:tcPr>
            <w:tcW w:w="713" w:type="pct"/>
            <w:tcBorders>
              <w:top w:val="nil"/>
              <w:left w:val="nil"/>
              <w:bottom w:val="single" w:sz="4" w:space="0" w:color="366092"/>
              <w:right w:val="nil"/>
            </w:tcBorders>
            <w:shd w:val="clear" w:color="auto" w:fill="auto"/>
            <w:noWrap/>
          </w:tcPr>
          <w:p w:rsidR="00FB66C9" w:rsidRPr="002922C1" w:rsidRDefault="00FB66C9" w:rsidP="0089015D">
            <w:pPr>
              <w:spacing w:after="0"/>
              <w:jc w:val="right"/>
              <w:rPr>
                <w:rFonts w:asciiTheme="minorHAnsi" w:hAnsiTheme="minorHAnsi" w:cstheme="minorHAnsi"/>
                <w:sz w:val="20"/>
                <w:szCs w:val="20"/>
              </w:rPr>
            </w:pPr>
            <w:r w:rsidRPr="00DC6F68">
              <w:rPr>
                <w:rFonts w:asciiTheme="minorHAnsi" w:hAnsiTheme="minorHAnsi" w:cstheme="minorHAnsi"/>
                <w:sz w:val="20"/>
                <w:szCs w:val="20"/>
              </w:rPr>
              <w:t>34.1%</w:t>
            </w:r>
          </w:p>
        </w:tc>
        <w:tc>
          <w:tcPr>
            <w:tcW w:w="780" w:type="pct"/>
            <w:tcBorders>
              <w:top w:val="nil"/>
              <w:left w:val="nil"/>
              <w:bottom w:val="single" w:sz="4" w:space="0" w:color="366092"/>
              <w:right w:val="nil"/>
            </w:tcBorders>
            <w:shd w:val="clear" w:color="auto" w:fill="auto"/>
            <w:noWrap/>
          </w:tcPr>
          <w:p w:rsidR="00FB66C9" w:rsidRPr="002922C1" w:rsidRDefault="00FB66C9" w:rsidP="0089015D">
            <w:pPr>
              <w:spacing w:after="0"/>
              <w:jc w:val="right"/>
              <w:rPr>
                <w:rFonts w:asciiTheme="minorHAnsi" w:hAnsiTheme="minorHAnsi" w:cstheme="minorHAnsi"/>
                <w:sz w:val="20"/>
                <w:szCs w:val="20"/>
              </w:rPr>
            </w:pPr>
            <w:r w:rsidRPr="00DC6F68">
              <w:rPr>
                <w:rFonts w:asciiTheme="minorHAnsi" w:hAnsiTheme="minorHAnsi" w:cstheme="minorHAnsi"/>
                <w:sz w:val="20"/>
                <w:szCs w:val="20"/>
              </w:rPr>
              <w:t>44.2%</w:t>
            </w:r>
          </w:p>
        </w:tc>
        <w:tc>
          <w:tcPr>
            <w:tcW w:w="731" w:type="pct"/>
            <w:tcBorders>
              <w:top w:val="nil"/>
              <w:left w:val="nil"/>
              <w:bottom w:val="single" w:sz="4" w:space="0" w:color="366092"/>
              <w:right w:val="nil"/>
            </w:tcBorders>
          </w:tcPr>
          <w:p w:rsidR="00FB66C9" w:rsidRPr="002922C1" w:rsidRDefault="00FB66C9" w:rsidP="0089015D">
            <w:pPr>
              <w:spacing w:after="0"/>
              <w:jc w:val="right"/>
              <w:rPr>
                <w:rFonts w:asciiTheme="minorHAnsi" w:hAnsiTheme="minorHAnsi" w:cstheme="minorHAnsi"/>
                <w:sz w:val="20"/>
                <w:szCs w:val="20"/>
              </w:rPr>
            </w:pPr>
            <w:r w:rsidRPr="00DC6F68">
              <w:rPr>
                <w:rFonts w:asciiTheme="minorHAnsi" w:hAnsiTheme="minorHAnsi" w:cstheme="minorHAnsi"/>
                <w:sz w:val="20"/>
                <w:szCs w:val="20"/>
              </w:rPr>
              <w:t>72.9%</w:t>
            </w:r>
          </w:p>
        </w:tc>
      </w:tr>
      <w:tr w:rsidR="00DC6F68" w:rsidRPr="00797118" w:rsidTr="00DC6F68">
        <w:trPr>
          <w:trHeight w:val="300"/>
        </w:trPr>
        <w:tc>
          <w:tcPr>
            <w:tcW w:w="1193" w:type="pct"/>
            <w:tcBorders>
              <w:top w:val="nil"/>
              <w:left w:val="nil"/>
              <w:bottom w:val="single" w:sz="4" w:space="0" w:color="366092"/>
              <w:right w:val="nil"/>
            </w:tcBorders>
            <w:shd w:val="clear" w:color="auto" w:fill="auto"/>
            <w:noWrap/>
            <w:vAlign w:val="bottom"/>
          </w:tcPr>
          <w:p w:rsidR="00DC6F68" w:rsidRPr="00296D08" w:rsidRDefault="00DC6F68" w:rsidP="00A24D60">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45" w:type="pct"/>
            <w:tcBorders>
              <w:top w:val="nil"/>
              <w:left w:val="nil"/>
              <w:bottom w:val="single" w:sz="4" w:space="0" w:color="366092"/>
              <w:right w:val="nil"/>
            </w:tcBorders>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0.1%</w:t>
            </w:r>
          </w:p>
        </w:tc>
        <w:tc>
          <w:tcPr>
            <w:tcW w:w="838" w:type="pct"/>
            <w:gridSpan w:val="2"/>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13.6%</w:t>
            </w:r>
          </w:p>
        </w:tc>
        <w:tc>
          <w:tcPr>
            <w:tcW w:w="713" w:type="pct"/>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79.5%</w:t>
            </w:r>
          </w:p>
        </w:tc>
        <w:tc>
          <w:tcPr>
            <w:tcW w:w="780" w:type="pct"/>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98.7%</w:t>
            </w:r>
          </w:p>
        </w:tc>
        <w:tc>
          <w:tcPr>
            <w:tcW w:w="731" w:type="pct"/>
            <w:tcBorders>
              <w:top w:val="nil"/>
              <w:left w:val="nil"/>
              <w:bottom w:val="single" w:sz="4" w:space="0" w:color="366092"/>
              <w:right w:val="nil"/>
            </w:tcBorders>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100.0%</w:t>
            </w:r>
          </w:p>
        </w:tc>
      </w:tr>
      <w:tr w:rsidR="00DC6F68" w:rsidRPr="00797118" w:rsidTr="00DC6F68">
        <w:trPr>
          <w:trHeight w:val="300"/>
        </w:trPr>
        <w:tc>
          <w:tcPr>
            <w:tcW w:w="1193" w:type="pct"/>
            <w:tcBorders>
              <w:top w:val="nil"/>
              <w:left w:val="nil"/>
              <w:bottom w:val="single" w:sz="4" w:space="0" w:color="366092"/>
              <w:right w:val="nil"/>
            </w:tcBorders>
            <w:shd w:val="clear" w:color="auto" w:fill="auto"/>
            <w:noWrap/>
            <w:vAlign w:val="bottom"/>
          </w:tcPr>
          <w:p w:rsidR="00DC6F68" w:rsidRPr="00296D08" w:rsidRDefault="00DC6F68" w:rsidP="00A24D60">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45" w:type="pct"/>
            <w:tcBorders>
              <w:top w:val="nil"/>
              <w:left w:val="nil"/>
              <w:bottom w:val="single" w:sz="4" w:space="0" w:color="366092"/>
              <w:right w:val="nil"/>
            </w:tcBorders>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0.6%</w:t>
            </w:r>
          </w:p>
        </w:tc>
        <w:tc>
          <w:tcPr>
            <w:tcW w:w="838" w:type="pct"/>
            <w:gridSpan w:val="2"/>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2.7%</w:t>
            </w:r>
          </w:p>
        </w:tc>
        <w:tc>
          <w:tcPr>
            <w:tcW w:w="713" w:type="pct"/>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4.8%</w:t>
            </w:r>
          </w:p>
        </w:tc>
        <w:tc>
          <w:tcPr>
            <w:tcW w:w="780" w:type="pct"/>
            <w:tcBorders>
              <w:top w:val="nil"/>
              <w:left w:val="nil"/>
              <w:bottom w:val="single" w:sz="4" w:space="0" w:color="366092"/>
              <w:right w:val="nil"/>
            </w:tcBorders>
            <w:shd w:val="clear" w:color="auto" w:fill="auto"/>
            <w:noWrap/>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21.3%</w:t>
            </w:r>
          </w:p>
        </w:tc>
        <w:tc>
          <w:tcPr>
            <w:tcW w:w="731" w:type="pct"/>
            <w:tcBorders>
              <w:top w:val="nil"/>
              <w:left w:val="nil"/>
              <w:bottom w:val="single" w:sz="4" w:space="0" w:color="366092"/>
              <w:right w:val="nil"/>
            </w:tcBorders>
          </w:tcPr>
          <w:p w:rsidR="00DC6F68" w:rsidRPr="002922C1" w:rsidRDefault="00DC6F68" w:rsidP="005C332B">
            <w:pPr>
              <w:spacing w:after="0"/>
              <w:jc w:val="right"/>
              <w:rPr>
                <w:rFonts w:asciiTheme="minorHAnsi" w:hAnsiTheme="minorHAnsi" w:cstheme="minorHAnsi"/>
                <w:sz w:val="20"/>
                <w:szCs w:val="20"/>
              </w:rPr>
            </w:pPr>
            <w:r w:rsidRPr="00DC6F68">
              <w:rPr>
                <w:rFonts w:asciiTheme="minorHAnsi" w:hAnsiTheme="minorHAnsi" w:cstheme="minorHAnsi"/>
                <w:sz w:val="20"/>
                <w:szCs w:val="20"/>
              </w:rPr>
              <w:t>96.3%</w:t>
            </w:r>
          </w:p>
        </w:tc>
      </w:tr>
      <w:tr w:rsidR="00DC6F68" w:rsidRPr="00DC6F68" w:rsidTr="00DC6F68">
        <w:trPr>
          <w:trHeight w:val="300"/>
        </w:trPr>
        <w:tc>
          <w:tcPr>
            <w:tcW w:w="1193" w:type="pct"/>
            <w:tcBorders>
              <w:top w:val="single" w:sz="4" w:space="0" w:color="366092"/>
              <w:left w:val="nil"/>
              <w:bottom w:val="single" w:sz="4" w:space="0" w:color="366092"/>
              <w:right w:val="nil"/>
            </w:tcBorders>
            <w:shd w:val="clear" w:color="000000" w:fill="E5F6F6"/>
            <w:noWrap/>
            <w:vAlign w:val="bottom"/>
          </w:tcPr>
          <w:p w:rsidR="00DC6F68" w:rsidRPr="00DC6F68" w:rsidRDefault="00DC6F68" w:rsidP="00A24D60">
            <w:pPr>
              <w:spacing w:after="0"/>
              <w:rPr>
                <w:rFonts w:asciiTheme="minorHAnsi" w:hAnsiTheme="minorHAnsi" w:cstheme="minorHAnsi"/>
                <w:b/>
                <w:sz w:val="20"/>
                <w:szCs w:val="20"/>
              </w:rPr>
            </w:pPr>
            <w:r w:rsidRPr="00DC6F68">
              <w:rPr>
                <w:rFonts w:asciiTheme="minorHAnsi" w:hAnsiTheme="minorHAnsi" w:cstheme="minorHAnsi"/>
                <w:b/>
                <w:sz w:val="20"/>
                <w:szCs w:val="20"/>
              </w:rPr>
              <w:t>Sector</w:t>
            </w:r>
          </w:p>
        </w:tc>
        <w:tc>
          <w:tcPr>
            <w:tcW w:w="745" w:type="pct"/>
            <w:tcBorders>
              <w:top w:val="single" w:sz="4" w:space="0" w:color="366092"/>
              <w:left w:val="nil"/>
              <w:bottom w:val="single" w:sz="4" w:space="0" w:color="366092"/>
              <w:right w:val="nil"/>
            </w:tcBorders>
            <w:shd w:val="clear" w:color="000000" w:fill="E5F6F6"/>
          </w:tcPr>
          <w:p w:rsidR="00DC6F68" w:rsidRPr="00DC6F68" w:rsidRDefault="00DC6F68" w:rsidP="005C332B">
            <w:pPr>
              <w:spacing w:after="0"/>
              <w:jc w:val="right"/>
              <w:rPr>
                <w:rFonts w:asciiTheme="minorHAnsi" w:hAnsiTheme="minorHAnsi" w:cstheme="minorHAnsi"/>
                <w:b/>
                <w:sz w:val="20"/>
                <w:szCs w:val="20"/>
              </w:rPr>
            </w:pPr>
            <w:r w:rsidRPr="00353F0C">
              <w:rPr>
                <w:rFonts w:asciiTheme="minorHAnsi" w:hAnsiTheme="minorHAnsi" w:cstheme="minorHAnsi"/>
                <w:b/>
                <w:sz w:val="20"/>
                <w:szCs w:val="20"/>
              </w:rPr>
              <w:t>0.1%</w:t>
            </w:r>
          </w:p>
        </w:tc>
        <w:tc>
          <w:tcPr>
            <w:tcW w:w="838" w:type="pct"/>
            <w:gridSpan w:val="2"/>
            <w:tcBorders>
              <w:top w:val="single" w:sz="4" w:space="0" w:color="366092"/>
              <w:left w:val="nil"/>
              <w:bottom w:val="single" w:sz="4" w:space="0" w:color="366092"/>
              <w:right w:val="nil"/>
            </w:tcBorders>
            <w:shd w:val="clear" w:color="000000" w:fill="E5F6F6"/>
            <w:noWrap/>
          </w:tcPr>
          <w:p w:rsidR="00DC6F68" w:rsidRPr="00DC6F68" w:rsidRDefault="00DC6F68" w:rsidP="005C332B">
            <w:pPr>
              <w:spacing w:after="0"/>
              <w:jc w:val="right"/>
              <w:rPr>
                <w:rFonts w:asciiTheme="minorHAnsi" w:hAnsiTheme="minorHAnsi" w:cstheme="minorHAnsi"/>
                <w:b/>
                <w:sz w:val="20"/>
                <w:szCs w:val="20"/>
              </w:rPr>
            </w:pPr>
            <w:r w:rsidRPr="00353F0C">
              <w:rPr>
                <w:rFonts w:asciiTheme="minorHAnsi" w:hAnsiTheme="minorHAnsi" w:cstheme="minorHAnsi"/>
                <w:b/>
                <w:sz w:val="20"/>
                <w:szCs w:val="20"/>
              </w:rPr>
              <w:t>9.2%</w:t>
            </w:r>
          </w:p>
        </w:tc>
        <w:tc>
          <w:tcPr>
            <w:tcW w:w="713" w:type="pct"/>
            <w:tcBorders>
              <w:top w:val="single" w:sz="4" w:space="0" w:color="366092"/>
              <w:left w:val="nil"/>
              <w:bottom w:val="single" w:sz="4" w:space="0" w:color="366092"/>
              <w:right w:val="nil"/>
            </w:tcBorders>
            <w:shd w:val="clear" w:color="000000" w:fill="E5F6F6"/>
            <w:noWrap/>
          </w:tcPr>
          <w:p w:rsidR="00DC6F68" w:rsidRPr="00DC6F68" w:rsidRDefault="00DC6F68" w:rsidP="005C332B">
            <w:pPr>
              <w:spacing w:after="0"/>
              <w:jc w:val="right"/>
              <w:rPr>
                <w:rFonts w:asciiTheme="minorHAnsi" w:hAnsiTheme="minorHAnsi" w:cstheme="minorHAnsi"/>
                <w:b/>
                <w:sz w:val="20"/>
                <w:szCs w:val="20"/>
              </w:rPr>
            </w:pPr>
            <w:r w:rsidRPr="00353F0C">
              <w:rPr>
                <w:rFonts w:asciiTheme="minorHAnsi" w:hAnsiTheme="minorHAnsi" w:cstheme="minorHAnsi"/>
                <w:b/>
                <w:sz w:val="20"/>
                <w:szCs w:val="20"/>
              </w:rPr>
              <w:t>20.5%</w:t>
            </w:r>
          </w:p>
        </w:tc>
        <w:tc>
          <w:tcPr>
            <w:tcW w:w="780" w:type="pct"/>
            <w:tcBorders>
              <w:top w:val="single" w:sz="4" w:space="0" w:color="366092"/>
              <w:left w:val="nil"/>
              <w:bottom w:val="single" w:sz="4" w:space="0" w:color="366092"/>
              <w:right w:val="nil"/>
            </w:tcBorders>
            <w:shd w:val="clear" w:color="000000" w:fill="E5F6F6"/>
            <w:noWrap/>
          </w:tcPr>
          <w:p w:rsidR="00DC6F68" w:rsidRPr="00DC6F68" w:rsidRDefault="00DC6F68" w:rsidP="005C332B">
            <w:pPr>
              <w:spacing w:after="0"/>
              <w:jc w:val="right"/>
              <w:rPr>
                <w:rFonts w:asciiTheme="minorHAnsi" w:hAnsiTheme="minorHAnsi" w:cstheme="minorHAnsi"/>
                <w:b/>
                <w:sz w:val="20"/>
                <w:szCs w:val="20"/>
              </w:rPr>
            </w:pPr>
            <w:r w:rsidRPr="00353F0C">
              <w:rPr>
                <w:rFonts w:asciiTheme="minorHAnsi" w:hAnsiTheme="minorHAnsi" w:cstheme="minorHAnsi"/>
                <w:b/>
                <w:sz w:val="20"/>
                <w:szCs w:val="20"/>
              </w:rPr>
              <w:t>73.7%</w:t>
            </w:r>
          </w:p>
        </w:tc>
        <w:tc>
          <w:tcPr>
            <w:tcW w:w="731" w:type="pct"/>
            <w:tcBorders>
              <w:top w:val="single" w:sz="4" w:space="0" w:color="366092"/>
              <w:left w:val="nil"/>
              <w:bottom w:val="single" w:sz="4" w:space="0" w:color="366092"/>
              <w:right w:val="nil"/>
            </w:tcBorders>
            <w:shd w:val="clear" w:color="000000" w:fill="E5F6F6"/>
          </w:tcPr>
          <w:p w:rsidR="00DC6F68" w:rsidRPr="00DC6F68" w:rsidRDefault="00DC6F68" w:rsidP="005C332B">
            <w:pPr>
              <w:spacing w:after="0"/>
              <w:jc w:val="right"/>
              <w:rPr>
                <w:rFonts w:asciiTheme="minorHAnsi" w:hAnsiTheme="minorHAnsi" w:cstheme="minorHAnsi"/>
                <w:b/>
                <w:sz w:val="20"/>
                <w:szCs w:val="20"/>
              </w:rPr>
            </w:pPr>
            <w:r w:rsidRPr="00353F0C">
              <w:rPr>
                <w:rFonts w:asciiTheme="minorHAnsi" w:hAnsiTheme="minorHAnsi" w:cstheme="minorHAnsi"/>
                <w:b/>
                <w:sz w:val="20"/>
                <w:szCs w:val="20"/>
              </w:rPr>
              <w:t>100.0%</w:t>
            </w:r>
          </w:p>
        </w:tc>
      </w:tr>
    </w:tbl>
    <w:p w:rsidR="00DC6F68" w:rsidRDefault="00DC6F68" w:rsidP="00F851C2">
      <w:pPr>
        <w:pStyle w:val="Figureheading"/>
        <w:spacing w:after="0"/>
        <w:rPr>
          <w:rFonts w:ascii="Georgia" w:hAnsi="Georgia"/>
          <w:sz w:val="20"/>
          <w:szCs w:val="20"/>
        </w:rPr>
      </w:pPr>
    </w:p>
    <w:p w:rsidR="002717F2" w:rsidRDefault="002717F2" w:rsidP="00E65946">
      <w:pPr>
        <w:pStyle w:val="Figureheading"/>
        <w:spacing w:after="0"/>
        <w:rPr>
          <w:rFonts w:ascii="Georgia" w:hAnsi="Georgia"/>
          <w:sz w:val="20"/>
          <w:szCs w:val="20"/>
        </w:rPr>
      </w:pPr>
    </w:p>
    <w:p w:rsidR="001028AD" w:rsidRPr="00130AB7" w:rsidRDefault="001028AD" w:rsidP="009028AB">
      <w:pPr>
        <w:shd w:val="clear" w:color="auto" w:fill="E5ECED" w:themeFill="accent4" w:themeFillTint="66"/>
        <w:spacing w:after="0"/>
        <w:rPr>
          <w:rFonts w:ascii="Arial" w:eastAsiaTheme="minorHAnsi" w:hAnsi="Arial" w:cstheme="minorBidi"/>
          <w:sz w:val="22"/>
          <w:szCs w:val="22"/>
        </w:rPr>
      </w:pPr>
    </w:p>
    <w:p w:rsidR="009E22F4" w:rsidRPr="00353F0C" w:rsidRDefault="009E22F4" w:rsidP="009028AB">
      <w:pPr>
        <w:pStyle w:val="ListParagraph"/>
        <w:numPr>
          <w:ilvl w:val="0"/>
          <w:numId w:val="22"/>
        </w:numPr>
        <w:shd w:val="clear" w:color="auto" w:fill="E5ECED" w:themeFill="accent4" w:themeFillTint="66"/>
        <w:rPr>
          <w:rFonts w:ascii="Arial" w:eastAsiaTheme="minorHAnsi" w:hAnsi="Arial" w:cstheme="minorBidi"/>
          <w:sz w:val="22"/>
          <w:szCs w:val="22"/>
        </w:rPr>
      </w:pPr>
      <w:r w:rsidRPr="00353F0C">
        <w:rPr>
          <w:rFonts w:ascii="Arial" w:eastAsiaTheme="minorHAnsi" w:hAnsi="Arial" w:cstheme="minorBidi"/>
          <w:sz w:val="22"/>
          <w:szCs w:val="22"/>
        </w:rPr>
        <w:t xml:space="preserve">The </w:t>
      </w:r>
      <w:r w:rsidR="009837B5">
        <w:rPr>
          <w:rFonts w:ascii="Arial" w:eastAsiaTheme="minorHAnsi" w:hAnsi="Arial" w:cstheme="minorBidi"/>
          <w:sz w:val="22"/>
          <w:szCs w:val="22"/>
        </w:rPr>
        <w:t>concentration</w:t>
      </w:r>
      <w:r w:rsidRPr="00353F0C">
        <w:rPr>
          <w:rFonts w:ascii="Arial" w:eastAsiaTheme="minorHAnsi" w:hAnsi="Arial" w:cstheme="minorBidi"/>
          <w:sz w:val="22"/>
          <w:szCs w:val="22"/>
        </w:rPr>
        <w:t xml:space="preserve"> of For-Profit providers</w:t>
      </w:r>
      <w:r w:rsidR="00314BC5">
        <w:rPr>
          <w:rFonts w:ascii="Arial" w:eastAsiaTheme="minorHAnsi" w:hAnsi="Arial" w:cstheme="minorBidi"/>
          <w:sz w:val="22"/>
          <w:szCs w:val="22"/>
        </w:rPr>
        <w:t xml:space="preserve"> towards the upper end of the range</w:t>
      </w:r>
      <w:r w:rsidRPr="00353F0C">
        <w:rPr>
          <w:rFonts w:ascii="Arial" w:eastAsiaTheme="minorHAnsi" w:hAnsi="Arial" w:cstheme="minorBidi"/>
          <w:sz w:val="22"/>
          <w:szCs w:val="22"/>
        </w:rPr>
        <w:t xml:space="preserve"> in Figure 1</w:t>
      </w:r>
      <w:r w:rsidR="00DA3FFB">
        <w:rPr>
          <w:rFonts w:ascii="Arial" w:eastAsiaTheme="minorHAnsi" w:hAnsi="Arial" w:cstheme="minorBidi"/>
          <w:sz w:val="22"/>
          <w:szCs w:val="22"/>
        </w:rPr>
        <w:t>7</w:t>
      </w:r>
      <w:r w:rsidRPr="00353F0C">
        <w:rPr>
          <w:rFonts w:ascii="Arial" w:eastAsiaTheme="minorHAnsi" w:hAnsi="Arial" w:cstheme="minorBidi"/>
          <w:sz w:val="22"/>
          <w:szCs w:val="22"/>
        </w:rPr>
        <w:t xml:space="preserve"> is also </w:t>
      </w:r>
      <w:r w:rsidR="00314BC5">
        <w:rPr>
          <w:rFonts w:ascii="Arial" w:eastAsiaTheme="minorHAnsi" w:hAnsi="Arial" w:cstheme="minorBidi"/>
          <w:sz w:val="22"/>
          <w:szCs w:val="22"/>
        </w:rPr>
        <w:t>reflected</w:t>
      </w:r>
      <w:r w:rsidRPr="00353F0C">
        <w:rPr>
          <w:rFonts w:ascii="Arial" w:eastAsiaTheme="minorHAnsi" w:hAnsi="Arial" w:cstheme="minorBidi"/>
          <w:sz w:val="22"/>
          <w:szCs w:val="22"/>
        </w:rPr>
        <w:t xml:space="preserve"> in Table 12</w:t>
      </w:r>
      <w:r w:rsidR="00314BC5">
        <w:rPr>
          <w:rFonts w:ascii="Arial" w:eastAsiaTheme="minorHAnsi" w:hAnsi="Arial" w:cstheme="minorBidi"/>
          <w:sz w:val="22"/>
          <w:szCs w:val="22"/>
        </w:rPr>
        <w:t xml:space="preserve"> which</w:t>
      </w:r>
      <w:r w:rsidRPr="00353F0C">
        <w:rPr>
          <w:rFonts w:ascii="Arial" w:eastAsiaTheme="minorHAnsi" w:hAnsi="Arial" w:cstheme="minorBidi"/>
          <w:sz w:val="22"/>
          <w:szCs w:val="22"/>
        </w:rPr>
        <w:t xml:space="preserve"> shows that </w:t>
      </w:r>
      <w:r w:rsidR="00314BC5">
        <w:rPr>
          <w:rFonts w:ascii="Arial" w:eastAsiaTheme="minorHAnsi" w:hAnsi="Arial" w:cstheme="minorBidi"/>
          <w:sz w:val="22"/>
          <w:szCs w:val="22"/>
        </w:rPr>
        <w:t xml:space="preserve">the </w:t>
      </w:r>
      <w:r w:rsidRPr="00353F0C">
        <w:rPr>
          <w:rFonts w:ascii="Arial" w:eastAsiaTheme="minorHAnsi" w:hAnsi="Arial" w:cstheme="minorBidi"/>
          <w:sz w:val="22"/>
          <w:szCs w:val="22"/>
        </w:rPr>
        <w:t xml:space="preserve">median international student </w:t>
      </w:r>
      <w:r w:rsidR="004C1A9D">
        <w:rPr>
          <w:rFonts w:ascii="Arial" w:eastAsiaTheme="minorHAnsi" w:hAnsi="Arial" w:cstheme="minorBidi"/>
          <w:sz w:val="22"/>
          <w:szCs w:val="22"/>
        </w:rPr>
        <w:t>revenue</w:t>
      </w:r>
      <w:r w:rsidR="00314BC5">
        <w:rPr>
          <w:rFonts w:ascii="Arial" w:eastAsiaTheme="minorHAnsi" w:hAnsi="Arial" w:cstheme="minorBidi"/>
          <w:sz w:val="22"/>
          <w:szCs w:val="22"/>
        </w:rPr>
        <w:t xml:space="preserve"> proportionate to higher education revenue</w:t>
      </w:r>
      <w:r w:rsidRPr="00353F0C">
        <w:rPr>
          <w:rFonts w:ascii="Arial" w:eastAsiaTheme="minorHAnsi" w:hAnsi="Arial" w:cstheme="minorBidi"/>
          <w:sz w:val="22"/>
          <w:szCs w:val="22"/>
        </w:rPr>
        <w:t xml:space="preserve"> to be 79.5%. This is not only higher than the sector median, but also higher than the sector third quartile of 73.7%. </w:t>
      </w:r>
    </w:p>
    <w:p w:rsidR="009E22F4" w:rsidRPr="00353F0C" w:rsidRDefault="009E22F4">
      <w:pPr>
        <w:pStyle w:val="ListParagraph"/>
        <w:numPr>
          <w:ilvl w:val="0"/>
          <w:numId w:val="22"/>
        </w:numPr>
        <w:shd w:val="clear" w:color="auto" w:fill="E5ECED" w:themeFill="accent4" w:themeFillTint="66"/>
        <w:rPr>
          <w:rFonts w:ascii="Arial" w:eastAsiaTheme="minorHAnsi" w:hAnsi="Arial" w:cstheme="minorBidi"/>
          <w:sz w:val="22"/>
          <w:szCs w:val="22"/>
        </w:rPr>
      </w:pPr>
      <w:r w:rsidRPr="00353F0C">
        <w:rPr>
          <w:rFonts w:ascii="Arial" w:eastAsiaTheme="minorHAnsi" w:hAnsi="Arial" w:cstheme="minorBidi"/>
          <w:sz w:val="22"/>
          <w:szCs w:val="22"/>
        </w:rPr>
        <w:t xml:space="preserve">In </w:t>
      </w:r>
      <w:r w:rsidR="00314BC5">
        <w:rPr>
          <w:rFonts w:ascii="Arial" w:eastAsiaTheme="minorHAnsi" w:hAnsi="Arial" w:cstheme="minorBidi"/>
          <w:sz w:val="22"/>
          <w:szCs w:val="22"/>
        </w:rPr>
        <w:t>contrast</w:t>
      </w:r>
      <w:r w:rsidRPr="00353F0C">
        <w:rPr>
          <w:rFonts w:ascii="Arial" w:eastAsiaTheme="minorHAnsi" w:hAnsi="Arial" w:cstheme="minorBidi"/>
          <w:sz w:val="22"/>
          <w:szCs w:val="22"/>
        </w:rPr>
        <w:t>, Not-For-Profit</w:t>
      </w:r>
      <w:r w:rsidR="00314BC5">
        <w:rPr>
          <w:rFonts w:ascii="Arial" w:eastAsiaTheme="minorHAnsi" w:hAnsi="Arial" w:cstheme="minorBidi"/>
          <w:sz w:val="22"/>
          <w:szCs w:val="22"/>
        </w:rPr>
        <w:t xml:space="preserve"> providers had the lowest median</w:t>
      </w:r>
      <w:r w:rsidRPr="00353F0C">
        <w:rPr>
          <w:rFonts w:ascii="Arial" w:eastAsiaTheme="minorHAnsi" w:hAnsi="Arial" w:cstheme="minorBidi"/>
          <w:sz w:val="22"/>
          <w:szCs w:val="22"/>
        </w:rPr>
        <w:t xml:space="preserve"> </w:t>
      </w:r>
      <w:r w:rsidR="00314BC5">
        <w:rPr>
          <w:rFonts w:ascii="Arial" w:eastAsiaTheme="minorHAnsi" w:hAnsi="Arial" w:cstheme="minorBidi"/>
          <w:sz w:val="22"/>
          <w:szCs w:val="22"/>
        </w:rPr>
        <w:t xml:space="preserve">proportion of </w:t>
      </w:r>
      <w:r w:rsidRPr="00353F0C">
        <w:rPr>
          <w:rFonts w:ascii="Arial" w:eastAsiaTheme="minorHAnsi" w:hAnsi="Arial" w:cstheme="minorBidi"/>
          <w:sz w:val="22"/>
          <w:szCs w:val="22"/>
        </w:rPr>
        <w:t xml:space="preserve">international student </w:t>
      </w:r>
      <w:r w:rsidR="00FB66C9">
        <w:rPr>
          <w:rFonts w:ascii="Arial" w:eastAsiaTheme="minorHAnsi" w:hAnsi="Arial" w:cstheme="minorBidi"/>
          <w:sz w:val="22"/>
          <w:szCs w:val="22"/>
        </w:rPr>
        <w:t>fees</w:t>
      </w:r>
      <w:r w:rsidR="00314BC5">
        <w:rPr>
          <w:rFonts w:ascii="Arial" w:eastAsiaTheme="minorHAnsi" w:hAnsi="Arial" w:cstheme="minorBidi"/>
          <w:sz w:val="22"/>
          <w:szCs w:val="22"/>
        </w:rPr>
        <w:t xml:space="preserve"> relative to </w:t>
      </w:r>
      <w:r w:rsidR="00C16956">
        <w:rPr>
          <w:rFonts w:ascii="Arial" w:eastAsiaTheme="minorHAnsi" w:hAnsi="Arial" w:cstheme="minorBidi"/>
          <w:sz w:val="22"/>
          <w:szCs w:val="22"/>
        </w:rPr>
        <w:t>total</w:t>
      </w:r>
      <w:r w:rsidR="00314BC5">
        <w:rPr>
          <w:rFonts w:ascii="Arial" w:eastAsiaTheme="minorHAnsi" w:hAnsi="Arial" w:cstheme="minorBidi"/>
          <w:sz w:val="22"/>
          <w:szCs w:val="22"/>
        </w:rPr>
        <w:t xml:space="preserve"> higher education revenue of </w:t>
      </w:r>
      <w:r w:rsidRPr="00353F0C">
        <w:rPr>
          <w:rFonts w:ascii="Arial" w:eastAsiaTheme="minorHAnsi" w:hAnsi="Arial" w:cstheme="minorBidi"/>
          <w:sz w:val="22"/>
          <w:szCs w:val="22"/>
        </w:rPr>
        <w:t xml:space="preserve">4.8%. </w:t>
      </w:r>
    </w:p>
    <w:p w:rsidR="009E22F4" w:rsidRPr="009E22F4" w:rsidRDefault="00314BC5" w:rsidP="009E22F4">
      <w:pPr>
        <w:pStyle w:val="ListParagraph"/>
        <w:numPr>
          <w:ilvl w:val="0"/>
          <w:numId w:val="22"/>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D</w:t>
      </w:r>
      <w:r w:rsidR="009E22F4" w:rsidRPr="00353F0C">
        <w:rPr>
          <w:rFonts w:ascii="Arial" w:eastAsiaTheme="minorHAnsi" w:hAnsi="Arial" w:cstheme="minorBidi"/>
          <w:sz w:val="22"/>
          <w:szCs w:val="22"/>
        </w:rPr>
        <w:t xml:space="preserve">espite generating </w:t>
      </w:r>
      <w:r w:rsidR="009E22F4" w:rsidRPr="009E22F4">
        <w:rPr>
          <w:rFonts w:ascii="Arial" w:eastAsiaTheme="minorHAnsi" w:hAnsi="Arial" w:cstheme="minorBidi"/>
          <w:sz w:val="22"/>
          <w:szCs w:val="22"/>
        </w:rPr>
        <w:t xml:space="preserve">87% of the sector’s international student </w:t>
      </w:r>
      <w:r w:rsidR="004C1A9D">
        <w:rPr>
          <w:rFonts w:ascii="Arial" w:eastAsiaTheme="minorHAnsi" w:hAnsi="Arial" w:cstheme="minorBidi"/>
          <w:sz w:val="22"/>
          <w:szCs w:val="22"/>
        </w:rPr>
        <w:t>revenue</w:t>
      </w:r>
      <w:r w:rsidR="00035392">
        <w:rPr>
          <w:rFonts w:ascii="Arial" w:eastAsiaTheme="minorHAnsi" w:hAnsi="Arial" w:cstheme="minorBidi"/>
          <w:sz w:val="22"/>
          <w:szCs w:val="22"/>
        </w:rPr>
        <w:t>,</w:t>
      </w:r>
      <w:r>
        <w:rPr>
          <w:rFonts w:ascii="Arial" w:eastAsiaTheme="minorHAnsi" w:hAnsi="Arial" w:cstheme="minorBidi"/>
          <w:sz w:val="22"/>
          <w:szCs w:val="22"/>
        </w:rPr>
        <w:t xml:space="preserve"> universities median international student </w:t>
      </w:r>
      <w:r w:rsidR="004C1A9D">
        <w:rPr>
          <w:rFonts w:ascii="Arial" w:eastAsiaTheme="minorHAnsi" w:hAnsi="Arial" w:cstheme="minorBidi"/>
          <w:sz w:val="22"/>
          <w:szCs w:val="22"/>
        </w:rPr>
        <w:t>revenue</w:t>
      </w:r>
      <w:r>
        <w:rPr>
          <w:rFonts w:ascii="Arial" w:eastAsiaTheme="minorHAnsi" w:hAnsi="Arial" w:cstheme="minorBidi"/>
          <w:sz w:val="22"/>
          <w:szCs w:val="22"/>
        </w:rPr>
        <w:t xml:space="preserve"> proportion was 19.3%</w:t>
      </w:r>
      <w:r w:rsidR="00E92F64">
        <w:rPr>
          <w:rFonts w:ascii="Arial" w:eastAsiaTheme="minorHAnsi" w:hAnsi="Arial" w:cstheme="minorBidi"/>
          <w:sz w:val="22"/>
          <w:szCs w:val="22"/>
        </w:rPr>
        <w:t xml:space="preserve"> of its higher education revenue</w:t>
      </w:r>
      <w:r w:rsidR="009E22F4" w:rsidRPr="009E22F4">
        <w:rPr>
          <w:rFonts w:ascii="Arial" w:eastAsiaTheme="minorHAnsi" w:hAnsi="Arial" w:cstheme="minorBidi"/>
          <w:sz w:val="22"/>
          <w:szCs w:val="22"/>
        </w:rPr>
        <w:t>.</w:t>
      </w:r>
    </w:p>
    <w:p w:rsidR="009E22F4" w:rsidRPr="00353F0C" w:rsidRDefault="009E22F4" w:rsidP="00353F0C">
      <w:pPr>
        <w:shd w:val="clear" w:color="auto" w:fill="E5ECED" w:themeFill="accent4" w:themeFillTint="66"/>
        <w:rPr>
          <w:rFonts w:ascii="Arial" w:eastAsiaTheme="minorHAnsi" w:hAnsi="Arial" w:cstheme="minorBidi"/>
          <w:sz w:val="22"/>
          <w:szCs w:val="22"/>
        </w:rPr>
      </w:pPr>
    </w:p>
    <w:p w:rsidR="00E65946" w:rsidRPr="005C332B" w:rsidRDefault="00E65946" w:rsidP="00E65946">
      <w:pPr>
        <w:spacing w:after="0" w:line="240" w:lineRule="auto"/>
        <w:rPr>
          <w:rFonts w:ascii="Arial" w:eastAsiaTheme="minorHAnsi" w:hAnsi="Arial" w:cstheme="minorBidi"/>
          <w:sz w:val="22"/>
          <w:szCs w:val="22"/>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Pr="003B6D8C" w:rsidRDefault="00473E4B" w:rsidP="00473E4B">
      <w:pPr>
        <w:spacing w:after="0" w:line="240" w:lineRule="auto"/>
        <w:jc w:val="center"/>
        <w:rPr>
          <w:color w:val="FFFFFF" w:themeColor="background2"/>
          <w:sz w:val="40"/>
          <w:szCs w:val="40"/>
        </w:rPr>
      </w:pPr>
      <w:r w:rsidRPr="003B6D8C">
        <w:rPr>
          <w:color w:val="FFFFFF" w:themeColor="background2"/>
        </w:rPr>
        <w:lastRenderedPageBreak/>
        <w:t>THIS PAGE HAS BEEN INTENTIONALLY LEFT BLANK</w:t>
      </w: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C65E0B" w:rsidRDefault="00C65E0B" w:rsidP="003B6D8C">
      <w:pPr>
        <w:spacing w:after="0" w:line="240" w:lineRule="auto"/>
        <w:jc w:val="center"/>
        <w:rPr>
          <w:sz w:val="40"/>
          <w:szCs w:val="40"/>
        </w:rPr>
      </w:pPr>
    </w:p>
    <w:p w:rsidR="00473E4B" w:rsidRPr="000B3959" w:rsidRDefault="00D7367C" w:rsidP="003B6D8C">
      <w:pPr>
        <w:spacing w:after="0" w:line="240" w:lineRule="auto"/>
        <w:jc w:val="center"/>
        <w:rPr>
          <w:rFonts w:asciiTheme="minorHAnsi" w:hAnsiTheme="minorHAnsi" w:cstheme="minorHAnsi"/>
          <w:caps/>
        </w:rPr>
      </w:pPr>
      <w:r w:rsidRPr="000B3959">
        <w:rPr>
          <w:rFonts w:asciiTheme="minorHAnsi" w:hAnsiTheme="minorHAnsi" w:cstheme="minorHAnsi"/>
          <w:caps/>
          <w:color w:val="407680" w:themeColor="accent2"/>
        </w:rPr>
        <w:t>This page has been intentionally left blank</w:t>
      </w:r>
      <w:r w:rsidRPr="000B3959">
        <w:rPr>
          <w:rFonts w:asciiTheme="minorHAnsi" w:hAnsiTheme="minorHAnsi" w:cstheme="minorHAnsi"/>
          <w:caps/>
        </w:rPr>
        <w:t xml:space="preserve"> </w:t>
      </w:r>
      <w:r w:rsidR="00473E4B" w:rsidRPr="000B3959">
        <w:rPr>
          <w:rFonts w:asciiTheme="minorHAnsi" w:hAnsiTheme="minorHAnsi" w:cstheme="minorHAnsi"/>
          <w:caps/>
        </w:rPr>
        <w:br w:type="page"/>
      </w:r>
    </w:p>
    <w:p w:rsidR="00473E4B" w:rsidRDefault="00ED3FCC">
      <w:pPr>
        <w:spacing w:after="0" w:line="240" w:lineRule="auto"/>
        <w:rPr>
          <w:sz w:val="40"/>
          <w:szCs w:val="40"/>
        </w:rPr>
      </w:pPr>
      <w:r>
        <w:rPr>
          <w:noProof/>
          <w:lang w:eastAsia="en-AU"/>
        </w:rPr>
        <w:lastRenderedPageBreak/>
        <w:drawing>
          <wp:anchor distT="0" distB="0" distL="114300" distR="114300" simplePos="0" relativeHeight="251659776" behindDoc="1" locked="0" layoutInCell="1" allowOverlap="1" wp14:anchorId="7E91ABDD" wp14:editId="357B3300">
            <wp:simplePos x="0" y="0"/>
            <wp:positionH relativeFrom="column">
              <wp:posOffset>-802640</wp:posOffset>
            </wp:positionH>
            <wp:positionV relativeFrom="paragraph">
              <wp:posOffset>-715645</wp:posOffset>
            </wp:positionV>
            <wp:extent cx="7555230" cy="10696575"/>
            <wp:effectExtent l="0" t="0" r="0" b="0"/>
            <wp:wrapNone/>
            <wp:docPr id="385" name="Picture 385" descr="\\FSTEQ1\Groups\Corporate\Communications\Publication Support\Design\PRINT\Key Finanacial Metrics report 2016\September\KFM_Sept2016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EQ1\Groups\Corporate\Communications\Publication Support\Design\PRINT\Key Finanacial Metrics report 2016\September\KFM_Sept2016_v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5523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Pr="00832A5D" w:rsidRDefault="00DC28B1" w:rsidP="00557372">
      <w:pPr>
        <w:spacing w:after="0" w:line="240" w:lineRule="auto"/>
        <w:jc w:val="right"/>
        <w:rPr>
          <w:rFonts w:asciiTheme="majorHAnsi" w:eastAsiaTheme="majorEastAsia" w:hAnsiTheme="majorHAnsi" w:cstheme="majorBidi"/>
          <w:b/>
          <w:bCs/>
          <w:noProof/>
          <w:color w:val="00353F" w:themeColor="accent1" w:themeShade="BF"/>
          <w:sz w:val="40"/>
          <w:szCs w:val="40"/>
          <w:lang w:eastAsia="en-AU"/>
        </w:rPr>
      </w:pPr>
      <w:r w:rsidRPr="00832A5D">
        <w:rPr>
          <w:rFonts w:asciiTheme="majorHAnsi" w:eastAsiaTheme="majorEastAsia" w:hAnsiTheme="majorHAnsi" w:cstheme="majorBidi"/>
          <w:b/>
          <w:bCs/>
          <w:noProof/>
          <w:color w:val="00353F" w:themeColor="accent1" w:themeShade="BF"/>
          <w:sz w:val="40"/>
          <w:szCs w:val="40"/>
          <w:lang w:eastAsia="en-AU"/>
        </w:rPr>
        <w:t>APPENDICES</w:t>
      </w:r>
    </w:p>
    <w:p w:rsidR="00473E4B" w:rsidRDefault="00473E4B">
      <w:pPr>
        <w:spacing w:after="0" w:line="240" w:lineRule="auto"/>
        <w:rPr>
          <w:sz w:val="40"/>
          <w:szCs w:val="40"/>
        </w:rPr>
      </w:pPr>
    </w:p>
    <w:p w:rsidR="00473E4B" w:rsidRDefault="00473E4B">
      <w:pPr>
        <w:spacing w:after="0" w:line="240" w:lineRule="auto"/>
        <w:rPr>
          <w:sz w:val="40"/>
          <w:szCs w:val="40"/>
        </w:rPr>
      </w:pPr>
    </w:p>
    <w:p w:rsidR="00473E4B" w:rsidRDefault="00473E4B">
      <w:pPr>
        <w:spacing w:after="0" w:line="240" w:lineRule="auto"/>
        <w:rPr>
          <w:rFonts w:asciiTheme="majorHAnsi" w:eastAsiaTheme="majorEastAsia" w:hAnsiTheme="majorHAnsi" w:cstheme="majorBidi"/>
          <w:b/>
          <w:bCs/>
          <w:noProof/>
          <w:color w:val="00353F" w:themeColor="accent1" w:themeShade="BF"/>
          <w:sz w:val="40"/>
          <w:szCs w:val="40"/>
          <w:lang w:eastAsia="en-AU"/>
        </w:rPr>
      </w:pPr>
      <w:r>
        <w:rPr>
          <w:sz w:val="40"/>
          <w:szCs w:val="40"/>
        </w:rPr>
        <w:br w:type="page"/>
      </w:r>
    </w:p>
    <w:p w:rsidR="000A2DB2" w:rsidRPr="00507271" w:rsidRDefault="00F91CAE" w:rsidP="00E31FF9">
      <w:pPr>
        <w:pStyle w:val="H1"/>
        <w:spacing w:after="240"/>
        <w:rPr>
          <w:sz w:val="40"/>
          <w:szCs w:val="40"/>
        </w:rPr>
      </w:pPr>
      <w:bookmarkStart w:id="24" w:name="_Toc467075178"/>
      <w:r w:rsidRPr="00507271">
        <w:rPr>
          <w:sz w:val="40"/>
          <w:szCs w:val="40"/>
        </w:rPr>
        <w:lastRenderedPageBreak/>
        <w:t xml:space="preserve">Appendix A: </w:t>
      </w:r>
      <w:r w:rsidR="006711DD" w:rsidRPr="00507271">
        <w:rPr>
          <w:sz w:val="40"/>
          <w:szCs w:val="40"/>
        </w:rPr>
        <w:t>Universit</w:t>
      </w:r>
      <w:r w:rsidR="00A53586" w:rsidRPr="00507271">
        <w:rPr>
          <w:sz w:val="40"/>
          <w:szCs w:val="40"/>
        </w:rPr>
        <w:t>ies</w:t>
      </w:r>
      <w:bookmarkEnd w:id="24"/>
    </w:p>
    <w:p w:rsidR="003525A1" w:rsidRDefault="00414859" w:rsidP="00C44144">
      <w:pPr>
        <w:spacing w:after="0" w:line="240" w:lineRule="auto"/>
        <w:rPr>
          <w:rFonts w:ascii="Arial" w:eastAsiaTheme="minorHAnsi" w:hAnsi="Arial" w:cstheme="minorBidi"/>
          <w:sz w:val="22"/>
          <w:szCs w:val="22"/>
        </w:rPr>
      </w:pPr>
      <w:r>
        <w:rPr>
          <w:rFonts w:ascii="Arial" w:eastAsiaTheme="minorHAnsi" w:hAnsi="Arial" w:cstheme="minorBidi"/>
          <w:sz w:val="22"/>
          <w:szCs w:val="22"/>
        </w:rPr>
        <w:t>In</w:t>
      </w:r>
      <w:r w:rsidR="001567F7" w:rsidRPr="00507271">
        <w:rPr>
          <w:rFonts w:ascii="Arial" w:eastAsiaTheme="minorHAnsi" w:hAnsi="Arial" w:cstheme="minorBidi"/>
          <w:sz w:val="22"/>
          <w:szCs w:val="22"/>
        </w:rPr>
        <w:t xml:space="preserve"> </w:t>
      </w:r>
      <w:r w:rsidR="00507271" w:rsidRPr="00507271">
        <w:rPr>
          <w:rFonts w:ascii="Arial" w:eastAsiaTheme="minorHAnsi" w:hAnsi="Arial" w:cstheme="minorBidi"/>
          <w:sz w:val="22"/>
          <w:szCs w:val="22"/>
        </w:rPr>
        <w:t>August</w:t>
      </w:r>
      <w:r w:rsidR="001567F7" w:rsidRPr="00507271">
        <w:rPr>
          <w:rFonts w:ascii="Arial" w:eastAsiaTheme="minorHAnsi" w:hAnsi="Arial" w:cstheme="minorBidi"/>
          <w:sz w:val="22"/>
          <w:szCs w:val="22"/>
        </w:rPr>
        <w:t xml:space="preserve"> </w:t>
      </w:r>
      <w:r w:rsidR="00507271" w:rsidRPr="00507271">
        <w:rPr>
          <w:rFonts w:ascii="Arial" w:eastAsiaTheme="minorHAnsi" w:hAnsi="Arial" w:cstheme="minorBidi"/>
          <w:sz w:val="22"/>
          <w:szCs w:val="22"/>
        </w:rPr>
        <w:t>2016</w:t>
      </w:r>
      <w:r w:rsidR="001567F7" w:rsidRPr="00507271">
        <w:rPr>
          <w:rFonts w:ascii="Arial" w:eastAsiaTheme="minorHAnsi" w:hAnsi="Arial" w:cstheme="minorBidi"/>
          <w:sz w:val="22"/>
          <w:szCs w:val="22"/>
        </w:rPr>
        <w:t>, t</w:t>
      </w:r>
      <w:r w:rsidR="00C44144" w:rsidRPr="00507271">
        <w:rPr>
          <w:rFonts w:ascii="Arial" w:eastAsiaTheme="minorHAnsi" w:hAnsi="Arial" w:cstheme="minorBidi"/>
          <w:sz w:val="22"/>
          <w:szCs w:val="22"/>
        </w:rPr>
        <w:t xml:space="preserve">here </w:t>
      </w:r>
      <w:r w:rsidR="001567F7" w:rsidRPr="00507271">
        <w:rPr>
          <w:rFonts w:ascii="Arial" w:eastAsiaTheme="minorHAnsi" w:hAnsi="Arial" w:cstheme="minorBidi"/>
          <w:sz w:val="22"/>
          <w:szCs w:val="22"/>
        </w:rPr>
        <w:t>were</w:t>
      </w:r>
      <w:r w:rsidR="00C44144" w:rsidRPr="00507271">
        <w:rPr>
          <w:rFonts w:ascii="Arial" w:eastAsiaTheme="minorHAnsi" w:hAnsi="Arial" w:cstheme="minorBidi"/>
          <w:sz w:val="22"/>
          <w:szCs w:val="22"/>
        </w:rPr>
        <w:t xml:space="preserve"> 43 </w:t>
      </w:r>
      <w:r w:rsidR="000A4105">
        <w:rPr>
          <w:rFonts w:ascii="Arial" w:eastAsiaTheme="minorHAnsi" w:hAnsi="Arial" w:cstheme="minorBidi"/>
          <w:sz w:val="22"/>
          <w:szCs w:val="22"/>
        </w:rPr>
        <w:t>u</w:t>
      </w:r>
      <w:r w:rsidR="00C44144" w:rsidRPr="00507271">
        <w:rPr>
          <w:rFonts w:ascii="Arial" w:eastAsiaTheme="minorHAnsi" w:hAnsi="Arial" w:cstheme="minorBidi"/>
          <w:sz w:val="22"/>
          <w:szCs w:val="22"/>
        </w:rPr>
        <w:t>niversities</w:t>
      </w:r>
      <w:r w:rsidR="00C44144" w:rsidRPr="00C44144">
        <w:rPr>
          <w:rFonts w:ascii="Arial" w:eastAsiaTheme="minorHAnsi" w:hAnsi="Arial" w:cstheme="minorBidi"/>
          <w:sz w:val="22"/>
          <w:szCs w:val="22"/>
        </w:rPr>
        <w:t xml:space="preserve"> </w:t>
      </w:r>
      <w:r w:rsidR="00E904EB">
        <w:rPr>
          <w:rFonts w:ascii="Arial" w:eastAsiaTheme="minorHAnsi" w:hAnsi="Arial" w:cstheme="minorBidi"/>
          <w:sz w:val="22"/>
          <w:szCs w:val="22"/>
        </w:rPr>
        <w:t>registered in Australia</w:t>
      </w:r>
      <w:r w:rsidR="00A53586">
        <w:rPr>
          <w:rFonts w:ascii="Arial" w:eastAsiaTheme="minorHAnsi" w:hAnsi="Arial" w:cstheme="minorBidi"/>
          <w:sz w:val="22"/>
          <w:szCs w:val="22"/>
        </w:rPr>
        <w:t>.</w:t>
      </w:r>
      <w:r w:rsidR="00E904EB">
        <w:rPr>
          <w:rFonts w:ascii="Arial" w:eastAsiaTheme="minorHAnsi" w:hAnsi="Arial" w:cstheme="minorBidi"/>
          <w:sz w:val="22"/>
          <w:szCs w:val="22"/>
        </w:rPr>
        <w:t xml:space="preserve"> </w:t>
      </w:r>
      <w:r w:rsidR="00A0617F">
        <w:rPr>
          <w:rFonts w:ascii="Arial" w:eastAsiaTheme="minorHAnsi" w:hAnsi="Arial" w:cstheme="minorBidi"/>
          <w:sz w:val="22"/>
          <w:szCs w:val="22"/>
        </w:rPr>
        <w:t xml:space="preserve">Universities </w:t>
      </w:r>
      <w:r w:rsidR="00C44144" w:rsidRPr="00C44144">
        <w:rPr>
          <w:rFonts w:ascii="Arial" w:eastAsiaTheme="minorHAnsi" w:hAnsi="Arial" w:cstheme="minorBidi"/>
          <w:sz w:val="22"/>
          <w:szCs w:val="22"/>
        </w:rPr>
        <w:t>are not-for-profit</w:t>
      </w:r>
      <w:r w:rsidR="00F84BD8">
        <w:rPr>
          <w:rFonts w:ascii="Arial" w:eastAsiaTheme="minorHAnsi" w:hAnsi="Arial" w:cstheme="minorBidi"/>
          <w:sz w:val="22"/>
          <w:szCs w:val="22"/>
        </w:rPr>
        <w:t xml:space="preserve">, except for </w:t>
      </w:r>
      <w:r w:rsidR="00C44144" w:rsidRPr="00C44144">
        <w:rPr>
          <w:rFonts w:ascii="Arial" w:eastAsiaTheme="minorHAnsi" w:hAnsi="Arial" w:cstheme="minorBidi"/>
          <w:sz w:val="22"/>
          <w:szCs w:val="22"/>
        </w:rPr>
        <w:t>Torrens University</w:t>
      </w:r>
      <w:r w:rsidR="00A53586">
        <w:rPr>
          <w:rFonts w:ascii="Arial" w:eastAsiaTheme="minorHAnsi" w:hAnsi="Arial" w:cstheme="minorBidi"/>
          <w:sz w:val="22"/>
          <w:szCs w:val="22"/>
        </w:rPr>
        <w:t xml:space="preserve"> Australia</w:t>
      </w:r>
      <w:r w:rsidR="00F84BD8">
        <w:rPr>
          <w:rFonts w:ascii="Arial" w:eastAsiaTheme="minorHAnsi" w:hAnsi="Arial" w:cstheme="minorBidi"/>
          <w:sz w:val="22"/>
          <w:szCs w:val="22"/>
        </w:rPr>
        <w:t xml:space="preserve">, which is </w:t>
      </w:r>
      <w:r w:rsidR="00C44144" w:rsidRPr="00C44144">
        <w:rPr>
          <w:rFonts w:ascii="Arial" w:eastAsiaTheme="minorHAnsi" w:hAnsi="Arial" w:cstheme="minorBidi"/>
          <w:sz w:val="22"/>
          <w:szCs w:val="22"/>
        </w:rPr>
        <w:t>a for-profit subsidiary of Laureate International.</w:t>
      </w:r>
    </w:p>
    <w:p w:rsidR="006C4591" w:rsidRDefault="006C4591" w:rsidP="006C4591">
      <w:pPr>
        <w:pStyle w:val="H3"/>
      </w:pPr>
      <w:r>
        <w:t>Revenue concentration</w:t>
      </w:r>
    </w:p>
    <w:p w:rsidR="00C75546" w:rsidRPr="00E31FF9" w:rsidDel="0024327E" w:rsidRDefault="0049683B" w:rsidP="009B2433">
      <w:pPr>
        <w:rPr>
          <w:rFonts w:ascii="Arial" w:eastAsiaTheme="minorHAnsi" w:hAnsi="Arial" w:cstheme="minorBidi"/>
          <w:sz w:val="20"/>
          <w:szCs w:val="20"/>
        </w:rPr>
      </w:pPr>
      <w:r w:rsidRPr="0081750E"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1</w:t>
      </w:r>
      <w:r w:rsidR="00D62AA3">
        <w:rPr>
          <w:rFonts w:ascii="Georgia" w:hAnsi="Georgia" w:cs="Arial"/>
          <w:b/>
          <w:color w:val="004855" w:themeColor="text1"/>
          <w:sz w:val="20"/>
          <w:szCs w:val="20"/>
          <w:lang w:val="en-US"/>
        </w:rPr>
        <w:t>8</w:t>
      </w:r>
      <w:r w:rsidRPr="0081750E" w:rsidDel="0024327E">
        <w:rPr>
          <w:rFonts w:ascii="Georgia" w:hAnsi="Georgia" w:cs="Arial"/>
          <w:b/>
          <w:color w:val="004855" w:themeColor="text1"/>
          <w:sz w:val="20"/>
          <w:szCs w:val="20"/>
          <w:lang w:val="en-US"/>
        </w:rPr>
        <w:t>: Revenue concentration</w:t>
      </w:r>
      <w:r w:rsidR="00D91F27" w:rsidRPr="0081750E" w:rsidDel="0024327E">
        <w:rPr>
          <w:rFonts w:ascii="Georgia" w:hAnsi="Georgia" w:cs="Arial"/>
          <w:b/>
          <w:color w:val="004855" w:themeColor="text1"/>
          <w:sz w:val="20"/>
          <w:szCs w:val="20"/>
          <w:lang w:val="en-US"/>
        </w:rPr>
        <w:t>, Universities</w:t>
      </w:r>
    </w:p>
    <w:p w:rsidR="00C75546" w:rsidRDefault="00A06E87" w:rsidP="00C44144">
      <w:pPr>
        <w:spacing w:after="0" w:line="240" w:lineRule="auto"/>
        <w:rPr>
          <w:rFonts w:ascii="Arial" w:eastAsiaTheme="minorHAnsi" w:hAnsi="Arial" w:cstheme="minorBidi"/>
          <w:sz w:val="22"/>
          <w:szCs w:val="22"/>
        </w:rPr>
      </w:pPr>
      <w:r w:rsidRPr="00627B3A">
        <w:rPr>
          <w:rFonts w:ascii="Arial" w:eastAsiaTheme="minorHAnsi" w:hAnsi="Arial" w:cstheme="minorBidi"/>
          <w:noProof/>
          <w:sz w:val="22"/>
          <w:szCs w:val="22"/>
          <w:lang w:eastAsia="en-AU"/>
        </w:rPr>
        <w:drawing>
          <wp:inline distT="0" distB="0" distL="0" distR="0" wp14:anchorId="52605F31" wp14:editId="5630AC9F">
            <wp:extent cx="5935132" cy="2091266"/>
            <wp:effectExtent l="0" t="0" r="889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1060" cy="2093355"/>
                    </a:xfrm>
                    <a:prstGeom prst="rect">
                      <a:avLst/>
                    </a:prstGeom>
                    <a:noFill/>
                    <a:ln>
                      <a:noFill/>
                    </a:ln>
                  </pic:spPr>
                </pic:pic>
              </a:graphicData>
            </a:graphic>
          </wp:inline>
        </w:drawing>
      </w:r>
    </w:p>
    <w:p w:rsidR="0024327E" w:rsidRDefault="0024327E" w:rsidP="00C44144">
      <w:pPr>
        <w:spacing w:after="0" w:line="240" w:lineRule="auto"/>
        <w:rPr>
          <w:rFonts w:ascii="Arial" w:eastAsiaTheme="minorHAnsi" w:hAnsi="Arial" w:cstheme="minorBidi"/>
          <w:sz w:val="22"/>
          <w:szCs w:val="22"/>
        </w:rPr>
      </w:pPr>
    </w:p>
    <w:p w:rsidR="006C4591" w:rsidRPr="00E31FF9" w:rsidRDefault="00D0012B" w:rsidP="006C4591">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Table 1</w:t>
      </w:r>
      <w:r w:rsidR="00127249">
        <w:rPr>
          <w:rFonts w:ascii="Georgia" w:hAnsi="Georgia" w:cs="Arial"/>
          <w:b/>
          <w:color w:val="004855" w:themeColor="text1"/>
          <w:sz w:val="20"/>
          <w:szCs w:val="20"/>
          <w:lang w:val="en-US"/>
        </w:rPr>
        <w:t>3</w:t>
      </w:r>
      <w:r w:rsidR="006C4591" w:rsidRPr="00E31FF9">
        <w:rPr>
          <w:rFonts w:ascii="Georgia" w:hAnsi="Georgia" w:cs="Arial"/>
          <w:b/>
          <w:color w:val="004855" w:themeColor="text1"/>
          <w:sz w:val="20"/>
          <w:szCs w:val="20"/>
          <w:lang w:val="en-US"/>
        </w:rPr>
        <w:t>: Largest revenue source range</w:t>
      </w:r>
      <w:r w:rsidR="00FF052C" w:rsidRPr="00E31FF9">
        <w:rPr>
          <w:rFonts w:ascii="Georgia" w:hAnsi="Georgia" w:cs="Arial"/>
          <w:b/>
          <w:color w:val="004855" w:themeColor="text1"/>
          <w:sz w:val="20"/>
          <w:szCs w:val="20"/>
          <w:lang w:val="en-US"/>
        </w:rPr>
        <w:t xml:space="preserve">, Universities </w:t>
      </w:r>
      <w:r w:rsidR="00D91F27" w:rsidRPr="00E31FF9">
        <w:rPr>
          <w:rFonts w:ascii="Georgia" w:hAnsi="Georgia" w:cs="Arial"/>
          <w:b/>
          <w:color w:val="004855" w:themeColor="text1"/>
          <w:sz w:val="20"/>
          <w:szCs w:val="20"/>
          <w:lang w:val="en-US"/>
        </w:rPr>
        <w:t xml:space="preserve">and </w:t>
      </w:r>
      <w:r w:rsidR="00456661">
        <w:rPr>
          <w:rFonts w:ascii="Georgia" w:hAnsi="Georgia" w:cs="Arial"/>
          <w:b/>
          <w:color w:val="004855" w:themeColor="text1"/>
          <w:sz w:val="20"/>
          <w:szCs w:val="20"/>
          <w:lang w:val="en-US"/>
        </w:rPr>
        <w:t>Sector</w:t>
      </w:r>
    </w:p>
    <w:tbl>
      <w:tblPr>
        <w:tblW w:w="4942" w:type="pct"/>
        <w:tblInd w:w="108" w:type="dxa"/>
        <w:tblLook w:val="04A0" w:firstRow="1" w:lastRow="0" w:firstColumn="1" w:lastColumn="0" w:noHBand="0" w:noVBand="1"/>
      </w:tblPr>
      <w:tblGrid>
        <w:gridCol w:w="2173"/>
        <w:gridCol w:w="1427"/>
        <w:gridCol w:w="1593"/>
        <w:gridCol w:w="11"/>
        <w:gridCol w:w="1366"/>
        <w:gridCol w:w="1495"/>
        <w:gridCol w:w="1396"/>
      </w:tblGrid>
      <w:tr w:rsidR="00627B3A" w:rsidRPr="00797118" w:rsidTr="00276B3E">
        <w:trPr>
          <w:trHeight w:val="300"/>
        </w:trPr>
        <w:tc>
          <w:tcPr>
            <w:tcW w:w="1148" w:type="pct"/>
            <w:tcBorders>
              <w:top w:val="nil"/>
              <w:left w:val="nil"/>
              <w:bottom w:val="single" w:sz="4" w:space="0" w:color="366092"/>
              <w:right w:val="nil"/>
            </w:tcBorders>
            <w:shd w:val="clear" w:color="auto" w:fill="004855"/>
            <w:noWrap/>
            <w:vAlign w:val="center"/>
          </w:tcPr>
          <w:p w:rsidR="00627B3A" w:rsidRPr="00797118" w:rsidRDefault="00627B3A" w:rsidP="00276B3E">
            <w:pPr>
              <w:spacing w:after="0"/>
              <w:rPr>
                <w:rFonts w:asciiTheme="minorHAnsi" w:hAnsiTheme="minorHAnsi" w:cstheme="minorHAnsi"/>
                <w:b/>
                <w:sz w:val="20"/>
                <w:szCs w:val="20"/>
              </w:rPr>
            </w:pPr>
          </w:p>
        </w:tc>
        <w:tc>
          <w:tcPr>
            <w:tcW w:w="754" w:type="pct"/>
            <w:tcBorders>
              <w:top w:val="nil"/>
              <w:left w:val="nil"/>
              <w:bottom w:val="single" w:sz="4" w:space="0" w:color="366092"/>
              <w:right w:val="nil"/>
            </w:tcBorders>
            <w:shd w:val="clear" w:color="auto" w:fill="004855"/>
            <w:noWrap/>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42" w:type="pct"/>
            <w:tcBorders>
              <w:top w:val="nil"/>
              <w:left w:val="nil"/>
              <w:bottom w:val="single" w:sz="4" w:space="0" w:color="366092"/>
              <w:right w:val="nil"/>
            </w:tcBorders>
            <w:shd w:val="clear" w:color="auto" w:fill="004855"/>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8" w:type="pct"/>
            <w:gridSpan w:val="2"/>
            <w:tcBorders>
              <w:top w:val="nil"/>
              <w:left w:val="nil"/>
              <w:bottom w:val="single" w:sz="4" w:space="0" w:color="366092"/>
              <w:right w:val="nil"/>
            </w:tcBorders>
            <w:shd w:val="clear" w:color="auto" w:fill="004855"/>
            <w:noWrap/>
            <w:vAlign w:val="center"/>
          </w:tcPr>
          <w:p w:rsidR="00627B3A" w:rsidRPr="00797118" w:rsidRDefault="00627B3A"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0" w:type="pct"/>
            <w:tcBorders>
              <w:top w:val="nil"/>
              <w:left w:val="nil"/>
              <w:bottom w:val="single" w:sz="4" w:space="0" w:color="366092"/>
              <w:right w:val="nil"/>
            </w:tcBorders>
            <w:shd w:val="clear" w:color="auto" w:fill="004855"/>
            <w:noWrap/>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8" w:type="pct"/>
            <w:tcBorders>
              <w:top w:val="nil"/>
              <w:left w:val="nil"/>
              <w:bottom w:val="single" w:sz="4" w:space="0" w:color="366092"/>
              <w:right w:val="nil"/>
            </w:tcBorders>
            <w:shd w:val="clear" w:color="auto" w:fill="004855"/>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627B3A" w:rsidRPr="00797118" w:rsidTr="00276B3E">
        <w:trPr>
          <w:trHeight w:val="300"/>
        </w:trPr>
        <w:tc>
          <w:tcPr>
            <w:tcW w:w="1148" w:type="pct"/>
            <w:tcBorders>
              <w:top w:val="nil"/>
              <w:left w:val="nil"/>
              <w:bottom w:val="single" w:sz="4" w:space="0" w:color="366092"/>
              <w:right w:val="nil"/>
            </w:tcBorders>
            <w:shd w:val="clear" w:color="auto" w:fill="auto"/>
            <w:noWrap/>
            <w:vAlign w:val="center"/>
          </w:tcPr>
          <w:p w:rsidR="00627B3A" w:rsidRPr="00296D08" w:rsidRDefault="00627B3A" w:rsidP="00276B3E">
            <w:pPr>
              <w:spacing w:after="0"/>
              <w:rPr>
                <w:rFonts w:asciiTheme="minorHAnsi" w:hAnsiTheme="minorHAnsi" w:cstheme="minorHAnsi"/>
                <w:sz w:val="20"/>
                <w:szCs w:val="20"/>
              </w:rPr>
            </w:pPr>
            <w:r w:rsidRPr="00296D08">
              <w:rPr>
                <w:rFonts w:asciiTheme="minorHAnsi" w:hAnsiTheme="minorHAnsi" w:cstheme="minorHAnsi"/>
                <w:sz w:val="20"/>
                <w:szCs w:val="20"/>
              </w:rPr>
              <w:t>Universit</w:t>
            </w:r>
            <w:r>
              <w:rPr>
                <w:rFonts w:asciiTheme="minorHAnsi" w:hAnsiTheme="minorHAnsi" w:cstheme="minorHAnsi"/>
                <w:sz w:val="20"/>
                <w:szCs w:val="20"/>
              </w:rPr>
              <w:t>ies</w:t>
            </w:r>
          </w:p>
        </w:tc>
        <w:tc>
          <w:tcPr>
            <w:tcW w:w="754" w:type="pct"/>
            <w:tcBorders>
              <w:top w:val="nil"/>
              <w:left w:val="nil"/>
              <w:bottom w:val="single" w:sz="4" w:space="0" w:color="366092"/>
              <w:right w:val="nil"/>
            </w:tcBorders>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32.0%</w:t>
            </w:r>
          </w:p>
        </w:tc>
        <w:tc>
          <w:tcPr>
            <w:tcW w:w="848" w:type="pct"/>
            <w:gridSpan w:val="2"/>
            <w:tcBorders>
              <w:top w:val="nil"/>
              <w:left w:val="nil"/>
              <w:bottom w:val="single" w:sz="4" w:space="0" w:color="366092"/>
              <w:right w:val="nil"/>
            </w:tcBorders>
            <w:shd w:val="clear" w:color="auto" w:fill="auto"/>
            <w:noWrap/>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39.1%</w:t>
            </w:r>
          </w:p>
        </w:tc>
        <w:tc>
          <w:tcPr>
            <w:tcW w:w="722" w:type="pct"/>
            <w:tcBorders>
              <w:top w:val="nil"/>
              <w:left w:val="nil"/>
              <w:bottom w:val="single" w:sz="4" w:space="0" w:color="366092"/>
              <w:right w:val="nil"/>
            </w:tcBorders>
            <w:shd w:val="clear" w:color="auto" w:fill="auto"/>
            <w:noWrap/>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45.0%</w:t>
            </w:r>
          </w:p>
        </w:tc>
        <w:tc>
          <w:tcPr>
            <w:tcW w:w="790" w:type="pct"/>
            <w:tcBorders>
              <w:top w:val="nil"/>
              <w:left w:val="nil"/>
              <w:bottom w:val="single" w:sz="4" w:space="0" w:color="366092"/>
              <w:right w:val="nil"/>
            </w:tcBorders>
            <w:shd w:val="clear" w:color="auto" w:fill="auto"/>
            <w:noWrap/>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51.2%</w:t>
            </w:r>
          </w:p>
        </w:tc>
        <w:tc>
          <w:tcPr>
            <w:tcW w:w="738" w:type="pct"/>
            <w:tcBorders>
              <w:top w:val="nil"/>
              <w:left w:val="nil"/>
              <w:bottom w:val="single" w:sz="4" w:space="0" w:color="366092"/>
              <w:right w:val="nil"/>
            </w:tcBorders>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69.7%</w:t>
            </w:r>
          </w:p>
        </w:tc>
      </w:tr>
      <w:tr w:rsidR="00627B3A" w:rsidRPr="002922C1" w:rsidTr="00276B3E">
        <w:trPr>
          <w:trHeight w:val="283"/>
        </w:trPr>
        <w:tc>
          <w:tcPr>
            <w:tcW w:w="1148" w:type="pct"/>
            <w:tcBorders>
              <w:top w:val="single" w:sz="4" w:space="0" w:color="366092"/>
              <w:left w:val="nil"/>
              <w:bottom w:val="single" w:sz="4" w:space="0" w:color="366092"/>
              <w:right w:val="nil"/>
            </w:tcBorders>
            <w:shd w:val="clear" w:color="000000" w:fill="E5F6F6"/>
            <w:noWrap/>
            <w:vAlign w:val="center"/>
          </w:tcPr>
          <w:p w:rsidR="00627B3A" w:rsidRPr="002922C1" w:rsidRDefault="00627B3A" w:rsidP="00276B3E">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54" w:type="pct"/>
            <w:tcBorders>
              <w:top w:val="single" w:sz="4" w:space="0" w:color="366092"/>
              <w:left w:val="nil"/>
              <w:bottom w:val="single" w:sz="4" w:space="0" w:color="366092"/>
              <w:right w:val="nil"/>
            </w:tcBorders>
            <w:shd w:val="clear" w:color="000000" w:fill="E5F6F6"/>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w:t>
            </w:r>
            <w:r>
              <w:rPr>
                <w:rFonts w:asciiTheme="minorHAnsi" w:hAnsiTheme="minorHAnsi" w:cstheme="minorHAnsi"/>
                <w:b/>
                <w:sz w:val="20"/>
                <w:szCs w:val="20"/>
              </w:rPr>
              <w:t>1</w:t>
            </w:r>
            <w:r w:rsidRPr="002922C1">
              <w:rPr>
                <w:rFonts w:asciiTheme="minorHAnsi" w:hAnsiTheme="minorHAnsi" w:cstheme="minorHAnsi"/>
                <w:b/>
                <w:sz w:val="20"/>
                <w:szCs w:val="20"/>
              </w:rPr>
              <w:t>.</w:t>
            </w:r>
            <w:r>
              <w:rPr>
                <w:rFonts w:asciiTheme="minorHAnsi" w:hAnsiTheme="minorHAnsi" w:cstheme="minorHAnsi"/>
                <w:b/>
                <w:sz w:val="20"/>
                <w:szCs w:val="20"/>
              </w:rPr>
              <w:t>1</w:t>
            </w:r>
            <w:r w:rsidRPr="002922C1">
              <w:rPr>
                <w:rFonts w:asciiTheme="minorHAnsi" w:hAnsiTheme="minorHAnsi" w:cstheme="minorHAnsi"/>
                <w:b/>
                <w:sz w:val="20"/>
                <w:szCs w:val="20"/>
              </w:rPr>
              <w:t>%</w:t>
            </w:r>
          </w:p>
        </w:tc>
        <w:tc>
          <w:tcPr>
            <w:tcW w:w="848" w:type="pct"/>
            <w:gridSpan w:val="2"/>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45.2</w:t>
            </w:r>
            <w:r w:rsidRPr="002922C1">
              <w:rPr>
                <w:rFonts w:asciiTheme="minorHAnsi" w:hAnsiTheme="minorHAnsi" w:cstheme="minorHAnsi"/>
                <w:b/>
                <w:sz w:val="20"/>
                <w:szCs w:val="20"/>
              </w:rPr>
              <w:t>%</w:t>
            </w:r>
          </w:p>
        </w:tc>
        <w:tc>
          <w:tcPr>
            <w:tcW w:w="722" w:type="pct"/>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56.6</w:t>
            </w:r>
            <w:r w:rsidRPr="002922C1">
              <w:rPr>
                <w:rFonts w:asciiTheme="minorHAnsi" w:hAnsiTheme="minorHAnsi" w:cstheme="minorHAnsi"/>
                <w:b/>
                <w:sz w:val="20"/>
                <w:szCs w:val="20"/>
              </w:rPr>
              <w:t>%</w:t>
            </w:r>
          </w:p>
        </w:tc>
        <w:tc>
          <w:tcPr>
            <w:tcW w:w="790" w:type="pct"/>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80.</w:t>
            </w:r>
            <w:r>
              <w:rPr>
                <w:rFonts w:asciiTheme="minorHAnsi" w:hAnsiTheme="minorHAnsi" w:cstheme="minorHAnsi"/>
                <w:b/>
                <w:sz w:val="20"/>
                <w:szCs w:val="20"/>
              </w:rPr>
              <w:t>4</w:t>
            </w:r>
            <w:r w:rsidRPr="002922C1">
              <w:rPr>
                <w:rFonts w:asciiTheme="minorHAnsi" w:hAnsiTheme="minorHAnsi" w:cstheme="minorHAnsi"/>
                <w:b/>
                <w:sz w:val="20"/>
                <w:szCs w:val="20"/>
              </w:rPr>
              <w:t>%</w:t>
            </w:r>
          </w:p>
        </w:tc>
        <w:tc>
          <w:tcPr>
            <w:tcW w:w="738" w:type="pct"/>
            <w:tcBorders>
              <w:top w:val="single" w:sz="4" w:space="0" w:color="366092"/>
              <w:left w:val="nil"/>
              <w:bottom w:val="single" w:sz="4" w:space="0" w:color="366092"/>
              <w:right w:val="nil"/>
            </w:tcBorders>
            <w:shd w:val="clear" w:color="000000" w:fill="E5F6F6"/>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99.7%</w:t>
            </w:r>
          </w:p>
        </w:tc>
      </w:tr>
    </w:tbl>
    <w:p w:rsidR="006C4591" w:rsidRDefault="006C4591">
      <w:pPr>
        <w:spacing w:after="0" w:line="240" w:lineRule="auto"/>
        <w:rPr>
          <w:rFonts w:ascii="Georgia" w:hAnsi="Georgia" w:cs="Arial"/>
          <w:b/>
          <w:color w:val="004855" w:themeColor="text1"/>
          <w:sz w:val="22"/>
          <w:szCs w:val="22"/>
          <w:lang w:val="en-US"/>
        </w:rPr>
      </w:pPr>
    </w:p>
    <w:p w:rsidR="006C4591" w:rsidRDefault="006C4591" w:rsidP="006C4591">
      <w:pPr>
        <w:pStyle w:val="H3"/>
      </w:pPr>
      <w:r>
        <w:t>Net profit/surplus margin</w:t>
      </w:r>
    </w:p>
    <w:p w:rsidR="00C75546" w:rsidRDefault="0049683B" w:rsidP="009B2433">
      <w:pPr>
        <w:rPr>
          <w:rFonts w:ascii="Arial" w:eastAsiaTheme="minorHAnsi" w:hAnsi="Arial" w:cstheme="minorBidi"/>
          <w:sz w:val="22"/>
          <w:szCs w:val="22"/>
        </w:rPr>
      </w:pPr>
      <w:r w:rsidRPr="0081750E">
        <w:rPr>
          <w:rFonts w:ascii="Georgia" w:hAnsi="Georgia" w:cs="Arial"/>
          <w:b/>
          <w:color w:val="004855" w:themeColor="text1"/>
          <w:sz w:val="20"/>
          <w:szCs w:val="20"/>
          <w:lang w:val="en-US"/>
        </w:rPr>
        <w:t xml:space="preserve">Figure </w:t>
      </w:r>
      <w:r w:rsidR="00D62AA3">
        <w:rPr>
          <w:rFonts w:ascii="Georgia" w:hAnsi="Georgia" w:cs="Arial"/>
          <w:b/>
          <w:color w:val="004855" w:themeColor="text1"/>
          <w:sz w:val="20"/>
          <w:szCs w:val="20"/>
          <w:lang w:val="en-US"/>
        </w:rPr>
        <w:t>19</w:t>
      </w:r>
      <w:r w:rsidRPr="0081750E">
        <w:rPr>
          <w:rFonts w:ascii="Georgia" w:hAnsi="Georgia" w:cs="Arial"/>
          <w:b/>
          <w:color w:val="004855" w:themeColor="text1"/>
          <w:sz w:val="20"/>
          <w:szCs w:val="20"/>
          <w:lang w:val="en-US"/>
        </w:rPr>
        <w:t>: Net profit/surplus margin</w:t>
      </w:r>
      <w:r w:rsidR="00D91F27" w:rsidRPr="0081750E">
        <w:rPr>
          <w:rFonts w:ascii="Georgia" w:hAnsi="Georgia" w:cs="Arial"/>
          <w:b/>
          <w:color w:val="004855" w:themeColor="text1"/>
          <w:sz w:val="20"/>
          <w:szCs w:val="20"/>
          <w:lang w:val="en-US"/>
        </w:rPr>
        <w:t>, Universities</w:t>
      </w:r>
    </w:p>
    <w:p w:rsidR="00277D9F" w:rsidRDefault="00DD6370" w:rsidP="00C44144">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245B3717" wp14:editId="5A5D3356">
            <wp:extent cx="5934075" cy="260985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1060" cy="2612922"/>
                    </a:xfrm>
                    <a:prstGeom prst="rect">
                      <a:avLst/>
                    </a:prstGeom>
                    <a:noFill/>
                    <a:ln>
                      <a:noFill/>
                    </a:ln>
                  </pic:spPr>
                </pic:pic>
              </a:graphicData>
            </a:graphic>
          </wp:inline>
        </w:drawing>
      </w:r>
    </w:p>
    <w:p w:rsidR="006C4591" w:rsidRPr="00E31FF9" w:rsidRDefault="00D0012B" w:rsidP="006C4591">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Table 1</w:t>
      </w:r>
      <w:r w:rsidR="00127249">
        <w:rPr>
          <w:rFonts w:ascii="Georgia" w:hAnsi="Georgia" w:cs="Arial"/>
          <w:b/>
          <w:color w:val="004855" w:themeColor="text1"/>
          <w:sz w:val="20"/>
          <w:szCs w:val="20"/>
          <w:lang w:val="en-US"/>
        </w:rPr>
        <w:t>4</w:t>
      </w:r>
      <w:r w:rsidR="006C4591" w:rsidRPr="00E31FF9">
        <w:rPr>
          <w:rFonts w:ascii="Georgia" w:hAnsi="Georgia" w:cs="Arial"/>
          <w:b/>
          <w:color w:val="004855" w:themeColor="text1"/>
          <w:sz w:val="20"/>
          <w:szCs w:val="20"/>
          <w:lang w:val="en-US"/>
        </w:rPr>
        <w:t xml:space="preserve">: </w:t>
      </w:r>
      <w:r w:rsidR="009B06B4" w:rsidRPr="00E31FF9">
        <w:rPr>
          <w:rFonts w:ascii="Georgia" w:hAnsi="Georgia" w:cs="Arial"/>
          <w:b/>
          <w:color w:val="004855" w:themeColor="text1"/>
          <w:sz w:val="20"/>
          <w:szCs w:val="20"/>
          <w:lang w:val="en-US"/>
        </w:rPr>
        <w:t>Net profit/surplus margin range</w:t>
      </w:r>
      <w:r w:rsidR="00FF052C" w:rsidRPr="00E31FF9">
        <w:rPr>
          <w:rFonts w:ascii="Georgia" w:hAnsi="Georgia" w:cs="Arial"/>
          <w:b/>
          <w:color w:val="004855" w:themeColor="text1"/>
          <w:sz w:val="20"/>
          <w:szCs w:val="20"/>
          <w:lang w:val="en-US"/>
        </w:rPr>
        <w:t xml:space="preserve">, Universities </w:t>
      </w:r>
      <w:r w:rsidR="00D91F27" w:rsidRPr="00E31FF9">
        <w:rPr>
          <w:rFonts w:ascii="Georgia" w:hAnsi="Georgia" w:cs="Arial"/>
          <w:b/>
          <w:color w:val="004855" w:themeColor="text1"/>
          <w:sz w:val="20"/>
          <w:szCs w:val="20"/>
          <w:lang w:val="en-US"/>
        </w:rPr>
        <w:t xml:space="preserve">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0A40FE" w:rsidP="00A02129">
            <w:pPr>
              <w:spacing w:after="0"/>
              <w:rPr>
                <w:rFonts w:asciiTheme="minorHAnsi" w:hAnsiTheme="minorHAnsi" w:cstheme="minorHAnsi"/>
                <w:sz w:val="20"/>
                <w:szCs w:val="20"/>
              </w:rPr>
            </w:pPr>
            <w:r w:rsidRPr="00296D08">
              <w:rPr>
                <w:rFonts w:asciiTheme="minorHAnsi" w:hAnsiTheme="minorHAnsi" w:cstheme="minorHAnsi"/>
                <w:sz w:val="20"/>
                <w:szCs w:val="20"/>
              </w:rPr>
              <w:t>Universit</w:t>
            </w:r>
            <w:r>
              <w:rPr>
                <w:rFonts w:asciiTheme="minorHAnsi" w:hAnsiTheme="minorHAnsi" w:cstheme="minorHAnsi"/>
                <w:sz w:val="20"/>
                <w:szCs w:val="20"/>
              </w:rPr>
              <w:t>ies</w:t>
            </w:r>
          </w:p>
        </w:tc>
        <w:tc>
          <w:tcPr>
            <w:tcW w:w="82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-37.0%</w:t>
            </w:r>
          </w:p>
        </w:tc>
        <w:tc>
          <w:tcPr>
            <w:tcW w:w="785"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1.5%</w:t>
            </w:r>
          </w:p>
        </w:tc>
        <w:tc>
          <w:tcPr>
            <w:tcW w:w="738"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4.6%</w:t>
            </w:r>
          </w:p>
        </w:tc>
        <w:tc>
          <w:tcPr>
            <w:tcW w:w="799" w:type="pct"/>
            <w:gridSpan w:val="2"/>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7.6%</w:t>
            </w:r>
          </w:p>
        </w:tc>
        <w:tc>
          <w:tcPr>
            <w:tcW w:w="74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13.7%</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-38.7%</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0.4%</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11.0%</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54.2%</w:t>
            </w:r>
          </w:p>
        </w:tc>
      </w:tr>
    </w:tbl>
    <w:p w:rsidR="006C4591" w:rsidRDefault="006C4591" w:rsidP="006C4591">
      <w:pPr>
        <w:pStyle w:val="H3"/>
      </w:pPr>
      <w:r>
        <w:lastRenderedPageBreak/>
        <w:t>EBITDA Margin</w:t>
      </w:r>
    </w:p>
    <w:p w:rsidR="00C75546" w:rsidRPr="00E31FF9" w:rsidDel="00471112" w:rsidRDefault="0049683B" w:rsidP="00FF052C">
      <w:pPr>
        <w:rPr>
          <w:rFonts w:ascii="Arial" w:eastAsiaTheme="minorHAnsi" w:hAnsi="Arial" w:cstheme="minorBidi"/>
          <w:sz w:val="20"/>
          <w:szCs w:val="20"/>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D62AA3">
        <w:rPr>
          <w:rFonts w:ascii="Georgia" w:hAnsi="Georgia" w:cs="Arial"/>
          <w:b/>
          <w:color w:val="004855" w:themeColor="text1"/>
          <w:sz w:val="20"/>
          <w:szCs w:val="20"/>
          <w:lang w:val="en-US"/>
        </w:rPr>
        <w:t>0</w:t>
      </w:r>
      <w:r w:rsidRPr="00E31FF9" w:rsidDel="00471112">
        <w:rPr>
          <w:rFonts w:ascii="Georgia" w:hAnsi="Georgia" w:cs="Arial"/>
          <w:b/>
          <w:color w:val="004855" w:themeColor="text1"/>
          <w:sz w:val="20"/>
          <w:szCs w:val="20"/>
          <w:lang w:val="en-US"/>
        </w:rPr>
        <w:t>: EBITDA margin</w:t>
      </w:r>
      <w:r w:rsidR="00D91F27" w:rsidRPr="00E31FF9" w:rsidDel="00471112">
        <w:rPr>
          <w:rFonts w:ascii="Georgia" w:hAnsi="Georgia" w:cs="Arial"/>
          <w:b/>
          <w:color w:val="004855" w:themeColor="text1"/>
          <w:sz w:val="20"/>
          <w:szCs w:val="20"/>
          <w:lang w:val="en-US"/>
        </w:rPr>
        <w:t>, Universities</w:t>
      </w:r>
    </w:p>
    <w:p w:rsidR="00017E4B" w:rsidRDefault="00DD6370" w:rsidP="00C44144">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44875D1B" wp14:editId="180BC01C">
            <wp:extent cx="5934075" cy="27908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1060" cy="2794110"/>
                    </a:xfrm>
                    <a:prstGeom prst="rect">
                      <a:avLst/>
                    </a:prstGeom>
                    <a:noFill/>
                    <a:ln>
                      <a:noFill/>
                    </a:ln>
                  </pic:spPr>
                </pic:pic>
              </a:graphicData>
            </a:graphic>
          </wp:inline>
        </w:drawing>
      </w:r>
    </w:p>
    <w:p w:rsidR="00471112" w:rsidRDefault="00471112" w:rsidP="00C44144">
      <w:pPr>
        <w:spacing w:after="0" w:line="240" w:lineRule="auto"/>
        <w:rPr>
          <w:rFonts w:ascii="Arial" w:eastAsiaTheme="minorHAnsi" w:hAnsi="Arial" w:cstheme="minorBidi"/>
          <w:sz w:val="22"/>
          <w:szCs w:val="22"/>
        </w:rPr>
      </w:pPr>
    </w:p>
    <w:p w:rsidR="006C4591" w:rsidRPr="00E31FF9" w:rsidRDefault="006C4591" w:rsidP="006C4591">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T</w:t>
      </w:r>
      <w:r w:rsidR="00D0012B" w:rsidRPr="00E31FF9">
        <w:rPr>
          <w:rFonts w:ascii="Georgia" w:hAnsi="Georgia" w:cs="Arial"/>
          <w:b/>
          <w:color w:val="004855" w:themeColor="text1"/>
          <w:sz w:val="20"/>
          <w:szCs w:val="20"/>
          <w:lang w:val="en-US"/>
        </w:rPr>
        <w:t>able 1</w:t>
      </w:r>
      <w:r w:rsidR="00127249">
        <w:rPr>
          <w:rFonts w:ascii="Georgia" w:hAnsi="Georgia" w:cs="Arial"/>
          <w:b/>
          <w:color w:val="004855" w:themeColor="text1"/>
          <w:sz w:val="20"/>
          <w:szCs w:val="20"/>
          <w:lang w:val="en-US"/>
        </w:rPr>
        <w:t>5</w:t>
      </w:r>
      <w:r w:rsidRPr="00E31FF9">
        <w:rPr>
          <w:rFonts w:ascii="Georgia" w:hAnsi="Georgia" w:cs="Arial"/>
          <w:b/>
          <w:color w:val="004855" w:themeColor="text1"/>
          <w:sz w:val="20"/>
          <w:szCs w:val="20"/>
          <w:lang w:val="en-US"/>
        </w:rPr>
        <w:t xml:space="preserve">: </w:t>
      </w:r>
      <w:r w:rsidR="009B06B4" w:rsidRPr="00E31FF9">
        <w:rPr>
          <w:rFonts w:ascii="Georgia" w:hAnsi="Georgia" w:cs="Arial"/>
          <w:b/>
          <w:color w:val="004855" w:themeColor="text1"/>
          <w:sz w:val="20"/>
          <w:szCs w:val="20"/>
          <w:lang w:val="en-US"/>
        </w:rPr>
        <w:t>EBITDA margin range</w:t>
      </w:r>
      <w:r w:rsidRPr="00E31FF9">
        <w:rPr>
          <w:rFonts w:ascii="Georgia" w:hAnsi="Georgia" w:cs="Arial"/>
          <w:b/>
          <w:color w:val="004855" w:themeColor="text1"/>
          <w:sz w:val="20"/>
          <w:szCs w:val="20"/>
          <w:lang w:val="en-US"/>
        </w:rPr>
        <w:t xml:space="preserve">, </w:t>
      </w:r>
      <w:r w:rsidR="00A0617F" w:rsidRPr="00E31FF9">
        <w:rPr>
          <w:rFonts w:ascii="Georgia" w:hAnsi="Georgia" w:cs="Arial"/>
          <w:b/>
          <w:color w:val="004855" w:themeColor="text1"/>
          <w:sz w:val="20"/>
          <w:szCs w:val="20"/>
          <w:lang w:val="en-US"/>
        </w:rPr>
        <w:t xml:space="preserve">Universities </w:t>
      </w:r>
      <w:r w:rsidR="00D91F27" w:rsidRPr="00E31FF9">
        <w:rPr>
          <w:rFonts w:ascii="Georgia" w:hAnsi="Georgia" w:cs="Arial"/>
          <w:b/>
          <w:color w:val="004855" w:themeColor="text1"/>
          <w:sz w:val="20"/>
          <w:szCs w:val="20"/>
          <w:lang w:val="en-US"/>
        </w:rPr>
        <w:t xml:space="preserve">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0A40FE" w:rsidP="00A02129">
            <w:pPr>
              <w:spacing w:after="0"/>
              <w:rPr>
                <w:rFonts w:asciiTheme="minorHAnsi" w:hAnsiTheme="minorHAnsi" w:cstheme="minorHAnsi"/>
                <w:sz w:val="20"/>
                <w:szCs w:val="20"/>
              </w:rPr>
            </w:pPr>
            <w:r w:rsidRPr="00296D08">
              <w:rPr>
                <w:rFonts w:asciiTheme="minorHAnsi" w:hAnsiTheme="minorHAnsi" w:cstheme="minorHAnsi"/>
                <w:sz w:val="20"/>
                <w:szCs w:val="20"/>
              </w:rPr>
              <w:t>Universit</w:t>
            </w:r>
            <w:r>
              <w:rPr>
                <w:rFonts w:asciiTheme="minorHAnsi" w:hAnsiTheme="minorHAnsi" w:cstheme="minorHAnsi"/>
                <w:sz w:val="20"/>
                <w:szCs w:val="20"/>
              </w:rPr>
              <w:t>ies</w:t>
            </w:r>
          </w:p>
        </w:tc>
        <w:tc>
          <w:tcPr>
            <w:tcW w:w="82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-36.9%</w:t>
            </w:r>
          </w:p>
        </w:tc>
        <w:tc>
          <w:tcPr>
            <w:tcW w:w="785"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6.4%</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10.5%</w:t>
            </w:r>
          </w:p>
        </w:tc>
        <w:tc>
          <w:tcPr>
            <w:tcW w:w="799"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13.8%</w:t>
            </w:r>
          </w:p>
        </w:tc>
        <w:tc>
          <w:tcPr>
            <w:tcW w:w="74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19.4%</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-77.2%</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3.6%</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11.1%</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17.8%</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98.1%</w:t>
            </w:r>
          </w:p>
        </w:tc>
      </w:tr>
    </w:tbl>
    <w:p w:rsidR="00974841" w:rsidRDefault="00974841" w:rsidP="006C4591">
      <w:pPr>
        <w:pStyle w:val="H3"/>
      </w:pPr>
    </w:p>
    <w:p w:rsidR="006C4591" w:rsidRDefault="006C4591" w:rsidP="006C4591">
      <w:pPr>
        <w:pStyle w:val="H3"/>
      </w:pPr>
      <w:r>
        <w:t>Employee benefits ratio</w:t>
      </w:r>
    </w:p>
    <w:p w:rsidR="00BD1A9B" w:rsidRPr="00E31FF9" w:rsidDel="00471112" w:rsidRDefault="0049683B" w:rsidP="00A0617F">
      <w:pPr>
        <w:pStyle w:val="H3"/>
        <w:rPr>
          <w:rFonts w:ascii="Georgia" w:hAnsi="Georgia" w:cs="Arial"/>
          <w:color w:val="004855" w:themeColor="text1"/>
          <w:sz w:val="20"/>
          <w:szCs w:val="20"/>
          <w:lang w:val="en-US"/>
        </w:rPr>
      </w:pPr>
      <w:r w:rsidRPr="00E31FF9" w:rsidDel="00471112">
        <w:rPr>
          <w:rFonts w:ascii="Georgia" w:hAnsi="Georgia" w:cs="Arial"/>
          <w:color w:val="004855" w:themeColor="text1"/>
          <w:sz w:val="20"/>
          <w:szCs w:val="20"/>
          <w:lang w:val="en-US"/>
        </w:rPr>
        <w:t xml:space="preserve">Figure </w:t>
      </w:r>
      <w:r w:rsidR="008C384C">
        <w:rPr>
          <w:rFonts w:ascii="Georgia" w:hAnsi="Georgia" w:cs="Arial"/>
          <w:color w:val="004855" w:themeColor="text1"/>
          <w:sz w:val="20"/>
          <w:szCs w:val="20"/>
          <w:lang w:val="en-US"/>
        </w:rPr>
        <w:t>2</w:t>
      </w:r>
      <w:r w:rsidR="00D62AA3">
        <w:rPr>
          <w:rFonts w:ascii="Georgia" w:hAnsi="Georgia" w:cs="Arial"/>
          <w:color w:val="004855" w:themeColor="text1"/>
          <w:sz w:val="20"/>
          <w:szCs w:val="20"/>
          <w:lang w:val="en-US"/>
        </w:rPr>
        <w:t>1</w:t>
      </w:r>
      <w:r w:rsidRPr="00E31FF9" w:rsidDel="00471112">
        <w:rPr>
          <w:rFonts w:ascii="Georgia" w:hAnsi="Georgia" w:cs="Arial"/>
          <w:color w:val="004855" w:themeColor="text1"/>
          <w:sz w:val="20"/>
          <w:szCs w:val="20"/>
          <w:lang w:val="en-US"/>
        </w:rPr>
        <w:t>: Employee benefit</w:t>
      </w:r>
      <w:r w:rsidR="009B06B4" w:rsidRPr="00E31FF9" w:rsidDel="00471112">
        <w:rPr>
          <w:rFonts w:ascii="Georgia" w:hAnsi="Georgia" w:cs="Arial"/>
          <w:color w:val="004855" w:themeColor="text1"/>
          <w:sz w:val="20"/>
          <w:szCs w:val="20"/>
          <w:lang w:val="en-US"/>
        </w:rPr>
        <w:t>s</w:t>
      </w:r>
      <w:r w:rsidRPr="00E31FF9" w:rsidDel="00471112">
        <w:rPr>
          <w:rFonts w:ascii="Georgia" w:hAnsi="Georgia" w:cs="Arial"/>
          <w:color w:val="004855" w:themeColor="text1"/>
          <w:sz w:val="20"/>
          <w:szCs w:val="20"/>
          <w:lang w:val="en-US"/>
        </w:rPr>
        <w:t xml:space="preserve"> ratio</w:t>
      </w:r>
      <w:r w:rsidR="00D91F27" w:rsidRPr="00E31FF9" w:rsidDel="00471112">
        <w:rPr>
          <w:rFonts w:ascii="Georgia" w:hAnsi="Georgia" w:cs="Arial"/>
          <w:color w:val="004855" w:themeColor="text1"/>
          <w:sz w:val="20"/>
          <w:szCs w:val="20"/>
          <w:lang w:val="en-US"/>
        </w:rPr>
        <w:t>, Universities</w:t>
      </w:r>
    </w:p>
    <w:p w:rsidR="007513FD" w:rsidRDefault="00DD6370" w:rsidP="0049683B">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15D5A9D9" wp14:editId="40E19BBC">
            <wp:extent cx="5934113" cy="2695575"/>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1060" cy="2698731"/>
                    </a:xfrm>
                    <a:prstGeom prst="rect">
                      <a:avLst/>
                    </a:prstGeom>
                    <a:noFill/>
                    <a:ln>
                      <a:noFill/>
                    </a:ln>
                  </pic:spPr>
                </pic:pic>
              </a:graphicData>
            </a:graphic>
          </wp:inline>
        </w:drawing>
      </w:r>
    </w:p>
    <w:p w:rsidR="006C4591" w:rsidRPr="00E31FF9" w:rsidRDefault="00E949B0" w:rsidP="006C4591">
      <w:pPr>
        <w:rPr>
          <w:rFonts w:ascii="Georgia" w:hAnsi="Georgia" w:cs="Arial"/>
          <w:b/>
          <w:color w:val="004855" w:themeColor="text1"/>
          <w:sz w:val="20"/>
          <w:szCs w:val="20"/>
          <w:lang w:val="en-US"/>
        </w:rPr>
      </w:pPr>
      <w:r>
        <w:rPr>
          <w:rFonts w:ascii="Georgia" w:hAnsi="Georgia" w:cs="Arial"/>
          <w:b/>
          <w:color w:val="004855" w:themeColor="text1"/>
          <w:sz w:val="20"/>
          <w:szCs w:val="20"/>
          <w:lang w:val="en-US"/>
        </w:rPr>
        <w:t>Table 1</w:t>
      </w:r>
      <w:r w:rsidR="00127249">
        <w:rPr>
          <w:rFonts w:ascii="Georgia" w:hAnsi="Georgia" w:cs="Arial"/>
          <w:b/>
          <w:color w:val="004855" w:themeColor="text1"/>
          <w:sz w:val="20"/>
          <w:szCs w:val="20"/>
          <w:lang w:val="en-US"/>
        </w:rPr>
        <w:t>6</w:t>
      </w:r>
      <w:r w:rsidR="006C4591" w:rsidRPr="00E31FF9">
        <w:rPr>
          <w:rFonts w:ascii="Georgia" w:hAnsi="Georgia" w:cs="Arial"/>
          <w:b/>
          <w:color w:val="004855" w:themeColor="text1"/>
          <w:sz w:val="20"/>
          <w:szCs w:val="20"/>
          <w:lang w:val="en-US"/>
        </w:rPr>
        <w:t xml:space="preserve">: </w:t>
      </w:r>
      <w:r w:rsidR="009B06B4" w:rsidRPr="00E31FF9">
        <w:rPr>
          <w:rFonts w:ascii="Georgia" w:hAnsi="Georgia" w:cs="Arial"/>
          <w:b/>
          <w:color w:val="004855" w:themeColor="text1"/>
          <w:sz w:val="20"/>
          <w:szCs w:val="20"/>
          <w:lang w:val="en-US"/>
        </w:rPr>
        <w:t>Employee benefits ratio range</w:t>
      </w:r>
      <w:r w:rsidR="006C4591" w:rsidRPr="00E31FF9">
        <w:rPr>
          <w:rFonts w:ascii="Georgia" w:hAnsi="Georgia" w:cs="Arial"/>
          <w:b/>
          <w:color w:val="004855" w:themeColor="text1"/>
          <w:sz w:val="20"/>
          <w:szCs w:val="20"/>
          <w:lang w:val="en-US"/>
        </w:rPr>
        <w:t xml:space="preserve">, </w:t>
      </w:r>
      <w:r w:rsidR="00A0617F" w:rsidRPr="00E31FF9">
        <w:rPr>
          <w:rFonts w:ascii="Georgia" w:hAnsi="Georgia" w:cs="Arial"/>
          <w:b/>
          <w:color w:val="004855" w:themeColor="text1"/>
          <w:sz w:val="20"/>
          <w:szCs w:val="20"/>
          <w:lang w:val="en-US"/>
        </w:rPr>
        <w:t xml:space="preserve">Universities </w:t>
      </w:r>
      <w:r w:rsidR="00D91F27" w:rsidRPr="00E31FF9">
        <w:rPr>
          <w:rFonts w:ascii="Georgia" w:hAnsi="Georgia" w:cs="Arial"/>
          <w:b/>
          <w:color w:val="004855" w:themeColor="text1"/>
          <w:sz w:val="20"/>
          <w:szCs w:val="20"/>
          <w:lang w:val="en-US"/>
        </w:rPr>
        <w:t xml:space="preserve">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288"/>
        <w:gridCol w:w="1451"/>
        <w:gridCol w:w="1511"/>
        <w:gridCol w:w="1430"/>
        <w:gridCol w:w="10"/>
        <w:gridCol w:w="1548"/>
        <w:gridCol w:w="1451"/>
      </w:tblGrid>
      <w:tr w:rsidR="000A40FE" w:rsidRPr="00797118" w:rsidTr="000A40FE">
        <w:trPr>
          <w:trHeight w:val="300"/>
        </w:trPr>
        <w:tc>
          <w:tcPr>
            <w:tcW w:w="1180"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749" w:type="pct"/>
            <w:tcBorders>
              <w:top w:val="nil"/>
              <w:left w:val="nil"/>
              <w:bottom w:val="single" w:sz="4" w:space="0" w:color="366092"/>
              <w:right w:val="nil"/>
            </w:tcBorders>
            <w:shd w:val="clear" w:color="auto" w:fill="004855"/>
            <w:noWrap/>
            <w:vAlign w:val="center"/>
            <w:hideMark/>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80"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50"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0A40FE">
        <w:trPr>
          <w:trHeight w:val="300"/>
        </w:trPr>
        <w:tc>
          <w:tcPr>
            <w:tcW w:w="1180" w:type="pct"/>
            <w:tcBorders>
              <w:top w:val="nil"/>
              <w:left w:val="nil"/>
              <w:bottom w:val="single" w:sz="4" w:space="0" w:color="366092"/>
              <w:right w:val="nil"/>
            </w:tcBorders>
            <w:shd w:val="clear" w:color="auto" w:fill="auto"/>
            <w:noWrap/>
            <w:vAlign w:val="center"/>
            <w:hideMark/>
          </w:tcPr>
          <w:p w:rsidR="000A40FE" w:rsidRPr="00797118" w:rsidRDefault="000A40FE" w:rsidP="00A02129">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749"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13.2%</w:t>
            </w:r>
          </w:p>
        </w:tc>
        <w:tc>
          <w:tcPr>
            <w:tcW w:w="780"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53.3%</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56.7%</w:t>
            </w:r>
          </w:p>
        </w:tc>
        <w:tc>
          <w:tcPr>
            <w:tcW w:w="804"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58.8%</w:t>
            </w:r>
          </w:p>
        </w:tc>
        <w:tc>
          <w:tcPr>
            <w:tcW w:w="750"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83.9%</w:t>
            </w:r>
          </w:p>
        </w:tc>
      </w:tr>
      <w:tr w:rsidR="000A40FE" w:rsidRPr="002922C1" w:rsidTr="000A40FE">
        <w:trPr>
          <w:trHeight w:val="300"/>
        </w:trPr>
        <w:tc>
          <w:tcPr>
            <w:tcW w:w="1180" w:type="pct"/>
            <w:tcBorders>
              <w:top w:val="single" w:sz="4" w:space="0" w:color="366092"/>
              <w:left w:val="nil"/>
              <w:bottom w:val="single" w:sz="4" w:space="0" w:color="366092"/>
              <w:right w:val="nil"/>
            </w:tcBorders>
            <w:shd w:val="clear" w:color="000000" w:fill="E5F6F6"/>
            <w:noWrap/>
            <w:vAlign w:val="center"/>
            <w:hideMark/>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9"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780"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37.7%</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51.8%</w:t>
            </w:r>
          </w:p>
        </w:tc>
        <w:tc>
          <w:tcPr>
            <w:tcW w:w="804"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59.1%</w:t>
            </w:r>
          </w:p>
        </w:tc>
        <w:tc>
          <w:tcPr>
            <w:tcW w:w="750"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85.3%</w:t>
            </w:r>
          </w:p>
        </w:tc>
      </w:tr>
    </w:tbl>
    <w:p w:rsidR="006C4591" w:rsidRDefault="006C4591" w:rsidP="006C4591">
      <w:pPr>
        <w:pStyle w:val="H3"/>
      </w:pPr>
      <w:r>
        <w:lastRenderedPageBreak/>
        <w:t>Asset replacement ratio</w:t>
      </w:r>
    </w:p>
    <w:p w:rsidR="00C30313" w:rsidDel="00471112" w:rsidRDefault="0049683B" w:rsidP="004C3CE1">
      <w:pPr>
        <w:rPr>
          <w:rFonts w:ascii="Georgia" w:hAnsi="Georgia" w:cs="Arial"/>
          <w:b/>
          <w:color w:val="004855" w:themeColor="text1"/>
          <w:sz w:val="22"/>
          <w:szCs w:val="22"/>
          <w:lang w:val="en-US"/>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D62AA3">
        <w:rPr>
          <w:rFonts w:ascii="Georgia" w:hAnsi="Georgia" w:cs="Arial"/>
          <w:b/>
          <w:color w:val="004855" w:themeColor="text1"/>
          <w:sz w:val="20"/>
          <w:szCs w:val="20"/>
          <w:lang w:val="en-US"/>
        </w:rPr>
        <w:t>2</w:t>
      </w:r>
      <w:r w:rsidRPr="00E31FF9" w:rsidDel="00471112">
        <w:rPr>
          <w:rFonts w:ascii="Georgia" w:hAnsi="Georgia" w:cs="Arial"/>
          <w:b/>
          <w:color w:val="004855" w:themeColor="text1"/>
          <w:sz w:val="20"/>
          <w:szCs w:val="20"/>
          <w:lang w:val="en-US"/>
        </w:rPr>
        <w:t xml:space="preserve">: Asset replacement </w:t>
      </w:r>
      <w:r w:rsidR="006C4591" w:rsidRPr="00E31FF9" w:rsidDel="00471112">
        <w:rPr>
          <w:rFonts w:ascii="Georgia" w:hAnsi="Georgia" w:cs="Arial"/>
          <w:b/>
          <w:color w:val="004855" w:themeColor="text1"/>
          <w:sz w:val="20"/>
          <w:szCs w:val="20"/>
          <w:lang w:val="en-US"/>
        </w:rPr>
        <w:t>ratio</w:t>
      </w:r>
      <w:r w:rsidR="00D91F27" w:rsidRPr="00E31FF9" w:rsidDel="00471112">
        <w:rPr>
          <w:rFonts w:ascii="Georgia" w:hAnsi="Georgia" w:cs="Arial"/>
          <w:b/>
          <w:color w:val="004855" w:themeColor="text1"/>
          <w:sz w:val="20"/>
          <w:szCs w:val="20"/>
          <w:lang w:val="en-US"/>
        </w:rPr>
        <w:t>, Universities</w:t>
      </w:r>
    </w:p>
    <w:p w:rsidR="00CE3273" w:rsidRDefault="00DD6370" w:rsidP="006C4591">
      <w:pPr>
        <w:rPr>
          <w:rFonts w:ascii="Georgia" w:hAnsi="Georgia" w:cs="Arial"/>
          <w:b/>
          <w:color w:val="004855" w:themeColor="text1"/>
          <w:sz w:val="20"/>
          <w:szCs w:val="20"/>
          <w:lang w:val="en-US"/>
        </w:rPr>
      </w:pPr>
      <w:r>
        <w:rPr>
          <w:rFonts w:ascii="Georgia" w:hAnsi="Georgia" w:cs="Arial"/>
          <w:b/>
          <w:noProof/>
          <w:color w:val="004855" w:themeColor="text1"/>
          <w:sz w:val="20"/>
          <w:szCs w:val="20"/>
          <w:lang w:eastAsia="en-AU"/>
        </w:rPr>
        <w:drawing>
          <wp:inline distT="0" distB="0" distL="0" distR="0" wp14:anchorId="2A205417" wp14:editId="3546B333">
            <wp:extent cx="5934075" cy="264795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1060" cy="2651067"/>
                    </a:xfrm>
                    <a:prstGeom prst="rect">
                      <a:avLst/>
                    </a:prstGeom>
                    <a:noFill/>
                    <a:ln>
                      <a:noFill/>
                    </a:ln>
                  </pic:spPr>
                </pic:pic>
              </a:graphicData>
            </a:graphic>
          </wp:inline>
        </w:drawing>
      </w:r>
    </w:p>
    <w:p w:rsidR="006C4591" w:rsidRPr="00CE3273" w:rsidRDefault="00E949B0" w:rsidP="006C4591">
      <w:pPr>
        <w:rPr>
          <w:rFonts w:ascii="Georgia" w:hAnsi="Georgia" w:cs="Arial"/>
          <w:b/>
          <w:color w:val="004855" w:themeColor="text1"/>
          <w:sz w:val="20"/>
          <w:szCs w:val="20"/>
          <w:lang w:val="en-US"/>
        </w:rPr>
      </w:pPr>
      <w:r w:rsidRPr="00CE3273">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17</w:t>
      </w:r>
      <w:r w:rsidR="006C4591" w:rsidRPr="00CE3273">
        <w:rPr>
          <w:rFonts w:ascii="Georgia" w:hAnsi="Georgia" w:cs="Arial"/>
          <w:b/>
          <w:color w:val="004855" w:themeColor="text1"/>
          <w:sz w:val="20"/>
          <w:szCs w:val="20"/>
          <w:lang w:val="en-US"/>
        </w:rPr>
        <w:t xml:space="preserve">: </w:t>
      </w:r>
      <w:r w:rsidR="009B06B4" w:rsidRPr="00CE3273">
        <w:rPr>
          <w:rFonts w:ascii="Georgia" w:hAnsi="Georgia" w:cs="Arial"/>
          <w:b/>
          <w:color w:val="004855" w:themeColor="text1"/>
          <w:sz w:val="20"/>
          <w:szCs w:val="20"/>
          <w:lang w:val="en-US"/>
        </w:rPr>
        <w:t>Asset replacement ratio range</w:t>
      </w:r>
      <w:r w:rsidR="006C4591" w:rsidRPr="00CE3273">
        <w:rPr>
          <w:rFonts w:ascii="Georgia" w:hAnsi="Georgia" w:cs="Arial"/>
          <w:b/>
          <w:color w:val="004855" w:themeColor="text1"/>
          <w:sz w:val="20"/>
          <w:szCs w:val="20"/>
          <w:lang w:val="en-US"/>
        </w:rPr>
        <w:t xml:space="preserve">, </w:t>
      </w:r>
      <w:r w:rsidR="00A0617F" w:rsidRPr="00CE3273">
        <w:rPr>
          <w:rFonts w:ascii="Georgia" w:hAnsi="Georgia" w:cs="Arial"/>
          <w:b/>
          <w:color w:val="004855" w:themeColor="text1"/>
          <w:sz w:val="20"/>
          <w:szCs w:val="20"/>
          <w:lang w:val="en-US"/>
        </w:rPr>
        <w:t xml:space="preserve">Universities </w:t>
      </w:r>
      <w:r w:rsidR="00D91F27" w:rsidRPr="00CE3273">
        <w:rPr>
          <w:rFonts w:ascii="Georgia" w:hAnsi="Georgia" w:cs="Arial"/>
          <w:b/>
          <w:color w:val="004855" w:themeColor="text1"/>
          <w:sz w:val="20"/>
          <w:szCs w:val="20"/>
          <w:lang w:val="en-US"/>
        </w:rPr>
        <w:t xml:space="preserve">and </w:t>
      </w:r>
      <w:r w:rsidR="00456661">
        <w:rPr>
          <w:rFonts w:ascii="Georgia" w:hAnsi="Georgia" w:cs="Arial"/>
          <w:b/>
          <w:color w:val="004855" w:themeColor="text1"/>
          <w:sz w:val="20"/>
          <w:szCs w:val="20"/>
          <w:lang w:val="en-US"/>
        </w:rPr>
        <w:t>Sector</w:t>
      </w:r>
    </w:p>
    <w:tbl>
      <w:tblPr>
        <w:tblW w:w="5092" w:type="pct"/>
        <w:tblLook w:val="04A0" w:firstRow="1" w:lastRow="0" w:firstColumn="1" w:lastColumn="0" w:noHBand="0" w:noVBand="1"/>
      </w:tblPr>
      <w:tblGrid>
        <w:gridCol w:w="2303"/>
        <w:gridCol w:w="1443"/>
        <w:gridCol w:w="1610"/>
        <w:gridCol w:w="16"/>
        <w:gridCol w:w="1390"/>
        <w:gridCol w:w="1573"/>
        <w:gridCol w:w="1413"/>
      </w:tblGrid>
      <w:tr w:rsidR="00F2568B" w:rsidRPr="00797118" w:rsidTr="00A02129">
        <w:trPr>
          <w:trHeight w:val="300"/>
        </w:trPr>
        <w:tc>
          <w:tcPr>
            <w:tcW w:w="1181" w:type="pct"/>
            <w:tcBorders>
              <w:top w:val="nil"/>
              <w:left w:val="nil"/>
              <w:bottom w:val="single" w:sz="4" w:space="0" w:color="366092"/>
              <w:right w:val="nil"/>
            </w:tcBorders>
            <w:shd w:val="clear" w:color="auto" w:fill="004855"/>
            <w:noWrap/>
            <w:vAlign w:val="center"/>
            <w:hideMark/>
          </w:tcPr>
          <w:p w:rsidR="00F2568B" w:rsidRPr="00797118" w:rsidRDefault="00F2568B" w:rsidP="00A02129">
            <w:pPr>
              <w:spacing w:after="0"/>
              <w:rPr>
                <w:rFonts w:asciiTheme="minorHAnsi" w:hAnsiTheme="minorHAnsi" w:cstheme="minorHAnsi"/>
                <w:b/>
                <w:sz w:val="20"/>
                <w:szCs w:val="20"/>
              </w:rPr>
            </w:pPr>
          </w:p>
        </w:tc>
        <w:tc>
          <w:tcPr>
            <w:tcW w:w="740"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26"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1" w:type="pct"/>
            <w:gridSpan w:val="2"/>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7"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25"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F2568B" w:rsidRPr="00797118" w:rsidTr="00A02129">
        <w:trPr>
          <w:trHeight w:val="300"/>
        </w:trPr>
        <w:tc>
          <w:tcPr>
            <w:tcW w:w="1181" w:type="pct"/>
            <w:tcBorders>
              <w:top w:val="nil"/>
              <w:left w:val="nil"/>
              <w:bottom w:val="single" w:sz="4" w:space="0" w:color="366092"/>
              <w:right w:val="nil"/>
            </w:tcBorders>
            <w:shd w:val="clear" w:color="auto" w:fill="auto"/>
            <w:noWrap/>
            <w:vAlign w:val="center"/>
          </w:tcPr>
          <w:p w:rsidR="00F2568B" w:rsidRPr="00797118" w:rsidRDefault="00F2568B" w:rsidP="00A02129">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740"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0.7</w:t>
            </w:r>
          </w:p>
        </w:tc>
        <w:tc>
          <w:tcPr>
            <w:tcW w:w="834" w:type="pct"/>
            <w:gridSpan w:val="2"/>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1.8</w:t>
            </w:r>
          </w:p>
        </w:tc>
        <w:tc>
          <w:tcPr>
            <w:tcW w:w="713"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2.1</w:t>
            </w:r>
          </w:p>
        </w:tc>
        <w:tc>
          <w:tcPr>
            <w:tcW w:w="807"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3.0</w:t>
            </w:r>
          </w:p>
        </w:tc>
        <w:tc>
          <w:tcPr>
            <w:tcW w:w="725"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14.2</w:t>
            </w:r>
          </w:p>
        </w:tc>
      </w:tr>
      <w:tr w:rsidR="00F2568B" w:rsidRPr="002922C1" w:rsidTr="00A02129">
        <w:trPr>
          <w:trHeight w:val="300"/>
        </w:trPr>
        <w:tc>
          <w:tcPr>
            <w:tcW w:w="1181" w:type="pct"/>
            <w:tcBorders>
              <w:top w:val="single" w:sz="4" w:space="0" w:color="366092"/>
              <w:left w:val="nil"/>
              <w:bottom w:val="single" w:sz="4" w:space="0" w:color="366092"/>
              <w:right w:val="nil"/>
            </w:tcBorders>
            <w:shd w:val="clear" w:color="000000" w:fill="E5F6F6"/>
            <w:noWrap/>
            <w:vAlign w:val="center"/>
          </w:tcPr>
          <w:p w:rsidR="00F2568B"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0"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834" w:type="pct"/>
            <w:gridSpan w:val="2"/>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0.6</w:t>
            </w:r>
          </w:p>
        </w:tc>
        <w:tc>
          <w:tcPr>
            <w:tcW w:w="713"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w:t>
            </w:r>
          </w:p>
        </w:tc>
        <w:tc>
          <w:tcPr>
            <w:tcW w:w="807"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2.4</w:t>
            </w:r>
          </w:p>
        </w:tc>
        <w:tc>
          <w:tcPr>
            <w:tcW w:w="725"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14.2</w:t>
            </w:r>
          </w:p>
        </w:tc>
      </w:tr>
    </w:tbl>
    <w:p w:rsidR="00471112" w:rsidRDefault="00471112">
      <w:pPr>
        <w:spacing w:after="0" w:line="240" w:lineRule="auto"/>
        <w:rPr>
          <w:rFonts w:asciiTheme="minorHAnsi" w:eastAsiaTheme="minorHAnsi" w:hAnsiTheme="minorHAnsi" w:cstheme="minorHAnsi"/>
          <w:b/>
          <w:bCs/>
          <w:color w:val="407680" w:themeColor="accent2"/>
          <w:sz w:val="26"/>
          <w:szCs w:val="26"/>
          <w:lang w:val="en-GB"/>
        </w:rPr>
      </w:pPr>
    </w:p>
    <w:p w:rsidR="006C4591" w:rsidRDefault="006C4591" w:rsidP="006C4591">
      <w:pPr>
        <w:pStyle w:val="H3"/>
      </w:pPr>
      <w:r>
        <w:t>Liquidity</w:t>
      </w:r>
    </w:p>
    <w:p w:rsidR="0049683B" w:rsidRPr="00E31FF9" w:rsidDel="00471112" w:rsidRDefault="0049683B" w:rsidP="0049683B">
      <w:pPr>
        <w:rPr>
          <w:rFonts w:ascii="Georgia" w:hAnsi="Georgia" w:cs="Arial"/>
          <w:b/>
          <w:color w:val="004855" w:themeColor="text1"/>
          <w:sz w:val="20"/>
          <w:szCs w:val="20"/>
          <w:lang w:val="en-US"/>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D62AA3">
        <w:rPr>
          <w:rFonts w:ascii="Georgia" w:hAnsi="Georgia" w:cs="Arial"/>
          <w:b/>
          <w:color w:val="004855" w:themeColor="text1"/>
          <w:sz w:val="20"/>
          <w:szCs w:val="20"/>
          <w:lang w:val="en-US"/>
        </w:rPr>
        <w:t>3</w:t>
      </w:r>
      <w:r w:rsidRPr="00E31FF9" w:rsidDel="00471112">
        <w:rPr>
          <w:rFonts w:ascii="Georgia" w:hAnsi="Georgia" w:cs="Arial"/>
          <w:b/>
          <w:color w:val="004855" w:themeColor="text1"/>
          <w:sz w:val="20"/>
          <w:szCs w:val="20"/>
          <w:lang w:val="en-US"/>
        </w:rPr>
        <w:t>: Liquidity</w:t>
      </w:r>
      <w:r w:rsidR="00D91F27" w:rsidRPr="00E31FF9" w:rsidDel="00471112">
        <w:rPr>
          <w:rFonts w:ascii="Georgia" w:hAnsi="Georgia" w:cs="Arial"/>
          <w:b/>
          <w:color w:val="004855" w:themeColor="text1"/>
          <w:sz w:val="20"/>
          <w:szCs w:val="20"/>
          <w:lang w:val="en-US"/>
        </w:rPr>
        <w:t>, Universities</w:t>
      </w:r>
    </w:p>
    <w:p w:rsidR="00FD58D3" w:rsidRDefault="00C02DC4" w:rsidP="004C3CE1">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745571E2" wp14:editId="0CFEDA73">
            <wp:extent cx="5930901" cy="24384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1060" cy="2442577"/>
                    </a:xfrm>
                    <a:prstGeom prst="rect">
                      <a:avLst/>
                    </a:prstGeom>
                    <a:noFill/>
                    <a:ln>
                      <a:noFill/>
                    </a:ln>
                  </pic:spPr>
                </pic:pic>
              </a:graphicData>
            </a:graphic>
          </wp:inline>
        </w:drawing>
      </w:r>
    </w:p>
    <w:p w:rsidR="00ED2361" w:rsidRDefault="00ED2361" w:rsidP="004C3CE1">
      <w:pPr>
        <w:rPr>
          <w:rFonts w:ascii="Georgia" w:hAnsi="Georgia" w:cs="Arial"/>
          <w:b/>
          <w:color w:val="004855" w:themeColor="text1"/>
          <w:sz w:val="22"/>
          <w:szCs w:val="22"/>
          <w:lang w:val="en-US"/>
        </w:rPr>
      </w:pPr>
    </w:p>
    <w:p w:rsidR="004C3CE1" w:rsidRPr="00E31FF9" w:rsidRDefault="004C3CE1" w:rsidP="004C3CE1">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18</w:t>
      </w:r>
      <w:r w:rsidRPr="00E31FF9">
        <w:rPr>
          <w:rFonts w:ascii="Georgia" w:hAnsi="Georgia" w:cs="Arial"/>
          <w:b/>
          <w:color w:val="004855" w:themeColor="text1"/>
          <w:sz w:val="20"/>
          <w:szCs w:val="20"/>
          <w:lang w:val="en-US"/>
        </w:rPr>
        <w:t>:</w:t>
      </w:r>
      <w:r w:rsidR="00C30313" w:rsidRPr="00E31FF9">
        <w:rPr>
          <w:rFonts w:ascii="Georgia" w:hAnsi="Georgia" w:cs="Arial"/>
          <w:b/>
          <w:color w:val="004855" w:themeColor="text1"/>
          <w:sz w:val="20"/>
          <w:szCs w:val="20"/>
          <w:lang w:val="en-US"/>
        </w:rPr>
        <w:t xml:space="preserve"> </w:t>
      </w:r>
      <w:r w:rsidR="009B06B4" w:rsidRPr="00E31FF9">
        <w:rPr>
          <w:rFonts w:ascii="Georgia" w:hAnsi="Georgia" w:cs="Arial"/>
          <w:b/>
          <w:color w:val="004855" w:themeColor="text1"/>
          <w:sz w:val="20"/>
          <w:szCs w:val="20"/>
          <w:lang w:val="en-US"/>
        </w:rPr>
        <w:t>Liquidity range</w:t>
      </w:r>
      <w:r w:rsidR="00C30313" w:rsidRPr="00E31FF9">
        <w:rPr>
          <w:rFonts w:ascii="Georgia" w:hAnsi="Georgia" w:cs="Arial"/>
          <w:b/>
          <w:color w:val="004855" w:themeColor="text1"/>
          <w:sz w:val="20"/>
          <w:szCs w:val="20"/>
          <w:lang w:val="en-US"/>
        </w:rPr>
        <w:t xml:space="preserve">, </w:t>
      </w:r>
      <w:r w:rsidR="00A0617F" w:rsidRPr="00E31FF9">
        <w:rPr>
          <w:rFonts w:ascii="Georgia" w:hAnsi="Georgia" w:cs="Arial"/>
          <w:b/>
          <w:color w:val="004855" w:themeColor="text1"/>
          <w:sz w:val="20"/>
          <w:szCs w:val="20"/>
          <w:lang w:val="en-US"/>
        </w:rPr>
        <w:t xml:space="preserve">Universities </w:t>
      </w:r>
      <w:r w:rsidR="00D91F27" w:rsidRPr="00E31FF9">
        <w:rPr>
          <w:rFonts w:ascii="Georgia" w:hAnsi="Georgia" w:cs="Arial"/>
          <w:b/>
          <w:color w:val="004855" w:themeColor="text1"/>
          <w:sz w:val="20"/>
          <w:szCs w:val="20"/>
          <w:lang w:val="en-US"/>
        </w:rPr>
        <w:t xml:space="preserve">and </w:t>
      </w:r>
      <w:r w:rsidR="00456661">
        <w:rPr>
          <w:rFonts w:ascii="Georgia" w:hAnsi="Georgia" w:cs="Arial"/>
          <w:b/>
          <w:color w:val="004855" w:themeColor="text1"/>
          <w:sz w:val="20"/>
          <w:szCs w:val="20"/>
          <w:lang w:val="en-US"/>
        </w:rPr>
        <w:t>Sector</w:t>
      </w:r>
    </w:p>
    <w:tbl>
      <w:tblPr>
        <w:tblW w:w="5000" w:type="pct"/>
        <w:tblLook w:val="04A0" w:firstRow="1" w:lastRow="0" w:firstColumn="1" w:lastColumn="0" w:noHBand="0" w:noVBand="1"/>
      </w:tblPr>
      <w:tblGrid>
        <w:gridCol w:w="2283"/>
        <w:gridCol w:w="1426"/>
        <w:gridCol w:w="1595"/>
        <w:gridCol w:w="10"/>
        <w:gridCol w:w="1365"/>
        <w:gridCol w:w="1494"/>
        <w:gridCol w:w="1399"/>
      </w:tblGrid>
      <w:tr w:rsidR="003F5477" w:rsidRPr="00797118" w:rsidTr="00A02129">
        <w:trPr>
          <w:trHeight w:val="300"/>
        </w:trPr>
        <w:tc>
          <w:tcPr>
            <w:tcW w:w="1193" w:type="pct"/>
            <w:tcBorders>
              <w:top w:val="nil"/>
              <w:left w:val="nil"/>
              <w:bottom w:val="single" w:sz="4" w:space="0" w:color="366092"/>
              <w:right w:val="nil"/>
            </w:tcBorders>
            <w:shd w:val="clear" w:color="auto" w:fill="004855"/>
            <w:noWrap/>
            <w:vAlign w:val="bottom"/>
            <w:hideMark/>
          </w:tcPr>
          <w:p w:rsidR="003F5477" w:rsidRPr="00797118" w:rsidRDefault="003F5477" w:rsidP="00A02129">
            <w:pPr>
              <w:spacing w:after="0"/>
              <w:jc w:val="center"/>
              <w:rPr>
                <w:rFonts w:asciiTheme="minorHAnsi" w:hAnsiTheme="minorHAnsi" w:cstheme="minorHAnsi"/>
                <w:b/>
                <w:sz w:val="20"/>
                <w:szCs w:val="20"/>
              </w:rPr>
            </w:pPr>
          </w:p>
        </w:tc>
        <w:tc>
          <w:tcPr>
            <w:tcW w:w="745"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33"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18" w:type="pct"/>
            <w:gridSpan w:val="2"/>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80"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1"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3F5477" w:rsidRPr="00797118" w:rsidTr="00A02129">
        <w:trPr>
          <w:trHeight w:val="300"/>
        </w:trPr>
        <w:tc>
          <w:tcPr>
            <w:tcW w:w="1193" w:type="pct"/>
            <w:tcBorders>
              <w:top w:val="nil"/>
              <w:left w:val="nil"/>
              <w:bottom w:val="single" w:sz="4" w:space="0" w:color="366092"/>
              <w:right w:val="nil"/>
            </w:tcBorders>
            <w:shd w:val="clear" w:color="auto" w:fill="auto"/>
            <w:noWrap/>
            <w:vAlign w:val="bottom"/>
          </w:tcPr>
          <w:p w:rsidR="003F5477" w:rsidRPr="00797118" w:rsidRDefault="003F5477" w:rsidP="00A02129">
            <w:pPr>
              <w:spacing w:after="0"/>
              <w:rPr>
                <w:rFonts w:asciiTheme="minorHAnsi" w:hAnsiTheme="minorHAnsi" w:cstheme="minorHAnsi"/>
                <w:sz w:val="20"/>
                <w:szCs w:val="20"/>
              </w:rPr>
            </w:pPr>
            <w:r w:rsidRPr="00797118">
              <w:rPr>
                <w:rFonts w:asciiTheme="minorHAnsi" w:hAnsiTheme="minorHAnsi" w:cstheme="minorHAnsi"/>
                <w:sz w:val="20"/>
                <w:szCs w:val="20"/>
              </w:rPr>
              <w:t>Universit</w:t>
            </w:r>
            <w:r>
              <w:rPr>
                <w:rFonts w:asciiTheme="minorHAnsi" w:hAnsiTheme="minorHAnsi" w:cstheme="minorHAnsi"/>
                <w:sz w:val="20"/>
                <w:szCs w:val="20"/>
              </w:rPr>
              <w:t>ies</w:t>
            </w:r>
          </w:p>
        </w:tc>
        <w:tc>
          <w:tcPr>
            <w:tcW w:w="745"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0.3</w:t>
            </w:r>
          </w:p>
        </w:tc>
        <w:tc>
          <w:tcPr>
            <w:tcW w:w="838" w:type="pct"/>
            <w:gridSpan w:val="2"/>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w:t>
            </w:r>
          </w:p>
        </w:tc>
        <w:tc>
          <w:tcPr>
            <w:tcW w:w="713"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1.4</w:t>
            </w:r>
          </w:p>
        </w:tc>
        <w:tc>
          <w:tcPr>
            <w:tcW w:w="780"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2.2</w:t>
            </w:r>
          </w:p>
        </w:tc>
        <w:tc>
          <w:tcPr>
            <w:tcW w:w="731"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5.3</w:t>
            </w:r>
          </w:p>
        </w:tc>
      </w:tr>
      <w:tr w:rsidR="003F5477" w:rsidRPr="002922C1" w:rsidTr="00A02129">
        <w:trPr>
          <w:trHeight w:val="300"/>
        </w:trPr>
        <w:tc>
          <w:tcPr>
            <w:tcW w:w="1193" w:type="pct"/>
            <w:tcBorders>
              <w:top w:val="single" w:sz="4" w:space="0" w:color="366092"/>
              <w:left w:val="nil"/>
              <w:bottom w:val="single" w:sz="4" w:space="0" w:color="366092"/>
              <w:right w:val="nil"/>
            </w:tcBorders>
            <w:shd w:val="clear" w:color="000000" w:fill="E5F6F6"/>
            <w:noWrap/>
            <w:vAlign w:val="bottom"/>
          </w:tcPr>
          <w:p w:rsidR="003F5477"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5"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0.2</w:t>
            </w:r>
          </w:p>
        </w:tc>
        <w:tc>
          <w:tcPr>
            <w:tcW w:w="838" w:type="pct"/>
            <w:gridSpan w:val="2"/>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0.9</w:t>
            </w:r>
          </w:p>
        </w:tc>
        <w:tc>
          <w:tcPr>
            <w:tcW w:w="713"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w:t>
            </w:r>
          </w:p>
        </w:tc>
        <w:tc>
          <w:tcPr>
            <w:tcW w:w="780"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2.2</w:t>
            </w:r>
          </w:p>
        </w:tc>
        <w:tc>
          <w:tcPr>
            <w:tcW w:w="731"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13.6</w:t>
            </w:r>
          </w:p>
        </w:tc>
      </w:tr>
    </w:tbl>
    <w:p w:rsidR="00045B6B" w:rsidRDefault="00045B6B" w:rsidP="00E31FF9">
      <w:pPr>
        <w:pStyle w:val="H1"/>
        <w:spacing w:after="240"/>
        <w:rPr>
          <w:rFonts w:ascii="Georgia" w:hAnsi="Georgia"/>
          <w:sz w:val="40"/>
          <w:szCs w:val="40"/>
        </w:rPr>
      </w:pPr>
      <w:bookmarkStart w:id="25" w:name="_Toc424304113"/>
    </w:p>
    <w:p w:rsidR="006F3015" w:rsidRPr="00E31FF9" w:rsidRDefault="006F3015" w:rsidP="00E31FF9">
      <w:pPr>
        <w:pStyle w:val="H1"/>
        <w:spacing w:after="240"/>
        <w:rPr>
          <w:rFonts w:ascii="Georgia" w:hAnsi="Georgia"/>
          <w:sz w:val="40"/>
          <w:szCs w:val="40"/>
        </w:rPr>
      </w:pPr>
      <w:bookmarkStart w:id="26" w:name="_Toc467075179"/>
      <w:r w:rsidRPr="00E31FF9">
        <w:rPr>
          <w:rFonts w:ascii="Georgia" w:hAnsi="Georgia"/>
          <w:sz w:val="40"/>
          <w:szCs w:val="40"/>
        </w:rPr>
        <w:lastRenderedPageBreak/>
        <w:t xml:space="preserve">Appendix B: </w:t>
      </w:r>
      <w:r w:rsidR="00D91F27" w:rsidRPr="00E31FF9">
        <w:rPr>
          <w:rFonts w:ascii="Georgia" w:hAnsi="Georgia"/>
          <w:sz w:val="40"/>
          <w:szCs w:val="40"/>
        </w:rPr>
        <w:t>For</w:t>
      </w:r>
      <w:r w:rsidR="009C5B1A" w:rsidRPr="00E31FF9">
        <w:rPr>
          <w:rFonts w:ascii="Georgia" w:hAnsi="Georgia"/>
          <w:sz w:val="40"/>
          <w:szCs w:val="40"/>
        </w:rPr>
        <w:t>-</w:t>
      </w:r>
      <w:r w:rsidR="00D91F27" w:rsidRPr="00E31FF9">
        <w:rPr>
          <w:rFonts w:ascii="Georgia" w:hAnsi="Georgia"/>
          <w:sz w:val="40"/>
          <w:szCs w:val="40"/>
        </w:rPr>
        <w:t>Profit</w:t>
      </w:r>
      <w:bookmarkEnd w:id="26"/>
    </w:p>
    <w:p w:rsidR="00E31FF9" w:rsidRDefault="00414859" w:rsidP="005D6E32">
      <w:pPr>
        <w:spacing w:after="0" w:line="240" w:lineRule="auto"/>
        <w:rPr>
          <w:rFonts w:ascii="Arial" w:eastAsiaTheme="minorHAnsi" w:hAnsi="Arial" w:cstheme="minorBidi"/>
          <w:sz w:val="22"/>
          <w:szCs w:val="22"/>
        </w:rPr>
      </w:pPr>
      <w:r>
        <w:rPr>
          <w:rFonts w:ascii="Arial" w:eastAsiaTheme="minorHAnsi" w:hAnsi="Arial" w:cstheme="minorBidi"/>
          <w:sz w:val="22"/>
          <w:szCs w:val="22"/>
        </w:rPr>
        <w:t xml:space="preserve">In </w:t>
      </w:r>
      <w:r w:rsidR="00611961" w:rsidRPr="00814721">
        <w:rPr>
          <w:rFonts w:ascii="Arial" w:eastAsiaTheme="minorHAnsi" w:hAnsi="Arial" w:cstheme="minorBidi"/>
          <w:sz w:val="22"/>
          <w:szCs w:val="22"/>
        </w:rPr>
        <w:t>August 2016</w:t>
      </w:r>
      <w:r w:rsidR="00E31FF9" w:rsidRPr="00814721">
        <w:rPr>
          <w:rFonts w:ascii="Arial" w:eastAsiaTheme="minorHAnsi" w:hAnsi="Arial" w:cstheme="minorBidi"/>
          <w:sz w:val="22"/>
          <w:szCs w:val="22"/>
        </w:rPr>
        <w:t>, there were 6</w:t>
      </w:r>
      <w:r w:rsidR="00814721" w:rsidRPr="00814721">
        <w:rPr>
          <w:rFonts w:ascii="Arial" w:eastAsiaTheme="minorHAnsi" w:hAnsi="Arial" w:cstheme="minorBidi"/>
          <w:sz w:val="22"/>
          <w:szCs w:val="22"/>
        </w:rPr>
        <w:t>3</w:t>
      </w:r>
      <w:r w:rsidR="00E31FF9" w:rsidRPr="00814721">
        <w:rPr>
          <w:rFonts w:ascii="Arial" w:eastAsiaTheme="minorHAnsi" w:hAnsi="Arial" w:cstheme="minorBidi"/>
          <w:sz w:val="22"/>
          <w:szCs w:val="22"/>
        </w:rPr>
        <w:t xml:space="preserve"> </w:t>
      </w:r>
      <w:r w:rsidR="0081750E" w:rsidRPr="00814721">
        <w:rPr>
          <w:rFonts w:ascii="Arial" w:eastAsiaTheme="minorHAnsi" w:hAnsi="Arial" w:cstheme="minorBidi"/>
          <w:sz w:val="22"/>
          <w:szCs w:val="22"/>
        </w:rPr>
        <w:t>F</w:t>
      </w:r>
      <w:r w:rsidR="00E31FF9" w:rsidRPr="00814721">
        <w:rPr>
          <w:rFonts w:ascii="Arial" w:eastAsiaTheme="minorHAnsi" w:hAnsi="Arial" w:cstheme="minorBidi"/>
          <w:sz w:val="22"/>
          <w:szCs w:val="22"/>
        </w:rPr>
        <w:t>or-</w:t>
      </w:r>
      <w:r w:rsidR="0081750E" w:rsidRPr="00814721">
        <w:rPr>
          <w:rFonts w:ascii="Arial" w:eastAsiaTheme="minorHAnsi" w:hAnsi="Arial" w:cstheme="minorBidi"/>
          <w:sz w:val="22"/>
          <w:szCs w:val="22"/>
        </w:rPr>
        <w:t>P</w:t>
      </w:r>
      <w:r w:rsidR="00E31FF9" w:rsidRPr="00814721">
        <w:rPr>
          <w:rFonts w:ascii="Arial" w:eastAsiaTheme="minorHAnsi" w:hAnsi="Arial" w:cstheme="minorBidi"/>
          <w:sz w:val="22"/>
          <w:szCs w:val="22"/>
        </w:rPr>
        <w:t>rofit providers registered in Australia.</w:t>
      </w:r>
    </w:p>
    <w:p w:rsidR="006F3015" w:rsidRPr="009C31F7" w:rsidRDefault="006F3015" w:rsidP="00627B3A">
      <w:pPr>
        <w:pStyle w:val="H3"/>
      </w:pPr>
      <w:r w:rsidRPr="009C31F7">
        <w:t>Revenue concentration</w:t>
      </w:r>
    </w:p>
    <w:p w:rsidR="006F3015" w:rsidRPr="00E31FF9" w:rsidDel="00471112" w:rsidRDefault="006F3015" w:rsidP="006F3015">
      <w:pPr>
        <w:rPr>
          <w:rFonts w:ascii="Arial" w:eastAsiaTheme="minorHAnsi" w:hAnsi="Arial" w:cstheme="minorBidi"/>
          <w:sz w:val="20"/>
          <w:szCs w:val="20"/>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D62AA3">
        <w:rPr>
          <w:rFonts w:ascii="Georgia" w:hAnsi="Georgia" w:cs="Arial"/>
          <w:b/>
          <w:color w:val="004855" w:themeColor="text1"/>
          <w:sz w:val="20"/>
          <w:szCs w:val="20"/>
          <w:lang w:val="en-US"/>
        </w:rPr>
        <w:t>4</w:t>
      </w:r>
      <w:r w:rsidRPr="00E31FF9" w:rsidDel="00471112">
        <w:rPr>
          <w:rFonts w:ascii="Georgia" w:hAnsi="Georgia" w:cs="Arial"/>
          <w:b/>
          <w:color w:val="004855" w:themeColor="text1"/>
          <w:sz w:val="20"/>
          <w:szCs w:val="20"/>
          <w:lang w:val="en-US"/>
        </w:rPr>
        <w:t>: Revenue concentration</w:t>
      </w:r>
      <w:r w:rsidR="00D91F27" w:rsidRPr="00E31FF9" w:rsidDel="00471112">
        <w:rPr>
          <w:rFonts w:ascii="Georgia" w:hAnsi="Georgia" w:cs="Arial"/>
          <w:b/>
          <w:color w:val="004855" w:themeColor="text1"/>
          <w:sz w:val="20"/>
          <w:szCs w:val="20"/>
          <w:lang w:val="en-US"/>
        </w:rPr>
        <w:t>, For</w:t>
      </w:r>
      <w:r w:rsidR="008208AE" w:rsidDel="00471112">
        <w:rPr>
          <w:rFonts w:ascii="Georgia" w:hAnsi="Georgia" w:cs="Arial"/>
          <w:b/>
          <w:color w:val="004855" w:themeColor="text1"/>
          <w:sz w:val="20"/>
          <w:szCs w:val="20"/>
          <w:lang w:val="en-US"/>
        </w:rPr>
        <w:t>-</w:t>
      </w:r>
      <w:r w:rsidR="00D91F27" w:rsidRPr="00E31FF9" w:rsidDel="00471112">
        <w:rPr>
          <w:rFonts w:ascii="Georgia" w:hAnsi="Georgia" w:cs="Arial"/>
          <w:b/>
          <w:color w:val="004855" w:themeColor="text1"/>
          <w:sz w:val="20"/>
          <w:szCs w:val="20"/>
          <w:lang w:val="en-US"/>
        </w:rPr>
        <w:t>Profit</w:t>
      </w:r>
    </w:p>
    <w:p w:rsidR="00471112" w:rsidRDefault="00A06E87" w:rsidP="006F3015">
      <w:pPr>
        <w:spacing w:after="0" w:line="240" w:lineRule="auto"/>
        <w:rPr>
          <w:rFonts w:ascii="Arial" w:eastAsiaTheme="minorHAnsi" w:hAnsi="Arial" w:cstheme="minorBidi"/>
          <w:sz w:val="22"/>
          <w:szCs w:val="22"/>
        </w:rPr>
      </w:pPr>
      <w:r w:rsidRPr="00627B3A">
        <w:rPr>
          <w:rFonts w:ascii="Arial" w:eastAsiaTheme="minorHAnsi" w:hAnsi="Arial" w:cstheme="minorBidi"/>
          <w:noProof/>
          <w:sz w:val="22"/>
          <w:szCs w:val="22"/>
          <w:lang w:eastAsia="en-AU"/>
        </w:rPr>
        <w:drawing>
          <wp:inline distT="0" distB="0" distL="0" distR="0" wp14:anchorId="280F1E1C" wp14:editId="6702D1B7">
            <wp:extent cx="5935133" cy="2531533"/>
            <wp:effectExtent l="0" t="0" r="8890" b="254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1060" cy="2534061"/>
                    </a:xfrm>
                    <a:prstGeom prst="rect">
                      <a:avLst/>
                    </a:prstGeom>
                    <a:noFill/>
                    <a:ln>
                      <a:noFill/>
                    </a:ln>
                  </pic:spPr>
                </pic:pic>
              </a:graphicData>
            </a:graphic>
          </wp:inline>
        </w:drawing>
      </w:r>
    </w:p>
    <w:p w:rsidR="006F3015" w:rsidRPr="00E31FF9" w:rsidRDefault="006F3015" w:rsidP="006F3015">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19</w:t>
      </w:r>
      <w:r w:rsidRPr="00E31FF9">
        <w:rPr>
          <w:rFonts w:ascii="Georgia" w:hAnsi="Georgia" w:cs="Arial"/>
          <w:b/>
          <w:color w:val="004855" w:themeColor="text1"/>
          <w:sz w:val="20"/>
          <w:szCs w:val="20"/>
          <w:lang w:val="en-US"/>
        </w:rPr>
        <w:t>: Largest revenue source range</w:t>
      </w:r>
      <w:r w:rsidR="00D91F27" w:rsidRPr="00E31FF9">
        <w:rPr>
          <w:rFonts w:ascii="Georgia" w:hAnsi="Georgia" w:cs="Arial"/>
          <w:b/>
          <w:color w:val="004855" w:themeColor="text1"/>
          <w:sz w:val="20"/>
          <w:szCs w:val="20"/>
          <w:lang w:val="en-US"/>
        </w:rPr>
        <w:t>, For</w:t>
      </w:r>
      <w:r w:rsidR="009C5B1A" w:rsidRPr="00E31FF9">
        <w:rPr>
          <w:rFonts w:ascii="Georgia" w:hAnsi="Georgia" w:cs="Arial"/>
          <w:b/>
          <w:color w:val="004855" w:themeColor="text1"/>
          <w:sz w:val="20"/>
          <w:szCs w:val="20"/>
          <w:lang w:val="en-US"/>
        </w:rPr>
        <w:t>-</w:t>
      </w:r>
      <w:r w:rsidR="00D91F27" w:rsidRPr="00E31FF9">
        <w:rPr>
          <w:rFonts w:ascii="Georgia" w:hAnsi="Georgia" w:cs="Arial"/>
          <w:b/>
          <w:color w:val="004855" w:themeColor="text1"/>
          <w:sz w:val="20"/>
          <w:szCs w:val="20"/>
          <w:lang w:val="en-US"/>
        </w:rPr>
        <w:t xml:space="preserve">Profit providers and </w:t>
      </w:r>
      <w:r w:rsidR="00456661">
        <w:rPr>
          <w:rFonts w:ascii="Georgia" w:hAnsi="Georgia" w:cs="Arial"/>
          <w:b/>
          <w:color w:val="004855" w:themeColor="text1"/>
          <w:sz w:val="20"/>
          <w:szCs w:val="20"/>
          <w:lang w:val="en-US"/>
        </w:rPr>
        <w:t>Sector</w:t>
      </w:r>
    </w:p>
    <w:tbl>
      <w:tblPr>
        <w:tblW w:w="4942" w:type="pct"/>
        <w:tblInd w:w="108" w:type="dxa"/>
        <w:tblLook w:val="04A0" w:firstRow="1" w:lastRow="0" w:firstColumn="1" w:lastColumn="0" w:noHBand="0" w:noVBand="1"/>
      </w:tblPr>
      <w:tblGrid>
        <w:gridCol w:w="2172"/>
        <w:gridCol w:w="1427"/>
        <w:gridCol w:w="1605"/>
        <w:gridCol w:w="1366"/>
        <w:gridCol w:w="1495"/>
        <w:gridCol w:w="1396"/>
      </w:tblGrid>
      <w:tr w:rsidR="00627B3A" w:rsidRPr="00627B3A" w:rsidTr="00627B3A">
        <w:trPr>
          <w:trHeight w:val="283"/>
        </w:trPr>
        <w:tc>
          <w:tcPr>
            <w:tcW w:w="1148" w:type="pct"/>
            <w:tcBorders>
              <w:top w:val="single" w:sz="4" w:space="0" w:color="366092"/>
              <w:left w:val="nil"/>
              <w:bottom w:val="single" w:sz="4" w:space="0" w:color="366092"/>
              <w:right w:val="nil"/>
            </w:tcBorders>
            <w:shd w:val="clear" w:color="auto" w:fill="30585F" w:themeFill="accent2" w:themeFillShade="BF"/>
            <w:noWrap/>
            <w:vAlign w:val="center"/>
          </w:tcPr>
          <w:p w:rsidR="00627B3A" w:rsidRPr="00627B3A" w:rsidRDefault="00627B3A" w:rsidP="00276B3E">
            <w:pPr>
              <w:spacing w:after="0"/>
              <w:rPr>
                <w:rFonts w:asciiTheme="minorHAnsi" w:hAnsiTheme="minorHAnsi" w:cstheme="minorHAnsi"/>
                <w:b/>
                <w:color w:val="FFFFFF" w:themeColor="background2"/>
                <w:sz w:val="20"/>
                <w:szCs w:val="20"/>
              </w:rPr>
            </w:pPr>
          </w:p>
        </w:tc>
        <w:tc>
          <w:tcPr>
            <w:tcW w:w="754" w:type="pct"/>
            <w:tcBorders>
              <w:top w:val="single" w:sz="4" w:space="0" w:color="366092"/>
              <w:left w:val="nil"/>
              <w:bottom w:val="single" w:sz="4" w:space="0" w:color="366092"/>
              <w:right w:val="nil"/>
            </w:tcBorders>
            <w:shd w:val="clear" w:color="auto" w:fill="30585F" w:themeFill="accent2" w:themeFillShade="BF"/>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Minimum</w:t>
            </w:r>
          </w:p>
        </w:tc>
        <w:tc>
          <w:tcPr>
            <w:tcW w:w="848" w:type="pct"/>
            <w:tcBorders>
              <w:top w:val="single" w:sz="4" w:space="0" w:color="366092"/>
              <w:left w:val="nil"/>
              <w:bottom w:val="single" w:sz="4" w:space="0" w:color="366092"/>
              <w:right w:val="nil"/>
            </w:tcBorders>
            <w:shd w:val="clear" w:color="auto" w:fill="30585F" w:themeFill="accent2" w:themeFillShade="BF"/>
            <w:noWrap/>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First quartile</w:t>
            </w:r>
          </w:p>
        </w:tc>
        <w:tc>
          <w:tcPr>
            <w:tcW w:w="722" w:type="pct"/>
            <w:tcBorders>
              <w:top w:val="single" w:sz="4" w:space="0" w:color="366092"/>
              <w:left w:val="nil"/>
              <w:bottom w:val="single" w:sz="4" w:space="0" w:color="366092"/>
              <w:right w:val="nil"/>
            </w:tcBorders>
            <w:shd w:val="clear" w:color="auto" w:fill="30585F" w:themeFill="accent2" w:themeFillShade="BF"/>
            <w:noWrap/>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Median</w:t>
            </w:r>
          </w:p>
        </w:tc>
        <w:tc>
          <w:tcPr>
            <w:tcW w:w="790" w:type="pct"/>
            <w:tcBorders>
              <w:top w:val="single" w:sz="4" w:space="0" w:color="366092"/>
              <w:left w:val="nil"/>
              <w:bottom w:val="single" w:sz="4" w:space="0" w:color="366092"/>
              <w:right w:val="nil"/>
            </w:tcBorders>
            <w:shd w:val="clear" w:color="auto" w:fill="30585F" w:themeFill="accent2" w:themeFillShade="BF"/>
            <w:noWrap/>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Third quartile</w:t>
            </w:r>
          </w:p>
        </w:tc>
        <w:tc>
          <w:tcPr>
            <w:tcW w:w="738" w:type="pct"/>
            <w:tcBorders>
              <w:top w:val="single" w:sz="4" w:space="0" w:color="366092"/>
              <w:left w:val="nil"/>
              <w:bottom w:val="single" w:sz="4" w:space="0" w:color="366092"/>
              <w:right w:val="nil"/>
            </w:tcBorders>
            <w:shd w:val="clear" w:color="auto" w:fill="30585F" w:themeFill="accent2" w:themeFillShade="BF"/>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Maximum</w:t>
            </w:r>
          </w:p>
        </w:tc>
      </w:tr>
      <w:tr w:rsidR="00627B3A" w:rsidRPr="00627B3A" w:rsidTr="00627B3A">
        <w:trPr>
          <w:trHeight w:val="283"/>
        </w:trPr>
        <w:tc>
          <w:tcPr>
            <w:tcW w:w="1148" w:type="pct"/>
            <w:tcBorders>
              <w:top w:val="single" w:sz="4" w:space="0" w:color="366092"/>
              <w:left w:val="nil"/>
              <w:bottom w:val="single" w:sz="4" w:space="0" w:color="366092"/>
              <w:right w:val="nil"/>
            </w:tcBorders>
            <w:shd w:val="clear" w:color="auto" w:fill="auto"/>
            <w:noWrap/>
            <w:vAlign w:val="center"/>
          </w:tcPr>
          <w:p w:rsidR="00627B3A" w:rsidRPr="00627B3A" w:rsidRDefault="00627B3A" w:rsidP="00276B3E">
            <w:pPr>
              <w:spacing w:after="0"/>
              <w:rPr>
                <w:rFonts w:asciiTheme="minorHAnsi" w:hAnsiTheme="minorHAnsi" w:cstheme="minorHAnsi"/>
                <w:sz w:val="20"/>
                <w:szCs w:val="20"/>
              </w:rPr>
            </w:pPr>
            <w:r w:rsidRPr="00627B3A">
              <w:rPr>
                <w:rFonts w:asciiTheme="minorHAnsi" w:hAnsiTheme="minorHAnsi" w:cstheme="minorHAnsi"/>
                <w:sz w:val="20"/>
                <w:szCs w:val="20"/>
              </w:rPr>
              <w:t>For-Profit</w:t>
            </w:r>
          </w:p>
        </w:tc>
        <w:tc>
          <w:tcPr>
            <w:tcW w:w="754" w:type="pct"/>
            <w:tcBorders>
              <w:top w:val="single" w:sz="4" w:space="0" w:color="366092"/>
              <w:left w:val="nil"/>
              <w:bottom w:val="single" w:sz="4" w:space="0" w:color="366092"/>
              <w:right w:val="nil"/>
            </w:tcBorders>
            <w:shd w:val="clear" w:color="auto" w:fill="auto"/>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39.6%</w:t>
            </w:r>
          </w:p>
        </w:tc>
        <w:tc>
          <w:tcPr>
            <w:tcW w:w="848" w:type="pct"/>
            <w:tcBorders>
              <w:top w:val="single" w:sz="4" w:space="0" w:color="366092"/>
              <w:left w:val="nil"/>
              <w:bottom w:val="single" w:sz="4" w:space="0" w:color="366092"/>
              <w:right w:val="nil"/>
            </w:tcBorders>
            <w:shd w:val="clear" w:color="auto" w:fill="auto"/>
            <w:noWrap/>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51.0%</w:t>
            </w:r>
          </w:p>
        </w:tc>
        <w:tc>
          <w:tcPr>
            <w:tcW w:w="722" w:type="pct"/>
            <w:tcBorders>
              <w:top w:val="single" w:sz="4" w:space="0" w:color="366092"/>
              <w:left w:val="nil"/>
              <w:bottom w:val="single" w:sz="4" w:space="0" w:color="366092"/>
              <w:right w:val="nil"/>
            </w:tcBorders>
            <w:shd w:val="clear" w:color="auto" w:fill="auto"/>
            <w:noWrap/>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68.7%</w:t>
            </w:r>
          </w:p>
        </w:tc>
        <w:tc>
          <w:tcPr>
            <w:tcW w:w="790" w:type="pct"/>
            <w:tcBorders>
              <w:top w:val="single" w:sz="4" w:space="0" w:color="366092"/>
              <w:left w:val="nil"/>
              <w:bottom w:val="single" w:sz="4" w:space="0" w:color="366092"/>
              <w:right w:val="nil"/>
            </w:tcBorders>
            <w:shd w:val="clear" w:color="auto" w:fill="auto"/>
            <w:noWrap/>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93.8%</w:t>
            </w:r>
          </w:p>
        </w:tc>
        <w:tc>
          <w:tcPr>
            <w:tcW w:w="738" w:type="pct"/>
            <w:tcBorders>
              <w:top w:val="single" w:sz="4" w:space="0" w:color="366092"/>
              <w:left w:val="nil"/>
              <w:bottom w:val="single" w:sz="4" w:space="0" w:color="366092"/>
              <w:right w:val="nil"/>
            </w:tcBorders>
            <w:shd w:val="clear" w:color="auto" w:fill="auto"/>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99.7%</w:t>
            </w:r>
          </w:p>
        </w:tc>
      </w:tr>
      <w:tr w:rsidR="00627B3A" w:rsidRPr="002922C1" w:rsidTr="00627B3A">
        <w:trPr>
          <w:trHeight w:val="283"/>
        </w:trPr>
        <w:tc>
          <w:tcPr>
            <w:tcW w:w="1148" w:type="pct"/>
            <w:tcBorders>
              <w:top w:val="single" w:sz="4" w:space="0" w:color="366092"/>
              <w:left w:val="nil"/>
              <w:bottom w:val="single" w:sz="4" w:space="0" w:color="366092"/>
              <w:right w:val="nil"/>
            </w:tcBorders>
            <w:shd w:val="clear" w:color="000000" w:fill="E5F6F6"/>
            <w:noWrap/>
            <w:vAlign w:val="center"/>
          </w:tcPr>
          <w:p w:rsidR="00627B3A" w:rsidRPr="00627B3A" w:rsidRDefault="00627B3A" w:rsidP="00276B3E">
            <w:pPr>
              <w:spacing w:after="0"/>
              <w:rPr>
                <w:rFonts w:asciiTheme="minorHAnsi" w:hAnsiTheme="minorHAnsi" w:cstheme="minorHAnsi"/>
                <w:b/>
                <w:sz w:val="20"/>
                <w:szCs w:val="20"/>
              </w:rPr>
            </w:pPr>
            <w:r w:rsidRPr="00627B3A">
              <w:rPr>
                <w:rFonts w:asciiTheme="minorHAnsi" w:hAnsiTheme="minorHAnsi" w:cstheme="minorHAnsi"/>
                <w:b/>
                <w:sz w:val="20"/>
                <w:szCs w:val="20"/>
              </w:rPr>
              <w:t>Sector</w:t>
            </w:r>
          </w:p>
        </w:tc>
        <w:tc>
          <w:tcPr>
            <w:tcW w:w="754" w:type="pct"/>
            <w:tcBorders>
              <w:top w:val="single" w:sz="4" w:space="0" w:color="366092"/>
              <w:left w:val="nil"/>
              <w:bottom w:val="single" w:sz="4" w:space="0" w:color="366092"/>
              <w:right w:val="nil"/>
            </w:tcBorders>
            <w:shd w:val="clear" w:color="000000" w:fill="E5F6F6"/>
            <w:vAlign w:val="bottom"/>
          </w:tcPr>
          <w:p w:rsidR="00627B3A" w:rsidRPr="00627B3A" w:rsidRDefault="00627B3A" w:rsidP="005C332B">
            <w:pPr>
              <w:spacing w:after="0"/>
              <w:jc w:val="right"/>
              <w:rPr>
                <w:rFonts w:asciiTheme="minorHAnsi" w:hAnsiTheme="minorHAnsi" w:cstheme="minorHAnsi"/>
                <w:b/>
                <w:sz w:val="20"/>
                <w:szCs w:val="20"/>
              </w:rPr>
            </w:pPr>
            <w:r w:rsidRPr="00627B3A">
              <w:rPr>
                <w:rFonts w:asciiTheme="minorHAnsi" w:hAnsiTheme="minorHAnsi" w:cstheme="minorHAnsi"/>
                <w:b/>
                <w:sz w:val="20"/>
                <w:szCs w:val="20"/>
              </w:rPr>
              <w:t>31.1%</w:t>
            </w:r>
          </w:p>
        </w:tc>
        <w:tc>
          <w:tcPr>
            <w:tcW w:w="848" w:type="pct"/>
            <w:tcBorders>
              <w:top w:val="single" w:sz="4" w:space="0" w:color="366092"/>
              <w:left w:val="nil"/>
              <w:bottom w:val="single" w:sz="4" w:space="0" w:color="366092"/>
              <w:right w:val="nil"/>
            </w:tcBorders>
            <w:shd w:val="clear" w:color="000000" w:fill="E5F6F6"/>
            <w:noWrap/>
            <w:vAlign w:val="bottom"/>
          </w:tcPr>
          <w:p w:rsidR="00627B3A" w:rsidRPr="00627B3A" w:rsidRDefault="00627B3A" w:rsidP="005C332B">
            <w:pPr>
              <w:spacing w:after="0"/>
              <w:jc w:val="right"/>
              <w:rPr>
                <w:rFonts w:asciiTheme="minorHAnsi" w:hAnsiTheme="minorHAnsi" w:cstheme="minorHAnsi"/>
                <w:b/>
                <w:sz w:val="20"/>
                <w:szCs w:val="20"/>
              </w:rPr>
            </w:pPr>
            <w:r w:rsidRPr="00627B3A">
              <w:rPr>
                <w:rFonts w:asciiTheme="minorHAnsi" w:hAnsiTheme="minorHAnsi" w:cstheme="minorHAnsi"/>
                <w:b/>
                <w:sz w:val="20"/>
                <w:szCs w:val="20"/>
              </w:rPr>
              <w:t>45.2%</w:t>
            </w:r>
          </w:p>
        </w:tc>
        <w:tc>
          <w:tcPr>
            <w:tcW w:w="722" w:type="pct"/>
            <w:tcBorders>
              <w:top w:val="single" w:sz="4" w:space="0" w:color="366092"/>
              <w:left w:val="nil"/>
              <w:bottom w:val="single" w:sz="4" w:space="0" w:color="366092"/>
              <w:right w:val="nil"/>
            </w:tcBorders>
            <w:shd w:val="clear" w:color="000000" w:fill="E5F6F6"/>
            <w:noWrap/>
            <w:vAlign w:val="bottom"/>
          </w:tcPr>
          <w:p w:rsidR="00627B3A" w:rsidRPr="00627B3A" w:rsidRDefault="00627B3A" w:rsidP="005C332B">
            <w:pPr>
              <w:spacing w:after="0"/>
              <w:jc w:val="right"/>
              <w:rPr>
                <w:rFonts w:asciiTheme="minorHAnsi" w:hAnsiTheme="minorHAnsi" w:cstheme="minorHAnsi"/>
                <w:b/>
                <w:sz w:val="20"/>
                <w:szCs w:val="20"/>
              </w:rPr>
            </w:pPr>
            <w:r w:rsidRPr="00627B3A">
              <w:rPr>
                <w:rFonts w:asciiTheme="minorHAnsi" w:hAnsiTheme="minorHAnsi" w:cstheme="minorHAnsi"/>
                <w:b/>
                <w:sz w:val="20"/>
                <w:szCs w:val="20"/>
              </w:rPr>
              <w:t>56.6%</w:t>
            </w:r>
          </w:p>
        </w:tc>
        <w:tc>
          <w:tcPr>
            <w:tcW w:w="790" w:type="pct"/>
            <w:tcBorders>
              <w:top w:val="single" w:sz="4" w:space="0" w:color="366092"/>
              <w:left w:val="nil"/>
              <w:bottom w:val="single" w:sz="4" w:space="0" w:color="366092"/>
              <w:right w:val="nil"/>
            </w:tcBorders>
            <w:shd w:val="clear" w:color="000000" w:fill="E5F6F6"/>
            <w:noWrap/>
            <w:vAlign w:val="bottom"/>
          </w:tcPr>
          <w:p w:rsidR="00627B3A" w:rsidRPr="00627B3A" w:rsidRDefault="00627B3A" w:rsidP="005C332B">
            <w:pPr>
              <w:spacing w:after="0"/>
              <w:jc w:val="right"/>
              <w:rPr>
                <w:rFonts w:asciiTheme="minorHAnsi" w:hAnsiTheme="minorHAnsi" w:cstheme="minorHAnsi"/>
                <w:b/>
                <w:sz w:val="20"/>
                <w:szCs w:val="20"/>
              </w:rPr>
            </w:pPr>
            <w:r w:rsidRPr="00627B3A">
              <w:rPr>
                <w:rFonts w:asciiTheme="minorHAnsi" w:hAnsiTheme="minorHAnsi" w:cstheme="minorHAnsi"/>
                <w:b/>
                <w:sz w:val="20"/>
                <w:szCs w:val="20"/>
              </w:rPr>
              <w:t>80.4%</w:t>
            </w:r>
          </w:p>
        </w:tc>
        <w:tc>
          <w:tcPr>
            <w:tcW w:w="738" w:type="pct"/>
            <w:tcBorders>
              <w:top w:val="single" w:sz="4" w:space="0" w:color="366092"/>
              <w:left w:val="nil"/>
              <w:bottom w:val="single" w:sz="4" w:space="0" w:color="366092"/>
              <w:right w:val="nil"/>
            </w:tcBorders>
            <w:shd w:val="clear" w:color="000000" w:fill="E5F6F6"/>
            <w:vAlign w:val="bottom"/>
          </w:tcPr>
          <w:p w:rsidR="00627B3A" w:rsidRPr="00627B3A" w:rsidRDefault="00627B3A" w:rsidP="005C332B">
            <w:pPr>
              <w:spacing w:after="0"/>
              <w:jc w:val="right"/>
              <w:rPr>
                <w:rFonts w:asciiTheme="minorHAnsi" w:hAnsiTheme="minorHAnsi" w:cstheme="minorHAnsi"/>
                <w:b/>
                <w:sz w:val="20"/>
                <w:szCs w:val="20"/>
              </w:rPr>
            </w:pPr>
            <w:r w:rsidRPr="00627B3A">
              <w:rPr>
                <w:rFonts w:asciiTheme="minorHAnsi" w:hAnsiTheme="minorHAnsi" w:cstheme="minorHAnsi"/>
                <w:b/>
                <w:sz w:val="20"/>
                <w:szCs w:val="20"/>
              </w:rPr>
              <w:t>99.7%</w:t>
            </w:r>
          </w:p>
        </w:tc>
      </w:tr>
    </w:tbl>
    <w:p w:rsidR="006F3015" w:rsidRDefault="006F3015" w:rsidP="006F3015">
      <w:pPr>
        <w:spacing w:after="0" w:line="240" w:lineRule="auto"/>
        <w:rPr>
          <w:rFonts w:ascii="Georgia" w:hAnsi="Georgia" w:cs="Arial"/>
          <w:b/>
          <w:color w:val="004855" w:themeColor="text1"/>
          <w:sz w:val="22"/>
          <w:szCs w:val="22"/>
          <w:lang w:val="en-US"/>
        </w:rPr>
      </w:pPr>
    </w:p>
    <w:p w:rsidR="006F3015" w:rsidRDefault="006F3015" w:rsidP="006F3015">
      <w:pPr>
        <w:pStyle w:val="H3"/>
      </w:pPr>
      <w:r>
        <w:t>Net profit/surplus margin</w:t>
      </w:r>
    </w:p>
    <w:p w:rsidR="006F3015" w:rsidRPr="00E31FF9" w:rsidDel="00471112" w:rsidRDefault="006F3015" w:rsidP="006F3015">
      <w:pPr>
        <w:rPr>
          <w:rFonts w:ascii="Arial" w:eastAsiaTheme="minorHAnsi" w:hAnsi="Arial" w:cstheme="minorBidi"/>
          <w:sz w:val="20"/>
          <w:szCs w:val="20"/>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6C43D6">
        <w:rPr>
          <w:rFonts w:ascii="Georgia" w:hAnsi="Georgia" w:cs="Arial"/>
          <w:b/>
          <w:color w:val="004855" w:themeColor="text1"/>
          <w:sz w:val="20"/>
          <w:szCs w:val="20"/>
          <w:lang w:val="en-US"/>
        </w:rPr>
        <w:t>5</w:t>
      </w:r>
      <w:r w:rsidRPr="00E31FF9" w:rsidDel="00471112">
        <w:rPr>
          <w:rFonts w:ascii="Georgia" w:hAnsi="Georgia" w:cs="Arial"/>
          <w:b/>
          <w:color w:val="004855" w:themeColor="text1"/>
          <w:sz w:val="20"/>
          <w:szCs w:val="20"/>
          <w:lang w:val="en-US"/>
        </w:rPr>
        <w:t>: Net profit/surplus margin</w:t>
      </w:r>
      <w:r w:rsidR="00D91F27" w:rsidRPr="00E31FF9" w:rsidDel="00471112">
        <w:rPr>
          <w:rFonts w:ascii="Georgia" w:hAnsi="Georgia" w:cs="Arial"/>
          <w:b/>
          <w:color w:val="004855" w:themeColor="text1"/>
          <w:sz w:val="20"/>
          <w:szCs w:val="20"/>
          <w:lang w:val="en-US"/>
        </w:rPr>
        <w:t>, For</w:t>
      </w:r>
      <w:r w:rsidR="009C5B1A" w:rsidRPr="00E31FF9" w:rsidDel="00471112">
        <w:rPr>
          <w:rFonts w:ascii="Georgia" w:hAnsi="Georgia" w:cs="Arial"/>
          <w:b/>
          <w:color w:val="004855" w:themeColor="text1"/>
          <w:sz w:val="20"/>
          <w:szCs w:val="20"/>
          <w:lang w:val="en-US"/>
        </w:rPr>
        <w:t>-</w:t>
      </w:r>
      <w:r w:rsidR="00D91F27" w:rsidRPr="00E31FF9" w:rsidDel="00471112">
        <w:rPr>
          <w:rFonts w:ascii="Georgia" w:hAnsi="Georgia" w:cs="Arial"/>
          <w:b/>
          <w:color w:val="004855" w:themeColor="text1"/>
          <w:sz w:val="20"/>
          <w:szCs w:val="20"/>
          <w:lang w:val="en-US"/>
        </w:rPr>
        <w:t>Profit</w:t>
      </w:r>
    </w:p>
    <w:p w:rsidR="009C31F7" w:rsidRDefault="00C02DC4" w:rsidP="006F3015">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72344680" wp14:editId="5A81815A">
            <wp:extent cx="5934075" cy="257175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1060" cy="2574777"/>
                    </a:xfrm>
                    <a:prstGeom prst="rect">
                      <a:avLst/>
                    </a:prstGeom>
                    <a:noFill/>
                    <a:ln>
                      <a:noFill/>
                    </a:ln>
                  </pic:spPr>
                </pic:pic>
              </a:graphicData>
            </a:graphic>
          </wp:inline>
        </w:drawing>
      </w:r>
    </w:p>
    <w:p w:rsidR="006F3015" w:rsidRPr="00E31FF9" w:rsidRDefault="006F3015" w:rsidP="006F3015">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 xml:space="preserve">Table </w:t>
      </w:r>
      <w:r w:rsidR="00713386" w:rsidRPr="00E31FF9">
        <w:rPr>
          <w:rFonts w:ascii="Georgia" w:hAnsi="Georgia" w:cs="Arial"/>
          <w:b/>
          <w:color w:val="004855" w:themeColor="text1"/>
          <w:sz w:val="20"/>
          <w:szCs w:val="20"/>
          <w:lang w:val="en-US"/>
        </w:rPr>
        <w:t>2</w:t>
      </w:r>
      <w:r w:rsidR="00127249">
        <w:rPr>
          <w:rFonts w:ascii="Georgia" w:hAnsi="Georgia" w:cs="Arial"/>
          <w:b/>
          <w:color w:val="004855" w:themeColor="text1"/>
          <w:sz w:val="20"/>
          <w:szCs w:val="20"/>
          <w:lang w:val="en-US"/>
        </w:rPr>
        <w:t>0</w:t>
      </w:r>
      <w:r w:rsidRPr="00E31FF9">
        <w:rPr>
          <w:rFonts w:ascii="Georgia" w:hAnsi="Georgia" w:cs="Arial"/>
          <w:b/>
          <w:color w:val="004855" w:themeColor="text1"/>
          <w:sz w:val="20"/>
          <w:szCs w:val="20"/>
          <w:lang w:val="en-US"/>
        </w:rPr>
        <w:t>: Net profit/surplus margin range</w:t>
      </w:r>
      <w:r w:rsidR="00D91F27" w:rsidRPr="00E31FF9">
        <w:rPr>
          <w:rFonts w:ascii="Georgia" w:hAnsi="Georgia" w:cs="Arial"/>
          <w:b/>
          <w:color w:val="004855" w:themeColor="text1"/>
          <w:sz w:val="20"/>
          <w:szCs w:val="20"/>
          <w:lang w:val="en-US"/>
        </w:rPr>
        <w:t>, For</w:t>
      </w:r>
      <w:r w:rsidR="009C5B1A" w:rsidRPr="00E31FF9">
        <w:rPr>
          <w:rFonts w:ascii="Georgia" w:hAnsi="Georgia" w:cs="Arial"/>
          <w:b/>
          <w:color w:val="004855" w:themeColor="text1"/>
          <w:sz w:val="20"/>
          <w:szCs w:val="20"/>
          <w:lang w:val="en-US"/>
        </w:rPr>
        <w:t>-</w:t>
      </w:r>
      <w:r w:rsidR="00D91F27" w:rsidRPr="00E31FF9">
        <w:rPr>
          <w:rFonts w:ascii="Georgia" w:hAnsi="Georgia" w:cs="Arial"/>
          <w:b/>
          <w:color w:val="004855" w:themeColor="text1"/>
          <w:sz w:val="20"/>
          <w:szCs w:val="20"/>
          <w:lang w:val="en-US"/>
        </w:rPr>
        <w:t xml:space="preserve">Profit providers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82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-11.5%</w:t>
            </w:r>
          </w:p>
        </w:tc>
        <w:tc>
          <w:tcPr>
            <w:tcW w:w="785"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5.0%</w:t>
            </w:r>
          </w:p>
        </w:tc>
        <w:tc>
          <w:tcPr>
            <w:tcW w:w="738"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11.7%</w:t>
            </w:r>
          </w:p>
        </w:tc>
        <w:tc>
          <w:tcPr>
            <w:tcW w:w="799" w:type="pct"/>
            <w:gridSpan w:val="2"/>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22.4%</w:t>
            </w:r>
          </w:p>
        </w:tc>
        <w:tc>
          <w:tcPr>
            <w:tcW w:w="74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54.2%</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-38.7%</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0.4%</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11.0%</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54.2%</w:t>
            </w:r>
          </w:p>
        </w:tc>
      </w:tr>
    </w:tbl>
    <w:p w:rsidR="006F3015" w:rsidRDefault="006F3015" w:rsidP="006F3015">
      <w:pPr>
        <w:pStyle w:val="H3"/>
      </w:pPr>
      <w:r>
        <w:lastRenderedPageBreak/>
        <w:t>EBITDA Margin</w:t>
      </w:r>
    </w:p>
    <w:p w:rsidR="006F3015" w:rsidRPr="00E31FF9" w:rsidDel="00471112" w:rsidRDefault="006F3015" w:rsidP="006F3015">
      <w:pPr>
        <w:rPr>
          <w:rFonts w:ascii="Arial" w:eastAsiaTheme="minorHAnsi" w:hAnsi="Arial" w:cstheme="minorBidi"/>
          <w:sz w:val="20"/>
          <w:szCs w:val="20"/>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6C43D6">
        <w:rPr>
          <w:rFonts w:ascii="Georgia" w:hAnsi="Georgia" w:cs="Arial"/>
          <w:b/>
          <w:color w:val="004855" w:themeColor="text1"/>
          <w:sz w:val="20"/>
          <w:szCs w:val="20"/>
          <w:lang w:val="en-US"/>
        </w:rPr>
        <w:t>6</w:t>
      </w:r>
      <w:r w:rsidRPr="00E31FF9" w:rsidDel="00471112">
        <w:rPr>
          <w:rFonts w:ascii="Georgia" w:hAnsi="Georgia" w:cs="Arial"/>
          <w:b/>
          <w:color w:val="004855" w:themeColor="text1"/>
          <w:sz w:val="20"/>
          <w:szCs w:val="20"/>
          <w:lang w:val="en-US"/>
        </w:rPr>
        <w:t xml:space="preserve">: EBITDA margin, </w:t>
      </w:r>
      <w:r w:rsidR="00D91F27" w:rsidRPr="00E31FF9" w:rsidDel="00471112">
        <w:rPr>
          <w:rFonts w:ascii="Georgia" w:hAnsi="Georgia" w:cs="Arial"/>
          <w:b/>
          <w:color w:val="004855" w:themeColor="text1"/>
          <w:sz w:val="20"/>
          <w:szCs w:val="20"/>
          <w:lang w:val="en-US"/>
        </w:rPr>
        <w:t>For</w:t>
      </w:r>
      <w:r w:rsidR="009C5B1A" w:rsidRPr="00E31FF9" w:rsidDel="00471112">
        <w:rPr>
          <w:rFonts w:ascii="Georgia" w:hAnsi="Georgia" w:cs="Arial"/>
          <w:b/>
          <w:color w:val="004855" w:themeColor="text1"/>
          <w:sz w:val="20"/>
          <w:szCs w:val="20"/>
          <w:lang w:val="en-US"/>
        </w:rPr>
        <w:t>-</w:t>
      </w:r>
      <w:r w:rsidR="00D91F27" w:rsidRPr="00E31FF9" w:rsidDel="00471112">
        <w:rPr>
          <w:rFonts w:ascii="Georgia" w:hAnsi="Georgia" w:cs="Arial"/>
          <w:b/>
          <w:color w:val="004855" w:themeColor="text1"/>
          <w:sz w:val="20"/>
          <w:szCs w:val="20"/>
          <w:lang w:val="en-US"/>
        </w:rPr>
        <w:t>Profit</w:t>
      </w:r>
    </w:p>
    <w:p w:rsidR="006F3015" w:rsidRDefault="00C02DC4" w:rsidP="006F3015">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354C4644" wp14:editId="4A30801C">
            <wp:extent cx="5929765" cy="2573866"/>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1060" cy="2578769"/>
                    </a:xfrm>
                    <a:prstGeom prst="rect">
                      <a:avLst/>
                    </a:prstGeom>
                    <a:noFill/>
                    <a:ln>
                      <a:noFill/>
                    </a:ln>
                  </pic:spPr>
                </pic:pic>
              </a:graphicData>
            </a:graphic>
          </wp:inline>
        </w:drawing>
      </w:r>
    </w:p>
    <w:p w:rsidR="009C31F7" w:rsidRDefault="009C31F7" w:rsidP="006F3015">
      <w:pPr>
        <w:spacing w:after="0" w:line="240" w:lineRule="auto"/>
        <w:rPr>
          <w:rFonts w:ascii="Arial" w:eastAsiaTheme="minorHAnsi" w:hAnsi="Arial" w:cstheme="minorBidi"/>
          <w:sz w:val="22"/>
          <w:szCs w:val="22"/>
        </w:rPr>
      </w:pPr>
    </w:p>
    <w:p w:rsidR="006F3015" w:rsidRPr="00E31FF9" w:rsidRDefault="006F3015" w:rsidP="006F3015">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 xml:space="preserve">Table </w:t>
      </w:r>
      <w:r w:rsidR="00713386" w:rsidRPr="00E31FF9">
        <w:rPr>
          <w:rFonts w:ascii="Georgia" w:hAnsi="Georgia" w:cs="Arial"/>
          <w:b/>
          <w:color w:val="004855" w:themeColor="text1"/>
          <w:sz w:val="20"/>
          <w:szCs w:val="20"/>
          <w:lang w:val="en-US"/>
        </w:rPr>
        <w:t>2</w:t>
      </w:r>
      <w:r w:rsidR="00127249">
        <w:rPr>
          <w:rFonts w:ascii="Georgia" w:hAnsi="Georgia" w:cs="Arial"/>
          <w:b/>
          <w:color w:val="004855" w:themeColor="text1"/>
          <w:sz w:val="20"/>
          <w:szCs w:val="20"/>
          <w:lang w:val="en-US"/>
        </w:rPr>
        <w:t>1</w:t>
      </w:r>
      <w:r w:rsidRPr="00E31FF9">
        <w:rPr>
          <w:rFonts w:ascii="Georgia" w:hAnsi="Georgia" w:cs="Arial"/>
          <w:b/>
          <w:color w:val="004855" w:themeColor="text1"/>
          <w:sz w:val="20"/>
          <w:szCs w:val="20"/>
          <w:lang w:val="en-US"/>
        </w:rPr>
        <w:t xml:space="preserve">: EBITDA margin range, </w:t>
      </w:r>
      <w:r w:rsidR="00D91F27" w:rsidRPr="00E31FF9">
        <w:rPr>
          <w:rFonts w:ascii="Georgia" w:hAnsi="Georgia" w:cs="Arial"/>
          <w:b/>
          <w:color w:val="004855" w:themeColor="text1"/>
          <w:sz w:val="20"/>
          <w:szCs w:val="20"/>
          <w:lang w:val="en-US"/>
        </w:rPr>
        <w:t>For</w:t>
      </w:r>
      <w:r w:rsidR="009C5B1A" w:rsidRPr="00E31FF9">
        <w:rPr>
          <w:rFonts w:ascii="Georgia" w:hAnsi="Georgia" w:cs="Arial"/>
          <w:b/>
          <w:color w:val="004855" w:themeColor="text1"/>
          <w:sz w:val="20"/>
          <w:szCs w:val="20"/>
          <w:lang w:val="en-US"/>
        </w:rPr>
        <w:t>-</w:t>
      </w:r>
      <w:r w:rsidR="00D91F27" w:rsidRPr="00E31FF9">
        <w:rPr>
          <w:rFonts w:ascii="Georgia" w:hAnsi="Georgia" w:cs="Arial"/>
          <w:b/>
          <w:color w:val="004855" w:themeColor="text1"/>
          <w:sz w:val="20"/>
          <w:szCs w:val="20"/>
          <w:lang w:val="en-US"/>
        </w:rPr>
        <w:t xml:space="preserve">Profit providers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82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0.0%</w:t>
            </w:r>
          </w:p>
        </w:tc>
        <w:tc>
          <w:tcPr>
            <w:tcW w:w="785"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11.8%</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17.2%</w:t>
            </w:r>
          </w:p>
        </w:tc>
        <w:tc>
          <w:tcPr>
            <w:tcW w:w="799"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31.8%</w:t>
            </w:r>
          </w:p>
        </w:tc>
        <w:tc>
          <w:tcPr>
            <w:tcW w:w="74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98.1%</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-77.2%</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3.6%</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11.1%</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17.8%</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98.1%</w:t>
            </w:r>
          </w:p>
        </w:tc>
      </w:tr>
    </w:tbl>
    <w:p w:rsidR="006F3015" w:rsidRDefault="006F3015" w:rsidP="006F3015">
      <w:pPr>
        <w:pStyle w:val="H3"/>
      </w:pPr>
    </w:p>
    <w:p w:rsidR="006F3015" w:rsidRDefault="006F3015" w:rsidP="006F3015">
      <w:pPr>
        <w:pStyle w:val="H3"/>
      </w:pPr>
      <w:r>
        <w:t>Employee benefits ratio</w:t>
      </w:r>
    </w:p>
    <w:p w:rsidR="006F3015" w:rsidDel="00471112" w:rsidRDefault="006F3015" w:rsidP="00D91F27">
      <w:pPr>
        <w:pStyle w:val="H3"/>
        <w:rPr>
          <w:rFonts w:ascii="Georgia" w:hAnsi="Georgia" w:cs="Arial"/>
          <w:b w:val="0"/>
          <w:color w:val="004855" w:themeColor="text1"/>
          <w:sz w:val="22"/>
          <w:szCs w:val="22"/>
          <w:lang w:val="en-US"/>
        </w:rPr>
      </w:pPr>
      <w:r w:rsidRPr="008208AE" w:rsidDel="00471112">
        <w:rPr>
          <w:rFonts w:ascii="Georgia" w:hAnsi="Georgia" w:cs="Arial"/>
          <w:color w:val="004855" w:themeColor="text1"/>
          <w:sz w:val="20"/>
          <w:szCs w:val="20"/>
          <w:lang w:val="en-US"/>
        </w:rPr>
        <w:t xml:space="preserve">Figure </w:t>
      </w:r>
      <w:r w:rsidR="008C384C">
        <w:rPr>
          <w:rFonts w:ascii="Georgia" w:hAnsi="Georgia" w:cs="Arial"/>
          <w:color w:val="004855" w:themeColor="text1"/>
          <w:sz w:val="20"/>
          <w:szCs w:val="20"/>
          <w:lang w:val="en-US"/>
        </w:rPr>
        <w:t>2</w:t>
      </w:r>
      <w:r w:rsidR="006C43D6">
        <w:rPr>
          <w:rFonts w:ascii="Georgia" w:hAnsi="Georgia" w:cs="Arial"/>
          <w:color w:val="004855" w:themeColor="text1"/>
          <w:sz w:val="20"/>
          <w:szCs w:val="20"/>
          <w:lang w:val="en-US"/>
        </w:rPr>
        <w:t>7</w:t>
      </w:r>
      <w:r w:rsidRPr="008208AE" w:rsidDel="00471112">
        <w:rPr>
          <w:rFonts w:ascii="Georgia" w:hAnsi="Georgia" w:cs="Arial"/>
          <w:color w:val="004855" w:themeColor="text1"/>
          <w:sz w:val="20"/>
          <w:szCs w:val="20"/>
          <w:lang w:val="en-US"/>
        </w:rPr>
        <w:t xml:space="preserve">: Employee benefits ratio, </w:t>
      </w:r>
      <w:r w:rsidR="00D91F27" w:rsidRPr="008208AE" w:rsidDel="00471112">
        <w:rPr>
          <w:rFonts w:ascii="Georgia" w:hAnsi="Georgia" w:cs="Arial"/>
          <w:color w:val="004855" w:themeColor="text1"/>
          <w:sz w:val="20"/>
          <w:szCs w:val="20"/>
          <w:lang w:val="en-US"/>
        </w:rPr>
        <w:t>For</w:t>
      </w:r>
      <w:r w:rsidR="009C5B1A" w:rsidRPr="008208AE" w:rsidDel="00471112">
        <w:rPr>
          <w:rFonts w:ascii="Georgia" w:hAnsi="Georgia" w:cs="Arial"/>
          <w:color w:val="004855" w:themeColor="text1"/>
          <w:sz w:val="20"/>
          <w:szCs w:val="20"/>
          <w:lang w:val="en-US"/>
        </w:rPr>
        <w:t>-</w:t>
      </w:r>
      <w:r w:rsidR="00D91F27" w:rsidRPr="008208AE" w:rsidDel="00471112">
        <w:rPr>
          <w:rFonts w:ascii="Georgia" w:hAnsi="Georgia" w:cs="Arial"/>
          <w:color w:val="004855" w:themeColor="text1"/>
          <w:sz w:val="20"/>
          <w:szCs w:val="20"/>
          <w:lang w:val="en-US"/>
        </w:rPr>
        <w:t>Profit</w:t>
      </w:r>
    </w:p>
    <w:p w:rsidR="0031407E" w:rsidRDefault="00C02DC4" w:rsidP="006F3015">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41AF911B" wp14:editId="075E97F9">
            <wp:extent cx="5934075" cy="243840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1060" cy="2441270"/>
                    </a:xfrm>
                    <a:prstGeom prst="rect">
                      <a:avLst/>
                    </a:prstGeom>
                    <a:noFill/>
                    <a:ln>
                      <a:noFill/>
                    </a:ln>
                  </pic:spPr>
                </pic:pic>
              </a:graphicData>
            </a:graphic>
          </wp:inline>
        </w:drawing>
      </w:r>
    </w:p>
    <w:p w:rsidR="00ED2361" w:rsidRDefault="00ED2361" w:rsidP="006F3015">
      <w:pPr>
        <w:rPr>
          <w:rFonts w:ascii="Georgia" w:hAnsi="Georgia" w:cs="Arial"/>
          <w:b/>
          <w:color w:val="004855" w:themeColor="text1"/>
          <w:sz w:val="22"/>
          <w:szCs w:val="22"/>
          <w:lang w:val="en-US"/>
        </w:rPr>
      </w:pPr>
    </w:p>
    <w:p w:rsidR="006F3015" w:rsidRPr="00E31FF9" w:rsidRDefault="006F3015" w:rsidP="006F3015">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Table 2</w:t>
      </w:r>
      <w:r w:rsidR="00127249">
        <w:rPr>
          <w:rFonts w:ascii="Georgia" w:hAnsi="Georgia" w:cs="Arial"/>
          <w:b/>
          <w:color w:val="004855" w:themeColor="text1"/>
          <w:sz w:val="20"/>
          <w:szCs w:val="20"/>
          <w:lang w:val="en-US"/>
        </w:rPr>
        <w:t>2</w:t>
      </w:r>
      <w:r w:rsidRPr="00E31FF9">
        <w:rPr>
          <w:rFonts w:ascii="Georgia" w:hAnsi="Georgia" w:cs="Arial"/>
          <w:b/>
          <w:color w:val="004855" w:themeColor="text1"/>
          <w:sz w:val="20"/>
          <w:szCs w:val="20"/>
          <w:lang w:val="en-US"/>
        </w:rPr>
        <w:t xml:space="preserve">: Employee benefits ratio range, </w:t>
      </w:r>
      <w:r w:rsidR="00D91F27" w:rsidRPr="00E31FF9">
        <w:rPr>
          <w:rFonts w:ascii="Georgia" w:hAnsi="Georgia" w:cs="Arial"/>
          <w:b/>
          <w:color w:val="004855" w:themeColor="text1"/>
          <w:sz w:val="20"/>
          <w:szCs w:val="20"/>
          <w:lang w:val="en-US"/>
        </w:rPr>
        <w:t>For</w:t>
      </w:r>
      <w:r w:rsidR="00816838">
        <w:rPr>
          <w:rFonts w:ascii="Georgia" w:hAnsi="Georgia" w:cs="Arial"/>
          <w:b/>
          <w:color w:val="004855" w:themeColor="text1"/>
          <w:sz w:val="20"/>
          <w:szCs w:val="20"/>
          <w:lang w:val="en-US"/>
        </w:rPr>
        <w:t>-</w:t>
      </w:r>
      <w:r w:rsidR="00D91F27" w:rsidRPr="00E31FF9">
        <w:rPr>
          <w:rFonts w:ascii="Georgia" w:hAnsi="Georgia" w:cs="Arial"/>
          <w:b/>
          <w:color w:val="004855" w:themeColor="text1"/>
          <w:sz w:val="20"/>
          <w:szCs w:val="20"/>
          <w:lang w:val="en-US"/>
        </w:rPr>
        <w:t xml:space="preserve">Profit providers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290"/>
        <w:gridCol w:w="1451"/>
        <w:gridCol w:w="1511"/>
        <w:gridCol w:w="1430"/>
        <w:gridCol w:w="10"/>
        <w:gridCol w:w="1548"/>
        <w:gridCol w:w="1449"/>
      </w:tblGrid>
      <w:tr w:rsidR="000A40FE" w:rsidRPr="00797118" w:rsidTr="000A40FE">
        <w:trPr>
          <w:trHeight w:val="300"/>
        </w:trPr>
        <w:tc>
          <w:tcPr>
            <w:tcW w:w="1181"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749" w:type="pct"/>
            <w:tcBorders>
              <w:top w:val="nil"/>
              <w:left w:val="nil"/>
              <w:bottom w:val="single" w:sz="4" w:space="0" w:color="366092"/>
              <w:right w:val="nil"/>
            </w:tcBorders>
            <w:shd w:val="clear" w:color="auto" w:fill="004855"/>
            <w:noWrap/>
            <w:vAlign w:val="center"/>
            <w:hideMark/>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80"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9"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0A40FE">
        <w:trPr>
          <w:trHeight w:val="300"/>
        </w:trPr>
        <w:tc>
          <w:tcPr>
            <w:tcW w:w="1181" w:type="pct"/>
            <w:tcBorders>
              <w:top w:val="nil"/>
              <w:left w:val="nil"/>
              <w:bottom w:val="single" w:sz="4" w:space="0" w:color="366092"/>
              <w:right w:val="nil"/>
            </w:tcBorders>
            <w:shd w:val="clear" w:color="auto" w:fill="auto"/>
            <w:noWrap/>
            <w:vAlign w:val="center"/>
            <w:hideMark/>
          </w:tcPr>
          <w:p w:rsidR="000A40FE"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49"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0.0%</w:t>
            </w:r>
          </w:p>
        </w:tc>
        <w:tc>
          <w:tcPr>
            <w:tcW w:w="780"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22.2%</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36.6%</w:t>
            </w:r>
          </w:p>
        </w:tc>
        <w:tc>
          <w:tcPr>
            <w:tcW w:w="804"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46.0%</w:t>
            </w:r>
          </w:p>
        </w:tc>
        <w:tc>
          <w:tcPr>
            <w:tcW w:w="749"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63.3%</w:t>
            </w:r>
          </w:p>
        </w:tc>
      </w:tr>
      <w:tr w:rsidR="000A40FE" w:rsidRPr="002922C1" w:rsidTr="000A40FE">
        <w:trPr>
          <w:trHeight w:val="300"/>
        </w:trPr>
        <w:tc>
          <w:tcPr>
            <w:tcW w:w="1181" w:type="pct"/>
            <w:tcBorders>
              <w:top w:val="single" w:sz="4" w:space="0" w:color="366092"/>
              <w:left w:val="nil"/>
              <w:bottom w:val="single" w:sz="4" w:space="0" w:color="366092"/>
              <w:right w:val="nil"/>
            </w:tcBorders>
            <w:shd w:val="clear" w:color="000000" w:fill="E5F6F6"/>
            <w:noWrap/>
            <w:vAlign w:val="center"/>
            <w:hideMark/>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9"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780"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37.7%</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51.8%</w:t>
            </w:r>
          </w:p>
        </w:tc>
        <w:tc>
          <w:tcPr>
            <w:tcW w:w="804"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59.1%</w:t>
            </w:r>
          </w:p>
        </w:tc>
        <w:tc>
          <w:tcPr>
            <w:tcW w:w="749"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85.3%</w:t>
            </w:r>
          </w:p>
        </w:tc>
      </w:tr>
    </w:tbl>
    <w:p w:rsidR="00627B3A" w:rsidRDefault="00627B3A" w:rsidP="006F3015">
      <w:pPr>
        <w:pStyle w:val="H3"/>
      </w:pPr>
    </w:p>
    <w:p w:rsidR="006F3015" w:rsidRDefault="006F3015" w:rsidP="006F3015">
      <w:pPr>
        <w:pStyle w:val="H3"/>
      </w:pPr>
      <w:r>
        <w:lastRenderedPageBreak/>
        <w:t>Asset replacement ratio</w:t>
      </w:r>
    </w:p>
    <w:p w:rsidR="006F3015" w:rsidRPr="00E31FF9" w:rsidDel="00471112" w:rsidRDefault="006F3015" w:rsidP="006F3015">
      <w:pPr>
        <w:rPr>
          <w:rFonts w:ascii="Georgia" w:hAnsi="Georgia" w:cs="Arial"/>
          <w:b/>
          <w:color w:val="004855" w:themeColor="text1"/>
          <w:sz w:val="20"/>
          <w:szCs w:val="20"/>
          <w:lang w:val="en-US"/>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6C43D6">
        <w:rPr>
          <w:rFonts w:ascii="Georgia" w:hAnsi="Georgia" w:cs="Arial"/>
          <w:b/>
          <w:color w:val="004855" w:themeColor="text1"/>
          <w:sz w:val="20"/>
          <w:szCs w:val="20"/>
          <w:lang w:val="en-US"/>
        </w:rPr>
        <w:t>8</w:t>
      </w:r>
      <w:r w:rsidRPr="00E31FF9" w:rsidDel="00471112">
        <w:rPr>
          <w:rFonts w:ascii="Georgia" w:hAnsi="Georgia" w:cs="Arial"/>
          <w:b/>
          <w:color w:val="004855" w:themeColor="text1"/>
          <w:sz w:val="20"/>
          <w:szCs w:val="20"/>
          <w:lang w:val="en-US"/>
        </w:rPr>
        <w:t>: Asset replacement ratio</w:t>
      </w:r>
      <w:r w:rsidR="00D91F27" w:rsidRPr="00E31FF9" w:rsidDel="00471112">
        <w:rPr>
          <w:rFonts w:ascii="Georgia" w:hAnsi="Georgia" w:cs="Arial"/>
          <w:b/>
          <w:color w:val="004855" w:themeColor="text1"/>
          <w:sz w:val="20"/>
          <w:szCs w:val="20"/>
          <w:lang w:val="en-US"/>
        </w:rPr>
        <w:t>, For</w:t>
      </w:r>
      <w:r w:rsidR="008208AE" w:rsidDel="00471112">
        <w:rPr>
          <w:rFonts w:ascii="Georgia" w:hAnsi="Georgia" w:cs="Arial"/>
          <w:b/>
          <w:color w:val="004855" w:themeColor="text1"/>
          <w:sz w:val="20"/>
          <w:szCs w:val="20"/>
          <w:lang w:val="en-US"/>
        </w:rPr>
        <w:t>-</w:t>
      </w:r>
      <w:r w:rsidR="00D91F27" w:rsidRPr="00E31FF9" w:rsidDel="00471112">
        <w:rPr>
          <w:rFonts w:ascii="Georgia" w:hAnsi="Georgia" w:cs="Arial"/>
          <w:b/>
          <w:color w:val="004855" w:themeColor="text1"/>
          <w:sz w:val="20"/>
          <w:szCs w:val="20"/>
          <w:lang w:val="en-US"/>
        </w:rPr>
        <w:t>Profit</w:t>
      </w:r>
    </w:p>
    <w:p w:rsidR="0031407E" w:rsidRDefault="00C02DC4" w:rsidP="006F3015">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52F8D2CB" wp14:editId="2EBB9D73">
            <wp:extent cx="5935133" cy="2743200"/>
            <wp:effectExtent l="0" t="0" r="889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1060" cy="2745939"/>
                    </a:xfrm>
                    <a:prstGeom prst="rect">
                      <a:avLst/>
                    </a:prstGeom>
                    <a:noFill/>
                    <a:ln>
                      <a:noFill/>
                    </a:ln>
                  </pic:spPr>
                </pic:pic>
              </a:graphicData>
            </a:graphic>
          </wp:inline>
        </w:drawing>
      </w:r>
    </w:p>
    <w:p w:rsidR="00471112" w:rsidRDefault="00471112" w:rsidP="006F3015">
      <w:pPr>
        <w:rPr>
          <w:rFonts w:ascii="Georgia" w:hAnsi="Georgia" w:cs="Arial"/>
          <w:b/>
          <w:color w:val="004855" w:themeColor="text1"/>
          <w:sz w:val="22"/>
          <w:szCs w:val="22"/>
          <w:lang w:val="en-US"/>
        </w:rPr>
      </w:pPr>
    </w:p>
    <w:p w:rsidR="006F3015" w:rsidRPr="00CE3273" w:rsidRDefault="006F3015" w:rsidP="006F3015">
      <w:pPr>
        <w:rPr>
          <w:rFonts w:ascii="Georgia" w:hAnsi="Georgia" w:cs="Arial"/>
          <w:b/>
          <w:color w:val="004855" w:themeColor="text1"/>
          <w:sz w:val="20"/>
          <w:szCs w:val="20"/>
          <w:lang w:val="en-US"/>
        </w:rPr>
      </w:pPr>
      <w:r w:rsidRPr="00CE3273">
        <w:rPr>
          <w:rFonts w:ascii="Georgia" w:hAnsi="Georgia" w:cs="Arial"/>
          <w:b/>
          <w:color w:val="004855" w:themeColor="text1"/>
          <w:sz w:val="20"/>
          <w:szCs w:val="20"/>
          <w:lang w:val="en-US"/>
        </w:rPr>
        <w:t>Table 2</w:t>
      </w:r>
      <w:r w:rsidR="00127249">
        <w:rPr>
          <w:rFonts w:ascii="Georgia" w:hAnsi="Georgia" w:cs="Arial"/>
          <w:b/>
          <w:color w:val="004855" w:themeColor="text1"/>
          <w:sz w:val="20"/>
          <w:szCs w:val="20"/>
          <w:lang w:val="en-US"/>
        </w:rPr>
        <w:t>3</w:t>
      </w:r>
      <w:r w:rsidRPr="00CE3273">
        <w:rPr>
          <w:rFonts w:ascii="Georgia" w:hAnsi="Georgia" w:cs="Arial"/>
          <w:b/>
          <w:color w:val="004855" w:themeColor="text1"/>
          <w:sz w:val="20"/>
          <w:szCs w:val="20"/>
          <w:lang w:val="en-US"/>
        </w:rPr>
        <w:t xml:space="preserve">: Asset replacement ratio range, </w:t>
      </w:r>
      <w:r w:rsidR="00D91F27" w:rsidRPr="00CE3273">
        <w:rPr>
          <w:rFonts w:ascii="Georgia" w:hAnsi="Georgia" w:cs="Arial"/>
          <w:b/>
          <w:color w:val="004855" w:themeColor="text1"/>
          <w:sz w:val="20"/>
          <w:szCs w:val="20"/>
          <w:lang w:val="en-US"/>
        </w:rPr>
        <w:t>For</w:t>
      </w:r>
      <w:r w:rsidR="008208AE">
        <w:rPr>
          <w:rFonts w:ascii="Georgia" w:hAnsi="Georgia" w:cs="Arial"/>
          <w:b/>
          <w:color w:val="004855" w:themeColor="text1"/>
          <w:sz w:val="20"/>
          <w:szCs w:val="20"/>
          <w:lang w:val="en-US"/>
        </w:rPr>
        <w:t>-</w:t>
      </w:r>
      <w:r w:rsidR="00D91F27" w:rsidRPr="00CE3273">
        <w:rPr>
          <w:rFonts w:ascii="Georgia" w:hAnsi="Georgia" w:cs="Arial"/>
          <w:b/>
          <w:color w:val="004855" w:themeColor="text1"/>
          <w:sz w:val="20"/>
          <w:szCs w:val="20"/>
          <w:lang w:val="en-US"/>
        </w:rPr>
        <w:t xml:space="preserve">Profit providers and </w:t>
      </w:r>
      <w:r w:rsidR="00456661">
        <w:rPr>
          <w:rFonts w:ascii="Georgia" w:hAnsi="Georgia" w:cs="Arial"/>
          <w:b/>
          <w:color w:val="004855" w:themeColor="text1"/>
          <w:sz w:val="20"/>
          <w:szCs w:val="20"/>
          <w:lang w:val="en-US"/>
        </w:rPr>
        <w:t>Sector</w:t>
      </w:r>
    </w:p>
    <w:tbl>
      <w:tblPr>
        <w:tblW w:w="5092" w:type="pct"/>
        <w:tblLook w:val="04A0" w:firstRow="1" w:lastRow="0" w:firstColumn="1" w:lastColumn="0" w:noHBand="0" w:noVBand="1"/>
      </w:tblPr>
      <w:tblGrid>
        <w:gridCol w:w="2303"/>
        <w:gridCol w:w="1443"/>
        <w:gridCol w:w="1610"/>
        <w:gridCol w:w="16"/>
        <w:gridCol w:w="1390"/>
        <w:gridCol w:w="1573"/>
        <w:gridCol w:w="1413"/>
      </w:tblGrid>
      <w:tr w:rsidR="00F2568B" w:rsidRPr="00797118" w:rsidTr="00A02129">
        <w:trPr>
          <w:trHeight w:val="300"/>
        </w:trPr>
        <w:tc>
          <w:tcPr>
            <w:tcW w:w="1181" w:type="pct"/>
            <w:tcBorders>
              <w:top w:val="nil"/>
              <w:left w:val="nil"/>
              <w:bottom w:val="single" w:sz="4" w:space="0" w:color="366092"/>
              <w:right w:val="nil"/>
            </w:tcBorders>
            <w:shd w:val="clear" w:color="auto" w:fill="004855"/>
            <w:noWrap/>
            <w:vAlign w:val="center"/>
            <w:hideMark/>
          </w:tcPr>
          <w:p w:rsidR="00F2568B" w:rsidRPr="00797118" w:rsidRDefault="00F2568B" w:rsidP="00A02129">
            <w:pPr>
              <w:spacing w:after="0"/>
              <w:rPr>
                <w:rFonts w:asciiTheme="minorHAnsi" w:hAnsiTheme="minorHAnsi" w:cstheme="minorHAnsi"/>
                <w:b/>
                <w:sz w:val="20"/>
                <w:szCs w:val="20"/>
              </w:rPr>
            </w:pPr>
          </w:p>
        </w:tc>
        <w:tc>
          <w:tcPr>
            <w:tcW w:w="740"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26"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1" w:type="pct"/>
            <w:gridSpan w:val="2"/>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7"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25"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F2568B" w:rsidRPr="00797118" w:rsidTr="00A02129">
        <w:trPr>
          <w:trHeight w:val="300"/>
        </w:trPr>
        <w:tc>
          <w:tcPr>
            <w:tcW w:w="1181" w:type="pct"/>
            <w:tcBorders>
              <w:top w:val="nil"/>
              <w:left w:val="nil"/>
              <w:bottom w:val="single" w:sz="4" w:space="0" w:color="366092"/>
              <w:right w:val="nil"/>
            </w:tcBorders>
            <w:shd w:val="clear" w:color="auto" w:fill="auto"/>
            <w:noWrap/>
            <w:vAlign w:val="center"/>
          </w:tcPr>
          <w:p w:rsidR="00F2568B"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40"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0.0</w:t>
            </w:r>
          </w:p>
        </w:tc>
        <w:tc>
          <w:tcPr>
            <w:tcW w:w="834" w:type="pct"/>
            <w:gridSpan w:val="2"/>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713"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0.9</w:t>
            </w:r>
          </w:p>
        </w:tc>
        <w:tc>
          <w:tcPr>
            <w:tcW w:w="807"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1.9</w:t>
            </w:r>
          </w:p>
        </w:tc>
        <w:tc>
          <w:tcPr>
            <w:tcW w:w="725"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10.3</w:t>
            </w:r>
          </w:p>
        </w:tc>
      </w:tr>
      <w:tr w:rsidR="00F2568B" w:rsidRPr="002922C1" w:rsidTr="00A02129">
        <w:trPr>
          <w:trHeight w:val="300"/>
        </w:trPr>
        <w:tc>
          <w:tcPr>
            <w:tcW w:w="1181" w:type="pct"/>
            <w:tcBorders>
              <w:top w:val="single" w:sz="4" w:space="0" w:color="366092"/>
              <w:left w:val="nil"/>
              <w:bottom w:val="single" w:sz="4" w:space="0" w:color="366092"/>
              <w:right w:val="nil"/>
            </w:tcBorders>
            <w:shd w:val="clear" w:color="000000" w:fill="E5F6F6"/>
            <w:noWrap/>
            <w:vAlign w:val="center"/>
          </w:tcPr>
          <w:p w:rsidR="00F2568B"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0"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834" w:type="pct"/>
            <w:gridSpan w:val="2"/>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0.6</w:t>
            </w:r>
          </w:p>
        </w:tc>
        <w:tc>
          <w:tcPr>
            <w:tcW w:w="713"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w:t>
            </w:r>
          </w:p>
        </w:tc>
        <w:tc>
          <w:tcPr>
            <w:tcW w:w="807"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2.4</w:t>
            </w:r>
          </w:p>
        </w:tc>
        <w:tc>
          <w:tcPr>
            <w:tcW w:w="725"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14.2</w:t>
            </w:r>
          </w:p>
        </w:tc>
      </w:tr>
    </w:tbl>
    <w:p w:rsidR="006F3015" w:rsidRDefault="006F3015" w:rsidP="006F3015">
      <w:pPr>
        <w:spacing w:after="0" w:line="240" w:lineRule="auto"/>
        <w:rPr>
          <w:rFonts w:ascii="Georgia" w:hAnsi="Georgia" w:cs="Arial"/>
          <w:b/>
          <w:color w:val="004855" w:themeColor="text1"/>
          <w:sz w:val="22"/>
          <w:szCs w:val="22"/>
          <w:lang w:val="en-US"/>
        </w:rPr>
      </w:pPr>
    </w:p>
    <w:p w:rsidR="006F3015" w:rsidRDefault="006F3015" w:rsidP="006F3015">
      <w:pPr>
        <w:spacing w:after="0" w:line="240" w:lineRule="auto"/>
        <w:rPr>
          <w:rFonts w:ascii="Georgia" w:hAnsi="Georgia" w:cs="Arial"/>
          <w:b/>
          <w:color w:val="004855" w:themeColor="text1"/>
          <w:sz w:val="22"/>
          <w:szCs w:val="22"/>
          <w:lang w:val="en-US"/>
        </w:rPr>
      </w:pPr>
    </w:p>
    <w:p w:rsidR="006F3015" w:rsidRDefault="006F3015" w:rsidP="006F3015">
      <w:pPr>
        <w:pStyle w:val="H3"/>
      </w:pPr>
      <w:r>
        <w:t>Liquidity</w:t>
      </w:r>
    </w:p>
    <w:p w:rsidR="00E453FC" w:rsidDel="00471112" w:rsidRDefault="006F3015" w:rsidP="006F3015">
      <w:pPr>
        <w:rPr>
          <w:rFonts w:ascii="Georgia" w:hAnsi="Georgia" w:cs="Arial"/>
          <w:b/>
          <w:color w:val="004855" w:themeColor="text1"/>
          <w:sz w:val="22"/>
          <w:szCs w:val="22"/>
          <w:lang w:val="en-US"/>
        </w:rPr>
      </w:pPr>
      <w:r w:rsidRPr="00E31FF9"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2</w:t>
      </w:r>
      <w:r w:rsidR="006C43D6">
        <w:rPr>
          <w:rFonts w:ascii="Georgia" w:hAnsi="Georgia" w:cs="Arial"/>
          <w:b/>
          <w:color w:val="004855" w:themeColor="text1"/>
          <w:sz w:val="20"/>
          <w:szCs w:val="20"/>
          <w:lang w:val="en-US"/>
        </w:rPr>
        <w:t>9</w:t>
      </w:r>
      <w:r w:rsidRPr="00E31FF9" w:rsidDel="00471112">
        <w:rPr>
          <w:rFonts w:ascii="Georgia" w:hAnsi="Georgia" w:cs="Arial"/>
          <w:b/>
          <w:color w:val="004855" w:themeColor="text1"/>
          <w:sz w:val="20"/>
          <w:szCs w:val="20"/>
          <w:lang w:val="en-US"/>
        </w:rPr>
        <w:t>: Liquidity</w:t>
      </w:r>
      <w:r w:rsidR="00D91F27" w:rsidRPr="00E31FF9" w:rsidDel="00471112">
        <w:rPr>
          <w:rFonts w:ascii="Georgia" w:hAnsi="Georgia" w:cs="Arial"/>
          <w:b/>
          <w:color w:val="004855" w:themeColor="text1"/>
          <w:sz w:val="20"/>
          <w:szCs w:val="20"/>
          <w:lang w:val="en-US"/>
        </w:rPr>
        <w:t>, For</w:t>
      </w:r>
      <w:r w:rsidR="009C5B1A" w:rsidRPr="00E31FF9" w:rsidDel="00471112">
        <w:rPr>
          <w:rFonts w:ascii="Georgia" w:hAnsi="Georgia" w:cs="Arial"/>
          <w:b/>
          <w:color w:val="004855" w:themeColor="text1"/>
          <w:sz w:val="20"/>
          <w:szCs w:val="20"/>
          <w:lang w:val="en-US"/>
        </w:rPr>
        <w:t>-</w:t>
      </w:r>
      <w:r w:rsidR="00D91F27" w:rsidRPr="00E31FF9" w:rsidDel="00471112">
        <w:rPr>
          <w:rFonts w:ascii="Georgia" w:hAnsi="Georgia" w:cs="Arial"/>
          <w:b/>
          <w:color w:val="004855" w:themeColor="text1"/>
          <w:sz w:val="20"/>
          <w:szCs w:val="20"/>
          <w:lang w:val="en-US"/>
        </w:rPr>
        <w:t>Profit</w:t>
      </w:r>
    </w:p>
    <w:p w:rsidR="006F3015" w:rsidRDefault="00C02DC4" w:rsidP="006F3015">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6E94073C" wp14:editId="3FE68D6C">
            <wp:extent cx="5934075" cy="22002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1060" cy="2202865"/>
                    </a:xfrm>
                    <a:prstGeom prst="rect">
                      <a:avLst/>
                    </a:prstGeom>
                    <a:noFill/>
                    <a:ln>
                      <a:noFill/>
                    </a:ln>
                  </pic:spPr>
                </pic:pic>
              </a:graphicData>
            </a:graphic>
          </wp:inline>
        </w:drawing>
      </w:r>
    </w:p>
    <w:p w:rsidR="00C02DC4" w:rsidRPr="00C02DC4" w:rsidRDefault="00C02DC4" w:rsidP="00C02DC4">
      <w:pPr>
        <w:spacing w:after="0"/>
        <w:rPr>
          <w:rFonts w:ascii="Georgia" w:hAnsi="Georgia" w:cs="Arial"/>
          <w:b/>
          <w:color w:val="004855" w:themeColor="text1"/>
          <w:sz w:val="8"/>
          <w:szCs w:val="8"/>
          <w:lang w:val="en-US"/>
        </w:rPr>
      </w:pPr>
    </w:p>
    <w:p w:rsidR="006F3015" w:rsidRPr="00E31FF9" w:rsidRDefault="006F3015" w:rsidP="006F3015">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Table 2</w:t>
      </w:r>
      <w:r w:rsidR="00127249">
        <w:rPr>
          <w:rFonts w:ascii="Georgia" w:hAnsi="Georgia" w:cs="Arial"/>
          <w:b/>
          <w:color w:val="004855" w:themeColor="text1"/>
          <w:sz w:val="20"/>
          <w:szCs w:val="20"/>
          <w:lang w:val="en-US"/>
        </w:rPr>
        <w:t>4</w:t>
      </w:r>
      <w:r w:rsidRPr="00E31FF9">
        <w:rPr>
          <w:rFonts w:ascii="Georgia" w:hAnsi="Georgia" w:cs="Arial"/>
          <w:b/>
          <w:color w:val="004855" w:themeColor="text1"/>
          <w:sz w:val="20"/>
          <w:szCs w:val="20"/>
          <w:lang w:val="en-US"/>
        </w:rPr>
        <w:t xml:space="preserve">: Liquidity range, </w:t>
      </w:r>
      <w:r w:rsidR="00D91F27" w:rsidRPr="00E31FF9">
        <w:rPr>
          <w:rFonts w:ascii="Georgia" w:hAnsi="Georgia" w:cs="Arial"/>
          <w:b/>
          <w:color w:val="004855" w:themeColor="text1"/>
          <w:sz w:val="20"/>
          <w:szCs w:val="20"/>
          <w:lang w:val="en-US"/>
        </w:rPr>
        <w:t>For</w:t>
      </w:r>
      <w:r w:rsidR="009C5B1A" w:rsidRPr="00E31FF9">
        <w:rPr>
          <w:rFonts w:ascii="Georgia" w:hAnsi="Georgia" w:cs="Arial"/>
          <w:b/>
          <w:color w:val="004855" w:themeColor="text1"/>
          <w:sz w:val="20"/>
          <w:szCs w:val="20"/>
          <w:lang w:val="en-US"/>
        </w:rPr>
        <w:t>-</w:t>
      </w:r>
      <w:r w:rsidR="00D91F27" w:rsidRPr="00E31FF9">
        <w:rPr>
          <w:rFonts w:ascii="Georgia" w:hAnsi="Georgia" w:cs="Arial"/>
          <w:b/>
          <w:color w:val="004855" w:themeColor="text1"/>
          <w:sz w:val="20"/>
          <w:szCs w:val="20"/>
          <w:lang w:val="en-US"/>
        </w:rPr>
        <w:t xml:space="preserve">Profit providers and </w:t>
      </w:r>
      <w:r w:rsidR="00456661">
        <w:rPr>
          <w:rFonts w:ascii="Georgia" w:hAnsi="Georgia" w:cs="Arial"/>
          <w:b/>
          <w:color w:val="004855" w:themeColor="text1"/>
          <w:sz w:val="20"/>
          <w:szCs w:val="20"/>
          <w:lang w:val="en-US"/>
        </w:rPr>
        <w:t>Sector</w:t>
      </w:r>
    </w:p>
    <w:tbl>
      <w:tblPr>
        <w:tblW w:w="5000" w:type="pct"/>
        <w:tblLook w:val="04A0" w:firstRow="1" w:lastRow="0" w:firstColumn="1" w:lastColumn="0" w:noHBand="0" w:noVBand="1"/>
      </w:tblPr>
      <w:tblGrid>
        <w:gridCol w:w="2283"/>
        <w:gridCol w:w="1426"/>
        <w:gridCol w:w="1595"/>
        <w:gridCol w:w="10"/>
        <w:gridCol w:w="1365"/>
        <w:gridCol w:w="1494"/>
        <w:gridCol w:w="1399"/>
      </w:tblGrid>
      <w:tr w:rsidR="003F5477" w:rsidRPr="00797118" w:rsidTr="00A02129">
        <w:trPr>
          <w:trHeight w:val="300"/>
        </w:trPr>
        <w:tc>
          <w:tcPr>
            <w:tcW w:w="1193" w:type="pct"/>
            <w:tcBorders>
              <w:top w:val="nil"/>
              <w:left w:val="nil"/>
              <w:bottom w:val="single" w:sz="4" w:space="0" w:color="366092"/>
              <w:right w:val="nil"/>
            </w:tcBorders>
            <w:shd w:val="clear" w:color="auto" w:fill="004855"/>
            <w:noWrap/>
            <w:vAlign w:val="bottom"/>
            <w:hideMark/>
          </w:tcPr>
          <w:p w:rsidR="003F5477" w:rsidRPr="00797118" w:rsidRDefault="003F5477" w:rsidP="00A02129">
            <w:pPr>
              <w:spacing w:after="0"/>
              <w:jc w:val="center"/>
              <w:rPr>
                <w:rFonts w:asciiTheme="minorHAnsi" w:hAnsiTheme="minorHAnsi" w:cstheme="minorHAnsi"/>
                <w:b/>
                <w:sz w:val="20"/>
                <w:szCs w:val="20"/>
              </w:rPr>
            </w:pPr>
          </w:p>
        </w:tc>
        <w:tc>
          <w:tcPr>
            <w:tcW w:w="745"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33"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18" w:type="pct"/>
            <w:gridSpan w:val="2"/>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80"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1"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3F5477" w:rsidRPr="00797118" w:rsidTr="00A02129">
        <w:trPr>
          <w:trHeight w:val="300"/>
        </w:trPr>
        <w:tc>
          <w:tcPr>
            <w:tcW w:w="1193" w:type="pct"/>
            <w:tcBorders>
              <w:top w:val="nil"/>
              <w:left w:val="nil"/>
              <w:bottom w:val="single" w:sz="4" w:space="0" w:color="366092"/>
              <w:right w:val="nil"/>
            </w:tcBorders>
            <w:shd w:val="clear" w:color="auto" w:fill="auto"/>
            <w:noWrap/>
            <w:vAlign w:val="bottom"/>
          </w:tcPr>
          <w:p w:rsidR="003F5477"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For-Profit</w:t>
            </w:r>
          </w:p>
        </w:tc>
        <w:tc>
          <w:tcPr>
            <w:tcW w:w="745"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0.3</w:t>
            </w:r>
          </w:p>
        </w:tc>
        <w:tc>
          <w:tcPr>
            <w:tcW w:w="838" w:type="pct"/>
            <w:gridSpan w:val="2"/>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0.7</w:t>
            </w:r>
          </w:p>
        </w:tc>
        <w:tc>
          <w:tcPr>
            <w:tcW w:w="713"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1.1</w:t>
            </w:r>
          </w:p>
        </w:tc>
        <w:tc>
          <w:tcPr>
            <w:tcW w:w="780"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1.9</w:t>
            </w:r>
          </w:p>
        </w:tc>
        <w:tc>
          <w:tcPr>
            <w:tcW w:w="731"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10.2</w:t>
            </w:r>
          </w:p>
        </w:tc>
      </w:tr>
      <w:tr w:rsidR="003F5477" w:rsidRPr="002922C1" w:rsidTr="00A02129">
        <w:trPr>
          <w:trHeight w:val="300"/>
        </w:trPr>
        <w:tc>
          <w:tcPr>
            <w:tcW w:w="1193" w:type="pct"/>
            <w:tcBorders>
              <w:top w:val="single" w:sz="4" w:space="0" w:color="366092"/>
              <w:left w:val="nil"/>
              <w:bottom w:val="single" w:sz="4" w:space="0" w:color="366092"/>
              <w:right w:val="nil"/>
            </w:tcBorders>
            <w:shd w:val="clear" w:color="000000" w:fill="E5F6F6"/>
            <w:noWrap/>
            <w:vAlign w:val="bottom"/>
          </w:tcPr>
          <w:p w:rsidR="003F5477"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5"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0.2</w:t>
            </w:r>
          </w:p>
        </w:tc>
        <w:tc>
          <w:tcPr>
            <w:tcW w:w="838" w:type="pct"/>
            <w:gridSpan w:val="2"/>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0.9</w:t>
            </w:r>
          </w:p>
        </w:tc>
        <w:tc>
          <w:tcPr>
            <w:tcW w:w="713"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w:t>
            </w:r>
          </w:p>
        </w:tc>
        <w:tc>
          <w:tcPr>
            <w:tcW w:w="780"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2.2</w:t>
            </w:r>
          </w:p>
        </w:tc>
        <w:tc>
          <w:tcPr>
            <w:tcW w:w="731"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13.6</w:t>
            </w:r>
          </w:p>
        </w:tc>
      </w:tr>
    </w:tbl>
    <w:p w:rsidR="00D50420" w:rsidRPr="00E31FF9" w:rsidRDefault="00D50420" w:rsidP="00E31FF9">
      <w:pPr>
        <w:pStyle w:val="H1"/>
        <w:spacing w:after="240"/>
        <w:rPr>
          <w:sz w:val="40"/>
          <w:szCs w:val="40"/>
        </w:rPr>
      </w:pPr>
      <w:bookmarkStart w:id="27" w:name="_Toc467075180"/>
      <w:r w:rsidRPr="00E31FF9">
        <w:rPr>
          <w:sz w:val="40"/>
          <w:szCs w:val="40"/>
        </w:rPr>
        <w:lastRenderedPageBreak/>
        <w:t>Appendix C: Not-For-Profit</w:t>
      </w:r>
      <w:bookmarkEnd w:id="27"/>
    </w:p>
    <w:p w:rsidR="00E31FF9" w:rsidRPr="00E31FF9" w:rsidRDefault="00414859" w:rsidP="00E31FF9">
      <w:pPr>
        <w:spacing w:after="0" w:line="240" w:lineRule="auto"/>
        <w:rPr>
          <w:rFonts w:ascii="Arial" w:eastAsiaTheme="minorHAnsi" w:hAnsi="Arial" w:cstheme="minorBidi"/>
          <w:sz w:val="22"/>
          <w:szCs w:val="22"/>
        </w:rPr>
      </w:pPr>
      <w:r>
        <w:rPr>
          <w:rFonts w:ascii="Arial" w:eastAsiaTheme="minorHAnsi" w:hAnsi="Arial" w:cstheme="minorBidi"/>
          <w:sz w:val="22"/>
          <w:szCs w:val="22"/>
        </w:rPr>
        <w:t>In</w:t>
      </w:r>
      <w:r w:rsidR="00E31FF9" w:rsidRPr="00814721">
        <w:rPr>
          <w:rFonts w:ascii="Arial" w:eastAsiaTheme="minorHAnsi" w:hAnsi="Arial" w:cstheme="minorBidi"/>
          <w:sz w:val="22"/>
          <w:szCs w:val="22"/>
        </w:rPr>
        <w:t xml:space="preserve"> </w:t>
      </w:r>
      <w:r w:rsidR="00611961" w:rsidRPr="00814721">
        <w:rPr>
          <w:rFonts w:ascii="Arial" w:eastAsiaTheme="minorHAnsi" w:hAnsi="Arial" w:cstheme="minorBidi"/>
          <w:sz w:val="22"/>
          <w:szCs w:val="22"/>
        </w:rPr>
        <w:t>August 2016</w:t>
      </w:r>
      <w:r w:rsidR="00E31FF9" w:rsidRPr="00814721">
        <w:rPr>
          <w:rFonts w:ascii="Arial" w:eastAsiaTheme="minorHAnsi" w:hAnsi="Arial" w:cstheme="minorBidi"/>
          <w:sz w:val="22"/>
          <w:szCs w:val="22"/>
        </w:rPr>
        <w:t>, there were 5</w:t>
      </w:r>
      <w:r w:rsidR="00814721">
        <w:rPr>
          <w:rFonts w:ascii="Arial" w:eastAsiaTheme="minorHAnsi" w:hAnsi="Arial" w:cstheme="minorBidi"/>
          <w:sz w:val="22"/>
          <w:szCs w:val="22"/>
        </w:rPr>
        <w:t>3</w:t>
      </w:r>
      <w:r w:rsidR="00E31FF9" w:rsidRPr="00814721">
        <w:rPr>
          <w:rFonts w:ascii="Arial" w:eastAsiaTheme="minorHAnsi" w:hAnsi="Arial" w:cstheme="minorBidi"/>
          <w:sz w:val="22"/>
          <w:szCs w:val="22"/>
        </w:rPr>
        <w:t xml:space="preserve"> </w:t>
      </w:r>
      <w:r w:rsidR="0081750E" w:rsidRPr="00814721">
        <w:rPr>
          <w:rFonts w:ascii="Arial" w:eastAsiaTheme="minorHAnsi" w:hAnsi="Arial" w:cstheme="minorBidi"/>
          <w:sz w:val="22"/>
          <w:szCs w:val="22"/>
        </w:rPr>
        <w:t>N</w:t>
      </w:r>
      <w:r w:rsidR="00E31FF9" w:rsidRPr="00814721">
        <w:rPr>
          <w:rFonts w:ascii="Arial" w:eastAsiaTheme="minorHAnsi" w:hAnsi="Arial" w:cstheme="minorBidi"/>
          <w:sz w:val="22"/>
          <w:szCs w:val="22"/>
        </w:rPr>
        <w:t>ot-</w:t>
      </w:r>
      <w:r w:rsidR="0081750E" w:rsidRPr="00814721">
        <w:rPr>
          <w:rFonts w:ascii="Arial" w:eastAsiaTheme="minorHAnsi" w:hAnsi="Arial" w:cstheme="minorBidi"/>
          <w:sz w:val="22"/>
          <w:szCs w:val="22"/>
        </w:rPr>
        <w:t>F</w:t>
      </w:r>
      <w:r w:rsidR="00E31FF9" w:rsidRPr="00814721">
        <w:rPr>
          <w:rFonts w:ascii="Arial" w:eastAsiaTheme="minorHAnsi" w:hAnsi="Arial" w:cstheme="minorBidi"/>
          <w:sz w:val="22"/>
          <w:szCs w:val="22"/>
        </w:rPr>
        <w:t>or-</w:t>
      </w:r>
      <w:r w:rsidR="0081750E" w:rsidRPr="00814721">
        <w:rPr>
          <w:rFonts w:ascii="Arial" w:eastAsiaTheme="minorHAnsi" w:hAnsi="Arial" w:cstheme="minorBidi"/>
          <w:sz w:val="22"/>
          <w:szCs w:val="22"/>
        </w:rPr>
        <w:t>P</w:t>
      </w:r>
      <w:r w:rsidR="00E31FF9" w:rsidRPr="00814721">
        <w:rPr>
          <w:rFonts w:ascii="Arial" w:eastAsiaTheme="minorHAnsi" w:hAnsi="Arial" w:cstheme="minorBidi"/>
          <w:sz w:val="22"/>
          <w:szCs w:val="22"/>
        </w:rPr>
        <w:t>rofit providers registered in</w:t>
      </w:r>
      <w:r w:rsidR="00E31FF9">
        <w:rPr>
          <w:rFonts w:ascii="Arial" w:eastAsiaTheme="minorHAnsi" w:hAnsi="Arial" w:cstheme="minorBidi"/>
          <w:sz w:val="22"/>
          <w:szCs w:val="22"/>
        </w:rPr>
        <w:t xml:space="preserve"> Australia.</w:t>
      </w:r>
    </w:p>
    <w:p w:rsidR="00D50420" w:rsidRDefault="00D50420" w:rsidP="00D50420">
      <w:pPr>
        <w:pStyle w:val="H3"/>
      </w:pPr>
      <w:r>
        <w:t>Revenue concentration</w:t>
      </w:r>
    </w:p>
    <w:p w:rsidR="00D50420" w:rsidRPr="00E31FF9" w:rsidDel="00471112" w:rsidRDefault="00D50420" w:rsidP="00D50420">
      <w:pPr>
        <w:rPr>
          <w:rFonts w:ascii="Arial" w:eastAsiaTheme="minorHAnsi" w:hAnsi="Arial" w:cstheme="minorBidi"/>
          <w:sz w:val="20"/>
          <w:szCs w:val="20"/>
        </w:rPr>
      </w:pPr>
      <w:r w:rsidRPr="00E31FF9" w:rsidDel="00471112">
        <w:rPr>
          <w:rFonts w:ascii="Georgia" w:hAnsi="Georgia" w:cs="Arial"/>
          <w:b/>
          <w:color w:val="004855" w:themeColor="text1"/>
          <w:sz w:val="20"/>
          <w:szCs w:val="20"/>
          <w:lang w:val="en-US"/>
        </w:rPr>
        <w:t xml:space="preserve">Figure </w:t>
      </w:r>
      <w:r w:rsidR="006C43D6">
        <w:rPr>
          <w:rFonts w:ascii="Georgia" w:hAnsi="Georgia" w:cs="Arial"/>
          <w:b/>
          <w:color w:val="004855" w:themeColor="text1"/>
          <w:sz w:val="20"/>
          <w:szCs w:val="20"/>
          <w:lang w:val="en-US"/>
        </w:rPr>
        <w:t>30</w:t>
      </w:r>
      <w:r w:rsidRPr="00E31FF9" w:rsidDel="00471112">
        <w:rPr>
          <w:rFonts w:ascii="Georgia" w:hAnsi="Georgia" w:cs="Arial"/>
          <w:b/>
          <w:color w:val="004855" w:themeColor="text1"/>
          <w:sz w:val="20"/>
          <w:szCs w:val="20"/>
          <w:lang w:val="en-US"/>
        </w:rPr>
        <w:t>: Revenue concentration, Not-For-Profit</w:t>
      </w:r>
    </w:p>
    <w:p w:rsidR="00D50420" w:rsidRDefault="00A06E87" w:rsidP="00D50420">
      <w:pPr>
        <w:spacing w:after="0" w:line="240" w:lineRule="auto"/>
        <w:rPr>
          <w:rFonts w:ascii="Arial" w:eastAsiaTheme="minorHAnsi" w:hAnsi="Arial" w:cstheme="minorBidi"/>
          <w:sz w:val="22"/>
          <w:szCs w:val="22"/>
        </w:rPr>
      </w:pPr>
      <w:r w:rsidRPr="00A06E87">
        <w:rPr>
          <w:rFonts w:ascii="Arial" w:eastAsiaTheme="minorHAnsi" w:hAnsi="Arial" w:cstheme="minorBidi"/>
          <w:sz w:val="22"/>
          <w:szCs w:val="22"/>
        </w:rPr>
        <w:t xml:space="preserve"> </w:t>
      </w:r>
      <w:r w:rsidRPr="00627B3A">
        <w:rPr>
          <w:rFonts w:ascii="Arial" w:eastAsiaTheme="minorHAnsi" w:hAnsi="Arial" w:cstheme="minorBidi"/>
          <w:noProof/>
          <w:sz w:val="22"/>
          <w:szCs w:val="22"/>
          <w:lang w:eastAsia="en-AU"/>
        </w:rPr>
        <w:drawing>
          <wp:inline distT="0" distB="0" distL="0" distR="0" wp14:anchorId="0ACC2F0C" wp14:editId="5635856C">
            <wp:extent cx="5936974" cy="2108200"/>
            <wp:effectExtent l="0" t="0" r="6985"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1060" cy="2109651"/>
                    </a:xfrm>
                    <a:prstGeom prst="rect">
                      <a:avLst/>
                    </a:prstGeom>
                    <a:noFill/>
                    <a:ln>
                      <a:noFill/>
                    </a:ln>
                  </pic:spPr>
                </pic:pic>
              </a:graphicData>
            </a:graphic>
          </wp:inline>
        </w:drawing>
      </w:r>
    </w:p>
    <w:p w:rsidR="00B267A9" w:rsidRPr="00407CDD" w:rsidRDefault="00B267A9" w:rsidP="00407CDD">
      <w:pPr>
        <w:spacing w:after="0"/>
        <w:rPr>
          <w:rFonts w:ascii="Georgia" w:hAnsi="Georgia" w:cs="Arial"/>
          <w:b/>
          <w:color w:val="004855" w:themeColor="text1"/>
          <w:sz w:val="16"/>
          <w:szCs w:val="16"/>
          <w:lang w:val="en-US"/>
        </w:rPr>
      </w:pPr>
    </w:p>
    <w:p w:rsidR="00D50420" w:rsidRDefault="00D50420" w:rsidP="00627B3A">
      <w:pPr>
        <w:rPr>
          <w:rFonts w:ascii="Georgia" w:hAnsi="Georgia" w:cs="Arial"/>
          <w:b/>
          <w:color w:val="004855" w:themeColor="text1"/>
          <w:sz w:val="22"/>
          <w:szCs w:val="22"/>
          <w:lang w:val="en-US"/>
        </w:rPr>
      </w:pPr>
      <w:r w:rsidRPr="00E31FF9">
        <w:rPr>
          <w:rFonts w:ascii="Georgia" w:hAnsi="Georgia" w:cs="Arial"/>
          <w:b/>
          <w:color w:val="004855" w:themeColor="text1"/>
          <w:sz w:val="20"/>
          <w:szCs w:val="20"/>
          <w:lang w:val="en-US"/>
        </w:rPr>
        <w:t xml:space="preserve">Table </w:t>
      </w:r>
      <w:r w:rsidR="00713386" w:rsidRPr="00E31FF9">
        <w:rPr>
          <w:rFonts w:ascii="Georgia" w:hAnsi="Georgia" w:cs="Arial"/>
          <w:b/>
          <w:color w:val="004855" w:themeColor="text1"/>
          <w:sz w:val="20"/>
          <w:szCs w:val="20"/>
          <w:lang w:val="en-US"/>
        </w:rPr>
        <w:t>2</w:t>
      </w:r>
      <w:r w:rsidR="00127249">
        <w:rPr>
          <w:rFonts w:ascii="Georgia" w:hAnsi="Georgia" w:cs="Arial"/>
          <w:b/>
          <w:color w:val="004855" w:themeColor="text1"/>
          <w:sz w:val="20"/>
          <w:szCs w:val="20"/>
          <w:lang w:val="en-US"/>
        </w:rPr>
        <w:t>5</w:t>
      </w:r>
      <w:r w:rsidRPr="00E31FF9">
        <w:rPr>
          <w:rFonts w:ascii="Georgia" w:hAnsi="Georgia" w:cs="Arial"/>
          <w:b/>
          <w:color w:val="004855" w:themeColor="text1"/>
          <w:sz w:val="20"/>
          <w:szCs w:val="20"/>
          <w:lang w:val="en-US"/>
        </w:rPr>
        <w:t xml:space="preserve">: Largest revenue source range, Not-For-Profit providers and </w:t>
      </w:r>
      <w:r w:rsidR="00456661">
        <w:rPr>
          <w:rFonts w:ascii="Georgia" w:hAnsi="Georgia" w:cs="Arial"/>
          <w:b/>
          <w:color w:val="004855" w:themeColor="text1"/>
          <w:sz w:val="20"/>
          <w:szCs w:val="20"/>
          <w:lang w:val="en-US"/>
        </w:rPr>
        <w:t>Sector</w:t>
      </w:r>
    </w:p>
    <w:tbl>
      <w:tblPr>
        <w:tblW w:w="4942" w:type="pct"/>
        <w:tblInd w:w="108" w:type="dxa"/>
        <w:tblLook w:val="04A0" w:firstRow="1" w:lastRow="0" w:firstColumn="1" w:lastColumn="0" w:noHBand="0" w:noVBand="1"/>
      </w:tblPr>
      <w:tblGrid>
        <w:gridCol w:w="2173"/>
        <w:gridCol w:w="1427"/>
        <w:gridCol w:w="1593"/>
        <w:gridCol w:w="11"/>
        <w:gridCol w:w="1366"/>
        <w:gridCol w:w="1495"/>
        <w:gridCol w:w="1396"/>
      </w:tblGrid>
      <w:tr w:rsidR="00627B3A" w:rsidRPr="00797118" w:rsidTr="00276B3E">
        <w:trPr>
          <w:trHeight w:val="300"/>
        </w:trPr>
        <w:tc>
          <w:tcPr>
            <w:tcW w:w="1148" w:type="pct"/>
            <w:tcBorders>
              <w:top w:val="nil"/>
              <w:left w:val="nil"/>
              <w:bottom w:val="single" w:sz="4" w:space="0" w:color="366092"/>
              <w:right w:val="nil"/>
            </w:tcBorders>
            <w:shd w:val="clear" w:color="auto" w:fill="004855"/>
            <w:noWrap/>
            <w:vAlign w:val="center"/>
          </w:tcPr>
          <w:p w:rsidR="00627B3A" w:rsidRPr="00797118" w:rsidRDefault="00627B3A" w:rsidP="00276B3E">
            <w:pPr>
              <w:spacing w:after="0"/>
              <w:rPr>
                <w:rFonts w:asciiTheme="minorHAnsi" w:hAnsiTheme="minorHAnsi" w:cstheme="minorHAnsi"/>
                <w:b/>
                <w:sz w:val="20"/>
                <w:szCs w:val="20"/>
              </w:rPr>
            </w:pPr>
          </w:p>
        </w:tc>
        <w:tc>
          <w:tcPr>
            <w:tcW w:w="754" w:type="pct"/>
            <w:tcBorders>
              <w:top w:val="nil"/>
              <w:left w:val="nil"/>
              <w:bottom w:val="single" w:sz="4" w:space="0" w:color="366092"/>
              <w:right w:val="nil"/>
            </w:tcBorders>
            <w:shd w:val="clear" w:color="auto" w:fill="004855"/>
            <w:noWrap/>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42" w:type="pct"/>
            <w:tcBorders>
              <w:top w:val="nil"/>
              <w:left w:val="nil"/>
              <w:bottom w:val="single" w:sz="4" w:space="0" w:color="366092"/>
              <w:right w:val="nil"/>
            </w:tcBorders>
            <w:shd w:val="clear" w:color="auto" w:fill="004855"/>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8" w:type="pct"/>
            <w:gridSpan w:val="2"/>
            <w:tcBorders>
              <w:top w:val="nil"/>
              <w:left w:val="nil"/>
              <w:bottom w:val="single" w:sz="4" w:space="0" w:color="366092"/>
              <w:right w:val="nil"/>
            </w:tcBorders>
            <w:shd w:val="clear" w:color="auto" w:fill="004855"/>
            <w:noWrap/>
            <w:vAlign w:val="center"/>
          </w:tcPr>
          <w:p w:rsidR="00627B3A" w:rsidRPr="00797118" w:rsidRDefault="00627B3A"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0" w:type="pct"/>
            <w:tcBorders>
              <w:top w:val="nil"/>
              <w:left w:val="nil"/>
              <w:bottom w:val="single" w:sz="4" w:space="0" w:color="366092"/>
              <w:right w:val="nil"/>
            </w:tcBorders>
            <w:shd w:val="clear" w:color="auto" w:fill="004855"/>
            <w:noWrap/>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8" w:type="pct"/>
            <w:tcBorders>
              <w:top w:val="nil"/>
              <w:left w:val="nil"/>
              <w:bottom w:val="single" w:sz="4" w:space="0" w:color="366092"/>
              <w:right w:val="nil"/>
            </w:tcBorders>
            <w:shd w:val="clear" w:color="auto" w:fill="004855"/>
            <w:vAlign w:val="center"/>
          </w:tcPr>
          <w:p w:rsidR="00627B3A" w:rsidRPr="00797118"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627B3A" w:rsidRPr="00797118" w:rsidTr="00276B3E">
        <w:trPr>
          <w:trHeight w:val="300"/>
        </w:trPr>
        <w:tc>
          <w:tcPr>
            <w:tcW w:w="1148" w:type="pct"/>
            <w:tcBorders>
              <w:top w:val="nil"/>
              <w:left w:val="nil"/>
              <w:bottom w:val="single" w:sz="4" w:space="0" w:color="366092"/>
              <w:right w:val="nil"/>
            </w:tcBorders>
            <w:shd w:val="clear" w:color="auto" w:fill="auto"/>
            <w:noWrap/>
            <w:vAlign w:val="center"/>
          </w:tcPr>
          <w:p w:rsidR="00627B3A" w:rsidRPr="00296D08" w:rsidRDefault="00627B3A" w:rsidP="00276B3E">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54" w:type="pct"/>
            <w:tcBorders>
              <w:top w:val="nil"/>
              <w:left w:val="nil"/>
              <w:bottom w:val="single" w:sz="4" w:space="0" w:color="366092"/>
              <w:right w:val="nil"/>
            </w:tcBorders>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37.5%</w:t>
            </w:r>
          </w:p>
        </w:tc>
        <w:tc>
          <w:tcPr>
            <w:tcW w:w="848" w:type="pct"/>
            <w:gridSpan w:val="2"/>
            <w:tcBorders>
              <w:top w:val="nil"/>
              <w:left w:val="nil"/>
              <w:bottom w:val="single" w:sz="4" w:space="0" w:color="366092"/>
              <w:right w:val="nil"/>
            </w:tcBorders>
            <w:shd w:val="clear" w:color="auto" w:fill="auto"/>
            <w:noWrap/>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48.8%</w:t>
            </w:r>
          </w:p>
        </w:tc>
        <w:tc>
          <w:tcPr>
            <w:tcW w:w="722" w:type="pct"/>
            <w:tcBorders>
              <w:top w:val="nil"/>
              <w:left w:val="nil"/>
              <w:bottom w:val="single" w:sz="4" w:space="0" w:color="366092"/>
              <w:right w:val="nil"/>
            </w:tcBorders>
            <w:shd w:val="clear" w:color="auto" w:fill="auto"/>
            <w:noWrap/>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67.8%</w:t>
            </w:r>
          </w:p>
        </w:tc>
        <w:tc>
          <w:tcPr>
            <w:tcW w:w="790" w:type="pct"/>
            <w:tcBorders>
              <w:top w:val="nil"/>
              <w:left w:val="nil"/>
              <w:bottom w:val="single" w:sz="4" w:space="0" w:color="366092"/>
              <w:right w:val="nil"/>
            </w:tcBorders>
            <w:shd w:val="clear" w:color="auto" w:fill="auto"/>
            <w:noWrap/>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82.6%</w:t>
            </w:r>
          </w:p>
        </w:tc>
        <w:tc>
          <w:tcPr>
            <w:tcW w:w="738" w:type="pct"/>
            <w:tcBorders>
              <w:top w:val="nil"/>
              <w:left w:val="nil"/>
              <w:bottom w:val="single" w:sz="4" w:space="0" w:color="366092"/>
              <w:right w:val="nil"/>
            </w:tcBorders>
          </w:tcPr>
          <w:p w:rsidR="00627B3A" w:rsidRPr="000B07C2" w:rsidRDefault="00627B3A" w:rsidP="005C332B">
            <w:pPr>
              <w:spacing w:after="0"/>
              <w:jc w:val="right"/>
              <w:rPr>
                <w:rFonts w:asciiTheme="minorHAnsi" w:hAnsiTheme="minorHAnsi" w:cstheme="minorHAnsi"/>
                <w:sz w:val="20"/>
                <w:szCs w:val="20"/>
              </w:rPr>
            </w:pPr>
            <w:r w:rsidRPr="00B87631">
              <w:rPr>
                <w:rFonts w:asciiTheme="minorHAnsi" w:hAnsiTheme="minorHAnsi" w:cstheme="minorHAnsi"/>
                <w:sz w:val="20"/>
                <w:szCs w:val="20"/>
              </w:rPr>
              <w:t>99.7%</w:t>
            </w:r>
          </w:p>
        </w:tc>
      </w:tr>
      <w:tr w:rsidR="00627B3A" w:rsidRPr="002922C1" w:rsidTr="00276B3E">
        <w:trPr>
          <w:trHeight w:val="283"/>
        </w:trPr>
        <w:tc>
          <w:tcPr>
            <w:tcW w:w="1148" w:type="pct"/>
            <w:tcBorders>
              <w:top w:val="single" w:sz="4" w:space="0" w:color="366092"/>
              <w:left w:val="nil"/>
              <w:bottom w:val="single" w:sz="4" w:space="0" w:color="366092"/>
              <w:right w:val="nil"/>
            </w:tcBorders>
            <w:shd w:val="clear" w:color="000000" w:fill="E5F6F6"/>
            <w:noWrap/>
            <w:vAlign w:val="center"/>
          </w:tcPr>
          <w:p w:rsidR="00627B3A" w:rsidRPr="002922C1" w:rsidRDefault="00627B3A" w:rsidP="00276B3E">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54" w:type="pct"/>
            <w:tcBorders>
              <w:top w:val="single" w:sz="4" w:space="0" w:color="366092"/>
              <w:left w:val="nil"/>
              <w:bottom w:val="single" w:sz="4" w:space="0" w:color="366092"/>
              <w:right w:val="nil"/>
            </w:tcBorders>
            <w:shd w:val="clear" w:color="000000" w:fill="E5F6F6"/>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w:t>
            </w:r>
            <w:r>
              <w:rPr>
                <w:rFonts w:asciiTheme="minorHAnsi" w:hAnsiTheme="minorHAnsi" w:cstheme="minorHAnsi"/>
                <w:b/>
                <w:sz w:val="20"/>
                <w:szCs w:val="20"/>
              </w:rPr>
              <w:t>1</w:t>
            </w:r>
            <w:r w:rsidRPr="002922C1">
              <w:rPr>
                <w:rFonts w:asciiTheme="minorHAnsi" w:hAnsiTheme="minorHAnsi" w:cstheme="minorHAnsi"/>
                <w:b/>
                <w:sz w:val="20"/>
                <w:szCs w:val="20"/>
              </w:rPr>
              <w:t>.</w:t>
            </w:r>
            <w:r>
              <w:rPr>
                <w:rFonts w:asciiTheme="minorHAnsi" w:hAnsiTheme="minorHAnsi" w:cstheme="minorHAnsi"/>
                <w:b/>
                <w:sz w:val="20"/>
                <w:szCs w:val="20"/>
              </w:rPr>
              <w:t>1</w:t>
            </w:r>
            <w:r w:rsidRPr="002922C1">
              <w:rPr>
                <w:rFonts w:asciiTheme="minorHAnsi" w:hAnsiTheme="minorHAnsi" w:cstheme="minorHAnsi"/>
                <w:b/>
                <w:sz w:val="20"/>
                <w:szCs w:val="20"/>
              </w:rPr>
              <w:t>%</w:t>
            </w:r>
          </w:p>
        </w:tc>
        <w:tc>
          <w:tcPr>
            <w:tcW w:w="848" w:type="pct"/>
            <w:gridSpan w:val="2"/>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45.2</w:t>
            </w:r>
            <w:r w:rsidRPr="002922C1">
              <w:rPr>
                <w:rFonts w:asciiTheme="minorHAnsi" w:hAnsiTheme="minorHAnsi" w:cstheme="minorHAnsi"/>
                <w:b/>
                <w:sz w:val="20"/>
                <w:szCs w:val="20"/>
              </w:rPr>
              <w:t>%</w:t>
            </w:r>
          </w:p>
        </w:tc>
        <w:tc>
          <w:tcPr>
            <w:tcW w:w="722" w:type="pct"/>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56.6</w:t>
            </w:r>
            <w:r w:rsidRPr="002922C1">
              <w:rPr>
                <w:rFonts w:asciiTheme="minorHAnsi" w:hAnsiTheme="minorHAnsi" w:cstheme="minorHAnsi"/>
                <w:b/>
                <w:sz w:val="20"/>
                <w:szCs w:val="20"/>
              </w:rPr>
              <w:t>%</w:t>
            </w:r>
          </w:p>
        </w:tc>
        <w:tc>
          <w:tcPr>
            <w:tcW w:w="790" w:type="pct"/>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80.</w:t>
            </w:r>
            <w:r>
              <w:rPr>
                <w:rFonts w:asciiTheme="minorHAnsi" w:hAnsiTheme="minorHAnsi" w:cstheme="minorHAnsi"/>
                <w:b/>
                <w:sz w:val="20"/>
                <w:szCs w:val="20"/>
              </w:rPr>
              <w:t>4</w:t>
            </w:r>
            <w:r w:rsidRPr="002922C1">
              <w:rPr>
                <w:rFonts w:asciiTheme="minorHAnsi" w:hAnsiTheme="minorHAnsi" w:cstheme="minorHAnsi"/>
                <w:b/>
                <w:sz w:val="20"/>
                <w:szCs w:val="20"/>
              </w:rPr>
              <w:t>%</w:t>
            </w:r>
          </w:p>
        </w:tc>
        <w:tc>
          <w:tcPr>
            <w:tcW w:w="738" w:type="pct"/>
            <w:tcBorders>
              <w:top w:val="single" w:sz="4" w:space="0" w:color="366092"/>
              <w:left w:val="nil"/>
              <w:bottom w:val="single" w:sz="4" w:space="0" w:color="366092"/>
              <w:right w:val="nil"/>
            </w:tcBorders>
            <w:shd w:val="clear" w:color="000000" w:fill="E5F6F6"/>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99.7%</w:t>
            </w:r>
          </w:p>
        </w:tc>
      </w:tr>
    </w:tbl>
    <w:p w:rsidR="00627B3A" w:rsidRDefault="00627B3A" w:rsidP="00D50420">
      <w:pPr>
        <w:spacing w:after="0" w:line="240" w:lineRule="auto"/>
        <w:rPr>
          <w:rFonts w:ascii="Georgia" w:hAnsi="Georgia" w:cs="Arial"/>
          <w:b/>
          <w:color w:val="004855" w:themeColor="text1"/>
          <w:sz w:val="22"/>
          <w:szCs w:val="22"/>
          <w:lang w:val="en-US"/>
        </w:rPr>
      </w:pPr>
    </w:p>
    <w:p w:rsidR="00D50420" w:rsidRDefault="00D50420" w:rsidP="00D50420">
      <w:pPr>
        <w:pStyle w:val="H3"/>
      </w:pPr>
      <w:r>
        <w:t>Net profit/surplus margin</w:t>
      </w:r>
    </w:p>
    <w:p w:rsidR="00D50420" w:rsidRPr="00E31FF9" w:rsidDel="00471112" w:rsidRDefault="00D50420" w:rsidP="00D50420">
      <w:pPr>
        <w:rPr>
          <w:rFonts w:ascii="Arial" w:eastAsiaTheme="minorHAnsi" w:hAnsi="Arial" w:cstheme="minorBidi"/>
          <w:sz w:val="20"/>
          <w:szCs w:val="20"/>
        </w:rPr>
      </w:pPr>
      <w:r w:rsidRPr="00E31FF9" w:rsidDel="00471112">
        <w:rPr>
          <w:rFonts w:ascii="Georgia" w:hAnsi="Georgia" w:cs="Arial"/>
          <w:b/>
          <w:color w:val="004855" w:themeColor="text1"/>
          <w:sz w:val="20"/>
          <w:szCs w:val="20"/>
          <w:lang w:val="en-US"/>
        </w:rPr>
        <w:t xml:space="preserve">Figure </w:t>
      </w:r>
      <w:r w:rsidR="00D62AA3">
        <w:rPr>
          <w:rFonts w:ascii="Georgia" w:hAnsi="Georgia" w:cs="Arial"/>
          <w:b/>
          <w:color w:val="004855" w:themeColor="text1"/>
          <w:sz w:val="20"/>
          <w:szCs w:val="20"/>
          <w:lang w:val="en-US"/>
        </w:rPr>
        <w:t>3</w:t>
      </w:r>
      <w:r w:rsidR="006C43D6">
        <w:rPr>
          <w:rFonts w:ascii="Georgia" w:hAnsi="Georgia" w:cs="Arial"/>
          <w:b/>
          <w:color w:val="004855" w:themeColor="text1"/>
          <w:sz w:val="20"/>
          <w:szCs w:val="20"/>
          <w:lang w:val="en-US"/>
        </w:rPr>
        <w:t>1</w:t>
      </w:r>
      <w:r w:rsidRPr="00E31FF9" w:rsidDel="00471112">
        <w:rPr>
          <w:rFonts w:ascii="Georgia" w:hAnsi="Georgia" w:cs="Arial"/>
          <w:b/>
          <w:color w:val="004855" w:themeColor="text1"/>
          <w:sz w:val="20"/>
          <w:szCs w:val="20"/>
          <w:lang w:val="en-US"/>
        </w:rPr>
        <w:t>: Net profit/surplus margin, Not-For-Profit</w:t>
      </w:r>
    </w:p>
    <w:p w:rsidR="00D50420" w:rsidRDefault="000E3B22" w:rsidP="00D50420">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5E4C6490" wp14:editId="33BACA78">
            <wp:extent cx="5934074" cy="22574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1060" cy="2260083"/>
                    </a:xfrm>
                    <a:prstGeom prst="rect">
                      <a:avLst/>
                    </a:prstGeom>
                    <a:noFill/>
                    <a:ln>
                      <a:noFill/>
                    </a:ln>
                  </pic:spPr>
                </pic:pic>
              </a:graphicData>
            </a:graphic>
          </wp:inline>
        </w:drawing>
      </w:r>
    </w:p>
    <w:p w:rsidR="00471112" w:rsidRDefault="00471112" w:rsidP="00D50420">
      <w:pPr>
        <w:spacing w:after="0" w:line="240" w:lineRule="auto"/>
        <w:rPr>
          <w:rFonts w:ascii="Arial" w:eastAsiaTheme="minorHAnsi" w:hAnsi="Arial" w:cstheme="minorBidi"/>
          <w:sz w:val="22"/>
          <w:szCs w:val="22"/>
        </w:rPr>
      </w:pPr>
    </w:p>
    <w:p w:rsidR="00627B3A" w:rsidRDefault="00627B3A" w:rsidP="00D50420">
      <w:pPr>
        <w:rPr>
          <w:rFonts w:ascii="Georgia" w:hAnsi="Georgia" w:cs="Arial"/>
          <w:b/>
          <w:color w:val="004855" w:themeColor="text1"/>
          <w:sz w:val="20"/>
          <w:szCs w:val="20"/>
          <w:lang w:val="en-US"/>
        </w:rPr>
      </w:pPr>
    </w:p>
    <w:p w:rsidR="00D50420" w:rsidRPr="00E31FF9" w:rsidRDefault="00D50420" w:rsidP="00D50420">
      <w:pPr>
        <w:rPr>
          <w:rFonts w:ascii="Georgia" w:hAnsi="Georgia" w:cs="Arial"/>
          <w:b/>
          <w:color w:val="004855" w:themeColor="text1"/>
          <w:sz w:val="20"/>
          <w:szCs w:val="20"/>
          <w:lang w:val="en-US"/>
        </w:rPr>
      </w:pPr>
      <w:r w:rsidRPr="00E31FF9">
        <w:rPr>
          <w:rFonts w:ascii="Georgia" w:hAnsi="Georgia" w:cs="Arial"/>
          <w:b/>
          <w:color w:val="004855" w:themeColor="text1"/>
          <w:sz w:val="20"/>
          <w:szCs w:val="20"/>
          <w:lang w:val="en-US"/>
        </w:rPr>
        <w:t xml:space="preserve">Table </w:t>
      </w:r>
      <w:r w:rsidR="00E949B0">
        <w:rPr>
          <w:rFonts w:ascii="Georgia" w:hAnsi="Georgia" w:cs="Arial"/>
          <w:b/>
          <w:color w:val="004855" w:themeColor="text1"/>
          <w:sz w:val="20"/>
          <w:szCs w:val="20"/>
          <w:lang w:val="en-US"/>
        </w:rPr>
        <w:t>2</w:t>
      </w:r>
      <w:r w:rsidR="00127249">
        <w:rPr>
          <w:rFonts w:ascii="Georgia" w:hAnsi="Georgia" w:cs="Arial"/>
          <w:b/>
          <w:color w:val="004855" w:themeColor="text1"/>
          <w:sz w:val="20"/>
          <w:szCs w:val="20"/>
          <w:lang w:val="en-US"/>
        </w:rPr>
        <w:t>6</w:t>
      </w:r>
      <w:r w:rsidRPr="00E31FF9">
        <w:rPr>
          <w:rFonts w:ascii="Georgia" w:hAnsi="Georgia" w:cs="Arial"/>
          <w:b/>
          <w:color w:val="004855" w:themeColor="text1"/>
          <w:sz w:val="20"/>
          <w:szCs w:val="20"/>
          <w:lang w:val="en-US"/>
        </w:rPr>
        <w:t xml:space="preserve">: Net profit/surplus margin range, Not-For-Profit providers and </w:t>
      </w:r>
      <w:r w:rsidR="00456661">
        <w:rPr>
          <w:rFonts w:ascii="Georgia" w:hAnsi="Georgia" w:cs="Arial"/>
          <w:b/>
          <w:color w:val="004855" w:themeColor="text1"/>
          <w:sz w:val="20"/>
          <w:szCs w:val="20"/>
          <w:lang w:val="en-US"/>
        </w:rPr>
        <w:t>Sector</w:t>
      </w:r>
      <w:r w:rsidRPr="00E31FF9">
        <w:rPr>
          <w:rFonts w:ascii="Georgia" w:hAnsi="Georgia" w:cs="Arial"/>
          <w:b/>
          <w:color w:val="004855" w:themeColor="text1"/>
          <w:sz w:val="20"/>
          <w:szCs w:val="20"/>
          <w:lang w:val="en-US"/>
        </w:rPr>
        <w:t xml:space="preserve"> </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82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-38.7%</w:t>
            </w:r>
          </w:p>
        </w:tc>
        <w:tc>
          <w:tcPr>
            <w:tcW w:w="785"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-0.3%</w:t>
            </w:r>
          </w:p>
        </w:tc>
        <w:tc>
          <w:tcPr>
            <w:tcW w:w="738"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3.1%</w:t>
            </w:r>
          </w:p>
        </w:tc>
        <w:tc>
          <w:tcPr>
            <w:tcW w:w="799" w:type="pct"/>
            <w:gridSpan w:val="2"/>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8.8%</w:t>
            </w:r>
          </w:p>
        </w:tc>
        <w:tc>
          <w:tcPr>
            <w:tcW w:w="74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26.9%</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-38.7%</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0.4%</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11.0%</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54.2%</w:t>
            </w:r>
          </w:p>
        </w:tc>
      </w:tr>
    </w:tbl>
    <w:p w:rsidR="00D50420" w:rsidRDefault="00D50420" w:rsidP="00D50420">
      <w:pPr>
        <w:pStyle w:val="H3"/>
      </w:pPr>
      <w:r>
        <w:lastRenderedPageBreak/>
        <w:t>EBITDA Margin</w:t>
      </w:r>
    </w:p>
    <w:p w:rsidR="00D50420" w:rsidRPr="00930E64" w:rsidDel="00471112" w:rsidRDefault="00D50420" w:rsidP="00D50420">
      <w:pPr>
        <w:rPr>
          <w:rFonts w:ascii="Arial" w:eastAsiaTheme="minorHAnsi" w:hAnsi="Arial" w:cstheme="minorBidi"/>
          <w:sz w:val="20"/>
          <w:szCs w:val="20"/>
        </w:rPr>
      </w:pPr>
      <w:r w:rsidRPr="00930E64"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3</w:t>
      </w:r>
      <w:r w:rsidR="006C43D6">
        <w:rPr>
          <w:rFonts w:ascii="Georgia" w:hAnsi="Georgia" w:cs="Arial"/>
          <w:b/>
          <w:color w:val="004855" w:themeColor="text1"/>
          <w:sz w:val="20"/>
          <w:szCs w:val="20"/>
          <w:lang w:val="en-US"/>
        </w:rPr>
        <w:t>2</w:t>
      </w:r>
      <w:r w:rsidRPr="00930E64" w:rsidDel="00471112">
        <w:rPr>
          <w:rFonts w:ascii="Georgia" w:hAnsi="Georgia" w:cs="Arial"/>
          <w:b/>
          <w:color w:val="004855" w:themeColor="text1"/>
          <w:sz w:val="20"/>
          <w:szCs w:val="20"/>
          <w:lang w:val="en-US"/>
        </w:rPr>
        <w:t>: EBITDA margin, Not-For-Profit</w:t>
      </w:r>
    </w:p>
    <w:p w:rsidR="00D50420" w:rsidRDefault="000E3B22" w:rsidP="00D50420">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1FF6357D" wp14:editId="436EB25C">
            <wp:extent cx="5935133" cy="2785533"/>
            <wp:effectExtent l="0" t="0" r="889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1060" cy="2788315"/>
                    </a:xfrm>
                    <a:prstGeom prst="rect">
                      <a:avLst/>
                    </a:prstGeom>
                    <a:noFill/>
                    <a:ln>
                      <a:noFill/>
                    </a:ln>
                  </pic:spPr>
                </pic:pic>
              </a:graphicData>
            </a:graphic>
          </wp:inline>
        </w:drawing>
      </w:r>
    </w:p>
    <w:p w:rsidR="00471112" w:rsidRDefault="00471112" w:rsidP="00D50420">
      <w:pPr>
        <w:spacing w:after="0" w:line="240" w:lineRule="auto"/>
        <w:rPr>
          <w:rFonts w:ascii="Arial" w:eastAsiaTheme="minorHAnsi" w:hAnsi="Arial" w:cstheme="minorBidi"/>
          <w:sz w:val="22"/>
          <w:szCs w:val="22"/>
        </w:rPr>
      </w:pPr>
    </w:p>
    <w:p w:rsidR="00D50420" w:rsidRPr="00930E64" w:rsidRDefault="00D50420" w:rsidP="00D50420">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27</w:t>
      </w:r>
      <w:r w:rsidRPr="00930E64">
        <w:rPr>
          <w:rFonts w:ascii="Georgia" w:hAnsi="Georgia" w:cs="Arial"/>
          <w:b/>
          <w:color w:val="004855" w:themeColor="text1"/>
          <w:sz w:val="20"/>
          <w:szCs w:val="20"/>
          <w:lang w:val="en-US"/>
        </w:rPr>
        <w:t xml:space="preserve">: EBITDA margin range, Not-For-Profit providers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82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-77.2%</w:t>
            </w:r>
          </w:p>
        </w:tc>
        <w:tc>
          <w:tcPr>
            <w:tcW w:w="785"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0.3%</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5.5%</w:t>
            </w:r>
          </w:p>
        </w:tc>
        <w:tc>
          <w:tcPr>
            <w:tcW w:w="799"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14.3%</w:t>
            </w:r>
          </w:p>
        </w:tc>
        <w:tc>
          <w:tcPr>
            <w:tcW w:w="74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37.7%</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-77.2%</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3.6%</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11.1%</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17.8%</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98.1%</w:t>
            </w:r>
          </w:p>
        </w:tc>
      </w:tr>
    </w:tbl>
    <w:p w:rsidR="00D50420" w:rsidRDefault="00D50420" w:rsidP="00D50420">
      <w:pPr>
        <w:pStyle w:val="H3"/>
      </w:pPr>
    </w:p>
    <w:p w:rsidR="00D50420" w:rsidRDefault="00D50420" w:rsidP="00D50420">
      <w:pPr>
        <w:pStyle w:val="H3"/>
      </w:pPr>
      <w:r>
        <w:t>Employee benefits ratio</w:t>
      </w:r>
    </w:p>
    <w:p w:rsidR="00D50420" w:rsidRPr="00930E64" w:rsidDel="00471112" w:rsidRDefault="00D50420" w:rsidP="00D50420">
      <w:pPr>
        <w:pStyle w:val="H3"/>
        <w:rPr>
          <w:rFonts w:ascii="Georgia" w:hAnsi="Georgia" w:cs="Arial"/>
          <w:color w:val="004855" w:themeColor="text1"/>
          <w:sz w:val="20"/>
          <w:szCs w:val="20"/>
          <w:lang w:val="en-US"/>
        </w:rPr>
      </w:pPr>
      <w:r w:rsidRPr="00930E64" w:rsidDel="00471112">
        <w:rPr>
          <w:rFonts w:ascii="Georgia" w:hAnsi="Georgia" w:cs="Arial"/>
          <w:color w:val="004855" w:themeColor="text1"/>
          <w:sz w:val="20"/>
          <w:szCs w:val="20"/>
          <w:lang w:val="en-US"/>
        </w:rPr>
        <w:t xml:space="preserve">Figure </w:t>
      </w:r>
      <w:r w:rsidR="008C384C">
        <w:rPr>
          <w:rFonts w:ascii="Georgia" w:hAnsi="Georgia" w:cs="Arial"/>
          <w:color w:val="004855" w:themeColor="text1"/>
          <w:sz w:val="20"/>
          <w:szCs w:val="20"/>
          <w:lang w:val="en-US"/>
        </w:rPr>
        <w:t>3</w:t>
      </w:r>
      <w:r w:rsidR="006C43D6">
        <w:rPr>
          <w:rFonts w:ascii="Georgia" w:hAnsi="Georgia" w:cs="Arial"/>
          <w:color w:val="004855" w:themeColor="text1"/>
          <w:sz w:val="20"/>
          <w:szCs w:val="20"/>
          <w:lang w:val="en-US"/>
        </w:rPr>
        <w:t>3</w:t>
      </w:r>
      <w:r w:rsidRPr="00930E64" w:rsidDel="00471112">
        <w:rPr>
          <w:rFonts w:ascii="Georgia" w:hAnsi="Georgia" w:cs="Arial"/>
          <w:color w:val="004855" w:themeColor="text1"/>
          <w:sz w:val="20"/>
          <w:szCs w:val="20"/>
          <w:lang w:val="en-US"/>
        </w:rPr>
        <w:t>: Employee benefits ratio, Not-For-Profit</w:t>
      </w:r>
    </w:p>
    <w:p w:rsidR="00D50420" w:rsidRDefault="000E3B22" w:rsidP="00D50420">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08BD44DF" wp14:editId="6007E37F">
            <wp:extent cx="5934076" cy="2531534"/>
            <wp:effectExtent l="0" t="0" r="0"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1060" cy="2534514"/>
                    </a:xfrm>
                    <a:prstGeom prst="rect">
                      <a:avLst/>
                    </a:prstGeom>
                    <a:noFill/>
                    <a:ln>
                      <a:noFill/>
                    </a:ln>
                  </pic:spPr>
                </pic:pic>
              </a:graphicData>
            </a:graphic>
          </wp:inline>
        </w:drawing>
      </w:r>
    </w:p>
    <w:p w:rsidR="00ED2361" w:rsidRDefault="00ED2361" w:rsidP="00627B3A">
      <w:pPr>
        <w:spacing w:after="0"/>
        <w:rPr>
          <w:rFonts w:ascii="Georgia" w:hAnsi="Georgia" w:cs="Arial"/>
          <w:b/>
          <w:color w:val="004855" w:themeColor="text1"/>
          <w:sz w:val="20"/>
          <w:szCs w:val="20"/>
          <w:lang w:val="en-US"/>
        </w:rPr>
      </w:pPr>
    </w:p>
    <w:p w:rsidR="00D50420" w:rsidRPr="00930E64" w:rsidRDefault="00D50420" w:rsidP="00D50420">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28</w:t>
      </w:r>
      <w:r w:rsidRPr="00930E64">
        <w:rPr>
          <w:rFonts w:ascii="Georgia" w:hAnsi="Georgia" w:cs="Arial"/>
          <w:b/>
          <w:color w:val="004855" w:themeColor="text1"/>
          <w:sz w:val="20"/>
          <w:szCs w:val="20"/>
          <w:lang w:val="en-US"/>
        </w:rPr>
        <w:t xml:space="preserve">: Employee benefits ratio range, Not-For-Profit providers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290"/>
        <w:gridCol w:w="1451"/>
        <w:gridCol w:w="1511"/>
        <w:gridCol w:w="1430"/>
        <w:gridCol w:w="10"/>
        <w:gridCol w:w="1548"/>
        <w:gridCol w:w="1449"/>
      </w:tblGrid>
      <w:tr w:rsidR="000A40FE" w:rsidRPr="00797118" w:rsidTr="000A40FE">
        <w:trPr>
          <w:trHeight w:val="300"/>
        </w:trPr>
        <w:tc>
          <w:tcPr>
            <w:tcW w:w="1181"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749" w:type="pct"/>
            <w:tcBorders>
              <w:top w:val="nil"/>
              <w:left w:val="nil"/>
              <w:bottom w:val="single" w:sz="4" w:space="0" w:color="366092"/>
              <w:right w:val="nil"/>
            </w:tcBorders>
            <w:shd w:val="clear" w:color="auto" w:fill="004855"/>
            <w:noWrap/>
            <w:vAlign w:val="center"/>
            <w:hideMark/>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80"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9"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0A40FE">
        <w:trPr>
          <w:trHeight w:val="300"/>
        </w:trPr>
        <w:tc>
          <w:tcPr>
            <w:tcW w:w="1181" w:type="pct"/>
            <w:tcBorders>
              <w:top w:val="nil"/>
              <w:left w:val="nil"/>
              <w:bottom w:val="single" w:sz="4" w:space="0" w:color="366092"/>
              <w:right w:val="nil"/>
            </w:tcBorders>
            <w:shd w:val="clear" w:color="auto" w:fill="auto"/>
            <w:noWrap/>
            <w:vAlign w:val="center"/>
            <w:hideMark/>
          </w:tcPr>
          <w:p w:rsidR="000A40FE"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49"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19.2%</w:t>
            </w:r>
          </w:p>
        </w:tc>
        <w:tc>
          <w:tcPr>
            <w:tcW w:w="780"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43.0%</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56.0%</w:t>
            </w:r>
          </w:p>
        </w:tc>
        <w:tc>
          <w:tcPr>
            <w:tcW w:w="804"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65.3%</w:t>
            </w:r>
          </w:p>
        </w:tc>
        <w:tc>
          <w:tcPr>
            <w:tcW w:w="749"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83.7%</w:t>
            </w:r>
          </w:p>
        </w:tc>
      </w:tr>
      <w:tr w:rsidR="000A40FE" w:rsidRPr="002922C1" w:rsidTr="000A40FE">
        <w:trPr>
          <w:trHeight w:val="300"/>
        </w:trPr>
        <w:tc>
          <w:tcPr>
            <w:tcW w:w="1181" w:type="pct"/>
            <w:tcBorders>
              <w:top w:val="single" w:sz="4" w:space="0" w:color="366092"/>
              <w:left w:val="nil"/>
              <w:bottom w:val="single" w:sz="4" w:space="0" w:color="366092"/>
              <w:right w:val="nil"/>
            </w:tcBorders>
            <w:shd w:val="clear" w:color="000000" w:fill="E5F6F6"/>
            <w:noWrap/>
            <w:vAlign w:val="center"/>
            <w:hideMark/>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9"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780"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37.7%</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51.8%</w:t>
            </w:r>
          </w:p>
        </w:tc>
        <w:tc>
          <w:tcPr>
            <w:tcW w:w="804"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59.1%</w:t>
            </w:r>
          </w:p>
        </w:tc>
        <w:tc>
          <w:tcPr>
            <w:tcW w:w="749"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85.3%</w:t>
            </w:r>
          </w:p>
        </w:tc>
      </w:tr>
    </w:tbl>
    <w:p w:rsidR="00D50420" w:rsidRDefault="00D50420" w:rsidP="00D50420">
      <w:pPr>
        <w:pStyle w:val="H3"/>
      </w:pPr>
      <w:r>
        <w:lastRenderedPageBreak/>
        <w:t>Asset replacement ratio</w:t>
      </w:r>
    </w:p>
    <w:p w:rsidR="00D50420" w:rsidRPr="00930E64" w:rsidDel="00471112" w:rsidRDefault="00D50420" w:rsidP="00D50420">
      <w:pPr>
        <w:rPr>
          <w:rFonts w:ascii="Georgia" w:hAnsi="Georgia" w:cs="Arial"/>
          <w:b/>
          <w:color w:val="004855" w:themeColor="text1"/>
          <w:sz w:val="20"/>
          <w:szCs w:val="20"/>
          <w:lang w:val="en-US"/>
        </w:rPr>
      </w:pPr>
      <w:r w:rsidRPr="00930E64"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3</w:t>
      </w:r>
      <w:r w:rsidR="006C43D6">
        <w:rPr>
          <w:rFonts w:ascii="Georgia" w:hAnsi="Georgia" w:cs="Arial"/>
          <w:b/>
          <w:color w:val="004855" w:themeColor="text1"/>
          <w:sz w:val="20"/>
          <w:szCs w:val="20"/>
          <w:lang w:val="en-US"/>
        </w:rPr>
        <w:t>4</w:t>
      </w:r>
      <w:r w:rsidRPr="00930E64" w:rsidDel="00471112">
        <w:rPr>
          <w:rFonts w:ascii="Georgia" w:hAnsi="Georgia" w:cs="Arial"/>
          <w:b/>
          <w:color w:val="004855" w:themeColor="text1"/>
          <w:sz w:val="20"/>
          <w:szCs w:val="20"/>
          <w:lang w:val="en-US"/>
        </w:rPr>
        <w:t>: Asset replacement ratio, Not-For-Profit</w:t>
      </w:r>
    </w:p>
    <w:p w:rsidR="00D50420" w:rsidRDefault="000E3B22" w:rsidP="00D50420">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29AF59BA" wp14:editId="4711FF33">
            <wp:extent cx="5934075" cy="27908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1060" cy="2794110"/>
                    </a:xfrm>
                    <a:prstGeom prst="rect">
                      <a:avLst/>
                    </a:prstGeom>
                    <a:noFill/>
                    <a:ln>
                      <a:noFill/>
                    </a:ln>
                  </pic:spPr>
                </pic:pic>
              </a:graphicData>
            </a:graphic>
          </wp:inline>
        </w:drawing>
      </w:r>
    </w:p>
    <w:p w:rsidR="00471112" w:rsidRDefault="00471112" w:rsidP="00D50420">
      <w:pPr>
        <w:rPr>
          <w:rFonts w:ascii="Georgia" w:hAnsi="Georgia" w:cs="Arial"/>
          <w:b/>
          <w:color w:val="004855" w:themeColor="text1"/>
          <w:sz w:val="22"/>
          <w:szCs w:val="22"/>
          <w:lang w:val="en-US"/>
        </w:rPr>
      </w:pPr>
    </w:p>
    <w:p w:rsidR="00D50420" w:rsidRPr="00930E64" w:rsidRDefault="00D50420" w:rsidP="00D50420">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29</w:t>
      </w:r>
      <w:r w:rsidRPr="00930E64">
        <w:rPr>
          <w:rFonts w:ascii="Georgia" w:hAnsi="Georgia" w:cs="Arial"/>
          <w:b/>
          <w:color w:val="004855" w:themeColor="text1"/>
          <w:sz w:val="20"/>
          <w:szCs w:val="20"/>
          <w:lang w:val="en-US"/>
        </w:rPr>
        <w:t xml:space="preserve">: Asset replacement ratio range, Not-For-Profit providers and </w:t>
      </w:r>
      <w:r w:rsidR="00456661">
        <w:rPr>
          <w:rFonts w:ascii="Georgia" w:hAnsi="Georgia" w:cs="Arial"/>
          <w:b/>
          <w:color w:val="004855" w:themeColor="text1"/>
          <w:sz w:val="20"/>
          <w:szCs w:val="20"/>
          <w:lang w:val="en-US"/>
        </w:rPr>
        <w:t>Sector</w:t>
      </w:r>
    </w:p>
    <w:tbl>
      <w:tblPr>
        <w:tblW w:w="5092" w:type="pct"/>
        <w:tblLook w:val="04A0" w:firstRow="1" w:lastRow="0" w:firstColumn="1" w:lastColumn="0" w:noHBand="0" w:noVBand="1"/>
      </w:tblPr>
      <w:tblGrid>
        <w:gridCol w:w="2303"/>
        <w:gridCol w:w="1443"/>
        <w:gridCol w:w="1610"/>
        <w:gridCol w:w="16"/>
        <w:gridCol w:w="1390"/>
        <w:gridCol w:w="1573"/>
        <w:gridCol w:w="1413"/>
      </w:tblGrid>
      <w:tr w:rsidR="00F2568B" w:rsidRPr="00797118" w:rsidTr="00A02129">
        <w:trPr>
          <w:trHeight w:val="300"/>
        </w:trPr>
        <w:tc>
          <w:tcPr>
            <w:tcW w:w="1181" w:type="pct"/>
            <w:tcBorders>
              <w:top w:val="nil"/>
              <w:left w:val="nil"/>
              <w:bottom w:val="single" w:sz="4" w:space="0" w:color="366092"/>
              <w:right w:val="nil"/>
            </w:tcBorders>
            <w:shd w:val="clear" w:color="auto" w:fill="004855"/>
            <w:noWrap/>
            <w:vAlign w:val="center"/>
            <w:hideMark/>
          </w:tcPr>
          <w:p w:rsidR="00F2568B" w:rsidRPr="00797118" w:rsidRDefault="00F2568B" w:rsidP="00A02129">
            <w:pPr>
              <w:spacing w:after="0"/>
              <w:rPr>
                <w:rFonts w:asciiTheme="minorHAnsi" w:hAnsiTheme="minorHAnsi" w:cstheme="minorHAnsi"/>
                <w:b/>
                <w:sz w:val="20"/>
                <w:szCs w:val="20"/>
              </w:rPr>
            </w:pPr>
          </w:p>
        </w:tc>
        <w:tc>
          <w:tcPr>
            <w:tcW w:w="740"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26"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1" w:type="pct"/>
            <w:gridSpan w:val="2"/>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7"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25"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F2568B" w:rsidRPr="00797118" w:rsidTr="00A02129">
        <w:trPr>
          <w:trHeight w:val="300"/>
        </w:trPr>
        <w:tc>
          <w:tcPr>
            <w:tcW w:w="1181" w:type="pct"/>
            <w:tcBorders>
              <w:top w:val="nil"/>
              <w:left w:val="nil"/>
              <w:bottom w:val="single" w:sz="4" w:space="0" w:color="366092"/>
              <w:right w:val="nil"/>
            </w:tcBorders>
            <w:shd w:val="clear" w:color="auto" w:fill="auto"/>
            <w:noWrap/>
            <w:vAlign w:val="center"/>
          </w:tcPr>
          <w:p w:rsidR="00F2568B"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40"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0.0</w:t>
            </w:r>
          </w:p>
        </w:tc>
        <w:tc>
          <w:tcPr>
            <w:tcW w:w="834" w:type="pct"/>
            <w:gridSpan w:val="2"/>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713"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w:t>
            </w:r>
          </w:p>
        </w:tc>
        <w:tc>
          <w:tcPr>
            <w:tcW w:w="807"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2.3</w:t>
            </w:r>
          </w:p>
        </w:tc>
        <w:tc>
          <w:tcPr>
            <w:tcW w:w="725"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12.6</w:t>
            </w:r>
          </w:p>
        </w:tc>
      </w:tr>
      <w:tr w:rsidR="00F2568B" w:rsidRPr="002922C1" w:rsidTr="00A02129">
        <w:trPr>
          <w:trHeight w:val="300"/>
        </w:trPr>
        <w:tc>
          <w:tcPr>
            <w:tcW w:w="1181" w:type="pct"/>
            <w:tcBorders>
              <w:top w:val="single" w:sz="4" w:space="0" w:color="366092"/>
              <w:left w:val="nil"/>
              <w:bottom w:val="single" w:sz="4" w:space="0" w:color="366092"/>
              <w:right w:val="nil"/>
            </w:tcBorders>
            <w:shd w:val="clear" w:color="000000" w:fill="E5F6F6"/>
            <w:noWrap/>
            <w:vAlign w:val="center"/>
          </w:tcPr>
          <w:p w:rsidR="00F2568B"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0"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834" w:type="pct"/>
            <w:gridSpan w:val="2"/>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0.6</w:t>
            </w:r>
          </w:p>
        </w:tc>
        <w:tc>
          <w:tcPr>
            <w:tcW w:w="713"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w:t>
            </w:r>
          </w:p>
        </w:tc>
        <w:tc>
          <w:tcPr>
            <w:tcW w:w="807"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2.4</w:t>
            </w:r>
          </w:p>
        </w:tc>
        <w:tc>
          <w:tcPr>
            <w:tcW w:w="725"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14.2</w:t>
            </w:r>
          </w:p>
        </w:tc>
      </w:tr>
    </w:tbl>
    <w:p w:rsidR="00D50420" w:rsidRDefault="00D50420" w:rsidP="00D50420">
      <w:pPr>
        <w:spacing w:after="0" w:line="240" w:lineRule="auto"/>
        <w:rPr>
          <w:rFonts w:ascii="Georgia" w:hAnsi="Georgia" w:cs="Arial"/>
          <w:b/>
          <w:color w:val="004855" w:themeColor="text1"/>
          <w:sz w:val="22"/>
          <w:szCs w:val="22"/>
          <w:lang w:val="en-US"/>
        </w:rPr>
      </w:pPr>
    </w:p>
    <w:p w:rsidR="00D50420" w:rsidRDefault="00D50420" w:rsidP="00D50420">
      <w:pPr>
        <w:pStyle w:val="H3"/>
      </w:pPr>
      <w:r>
        <w:t>Liquidity</w:t>
      </w:r>
    </w:p>
    <w:p w:rsidR="00D50420" w:rsidRPr="00930E64" w:rsidDel="00471112" w:rsidRDefault="00D50420" w:rsidP="00D50420">
      <w:pPr>
        <w:rPr>
          <w:rFonts w:ascii="Georgia" w:hAnsi="Georgia" w:cs="Arial"/>
          <w:b/>
          <w:color w:val="004855" w:themeColor="text1"/>
          <w:sz w:val="20"/>
          <w:szCs w:val="20"/>
          <w:lang w:val="en-US"/>
        </w:rPr>
      </w:pPr>
      <w:r w:rsidRPr="00930E64" w:rsidDel="00471112">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3</w:t>
      </w:r>
      <w:r w:rsidR="006C43D6">
        <w:rPr>
          <w:rFonts w:ascii="Georgia" w:hAnsi="Georgia" w:cs="Arial"/>
          <w:b/>
          <w:color w:val="004855" w:themeColor="text1"/>
          <w:sz w:val="20"/>
          <w:szCs w:val="20"/>
          <w:lang w:val="en-US"/>
        </w:rPr>
        <w:t>5</w:t>
      </w:r>
      <w:r w:rsidRPr="00930E64" w:rsidDel="00471112">
        <w:rPr>
          <w:rFonts w:ascii="Georgia" w:hAnsi="Georgia" w:cs="Arial"/>
          <w:b/>
          <w:color w:val="004855" w:themeColor="text1"/>
          <w:sz w:val="20"/>
          <w:szCs w:val="20"/>
          <w:lang w:val="en-US"/>
        </w:rPr>
        <w:t>: Liquidity, Not-For-Profit</w:t>
      </w:r>
    </w:p>
    <w:p w:rsidR="009C31F7" w:rsidRDefault="000E3B22" w:rsidP="00D50420">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18781E12" wp14:editId="53266A83">
            <wp:extent cx="5930900" cy="25781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1060" cy="2582516"/>
                    </a:xfrm>
                    <a:prstGeom prst="rect">
                      <a:avLst/>
                    </a:prstGeom>
                    <a:noFill/>
                    <a:ln>
                      <a:noFill/>
                    </a:ln>
                  </pic:spPr>
                </pic:pic>
              </a:graphicData>
            </a:graphic>
          </wp:inline>
        </w:drawing>
      </w:r>
    </w:p>
    <w:p w:rsidR="00D50420" w:rsidRPr="00E949B0" w:rsidRDefault="00D50420" w:rsidP="00D50420">
      <w:pPr>
        <w:rPr>
          <w:rFonts w:ascii="Georgia" w:hAnsi="Georgia" w:cs="Arial"/>
          <w:b/>
          <w:color w:val="004855" w:themeColor="text1"/>
          <w:sz w:val="20"/>
          <w:szCs w:val="20"/>
          <w:lang w:val="en-US"/>
        </w:rPr>
      </w:pPr>
      <w:r w:rsidRPr="00E949B0">
        <w:rPr>
          <w:rFonts w:ascii="Georgia" w:hAnsi="Georgia" w:cs="Arial"/>
          <w:b/>
          <w:color w:val="004855" w:themeColor="text1"/>
          <w:sz w:val="20"/>
          <w:szCs w:val="20"/>
          <w:lang w:val="en-US"/>
        </w:rPr>
        <w:t xml:space="preserve">Table </w:t>
      </w:r>
      <w:r w:rsidR="00713386" w:rsidRPr="00E949B0">
        <w:rPr>
          <w:rFonts w:ascii="Georgia" w:hAnsi="Georgia" w:cs="Arial"/>
          <w:b/>
          <w:color w:val="004855" w:themeColor="text1"/>
          <w:sz w:val="20"/>
          <w:szCs w:val="20"/>
          <w:lang w:val="en-US"/>
        </w:rPr>
        <w:t>3</w:t>
      </w:r>
      <w:r w:rsidR="00127249">
        <w:rPr>
          <w:rFonts w:ascii="Georgia" w:hAnsi="Georgia" w:cs="Arial"/>
          <w:b/>
          <w:color w:val="004855" w:themeColor="text1"/>
          <w:sz w:val="20"/>
          <w:szCs w:val="20"/>
          <w:lang w:val="en-US"/>
        </w:rPr>
        <w:t>0</w:t>
      </w:r>
      <w:r w:rsidRPr="00E949B0">
        <w:rPr>
          <w:rFonts w:ascii="Georgia" w:hAnsi="Georgia" w:cs="Arial"/>
          <w:b/>
          <w:color w:val="004855" w:themeColor="text1"/>
          <w:sz w:val="20"/>
          <w:szCs w:val="20"/>
          <w:lang w:val="en-US"/>
        </w:rPr>
        <w:t xml:space="preserve">: Liquidity range, Not-For-Profit providers and </w:t>
      </w:r>
      <w:r w:rsidR="00456661">
        <w:rPr>
          <w:rFonts w:ascii="Georgia" w:hAnsi="Georgia" w:cs="Arial"/>
          <w:b/>
          <w:color w:val="004855" w:themeColor="text1"/>
          <w:sz w:val="20"/>
          <w:szCs w:val="20"/>
          <w:lang w:val="en-US"/>
        </w:rPr>
        <w:t>Sector</w:t>
      </w:r>
    </w:p>
    <w:tbl>
      <w:tblPr>
        <w:tblW w:w="5000" w:type="pct"/>
        <w:tblLook w:val="04A0" w:firstRow="1" w:lastRow="0" w:firstColumn="1" w:lastColumn="0" w:noHBand="0" w:noVBand="1"/>
      </w:tblPr>
      <w:tblGrid>
        <w:gridCol w:w="2283"/>
        <w:gridCol w:w="1426"/>
        <w:gridCol w:w="1595"/>
        <w:gridCol w:w="10"/>
        <w:gridCol w:w="1365"/>
        <w:gridCol w:w="1494"/>
        <w:gridCol w:w="1399"/>
      </w:tblGrid>
      <w:tr w:rsidR="003F5477" w:rsidRPr="00797118" w:rsidTr="00A02129">
        <w:trPr>
          <w:trHeight w:val="300"/>
        </w:trPr>
        <w:tc>
          <w:tcPr>
            <w:tcW w:w="1193" w:type="pct"/>
            <w:tcBorders>
              <w:top w:val="nil"/>
              <w:left w:val="nil"/>
              <w:bottom w:val="single" w:sz="4" w:space="0" w:color="366092"/>
              <w:right w:val="nil"/>
            </w:tcBorders>
            <w:shd w:val="clear" w:color="auto" w:fill="004855"/>
            <w:noWrap/>
            <w:vAlign w:val="bottom"/>
            <w:hideMark/>
          </w:tcPr>
          <w:p w:rsidR="003F5477" w:rsidRPr="00797118" w:rsidRDefault="003F5477" w:rsidP="00A02129">
            <w:pPr>
              <w:spacing w:after="0"/>
              <w:jc w:val="center"/>
              <w:rPr>
                <w:rFonts w:asciiTheme="minorHAnsi" w:hAnsiTheme="minorHAnsi" w:cstheme="minorHAnsi"/>
                <w:b/>
                <w:sz w:val="20"/>
                <w:szCs w:val="20"/>
              </w:rPr>
            </w:pPr>
          </w:p>
        </w:tc>
        <w:tc>
          <w:tcPr>
            <w:tcW w:w="745"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33"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18" w:type="pct"/>
            <w:gridSpan w:val="2"/>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80"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1"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3F5477" w:rsidRPr="00797118" w:rsidTr="00A02129">
        <w:trPr>
          <w:trHeight w:val="300"/>
        </w:trPr>
        <w:tc>
          <w:tcPr>
            <w:tcW w:w="1193" w:type="pct"/>
            <w:tcBorders>
              <w:top w:val="nil"/>
              <w:left w:val="nil"/>
              <w:bottom w:val="single" w:sz="4" w:space="0" w:color="366092"/>
              <w:right w:val="nil"/>
            </w:tcBorders>
            <w:shd w:val="clear" w:color="auto" w:fill="auto"/>
            <w:noWrap/>
            <w:vAlign w:val="bottom"/>
          </w:tcPr>
          <w:p w:rsidR="003F5477" w:rsidRPr="00296D08" w:rsidRDefault="00CF3E1F" w:rsidP="00A02129">
            <w:pPr>
              <w:spacing w:after="0"/>
              <w:rPr>
                <w:rFonts w:asciiTheme="minorHAnsi" w:hAnsiTheme="minorHAnsi" w:cstheme="minorHAnsi"/>
                <w:sz w:val="20"/>
                <w:szCs w:val="20"/>
              </w:rPr>
            </w:pPr>
            <w:r>
              <w:rPr>
                <w:rFonts w:asciiTheme="minorHAnsi" w:hAnsiTheme="minorHAnsi" w:cstheme="minorHAnsi"/>
                <w:sz w:val="20"/>
                <w:szCs w:val="20"/>
              </w:rPr>
              <w:t>Not-For-Profit</w:t>
            </w:r>
          </w:p>
        </w:tc>
        <w:tc>
          <w:tcPr>
            <w:tcW w:w="745"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0.2</w:t>
            </w:r>
          </w:p>
        </w:tc>
        <w:tc>
          <w:tcPr>
            <w:tcW w:w="838" w:type="pct"/>
            <w:gridSpan w:val="2"/>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1.1</w:t>
            </w:r>
          </w:p>
        </w:tc>
        <w:tc>
          <w:tcPr>
            <w:tcW w:w="713"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1.6</w:t>
            </w:r>
          </w:p>
        </w:tc>
        <w:tc>
          <w:tcPr>
            <w:tcW w:w="780"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2.9</w:t>
            </w:r>
          </w:p>
        </w:tc>
        <w:tc>
          <w:tcPr>
            <w:tcW w:w="731"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13.6</w:t>
            </w:r>
          </w:p>
        </w:tc>
      </w:tr>
      <w:tr w:rsidR="003F5477" w:rsidRPr="002922C1" w:rsidTr="00A02129">
        <w:trPr>
          <w:trHeight w:val="300"/>
        </w:trPr>
        <w:tc>
          <w:tcPr>
            <w:tcW w:w="1193" w:type="pct"/>
            <w:tcBorders>
              <w:top w:val="single" w:sz="4" w:space="0" w:color="366092"/>
              <w:left w:val="nil"/>
              <w:bottom w:val="single" w:sz="4" w:space="0" w:color="366092"/>
              <w:right w:val="nil"/>
            </w:tcBorders>
            <w:shd w:val="clear" w:color="000000" w:fill="E5F6F6"/>
            <w:noWrap/>
            <w:vAlign w:val="bottom"/>
          </w:tcPr>
          <w:p w:rsidR="003F5477"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5"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0.2</w:t>
            </w:r>
          </w:p>
        </w:tc>
        <w:tc>
          <w:tcPr>
            <w:tcW w:w="838" w:type="pct"/>
            <w:gridSpan w:val="2"/>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0.9</w:t>
            </w:r>
          </w:p>
        </w:tc>
        <w:tc>
          <w:tcPr>
            <w:tcW w:w="713"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w:t>
            </w:r>
          </w:p>
        </w:tc>
        <w:tc>
          <w:tcPr>
            <w:tcW w:w="780"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2.2</w:t>
            </w:r>
          </w:p>
        </w:tc>
        <w:tc>
          <w:tcPr>
            <w:tcW w:w="731"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13.6</w:t>
            </w:r>
          </w:p>
        </w:tc>
      </w:tr>
    </w:tbl>
    <w:p w:rsidR="00860953" w:rsidRPr="00930E64" w:rsidRDefault="00860953" w:rsidP="00930E64">
      <w:pPr>
        <w:pStyle w:val="H1"/>
        <w:spacing w:after="240"/>
        <w:rPr>
          <w:sz w:val="40"/>
          <w:szCs w:val="40"/>
        </w:rPr>
      </w:pPr>
      <w:bookmarkStart w:id="28" w:name="_Toc467075181"/>
      <w:r w:rsidRPr="00930E64">
        <w:rPr>
          <w:sz w:val="40"/>
          <w:szCs w:val="40"/>
        </w:rPr>
        <w:lastRenderedPageBreak/>
        <w:t xml:space="preserve">Appendix D: </w:t>
      </w:r>
      <w:r w:rsidR="008C707D" w:rsidRPr="00930E64">
        <w:rPr>
          <w:sz w:val="40"/>
          <w:szCs w:val="40"/>
        </w:rPr>
        <w:t>TAFE</w:t>
      </w:r>
      <w:bookmarkEnd w:id="28"/>
    </w:p>
    <w:p w:rsidR="00860953" w:rsidRDefault="00407CDD" w:rsidP="00860953">
      <w:pPr>
        <w:spacing w:after="0" w:line="240" w:lineRule="auto"/>
        <w:rPr>
          <w:rFonts w:ascii="Arial" w:eastAsiaTheme="minorHAnsi" w:hAnsi="Arial" w:cstheme="minorBidi"/>
          <w:sz w:val="22"/>
          <w:szCs w:val="22"/>
        </w:rPr>
      </w:pPr>
      <w:r>
        <w:rPr>
          <w:rFonts w:ascii="Arial" w:eastAsiaTheme="minorHAnsi" w:hAnsi="Arial" w:cstheme="minorBidi"/>
          <w:sz w:val="22"/>
          <w:szCs w:val="22"/>
        </w:rPr>
        <w:t xml:space="preserve">In </w:t>
      </w:r>
      <w:r w:rsidR="00611961" w:rsidRPr="00814721">
        <w:rPr>
          <w:rFonts w:ascii="Arial" w:eastAsiaTheme="minorHAnsi" w:hAnsi="Arial" w:cstheme="minorBidi"/>
          <w:sz w:val="22"/>
          <w:szCs w:val="22"/>
        </w:rPr>
        <w:t>August 2016</w:t>
      </w:r>
      <w:r w:rsidR="00930E64" w:rsidRPr="00814721">
        <w:rPr>
          <w:rFonts w:ascii="Arial" w:eastAsiaTheme="minorHAnsi" w:hAnsi="Arial" w:cstheme="minorBidi"/>
          <w:sz w:val="22"/>
          <w:szCs w:val="22"/>
        </w:rPr>
        <w:t>, there were</w:t>
      </w:r>
      <w:r w:rsidR="00860953" w:rsidRPr="00814721">
        <w:rPr>
          <w:rFonts w:ascii="Arial" w:eastAsiaTheme="minorHAnsi" w:hAnsi="Arial" w:cstheme="minorBidi"/>
          <w:sz w:val="22"/>
          <w:szCs w:val="22"/>
        </w:rPr>
        <w:t xml:space="preserve"> 1</w:t>
      </w:r>
      <w:r w:rsidR="00AB5DC5" w:rsidRPr="00814721">
        <w:rPr>
          <w:rFonts w:ascii="Arial" w:eastAsiaTheme="minorHAnsi" w:hAnsi="Arial" w:cstheme="minorBidi"/>
          <w:sz w:val="22"/>
          <w:szCs w:val="22"/>
        </w:rPr>
        <w:t>1</w:t>
      </w:r>
      <w:r w:rsidR="00860953" w:rsidRPr="00814721">
        <w:rPr>
          <w:rFonts w:ascii="Arial" w:eastAsiaTheme="minorHAnsi" w:hAnsi="Arial" w:cstheme="minorBidi"/>
          <w:sz w:val="22"/>
          <w:szCs w:val="22"/>
        </w:rPr>
        <w:t xml:space="preserve"> </w:t>
      </w:r>
      <w:r w:rsidR="008C707D" w:rsidRPr="00814721">
        <w:rPr>
          <w:rFonts w:ascii="Arial" w:eastAsiaTheme="minorHAnsi" w:hAnsi="Arial" w:cstheme="minorBidi"/>
          <w:sz w:val="22"/>
          <w:szCs w:val="22"/>
        </w:rPr>
        <w:t>TAFE</w:t>
      </w:r>
      <w:r w:rsidR="006B3D04">
        <w:rPr>
          <w:rFonts w:ascii="Arial" w:eastAsiaTheme="minorHAnsi" w:hAnsi="Arial" w:cstheme="minorBidi"/>
          <w:sz w:val="22"/>
          <w:szCs w:val="22"/>
        </w:rPr>
        <w:t xml:space="preserve"> </w:t>
      </w:r>
      <w:r w:rsidR="00860953" w:rsidRPr="00814721">
        <w:rPr>
          <w:rFonts w:ascii="Arial" w:eastAsiaTheme="minorHAnsi" w:hAnsi="Arial" w:cstheme="minorBidi"/>
          <w:sz w:val="22"/>
          <w:szCs w:val="22"/>
        </w:rPr>
        <w:t xml:space="preserve">providers registered </w:t>
      </w:r>
      <w:r>
        <w:rPr>
          <w:rFonts w:ascii="Arial" w:eastAsiaTheme="minorHAnsi" w:hAnsi="Arial" w:cstheme="minorBidi"/>
          <w:sz w:val="22"/>
          <w:szCs w:val="22"/>
        </w:rPr>
        <w:t xml:space="preserve">to deliver </w:t>
      </w:r>
      <w:r w:rsidR="0083727F" w:rsidRPr="00814721">
        <w:rPr>
          <w:rFonts w:ascii="Arial" w:eastAsiaTheme="minorHAnsi" w:hAnsi="Arial" w:cstheme="minorBidi"/>
          <w:sz w:val="22"/>
          <w:szCs w:val="22"/>
        </w:rPr>
        <w:t xml:space="preserve">higher education </w:t>
      </w:r>
      <w:r w:rsidR="00860953" w:rsidRPr="00814721">
        <w:rPr>
          <w:rFonts w:ascii="Arial" w:eastAsiaTheme="minorHAnsi" w:hAnsi="Arial" w:cstheme="minorBidi"/>
          <w:sz w:val="22"/>
          <w:szCs w:val="22"/>
        </w:rPr>
        <w:t>in Australia.</w:t>
      </w:r>
    </w:p>
    <w:p w:rsidR="00860953" w:rsidRDefault="00860953" w:rsidP="00860953">
      <w:pPr>
        <w:pStyle w:val="H3"/>
      </w:pPr>
      <w:r>
        <w:t>Revenue concentration</w:t>
      </w:r>
    </w:p>
    <w:p w:rsidR="00860953" w:rsidRPr="00930E64" w:rsidDel="006B3D04" w:rsidRDefault="00860953" w:rsidP="00860953">
      <w:pPr>
        <w:rPr>
          <w:rFonts w:ascii="Arial" w:eastAsiaTheme="minorHAnsi" w:hAnsi="Arial" w:cstheme="minorBidi"/>
          <w:sz w:val="20"/>
          <w:szCs w:val="20"/>
        </w:rPr>
      </w:pPr>
      <w:r w:rsidRPr="00930E64" w:rsidDel="006B3D04">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3</w:t>
      </w:r>
      <w:r w:rsidR="006C43D6">
        <w:rPr>
          <w:rFonts w:ascii="Georgia" w:hAnsi="Georgia" w:cs="Arial"/>
          <w:b/>
          <w:color w:val="004855" w:themeColor="text1"/>
          <w:sz w:val="20"/>
          <w:szCs w:val="20"/>
          <w:lang w:val="en-US"/>
        </w:rPr>
        <w:t>6</w:t>
      </w:r>
      <w:r w:rsidRPr="00930E64" w:rsidDel="006B3D04">
        <w:rPr>
          <w:rFonts w:ascii="Georgia" w:hAnsi="Georgia" w:cs="Arial"/>
          <w:b/>
          <w:color w:val="004855" w:themeColor="text1"/>
          <w:sz w:val="20"/>
          <w:szCs w:val="20"/>
          <w:lang w:val="en-US"/>
        </w:rPr>
        <w:t xml:space="preserve">: Revenue concentration, </w:t>
      </w:r>
      <w:r w:rsidR="008C707D" w:rsidRPr="00930E64" w:rsidDel="006B3D04">
        <w:rPr>
          <w:rFonts w:ascii="Georgia" w:hAnsi="Georgia" w:cs="Arial"/>
          <w:b/>
          <w:color w:val="004855" w:themeColor="text1"/>
          <w:sz w:val="20"/>
          <w:szCs w:val="20"/>
          <w:lang w:val="en-US"/>
        </w:rPr>
        <w:t>TAFE</w:t>
      </w:r>
    </w:p>
    <w:p w:rsidR="00860953" w:rsidRDefault="00A06E87" w:rsidP="00860953">
      <w:pPr>
        <w:spacing w:after="0" w:line="240" w:lineRule="auto"/>
        <w:rPr>
          <w:rFonts w:ascii="Arial" w:eastAsiaTheme="minorHAnsi" w:hAnsi="Arial" w:cstheme="minorBidi"/>
          <w:sz w:val="22"/>
          <w:szCs w:val="22"/>
        </w:rPr>
      </w:pPr>
      <w:r w:rsidRPr="00A06E87">
        <w:rPr>
          <w:rFonts w:ascii="Arial" w:eastAsiaTheme="minorHAnsi" w:hAnsi="Arial" w:cstheme="minorBidi"/>
          <w:sz w:val="22"/>
          <w:szCs w:val="22"/>
        </w:rPr>
        <w:t xml:space="preserve"> </w:t>
      </w:r>
      <w:r w:rsidRPr="00627B3A">
        <w:rPr>
          <w:rFonts w:ascii="Arial" w:eastAsiaTheme="minorHAnsi" w:hAnsi="Arial" w:cstheme="minorBidi"/>
          <w:noProof/>
          <w:sz w:val="22"/>
          <w:szCs w:val="22"/>
          <w:lang w:eastAsia="en-AU"/>
        </w:rPr>
        <w:drawing>
          <wp:inline distT="0" distB="0" distL="0" distR="0" wp14:anchorId="03D0F27E" wp14:editId="01F38985">
            <wp:extent cx="5936974" cy="2167467"/>
            <wp:effectExtent l="0" t="0" r="6985"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1060" cy="2168959"/>
                    </a:xfrm>
                    <a:prstGeom prst="rect">
                      <a:avLst/>
                    </a:prstGeom>
                    <a:noFill/>
                    <a:ln>
                      <a:noFill/>
                    </a:ln>
                  </pic:spPr>
                </pic:pic>
              </a:graphicData>
            </a:graphic>
          </wp:inline>
        </w:drawing>
      </w:r>
    </w:p>
    <w:p w:rsidR="00860953" w:rsidRPr="00930E64" w:rsidRDefault="00860953" w:rsidP="00860953">
      <w:pPr>
        <w:spacing w:after="0"/>
        <w:rPr>
          <w:rFonts w:ascii="Georgia" w:hAnsi="Georgia" w:cs="Arial"/>
          <w:b/>
          <w:color w:val="004855" w:themeColor="text1"/>
          <w:sz w:val="20"/>
          <w:szCs w:val="20"/>
          <w:lang w:val="en-US"/>
        </w:rPr>
      </w:pPr>
    </w:p>
    <w:p w:rsidR="00860953" w:rsidRPr="00930E64" w:rsidRDefault="00860953" w:rsidP="00860953">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713386" w:rsidRPr="00930E64">
        <w:rPr>
          <w:rFonts w:ascii="Georgia" w:hAnsi="Georgia" w:cs="Arial"/>
          <w:b/>
          <w:color w:val="004855" w:themeColor="text1"/>
          <w:sz w:val="20"/>
          <w:szCs w:val="20"/>
          <w:lang w:val="en-US"/>
        </w:rPr>
        <w:t>3</w:t>
      </w:r>
      <w:r w:rsidR="00127249">
        <w:rPr>
          <w:rFonts w:ascii="Georgia" w:hAnsi="Georgia" w:cs="Arial"/>
          <w:b/>
          <w:color w:val="004855" w:themeColor="text1"/>
          <w:sz w:val="20"/>
          <w:szCs w:val="20"/>
          <w:lang w:val="en-US"/>
        </w:rPr>
        <w:t>1</w:t>
      </w:r>
      <w:r w:rsidRPr="00930E64">
        <w:rPr>
          <w:rFonts w:ascii="Georgia" w:hAnsi="Georgia" w:cs="Arial"/>
          <w:b/>
          <w:color w:val="004855" w:themeColor="text1"/>
          <w:sz w:val="20"/>
          <w:szCs w:val="20"/>
          <w:lang w:val="en-US"/>
        </w:rPr>
        <w:t xml:space="preserve">: Largest revenue source range, </w:t>
      </w:r>
      <w:r w:rsidR="008C707D" w:rsidRPr="00930E64">
        <w:rPr>
          <w:rFonts w:ascii="Georgia" w:hAnsi="Georgia" w:cs="Arial"/>
          <w:b/>
          <w:color w:val="004855" w:themeColor="text1"/>
          <w:sz w:val="20"/>
          <w:szCs w:val="20"/>
          <w:lang w:val="en-US"/>
        </w:rPr>
        <w:t>TAFE</w:t>
      </w:r>
      <w:r w:rsidRPr="00930E64">
        <w:rPr>
          <w:rFonts w:ascii="Georgia" w:hAnsi="Georgia" w:cs="Arial"/>
          <w:b/>
          <w:color w:val="004855" w:themeColor="text1"/>
          <w:sz w:val="20"/>
          <w:szCs w:val="20"/>
          <w:lang w:val="en-US"/>
        </w:rPr>
        <w:t xml:space="preserve"> and </w:t>
      </w:r>
      <w:r w:rsidR="00456661">
        <w:rPr>
          <w:rFonts w:ascii="Georgia" w:hAnsi="Georgia" w:cs="Arial"/>
          <w:b/>
          <w:color w:val="004855" w:themeColor="text1"/>
          <w:sz w:val="20"/>
          <w:szCs w:val="20"/>
          <w:lang w:val="en-US"/>
        </w:rPr>
        <w:t>Sector</w:t>
      </w:r>
    </w:p>
    <w:tbl>
      <w:tblPr>
        <w:tblW w:w="4942" w:type="pct"/>
        <w:tblInd w:w="108" w:type="dxa"/>
        <w:tblLook w:val="04A0" w:firstRow="1" w:lastRow="0" w:firstColumn="1" w:lastColumn="0" w:noHBand="0" w:noVBand="1"/>
      </w:tblPr>
      <w:tblGrid>
        <w:gridCol w:w="2172"/>
        <w:gridCol w:w="1427"/>
        <w:gridCol w:w="1605"/>
        <w:gridCol w:w="1366"/>
        <w:gridCol w:w="1495"/>
        <w:gridCol w:w="1396"/>
      </w:tblGrid>
      <w:tr w:rsidR="00627B3A" w:rsidRPr="00627B3A" w:rsidTr="00627B3A">
        <w:trPr>
          <w:trHeight w:val="283"/>
        </w:trPr>
        <w:tc>
          <w:tcPr>
            <w:tcW w:w="1148" w:type="pct"/>
            <w:tcBorders>
              <w:top w:val="single" w:sz="4" w:space="0" w:color="366092"/>
              <w:left w:val="nil"/>
              <w:bottom w:val="single" w:sz="4" w:space="0" w:color="366092"/>
              <w:right w:val="nil"/>
            </w:tcBorders>
            <w:shd w:val="clear" w:color="auto" w:fill="30585F" w:themeFill="accent2" w:themeFillShade="BF"/>
            <w:noWrap/>
            <w:vAlign w:val="center"/>
          </w:tcPr>
          <w:p w:rsidR="00627B3A" w:rsidRPr="00627B3A" w:rsidRDefault="00627B3A" w:rsidP="00276B3E">
            <w:pPr>
              <w:spacing w:after="0"/>
              <w:rPr>
                <w:rFonts w:asciiTheme="minorHAnsi" w:hAnsiTheme="minorHAnsi" w:cstheme="minorHAnsi"/>
                <w:b/>
                <w:color w:val="FFFFFF" w:themeColor="background2"/>
                <w:sz w:val="20"/>
                <w:szCs w:val="20"/>
              </w:rPr>
            </w:pPr>
          </w:p>
        </w:tc>
        <w:tc>
          <w:tcPr>
            <w:tcW w:w="754" w:type="pct"/>
            <w:tcBorders>
              <w:top w:val="single" w:sz="4" w:space="0" w:color="366092"/>
              <w:left w:val="nil"/>
              <w:bottom w:val="single" w:sz="4" w:space="0" w:color="366092"/>
              <w:right w:val="nil"/>
            </w:tcBorders>
            <w:shd w:val="clear" w:color="auto" w:fill="30585F" w:themeFill="accent2" w:themeFillShade="BF"/>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Minimum</w:t>
            </w:r>
          </w:p>
        </w:tc>
        <w:tc>
          <w:tcPr>
            <w:tcW w:w="848" w:type="pct"/>
            <w:tcBorders>
              <w:top w:val="single" w:sz="4" w:space="0" w:color="366092"/>
              <w:left w:val="nil"/>
              <w:bottom w:val="single" w:sz="4" w:space="0" w:color="366092"/>
              <w:right w:val="nil"/>
            </w:tcBorders>
            <w:shd w:val="clear" w:color="auto" w:fill="30585F" w:themeFill="accent2" w:themeFillShade="BF"/>
            <w:noWrap/>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First quartile</w:t>
            </w:r>
          </w:p>
        </w:tc>
        <w:tc>
          <w:tcPr>
            <w:tcW w:w="722" w:type="pct"/>
            <w:tcBorders>
              <w:top w:val="single" w:sz="4" w:space="0" w:color="366092"/>
              <w:left w:val="nil"/>
              <w:bottom w:val="single" w:sz="4" w:space="0" w:color="366092"/>
              <w:right w:val="nil"/>
            </w:tcBorders>
            <w:shd w:val="clear" w:color="auto" w:fill="30585F" w:themeFill="accent2" w:themeFillShade="BF"/>
            <w:noWrap/>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Median</w:t>
            </w:r>
          </w:p>
        </w:tc>
        <w:tc>
          <w:tcPr>
            <w:tcW w:w="790" w:type="pct"/>
            <w:tcBorders>
              <w:top w:val="single" w:sz="4" w:space="0" w:color="366092"/>
              <w:left w:val="nil"/>
              <w:bottom w:val="single" w:sz="4" w:space="0" w:color="366092"/>
              <w:right w:val="nil"/>
            </w:tcBorders>
            <w:shd w:val="clear" w:color="auto" w:fill="30585F" w:themeFill="accent2" w:themeFillShade="BF"/>
            <w:noWrap/>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Third quartile</w:t>
            </w:r>
          </w:p>
        </w:tc>
        <w:tc>
          <w:tcPr>
            <w:tcW w:w="738" w:type="pct"/>
            <w:tcBorders>
              <w:top w:val="single" w:sz="4" w:space="0" w:color="366092"/>
              <w:left w:val="nil"/>
              <w:bottom w:val="single" w:sz="4" w:space="0" w:color="366092"/>
              <w:right w:val="nil"/>
            </w:tcBorders>
            <w:shd w:val="clear" w:color="auto" w:fill="30585F" w:themeFill="accent2" w:themeFillShade="BF"/>
            <w:vAlign w:val="bottom"/>
          </w:tcPr>
          <w:p w:rsidR="00627B3A" w:rsidRPr="00627B3A" w:rsidRDefault="00627B3A" w:rsidP="005C332B">
            <w:pPr>
              <w:spacing w:after="0"/>
              <w:jc w:val="right"/>
              <w:rPr>
                <w:rFonts w:asciiTheme="minorHAnsi" w:hAnsiTheme="minorHAnsi" w:cstheme="minorHAnsi"/>
                <w:b/>
                <w:color w:val="FFFFFF" w:themeColor="background2"/>
                <w:sz w:val="20"/>
                <w:szCs w:val="20"/>
              </w:rPr>
            </w:pPr>
            <w:r w:rsidRPr="00627B3A">
              <w:rPr>
                <w:rFonts w:asciiTheme="minorHAnsi" w:hAnsiTheme="minorHAnsi" w:cstheme="minorHAnsi"/>
                <w:b/>
                <w:color w:val="FFFFFF" w:themeColor="background2"/>
                <w:sz w:val="20"/>
                <w:szCs w:val="20"/>
              </w:rPr>
              <w:t>Maximum</w:t>
            </w:r>
          </w:p>
        </w:tc>
      </w:tr>
      <w:tr w:rsidR="00627B3A" w:rsidRPr="00627B3A" w:rsidTr="00627B3A">
        <w:trPr>
          <w:trHeight w:val="283"/>
        </w:trPr>
        <w:tc>
          <w:tcPr>
            <w:tcW w:w="1148" w:type="pct"/>
            <w:tcBorders>
              <w:top w:val="single" w:sz="4" w:space="0" w:color="366092"/>
              <w:left w:val="nil"/>
              <w:bottom w:val="single" w:sz="4" w:space="0" w:color="366092"/>
              <w:right w:val="nil"/>
            </w:tcBorders>
            <w:shd w:val="clear" w:color="auto" w:fill="auto"/>
            <w:noWrap/>
            <w:vAlign w:val="center"/>
          </w:tcPr>
          <w:p w:rsidR="00627B3A" w:rsidRPr="00627B3A" w:rsidRDefault="00627B3A" w:rsidP="00276B3E">
            <w:pPr>
              <w:spacing w:after="0"/>
              <w:rPr>
                <w:rFonts w:asciiTheme="minorHAnsi" w:hAnsiTheme="minorHAnsi" w:cstheme="minorHAnsi"/>
                <w:sz w:val="20"/>
                <w:szCs w:val="20"/>
              </w:rPr>
            </w:pPr>
            <w:r w:rsidRPr="00627B3A">
              <w:rPr>
                <w:rFonts w:asciiTheme="minorHAnsi" w:hAnsiTheme="minorHAnsi" w:cstheme="minorHAnsi"/>
                <w:sz w:val="20"/>
                <w:szCs w:val="20"/>
              </w:rPr>
              <w:t>TAFE</w:t>
            </w:r>
          </w:p>
        </w:tc>
        <w:tc>
          <w:tcPr>
            <w:tcW w:w="754" w:type="pct"/>
            <w:tcBorders>
              <w:top w:val="single" w:sz="4" w:space="0" w:color="366092"/>
              <w:left w:val="nil"/>
              <w:bottom w:val="single" w:sz="4" w:space="0" w:color="366092"/>
              <w:right w:val="nil"/>
            </w:tcBorders>
            <w:shd w:val="clear" w:color="auto" w:fill="auto"/>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31.1%</w:t>
            </w:r>
          </w:p>
        </w:tc>
        <w:tc>
          <w:tcPr>
            <w:tcW w:w="848" w:type="pct"/>
            <w:tcBorders>
              <w:top w:val="single" w:sz="4" w:space="0" w:color="366092"/>
              <w:left w:val="nil"/>
              <w:bottom w:val="single" w:sz="4" w:space="0" w:color="366092"/>
              <w:right w:val="nil"/>
            </w:tcBorders>
            <w:shd w:val="clear" w:color="auto" w:fill="auto"/>
            <w:noWrap/>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48.4%</w:t>
            </w:r>
          </w:p>
        </w:tc>
        <w:tc>
          <w:tcPr>
            <w:tcW w:w="722" w:type="pct"/>
            <w:tcBorders>
              <w:top w:val="single" w:sz="4" w:space="0" w:color="366092"/>
              <w:left w:val="nil"/>
              <w:bottom w:val="single" w:sz="4" w:space="0" w:color="366092"/>
              <w:right w:val="nil"/>
            </w:tcBorders>
            <w:shd w:val="clear" w:color="auto" w:fill="auto"/>
            <w:noWrap/>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64.3%</w:t>
            </w:r>
          </w:p>
        </w:tc>
        <w:tc>
          <w:tcPr>
            <w:tcW w:w="790" w:type="pct"/>
            <w:tcBorders>
              <w:top w:val="single" w:sz="4" w:space="0" w:color="366092"/>
              <w:left w:val="nil"/>
              <w:bottom w:val="single" w:sz="4" w:space="0" w:color="366092"/>
              <w:right w:val="nil"/>
            </w:tcBorders>
            <w:shd w:val="clear" w:color="auto" w:fill="auto"/>
            <w:noWrap/>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68.5%</w:t>
            </w:r>
          </w:p>
        </w:tc>
        <w:tc>
          <w:tcPr>
            <w:tcW w:w="738" w:type="pct"/>
            <w:tcBorders>
              <w:top w:val="single" w:sz="4" w:space="0" w:color="366092"/>
              <w:left w:val="nil"/>
              <w:bottom w:val="single" w:sz="4" w:space="0" w:color="366092"/>
              <w:right w:val="nil"/>
            </w:tcBorders>
            <w:shd w:val="clear" w:color="auto" w:fill="auto"/>
            <w:vAlign w:val="bottom"/>
          </w:tcPr>
          <w:p w:rsidR="00627B3A" w:rsidRPr="00627B3A" w:rsidRDefault="00627B3A" w:rsidP="005C332B">
            <w:pPr>
              <w:spacing w:after="0"/>
              <w:jc w:val="right"/>
              <w:rPr>
                <w:rFonts w:asciiTheme="minorHAnsi" w:hAnsiTheme="minorHAnsi" w:cstheme="minorHAnsi"/>
                <w:sz w:val="20"/>
                <w:szCs w:val="20"/>
              </w:rPr>
            </w:pPr>
            <w:r w:rsidRPr="00627B3A">
              <w:rPr>
                <w:rFonts w:asciiTheme="minorHAnsi" w:hAnsiTheme="minorHAnsi" w:cstheme="minorHAnsi"/>
                <w:sz w:val="20"/>
                <w:szCs w:val="20"/>
              </w:rPr>
              <w:t>73.8%</w:t>
            </w:r>
          </w:p>
        </w:tc>
      </w:tr>
      <w:tr w:rsidR="00627B3A" w:rsidRPr="002922C1" w:rsidTr="00627B3A">
        <w:trPr>
          <w:trHeight w:val="283"/>
        </w:trPr>
        <w:tc>
          <w:tcPr>
            <w:tcW w:w="1148" w:type="pct"/>
            <w:tcBorders>
              <w:top w:val="single" w:sz="4" w:space="0" w:color="366092"/>
              <w:left w:val="nil"/>
              <w:bottom w:val="single" w:sz="4" w:space="0" w:color="366092"/>
              <w:right w:val="nil"/>
            </w:tcBorders>
            <w:shd w:val="clear" w:color="000000" w:fill="E5F6F6"/>
            <w:noWrap/>
            <w:vAlign w:val="center"/>
          </w:tcPr>
          <w:p w:rsidR="00627B3A" w:rsidRPr="002922C1" w:rsidRDefault="00627B3A" w:rsidP="00276B3E">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54" w:type="pct"/>
            <w:tcBorders>
              <w:top w:val="single" w:sz="4" w:space="0" w:color="366092"/>
              <w:left w:val="nil"/>
              <w:bottom w:val="single" w:sz="4" w:space="0" w:color="366092"/>
              <w:right w:val="nil"/>
            </w:tcBorders>
            <w:shd w:val="clear" w:color="000000" w:fill="E5F6F6"/>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w:t>
            </w:r>
            <w:r>
              <w:rPr>
                <w:rFonts w:asciiTheme="minorHAnsi" w:hAnsiTheme="minorHAnsi" w:cstheme="minorHAnsi"/>
                <w:b/>
                <w:sz w:val="20"/>
                <w:szCs w:val="20"/>
              </w:rPr>
              <w:t>1</w:t>
            </w:r>
            <w:r w:rsidRPr="002922C1">
              <w:rPr>
                <w:rFonts w:asciiTheme="minorHAnsi" w:hAnsiTheme="minorHAnsi" w:cstheme="minorHAnsi"/>
                <w:b/>
                <w:sz w:val="20"/>
                <w:szCs w:val="20"/>
              </w:rPr>
              <w:t>.</w:t>
            </w:r>
            <w:r>
              <w:rPr>
                <w:rFonts w:asciiTheme="minorHAnsi" w:hAnsiTheme="minorHAnsi" w:cstheme="minorHAnsi"/>
                <w:b/>
                <w:sz w:val="20"/>
                <w:szCs w:val="20"/>
              </w:rPr>
              <w:t>1</w:t>
            </w:r>
            <w:r w:rsidRPr="002922C1">
              <w:rPr>
                <w:rFonts w:asciiTheme="minorHAnsi" w:hAnsiTheme="minorHAnsi" w:cstheme="minorHAnsi"/>
                <w:b/>
                <w:sz w:val="20"/>
                <w:szCs w:val="20"/>
              </w:rPr>
              <w:t>%</w:t>
            </w:r>
          </w:p>
        </w:tc>
        <w:tc>
          <w:tcPr>
            <w:tcW w:w="848" w:type="pct"/>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45.2</w:t>
            </w:r>
            <w:r w:rsidRPr="002922C1">
              <w:rPr>
                <w:rFonts w:asciiTheme="minorHAnsi" w:hAnsiTheme="minorHAnsi" w:cstheme="minorHAnsi"/>
                <w:b/>
                <w:sz w:val="20"/>
                <w:szCs w:val="20"/>
              </w:rPr>
              <w:t>%</w:t>
            </w:r>
          </w:p>
        </w:tc>
        <w:tc>
          <w:tcPr>
            <w:tcW w:w="722" w:type="pct"/>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Pr>
                <w:rFonts w:asciiTheme="minorHAnsi" w:hAnsiTheme="minorHAnsi" w:cstheme="minorHAnsi"/>
                <w:b/>
                <w:sz w:val="20"/>
                <w:szCs w:val="20"/>
              </w:rPr>
              <w:t>56.6</w:t>
            </w:r>
            <w:r w:rsidRPr="002922C1">
              <w:rPr>
                <w:rFonts w:asciiTheme="minorHAnsi" w:hAnsiTheme="minorHAnsi" w:cstheme="minorHAnsi"/>
                <w:b/>
                <w:sz w:val="20"/>
                <w:szCs w:val="20"/>
              </w:rPr>
              <w:t>%</w:t>
            </w:r>
          </w:p>
        </w:tc>
        <w:tc>
          <w:tcPr>
            <w:tcW w:w="790" w:type="pct"/>
            <w:tcBorders>
              <w:top w:val="single" w:sz="4" w:space="0" w:color="366092"/>
              <w:left w:val="nil"/>
              <w:bottom w:val="single" w:sz="4" w:space="0" w:color="366092"/>
              <w:right w:val="nil"/>
            </w:tcBorders>
            <w:shd w:val="clear" w:color="000000" w:fill="E5F6F6"/>
            <w:noWrap/>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80.</w:t>
            </w:r>
            <w:r>
              <w:rPr>
                <w:rFonts w:asciiTheme="minorHAnsi" w:hAnsiTheme="minorHAnsi" w:cstheme="minorHAnsi"/>
                <w:b/>
                <w:sz w:val="20"/>
                <w:szCs w:val="20"/>
              </w:rPr>
              <w:t>4</w:t>
            </w:r>
            <w:r w:rsidRPr="002922C1">
              <w:rPr>
                <w:rFonts w:asciiTheme="minorHAnsi" w:hAnsiTheme="minorHAnsi" w:cstheme="minorHAnsi"/>
                <w:b/>
                <w:sz w:val="20"/>
                <w:szCs w:val="20"/>
              </w:rPr>
              <w:t>%</w:t>
            </w:r>
          </w:p>
        </w:tc>
        <w:tc>
          <w:tcPr>
            <w:tcW w:w="738" w:type="pct"/>
            <w:tcBorders>
              <w:top w:val="single" w:sz="4" w:space="0" w:color="366092"/>
              <w:left w:val="nil"/>
              <w:bottom w:val="single" w:sz="4" w:space="0" w:color="366092"/>
              <w:right w:val="nil"/>
            </w:tcBorders>
            <w:shd w:val="clear" w:color="000000" w:fill="E5F6F6"/>
            <w:vAlign w:val="bottom"/>
          </w:tcPr>
          <w:p w:rsidR="00627B3A" w:rsidRPr="002922C1" w:rsidRDefault="00627B3A"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99.7%</w:t>
            </w:r>
          </w:p>
        </w:tc>
      </w:tr>
    </w:tbl>
    <w:p w:rsidR="00860953" w:rsidRDefault="00860953" w:rsidP="00860953">
      <w:pPr>
        <w:spacing w:after="0" w:line="240" w:lineRule="auto"/>
        <w:rPr>
          <w:rFonts w:ascii="Georgia" w:hAnsi="Georgia" w:cs="Arial"/>
          <w:b/>
          <w:color w:val="004855" w:themeColor="text1"/>
          <w:sz w:val="22"/>
          <w:szCs w:val="22"/>
          <w:lang w:val="en-US"/>
        </w:rPr>
      </w:pPr>
    </w:p>
    <w:p w:rsidR="00860953" w:rsidRDefault="00860953" w:rsidP="00860953">
      <w:pPr>
        <w:pStyle w:val="H3"/>
      </w:pPr>
      <w:r>
        <w:t>Net profit/surplus margin</w:t>
      </w:r>
    </w:p>
    <w:p w:rsidR="00860953" w:rsidRPr="00CE3273" w:rsidDel="006B3D04" w:rsidRDefault="00860953" w:rsidP="00860953">
      <w:pPr>
        <w:rPr>
          <w:rFonts w:ascii="Arial" w:eastAsiaTheme="minorHAnsi" w:hAnsi="Arial" w:cstheme="minorBidi"/>
          <w:sz w:val="20"/>
          <w:szCs w:val="20"/>
        </w:rPr>
      </w:pPr>
      <w:r w:rsidRPr="00CE3273" w:rsidDel="006B3D04">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3</w:t>
      </w:r>
      <w:r w:rsidR="006C43D6">
        <w:rPr>
          <w:rFonts w:ascii="Georgia" w:hAnsi="Georgia" w:cs="Arial"/>
          <w:b/>
          <w:color w:val="004855" w:themeColor="text1"/>
          <w:sz w:val="20"/>
          <w:szCs w:val="20"/>
          <w:lang w:val="en-US"/>
        </w:rPr>
        <w:t>7</w:t>
      </w:r>
      <w:r w:rsidRPr="00CE3273" w:rsidDel="006B3D04">
        <w:rPr>
          <w:rFonts w:ascii="Georgia" w:hAnsi="Georgia" w:cs="Arial"/>
          <w:b/>
          <w:color w:val="004855" w:themeColor="text1"/>
          <w:sz w:val="20"/>
          <w:szCs w:val="20"/>
          <w:lang w:val="en-US"/>
        </w:rPr>
        <w:t xml:space="preserve">: Net profit/surplus margin, </w:t>
      </w:r>
      <w:r w:rsidR="008C707D" w:rsidRPr="00CE3273" w:rsidDel="006B3D04">
        <w:rPr>
          <w:rFonts w:ascii="Georgia" w:hAnsi="Georgia" w:cs="Arial"/>
          <w:b/>
          <w:color w:val="004855" w:themeColor="text1"/>
          <w:sz w:val="20"/>
          <w:szCs w:val="20"/>
          <w:lang w:val="en-US"/>
        </w:rPr>
        <w:t>TAFE</w:t>
      </w:r>
    </w:p>
    <w:p w:rsidR="00407CDD" w:rsidRDefault="00407CDD" w:rsidP="00860953">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76EF5A33" wp14:editId="57646125">
            <wp:extent cx="5935979" cy="2225040"/>
            <wp:effectExtent l="0" t="0" r="8255"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060" cy="2226945"/>
                    </a:xfrm>
                    <a:prstGeom prst="rect">
                      <a:avLst/>
                    </a:prstGeom>
                    <a:noFill/>
                    <a:ln>
                      <a:noFill/>
                    </a:ln>
                  </pic:spPr>
                </pic:pic>
              </a:graphicData>
            </a:graphic>
          </wp:inline>
        </w:drawing>
      </w:r>
    </w:p>
    <w:p w:rsidR="006B3D04" w:rsidRDefault="006B3D04" w:rsidP="00860953">
      <w:pPr>
        <w:spacing w:after="0" w:line="240" w:lineRule="auto"/>
        <w:rPr>
          <w:rFonts w:ascii="Arial" w:eastAsiaTheme="minorHAnsi" w:hAnsi="Arial" w:cstheme="minorBidi"/>
          <w:sz w:val="22"/>
          <w:szCs w:val="22"/>
        </w:rPr>
      </w:pPr>
    </w:p>
    <w:p w:rsidR="00860953" w:rsidRPr="00930E64" w:rsidRDefault="00860953" w:rsidP="00860953">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713386" w:rsidRPr="00930E64">
        <w:rPr>
          <w:rFonts w:ascii="Georgia" w:hAnsi="Georgia" w:cs="Arial"/>
          <w:b/>
          <w:color w:val="004855" w:themeColor="text1"/>
          <w:sz w:val="20"/>
          <w:szCs w:val="20"/>
          <w:lang w:val="en-US"/>
        </w:rPr>
        <w:t>3</w:t>
      </w:r>
      <w:r w:rsidR="00127249">
        <w:rPr>
          <w:rFonts w:ascii="Georgia" w:hAnsi="Georgia" w:cs="Arial"/>
          <w:b/>
          <w:color w:val="004855" w:themeColor="text1"/>
          <w:sz w:val="20"/>
          <w:szCs w:val="20"/>
          <w:lang w:val="en-US"/>
        </w:rPr>
        <w:t>2</w:t>
      </w:r>
      <w:r w:rsidRPr="00930E64">
        <w:rPr>
          <w:rFonts w:ascii="Georgia" w:hAnsi="Georgia" w:cs="Arial"/>
          <w:b/>
          <w:color w:val="004855" w:themeColor="text1"/>
          <w:sz w:val="20"/>
          <w:szCs w:val="20"/>
          <w:lang w:val="en-US"/>
        </w:rPr>
        <w:t xml:space="preserve">: Net profit/surplus margin range, </w:t>
      </w:r>
      <w:r w:rsidR="008C707D" w:rsidRPr="00930E64">
        <w:rPr>
          <w:rFonts w:ascii="Georgia" w:hAnsi="Georgia" w:cs="Arial"/>
          <w:b/>
          <w:color w:val="004855" w:themeColor="text1"/>
          <w:sz w:val="20"/>
          <w:szCs w:val="20"/>
          <w:lang w:val="en-US"/>
        </w:rPr>
        <w:t>TAFE</w:t>
      </w:r>
      <w:r w:rsidRPr="00930E64">
        <w:rPr>
          <w:rFonts w:ascii="Georgia" w:hAnsi="Georgia" w:cs="Arial"/>
          <w:b/>
          <w:color w:val="004855" w:themeColor="text1"/>
          <w:sz w:val="20"/>
          <w:szCs w:val="20"/>
          <w:lang w:val="en-US"/>
        </w:rPr>
        <w:t xml:space="preserve">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0A40FE" w:rsidP="00A02129">
            <w:pPr>
              <w:spacing w:after="0"/>
              <w:rPr>
                <w:rFonts w:asciiTheme="minorHAnsi" w:hAnsiTheme="minorHAnsi" w:cstheme="minorHAnsi"/>
                <w:sz w:val="20"/>
                <w:szCs w:val="20"/>
              </w:rPr>
            </w:pPr>
            <w:r>
              <w:rPr>
                <w:rFonts w:asciiTheme="minorHAnsi" w:hAnsiTheme="minorHAnsi" w:cstheme="minorHAnsi"/>
                <w:sz w:val="20"/>
                <w:szCs w:val="20"/>
              </w:rPr>
              <w:t>TAFE</w:t>
            </w:r>
          </w:p>
        </w:tc>
        <w:tc>
          <w:tcPr>
            <w:tcW w:w="82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-15.8%</w:t>
            </w:r>
          </w:p>
        </w:tc>
        <w:tc>
          <w:tcPr>
            <w:tcW w:w="785"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-7.4%</w:t>
            </w:r>
          </w:p>
        </w:tc>
        <w:tc>
          <w:tcPr>
            <w:tcW w:w="738" w:type="pct"/>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-1.9%</w:t>
            </w:r>
          </w:p>
        </w:tc>
        <w:tc>
          <w:tcPr>
            <w:tcW w:w="799" w:type="pct"/>
            <w:gridSpan w:val="2"/>
            <w:tcBorders>
              <w:top w:val="nil"/>
              <w:left w:val="nil"/>
              <w:bottom w:val="single" w:sz="4" w:space="0" w:color="366092"/>
              <w:right w:val="nil"/>
            </w:tcBorders>
            <w:shd w:val="clear" w:color="auto" w:fill="auto"/>
            <w:noWrap/>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5.1%</w:t>
            </w:r>
          </w:p>
        </w:tc>
        <w:tc>
          <w:tcPr>
            <w:tcW w:w="748" w:type="pct"/>
            <w:gridSpan w:val="2"/>
            <w:tcBorders>
              <w:top w:val="nil"/>
              <w:left w:val="nil"/>
              <w:bottom w:val="single" w:sz="4" w:space="0" w:color="366092"/>
              <w:right w:val="nil"/>
            </w:tcBorders>
            <w:vAlign w:val="bottom"/>
          </w:tcPr>
          <w:p w:rsidR="000A40FE" w:rsidRPr="00E65946" w:rsidRDefault="000A40FE" w:rsidP="005C332B">
            <w:pPr>
              <w:spacing w:after="0"/>
              <w:jc w:val="right"/>
              <w:rPr>
                <w:rFonts w:asciiTheme="minorHAnsi" w:hAnsiTheme="minorHAnsi" w:cstheme="minorHAnsi"/>
                <w:sz w:val="20"/>
                <w:szCs w:val="20"/>
              </w:rPr>
            </w:pPr>
            <w:r w:rsidRPr="00E65946">
              <w:rPr>
                <w:rFonts w:asciiTheme="minorHAnsi" w:hAnsiTheme="minorHAnsi" w:cstheme="minorHAnsi"/>
                <w:sz w:val="20"/>
                <w:szCs w:val="20"/>
              </w:rPr>
              <w:t>8.7%</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-38.7%</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0.4%</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11.0%</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54.2%</w:t>
            </w:r>
          </w:p>
        </w:tc>
      </w:tr>
    </w:tbl>
    <w:p w:rsidR="00860953" w:rsidRDefault="00860953" w:rsidP="00860953">
      <w:pPr>
        <w:pStyle w:val="H3"/>
      </w:pPr>
      <w:r>
        <w:lastRenderedPageBreak/>
        <w:t>EBITDA Margin</w:t>
      </w:r>
    </w:p>
    <w:p w:rsidR="00860953" w:rsidRPr="00930E64" w:rsidDel="006B3D04" w:rsidRDefault="00860953" w:rsidP="00860953">
      <w:pPr>
        <w:rPr>
          <w:rFonts w:ascii="Arial" w:eastAsiaTheme="minorHAnsi" w:hAnsi="Arial" w:cstheme="minorBidi"/>
          <w:sz w:val="20"/>
          <w:szCs w:val="20"/>
        </w:rPr>
      </w:pPr>
      <w:r w:rsidRPr="00930E64" w:rsidDel="006B3D04">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3</w:t>
      </w:r>
      <w:r w:rsidR="006C43D6">
        <w:rPr>
          <w:rFonts w:ascii="Georgia" w:hAnsi="Georgia" w:cs="Arial"/>
          <w:b/>
          <w:color w:val="004855" w:themeColor="text1"/>
          <w:sz w:val="20"/>
          <w:szCs w:val="20"/>
          <w:lang w:val="en-US"/>
        </w:rPr>
        <w:t>8</w:t>
      </w:r>
      <w:r w:rsidRPr="00930E64" w:rsidDel="006B3D04">
        <w:rPr>
          <w:rFonts w:ascii="Georgia" w:hAnsi="Georgia" w:cs="Arial"/>
          <w:b/>
          <w:color w:val="004855" w:themeColor="text1"/>
          <w:sz w:val="20"/>
          <w:szCs w:val="20"/>
          <w:lang w:val="en-US"/>
        </w:rPr>
        <w:t xml:space="preserve">: EBITDA margin, </w:t>
      </w:r>
      <w:r w:rsidR="008C707D" w:rsidRPr="00930E64" w:rsidDel="006B3D04">
        <w:rPr>
          <w:rFonts w:ascii="Georgia" w:hAnsi="Georgia" w:cs="Arial"/>
          <w:b/>
          <w:color w:val="004855" w:themeColor="text1"/>
          <w:sz w:val="20"/>
          <w:szCs w:val="20"/>
          <w:lang w:val="en-US"/>
        </w:rPr>
        <w:t>TAFE</w:t>
      </w:r>
    </w:p>
    <w:p w:rsidR="00860953" w:rsidRDefault="00860953" w:rsidP="00860953">
      <w:pPr>
        <w:spacing w:after="0" w:line="240" w:lineRule="auto"/>
        <w:rPr>
          <w:rFonts w:ascii="Arial" w:eastAsiaTheme="minorHAnsi" w:hAnsi="Arial" w:cstheme="minorBidi"/>
          <w:sz w:val="22"/>
          <w:szCs w:val="22"/>
        </w:rPr>
      </w:pPr>
    </w:p>
    <w:p w:rsidR="00407CDD" w:rsidRDefault="00407CDD" w:rsidP="00860953">
      <w:pPr>
        <w:spacing w:after="0" w:line="240" w:lineRule="auto"/>
        <w:rPr>
          <w:rFonts w:ascii="Arial" w:eastAsiaTheme="minorHAnsi" w:hAnsi="Arial" w:cstheme="minorBidi"/>
          <w:sz w:val="22"/>
          <w:szCs w:val="22"/>
        </w:rPr>
      </w:pPr>
      <w:r>
        <w:rPr>
          <w:rFonts w:ascii="Arial" w:eastAsiaTheme="minorHAnsi" w:hAnsi="Arial" w:cstheme="minorBidi"/>
          <w:noProof/>
          <w:sz w:val="22"/>
          <w:szCs w:val="22"/>
          <w:lang w:eastAsia="en-AU"/>
        </w:rPr>
        <w:drawing>
          <wp:inline distT="0" distB="0" distL="0" distR="0" wp14:anchorId="40EFBA8F" wp14:editId="47D4CBED">
            <wp:extent cx="5943600" cy="24384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1060" cy="2437358"/>
                    </a:xfrm>
                    <a:prstGeom prst="rect">
                      <a:avLst/>
                    </a:prstGeom>
                    <a:noFill/>
                    <a:ln>
                      <a:noFill/>
                    </a:ln>
                  </pic:spPr>
                </pic:pic>
              </a:graphicData>
            </a:graphic>
          </wp:inline>
        </w:drawing>
      </w:r>
    </w:p>
    <w:p w:rsidR="006B3D04" w:rsidRDefault="006B3D04" w:rsidP="00860953">
      <w:pPr>
        <w:spacing w:after="0" w:line="240" w:lineRule="auto"/>
        <w:rPr>
          <w:rFonts w:ascii="Arial" w:eastAsiaTheme="minorHAnsi" w:hAnsi="Arial" w:cstheme="minorBidi"/>
          <w:sz w:val="22"/>
          <w:szCs w:val="22"/>
        </w:rPr>
      </w:pPr>
    </w:p>
    <w:p w:rsidR="00860953" w:rsidRPr="00930E64" w:rsidRDefault="00860953" w:rsidP="00860953">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713386" w:rsidRPr="00930E64">
        <w:rPr>
          <w:rFonts w:ascii="Georgia" w:hAnsi="Georgia" w:cs="Arial"/>
          <w:b/>
          <w:color w:val="004855" w:themeColor="text1"/>
          <w:sz w:val="20"/>
          <w:szCs w:val="20"/>
          <w:lang w:val="en-US"/>
        </w:rPr>
        <w:t>3</w:t>
      </w:r>
      <w:r w:rsidR="00127249">
        <w:rPr>
          <w:rFonts w:ascii="Georgia" w:hAnsi="Georgia" w:cs="Arial"/>
          <w:b/>
          <w:color w:val="004855" w:themeColor="text1"/>
          <w:sz w:val="20"/>
          <w:szCs w:val="20"/>
          <w:lang w:val="en-US"/>
        </w:rPr>
        <w:t>3</w:t>
      </w:r>
      <w:r w:rsidRPr="00930E64">
        <w:rPr>
          <w:rFonts w:ascii="Georgia" w:hAnsi="Georgia" w:cs="Arial"/>
          <w:b/>
          <w:color w:val="004855" w:themeColor="text1"/>
          <w:sz w:val="20"/>
          <w:szCs w:val="20"/>
          <w:lang w:val="en-US"/>
        </w:rPr>
        <w:t xml:space="preserve">: EBITDA margin range, </w:t>
      </w:r>
      <w:r w:rsidR="008C707D" w:rsidRPr="00930E64">
        <w:rPr>
          <w:rFonts w:ascii="Georgia" w:hAnsi="Georgia" w:cs="Arial"/>
          <w:b/>
          <w:color w:val="004855" w:themeColor="text1"/>
          <w:sz w:val="20"/>
          <w:szCs w:val="20"/>
          <w:lang w:val="en-US"/>
        </w:rPr>
        <w:t>TAFE</w:t>
      </w:r>
      <w:r w:rsidRPr="00930E64">
        <w:rPr>
          <w:rFonts w:ascii="Georgia" w:hAnsi="Georgia" w:cs="Arial"/>
          <w:b/>
          <w:color w:val="004855" w:themeColor="text1"/>
          <w:sz w:val="20"/>
          <w:szCs w:val="20"/>
          <w:lang w:val="en-US"/>
        </w:rPr>
        <w:t xml:space="preserve">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0A40FE" w:rsidRPr="00797118" w:rsidTr="00A02129">
        <w:trPr>
          <w:trHeight w:val="300"/>
        </w:trPr>
        <w:tc>
          <w:tcPr>
            <w:tcW w:w="1097"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A02129">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0A40FE" w:rsidRPr="00296D08" w:rsidRDefault="000A40FE" w:rsidP="00A02129">
            <w:pPr>
              <w:spacing w:after="0"/>
              <w:rPr>
                <w:rFonts w:asciiTheme="minorHAnsi" w:hAnsiTheme="minorHAnsi" w:cstheme="minorHAnsi"/>
                <w:sz w:val="20"/>
                <w:szCs w:val="20"/>
              </w:rPr>
            </w:pPr>
            <w:r>
              <w:rPr>
                <w:rFonts w:asciiTheme="minorHAnsi" w:hAnsiTheme="minorHAnsi" w:cstheme="minorHAnsi"/>
                <w:sz w:val="20"/>
                <w:szCs w:val="20"/>
              </w:rPr>
              <w:t>TAFE</w:t>
            </w:r>
          </w:p>
        </w:tc>
        <w:tc>
          <w:tcPr>
            <w:tcW w:w="82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-10.5%</w:t>
            </w:r>
          </w:p>
        </w:tc>
        <w:tc>
          <w:tcPr>
            <w:tcW w:w="785"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-1.1%</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1.5%</w:t>
            </w:r>
          </w:p>
        </w:tc>
        <w:tc>
          <w:tcPr>
            <w:tcW w:w="799"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7.7%</w:t>
            </w:r>
          </w:p>
        </w:tc>
        <w:tc>
          <w:tcPr>
            <w:tcW w:w="748" w:type="pct"/>
            <w:gridSpan w:val="2"/>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13.9%</w:t>
            </w:r>
          </w:p>
        </w:tc>
      </w:tr>
      <w:tr w:rsidR="000A40FE" w:rsidRPr="002922C1" w:rsidTr="00A02129">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-77.2%</w:t>
            </w:r>
          </w:p>
        </w:tc>
        <w:tc>
          <w:tcPr>
            <w:tcW w:w="785"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3.6%</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11.1%</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17.8%</w:t>
            </w:r>
          </w:p>
        </w:tc>
        <w:tc>
          <w:tcPr>
            <w:tcW w:w="748" w:type="pct"/>
            <w:gridSpan w:val="2"/>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98.1%</w:t>
            </w:r>
          </w:p>
        </w:tc>
      </w:tr>
    </w:tbl>
    <w:p w:rsidR="00860953" w:rsidRDefault="00860953" w:rsidP="00860953">
      <w:pPr>
        <w:pStyle w:val="H3"/>
      </w:pPr>
    </w:p>
    <w:p w:rsidR="00860953" w:rsidRDefault="00860953" w:rsidP="00860953">
      <w:pPr>
        <w:pStyle w:val="H3"/>
      </w:pPr>
      <w:r>
        <w:t>Employee benefits ratio</w:t>
      </w:r>
    </w:p>
    <w:p w:rsidR="00860953" w:rsidRPr="00930E64" w:rsidDel="006B3D04" w:rsidRDefault="00860953" w:rsidP="00860953">
      <w:pPr>
        <w:pStyle w:val="H3"/>
        <w:rPr>
          <w:rFonts w:ascii="Georgia" w:hAnsi="Georgia" w:cs="Arial"/>
          <w:color w:val="004855" w:themeColor="text1"/>
          <w:sz w:val="20"/>
          <w:szCs w:val="20"/>
          <w:lang w:val="en-US"/>
        </w:rPr>
      </w:pPr>
      <w:r w:rsidRPr="00930E64" w:rsidDel="006B3D04">
        <w:rPr>
          <w:rFonts w:ascii="Georgia" w:hAnsi="Georgia" w:cs="Arial"/>
          <w:color w:val="004855" w:themeColor="text1"/>
          <w:sz w:val="20"/>
          <w:szCs w:val="20"/>
          <w:lang w:val="en-US"/>
        </w:rPr>
        <w:t xml:space="preserve">Figure </w:t>
      </w:r>
      <w:r w:rsidR="008C384C">
        <w:rPr>
          <w:rFonts w:ascii="Georgia" w:hAnsi="Georgia" w:cs="Arial"/>
          <w:color w:val="004855" w:themeColor="text1"/>
          <w:sz w:val="20"/>
          <w:szCs w:val="20"/>
          <w:lang w:val="en-US"/>
        </w:rPr>
        <w:t>3</w:t>
      </w:r>
      <w:r w:rsidR="006C43D6">
        <w:rPr>
          <w:rFonts w:ascii="Georgia" w:hAnsi="Georgia" w:cs="Arial"/>
          <w:color w:val="004855" w:themeColor="text1"/>
          <w:sz w:val="20"/>
          <w:szCs w:val="20"/>
          <w:lang w:val="en-US"/>
        </w:rPr>
        <w:t>9</w:t>
      </w:r>
      <w:r w:rsidRPr="00930E64" w:rsidDel="006B3D04">
        <w:rPr>
          <w:rFonts w:ascii="Georgia" w:hAnsi="Georgia" w:cs="Arial"/>
          <w:color w:val="004855" w:themeColor="text1"/>
          <w:sz w:val="20"/>
          <w:szCs w:val="20"/>
          <w:lang w:val="en-US"/>
        </w:rPr>
        <w:t xml:space="preserve">: Employee benefits ratio, </w:t>
      </w:r>
      <w:r w:rsidR="008C707D" w:rsidRPr="00930E64" w:rsidDel="006B3D04">
        <w:rPr>
          <w:rFonts w:ascii="Georgia" w:hAnsi="Georgia" w:cs="Arial"/>
          <w:color w:val="004855" w:themeColor="text1"/>
          <w:sz w:val="20"/>
          <w:szCs w:val="20"/>
          <w:lang w:val="en-US"/>
        </w:rPr>
        <w:t>TAFE</w:t>
      </w:r>
    </w:p>
    <w:p w:rsidR="00860953" w:rsidRDefault="00860953" w:rsidP="00860953">
      <w:pPr>
        <w:rPr>
          <w:rFonts w:ascii="Georgia" w:hAnsi="Georgia" w:cs="Arial"/>
          <w:b/>
          <w:color w:val="004855" w:themeColor="text1"/>
          <w:sz w:val="22"/>
          <w:szCs w:val="22"/>
          <w:lang w:val="en-US"/>
        </w:rPr>
      </w:pPr>
    </w:p>
    <w:p w:rsidR="00E645A0" w:rsidRDefault="00E645A0" w:rsidP="00860953">
      <w:pPr>
        <w:rPr>
          <w:rFonts w:ascii="Georgia" w:hAnsi="Georgia" w:cs="Arial"/>
          <w:b/>
          <w:color w:val="004855" w:themeColor="text1"/>
          <w:sz w:val="22"/>
          <w:szCs w:val="22"/>
          <w:lang w:val="en-US"/>
        </w:rPr>
      </w:pPr>
      <w:r w:rsidRPr="00627B3A">
        <w:rPr>
          <w:rFonts w:ascii="Georgia" w:hAnsi="Georgia" w:cs="Arial"/>
          <w:b/>
          <w:noProof/>
          <w:color w:val="004855" w:themeColor="text1"/>
          <w:sz w:val="22"/>
          <w:szCs w:val="22"/>
          <w:lang w:eastAsia="en-AU"/>
        </w:rPr>
        <w:drawing>
          <wp:inline distT="0" distB="0" distL="0" distR="0" wp14:anchorId="49A023FB" wp14:editId="1F9128B4">
            <wp:extent cx="5943600" cy="234696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1060" cy="2345957"/>
                    </a:xfrm>
                    <a:prstGeom prst="rect">
                      <a:avLst/>
                    </a:prstGeom>
                    <a:noFill/>
                    <a:ln>
                      <a:noFill/>
                    </a:ln>
                  </pic:spPr>
                </pic:pic>
              </a:graphicData>
            </a:graphic>
          </wp:inline>
        </w:drawing>
      </w:r>
    </w:p>
    <w:p w:rsidR="00ED2361" w:rsidRDefault="00ED2361" w:rsidP="00860953">
      <w:pPr>
        <w:rPr>
          <w:rFonts w:ascii="Georgia" w:hAnsi="Georgia" w:cs="Arial"/>
          <w:b/>
          <w:color w:val="004855" w:themeColor="text1"/>
          <w:sz w:val="22"/>
          <w:szCs w:val="22"/>
          <w:lang w:val="en-US"/>
        </w:rPr>
      </w:pPr>
    </w:p>
    <w:p w:rsidR="00860953" w:rsidRPr="00930E64" w:rsidRDefault="00860953" w:rsidP="00860953">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713386" w:rsidRPr="00930E64">
        <w:rPr>
          <w:rFonts w:ascii="Georgia" w:hAnsi="Georgia" w:cs="Arial"/>
          <w:b/>
          <w:color w:val="004855" w:themeColor="text1"/>
          <w:sz w:val="20"/>
          <w:szCs w:val="20"/>
          <w:lang w:val="en-US"/>
        </w:rPr>
        <w:t>3</w:t>
      </w:r>
      <w:r w:rsidR="00127249">
        <w:rPr>
          <w:rFonts w:ascii="Georgia" w:hAnsi="Georgia" w:cs="Arial"/>
          <w:b/>
          <w:color w:val="004855" w:themeColor="text1"/>
          <w:sz w:val="20"/>
          <w:szCs w:val="20"/>
          <w:lang w:val="en-US"/>
        </w:rPr>
        <w:t>4</w:t>
      </w:r>
      <w:r w:rsidRPr="00930E64">
        <w:rPr>
          <w:rFonts w:ascii="Georgia" w:hAnsi="Georgia" w:cs="Arial"/>
          <w:b/>
          <w:color w:val="004855" w:themeColor="text1"/>
          <w:sz w:val="20"/>
          <w:szCs w:val="20"/>
          <w:lang w:val="en-US"/>
        </w:rPr>
        <w:t xml:space="preserve">: Employee benefits ratio range, </w:t>
      </w:r>
      <w:r w:rsidR="008C707D" w:rsidRPr="00930E64">
        <w:rPr>
          <w:rFonts w:ascii="Georgia" w:hAnsi="Georgia" w:cs="Arial"/>
          <w:b/>
          <w:color w:val="004855" w:themeColor="text1"/>
          <w:sz w:val="20"/>
          <w:szCs w:val="20"/>
          <w:lang w:val="en-US"/>
        </w:rPr>
        <w:t>TAFE</w:t>
      </w:r>
      <w:r w:rsidRPr="00930E64">
        <w:rPr>
          <w:rFonts w:ascii="Georgia" w:hAnsi="Georgia" w:cs="Arial"/>
          <w:b/>
          <w:color w:val="004855" w:themeColor="text1"/>
          <w:sz w:val="20"/>
          <w:szCs w:val="20"/>
          <w:lang w:val="en-US"/>
        </w:rPr>
        <w:t xml:space="preserve"> and </w:t>
      </w:r>
      <w:r w:rsidR="00456661">
        <w:rPr>
          <w:rFonts w:ascii="Georgia" w:hAnsi="Georgia" w:cs="Arial"/>
          <w:b/>
          <w:color w:val="004855" w:themeColor="text1"/>
          <w:sz w:val="20"/>
          <w:szCs w:val="20"/>
          <w:lang w:val="en-US"/>
        </w:rPr>
        <w:t>Sector</w:t>
      </w:r>
    </w:p>
    <w:tbl>
      <w:tblPr>
        <w:tblW w:w="5061" w:type="pct"/>
        <w:tblLook w:val="04A0" w:firstRow="1" w:lastRow="0" w:firstColumn="1" w:lastColumn="0" w:noHBand="0" w:noVBand="1"/>
      </w:tblPr>
      <w:tblGrid>
        <w:gridCol w:w="2288"/>
        <w:gridCol w:w="1451"/>
        <w:gridCol w:w="1511"/>
        <w:gridCol w:w="1430"/>
        <w:gridCol w:w="10"/>
        <w:gridCol w:w="1548"/>
        <w:gridCol w:w="1451"/>
      </w:tblGrid>
      <w:tr w:rsidR="000A40FE" w:rsidRPr="00797118" w:rsidTr="000A40FE">
        <w:trPr>
          <w:trHeight w:val="300"/>
        </w:trPr>
        <w:tc>
          <w:tcPr>
            <w:tcW w:w="1180" w:type="pct"/>
            <w:tcBorders>
              <w:top w:val="nil"/>
              <w:left w:val="nil"/>
              <w:bottom w:val="single" w:sz="4" w:space="0" w:color="366092"/>
              <w:right w:val="nil"/>
            </w:tcBorders>
            <w:shd w:val="clear" w:color="auto" w:fill="004855"/>
            <w:noWrap/>
            <w:vAlign w:val="center"/>
            <w:hideMark/>
          </w:tcPr>
          <w:p w:rsidR="000A40FE" w:rsidRPr="00797118" w:rsidRDefault="000A40FE" w:rsidP="00A02129">
            <w:pPr>
              <w:spacing w:after="0"/>
              <w:rPr>
                <w:rFonts w:asciiTheme="minorHAnsi" w:hAnsiTheme="minorHAnsi" w:cstheme="minorHAnsi"/>
                <w:b/>
                <w:sz w:val="20"/>
                <w:szCs w:val="20"/>
              </w:rPr>
            </w:pPr>
          </w:p>
        </w:tc>
        <w:tc>
          <w:tcPr>
            <w:tcW w:w="749" w:type="pct"/>
            <w:tcBorders>
              <w:top w:val="nil"/>
              <w:left w:val="nil"/>
              <w:bottom w:val="single" w:sz="4" w:space="0" w:color="366092"/>
              <w:right w:val="nil"/>
            </w:tcBorders>
            <w:shd w:val="clear" w:color="auto" w:fill="004855"/>
            <w:noWrap/>
            <w:vAlign w:val="center"/>
            <w:hideMark/>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80"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tcBorders>
              <w:top w:val="nil"/>
              <w:left w:val="nil"/>
              <w:bottom w:val="single" w:sz="4" w:space="0" w:color="366092"/>
              <w:right w:val="nil"/>
            </w:tcBorders>
            <w:shd w:val="clear" w:color="auto" w:fill="004855"/>
            <w:noWrap/>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50" w:type="pct"/>
            <w:tcBorders>
              <w:top w:val="nil"/>
              <w:left w:val="nil"/>
              <w:bottom w:val="single" w:sz="4" w:space="0" w:color="366092"/>
              <w:right w:val="nil"/>
            </w:tcBorders>
            <w:shd w:val="clear" w:color="auto" w:fill="004855"/>
            <w:vAlign w:val="center"/>
          </w:tcPr>
          <w:p w:rsidR="000A40FE" w:rsidRPr="00797118" w:rsidRDefault="000A40FE"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0A40FE" w:rsidRPr="00797118" w:rsidTr="000A40FE">
        <w:trPr>
          <w:trHeight w:val="300"/>
        </w:trPr>
        <w:tc>
          <w:tcPr>
            <w:tcW w:w="1180" w:type="pct"/>
            <w:tcBorders>
              <w:top w:val="nil"/>
              <w:left w:val="nil"/>
              <w:bottom w:val="single" w:sz="4" w:space="0" w:color="366092"/>
              <w:right w:val="nil"/>
            </w:tcBorders>
            <w:shd w:val="clear" w:color="auto" w:fill="auto"/>
            <w:noWrap/>
            <w:vAlign w:val="center"/>
            <w:hideMark/>
          </w:tcPr>
          <w:p w:rsidR="000A40FE" w:rsidRPr="00797118" w:rsidRDefault="000A40FE" w:rsidP="00A02129">
            <w:pPr>
              <w:spacing w:after="0"/>
              <w:rPr>
                <w:rFonts w:asciiTheme="minorHAnsi" w:hAnsiTheme="minorHAnsi" w:cstheme="minorHAnsi"/>
                <w:sz w:val="20"/>
                <w:szCs w:val="20"/>
              </w:rPr>
            </w:pPr>
            <w:r>
              <w:rPr>
                <w:rFonts w:asciiTheme="minorHAnsi" w:hAnsiTheme="minorHAnsi" w:cstheme="minorHAnsi"/>
                <w:sz w:val="20"/>
                <w:szCs w:val="20"/>
              </w:rPr>
              <w:t>TAFE</w:t>
            </w:r>
          </w:p>
        </w:tc>
        <w:tc>
          <w:tcPr>
            <w:tcW w:w="749"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54.0%</w:t>
            </w:r>
          </w:p>
        </w:tc>
        <w:tc>
          <w:tcPr>
            <w:tcW w:w="780"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60.3%</w:t>
            </w:r>
          </w:p>
        </w:tc>
        <w:tc>
          <w:tcPr>
            <w:tcW w:w="738" w:type="pct"/>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69.1%</w:t>
            </w:r>
          </w:p>
        </w:tc>
        <w:tc>
          <w:tcPr>
            <w:tcW w:w="804" w:type="pct"/>
            <w:gridSpan w:val="2"/>
            <w:tcBorders>
              <w:top w:val="nil"/>
              <w:left w:val="nil"/>
              <w:bottom w:val="single" w:sz="4" w:space="0" w:color="366092"/>
              <w:right w:val="nil"/>
            </w:tcBorders>
            <w:shd w:val="clear" w:color="auto" w:fill="auto"/>
            <w:noWrap/>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7</w:t>
            </w:r>
            <w:r w:rsidR="00610559">
              <w:rPr>
                <w:rFonts w:asciiTheme="minorHAnsi" w:hAnsiTheme="minorHAnsi" w:cstheme="minorHAnsi"/>
                <w:sz w:val="20"/>
                <w:szCs w:val="20"/>
              </w:rPr>
              <w:t>1</w:t>
            </w:r>
            <w:r w:rsidRPr="00D54798">
              <w:rPr>
                <w:rFonts w:asciiTheme="minorHAnsi" w:hAnsiTheme="minorHAnsi" w:cstheme="minorHAnsi"/>
                <w:sz w:val="20"/>
                <w:szCs w:val="20"/>
              </w:rPr>
              <w:t>.9%</w:t>
            </w:r>
          </w:p>
        </w:tc>
        <w:tc>
          <w:tcPr>
            <w:tcW w:w="750" w:type="pct"/>
            <w:tcBorders>
              <w:top w:val="nil"/>
              <w:left w:val="nil"/>
              <w:bottom w:val="single" w:sz="4" w:space="0" w:color="366092"/>
              <w:right w:val="nil"/>
            </w:tcBorders>
            <w:vAlign w:val="bottom"/>
          </w:tcPr>
          <w:p w:rsidR="000A40FE" w:rsidRPr="00D54798" w:rsidRDefault="000A40FE" w:rsidP="005C332B">
            <w:pPr>
              <w:spacing w:after="0"/>
              <w:jc w:val="right"/>
              <w:rPr>
                <w:rFonts w:asciiTheme="minorHAnsi" w:hAnsiTheme="minorHAnsi" w:cstheme="minorHAnsi"/>
                <w:sz w:val="20"/>
                <w:szCs w:val="20"/>
              </w:rPr>
            </w:pPr>
            <w:r w:rsidRPr="00D54798">
              <w:rPr>
                <w:rFonts w:asciiTheme="minorHAnsi" w:hAnsiTheme="minorHAnsi" w:cstheme="minorHAnsi"/>
                <w:sz w:val="20"/>
                <w:szCs w:val="20"/>
              </w:rPr>
              <w:t>85.3%</w:t>
            </w:r>
          </w:p>
        </w:tc>
      </w:tr>
      <w:tr w:rsidR="000A40FE" w:rsidRPr="002922C1" w:rsidTr="000A40FE">
        <w:trPr>
          <w:trHeight w:val="300"/>
        </w:trPr>
        <w:tc>
          <w:tcPr>
            <w:tcW w:w="1180" w:type="pct"/>
            <w:tcBorders>
              <w:top w:val="single" w:sz="4" w:space="0" w:color="366092"/>
              <w:left w:val="nil"/>
              <w:bottom w:val="single" w:sz="4" w:space="0" w:color="366092"/>
              <w:right w:val="nil"/>
            </w:tcBorders>
            <w:shd w:val="clear" w:color="000000" w:fill="E5F6F6"/>
            <w:noWrap/>
            <w:vAlign w:val="center"/>
            <w:hideMark/>
          </w:tcPr>
          <w:p w:rsidR="000A40FE"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9"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780"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37.7%</w:t>
            </w:r>
          </w:p>
        </w:tc>
        <w:tc>
          <w:tcPr>
            <w:tcW w:w="738" w:type="pct"/>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51.8%</w:t>
            </w:r>
          </w:p>
        </w:tc>
        <w:tc>
          <w:tcPr>
            <w:tcW w:w="804" w:type="pct"/>
            <w:gridSpan w:val="2"/>
            <w:tcBorders>
              <w:top w:val="single" w:sz="4" w:space="0" w:color="366092"/>
              <w:left w:val="nil"/>
              <w:bottom w:val="single" w:sz="4" w:space="0" w:color="366092"/>
              <w:right w:val="nil"/>
            </w:tcBorders>
            <w:shd w:val="clear" w:color="000000" w:fill="E5F6F6"/>
            <w:noWrap/>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59.1%</w:t>
            </w:r>
          </w:p>
        </w:tc>
        <w:tc>
          <w:tcPr>
            <w:tcW w:w="750" w:type="pct"/>
            <w:tcBorders>
              <w:top w:val="single" w:sz="4" w:space="0" w:color="366092"/>
              <w:left w:val="nil"/>
              <w:bottom w:val="single" w:sz="4" w:space="0" w:color="366092"/>
              <w:right w:val="nil"/>
            </w:tcBorders>
            <w:shd w:val="clear" w:color="000000" w:fill="E5F6F6"/>
            <w:vAlign w:val="bottom"/>
          </w:tcPr>
          <w:p w:rsidR="000A40FE" w:rsidRPr="002922C1" w:rsidRDefault="000A40FE"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85.3%</w:t>
            </w:r>
          </w:p>
        </w:tc>
      </w:tr>
    </w:tbl>
    <w:p w:rsidR="00860953" w:rsidRDefault="00860953" w:rsidP="00860953">
      <w:pPr>
        <w:pStyle w:val="H3"/>
      </w:pPr>
      <w:r>
        <w:lastRenderedPageBreak/>
        <w:t>Asset replacement ratio</w:t>
      </w:r>
    </w:p>
    <w:p w:rsidR="008B6F95" w:rsidDel="006B3D04" w:rsidRDefault="00860953" w:rsidP="00860953">
      <w:pPr>
        <w:rPr>
          <w:rFonts w:ascii="Georgia" w:hAnsi="Georgia" w:cs="Arial"/>
          <w:b/>
          <w:color w:val="004855" w:themeColor="text1"/>
          <w:sz w:val="20"/>
          <w:szCs w:val="20"/>
          <w:lang w:val="en-US"/>
        </w:rPr>
      </w:pPr>
      <w:r w:rsidRPr="00930E64" w:rsidDel="006B3D04">
        <w:rPr>
          <w:rFonts w:ascii="Georgia" w:hAnsi="Georgia" w:cs="Arial"/>
          <w:b/>
          <w:color w:val="004855" w:themeColor="text1"/>
          <w:sz w:val="20"/>
          <w:szCs w:val="20"/>
          <w:lang w:val="en-US"/>
        </w:rPr>
        <w:t xml:space="preserve">Figure </w:t>
      </w:r>
      <w:r w:rsidR="006C43D6">
        <w:rPr>
          <w:rFonts w:ascii="Georgia" w:hAnsi="Georgia" w:cs="Arial"/>
          <w:b/>
          <w:color w:val="004855" w:themeColor="text1"/>
          <w:sz w:val="20"/>
          <w:szCs w:val="20"/>
          <w:lang w:val="en-US"/>
        </w:rPr>
        <w:t>40</w:t>
      </w:r>
      <w:r w:rsidRPr="00930E64" w:rsidDel="006B3D04">
        <w:rPr>
          <w:rFonts w:ascii="Georgia" w:hAnsi="Georgia" w:cs="Arial"/>
          <w:b/>
          <w:color w:val="004855" w:themeColor="text1"/>
          <w:sz w:val="20"/>
          <w:szCs w:val="20"/>
          <w:lang w:val="en-US"/>
        </w:rPr>
        <w:t xml:space="preserve">: Asset replacement ratio, </w:t>
      </w:r>
      <w:r w:rsidR="008C707D" w:rsidRPr="00930E64" w:rsidDel="006B3D04">
        <w:rPr>
          <w:rFonts w:ascii="Georgia" w:hAnsi="Georgia" w:cs="Arial"/>
          <w:b/>
          <w:color w:val="004855" w:themeColor="text1"/>
          <w:sz w:val="20"/>
          <w:szCs w:val="20"/>
          <w:lang w:val="en-US"/>
        </w:rPr>
        <w:t>TAFE</w:t>
      </w:r>
    </w:p>
    <w:p w:rsidR="00E645A0" w:rsidRDefault="00E645A0" w:rsidP="00860953">
      <w:pPr>
        <w:rPr>
          <w:rFonts w:ascii="Georgia" w:hAnsi="Georgia" w:cs="Arial"/>
          <w:b/>
          <w:color w:val="004855" w:themeColor="text1"/>
          <w:sz w:val="20"/>
          <w:szCs w:val="20"/>
          <w:lang w:val="en-US"/>
        </w:rPr>
      </w:pPr>
      <w:r>
        <w:rPr>
          <w:rFonts w:ascii="Georgia" w:hAnsi="Georgia" w:cs="Arial"/>
          <w:b/>
          <w:noProof/>
          <w:color w:val="004855" w:themeColor="text1"/>
          <w:sz w:val="20"/>
          <w:szCs w:val="20"/>
          <w:lang w:eastAsia="en-AU"/>
        </w:rPr>
        <w:drawing>
          <wp:inline distT="0" distB="0" distL="0" distR="0" wp14:anchorId="1ED35709" wp14:editId="2CBEBF59">
            <wp:extent cx="5943600" cy="2164080"/>
            <wp:effectExtent l="0" t="0" r="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1060" cy="2163155"/>
                    </a:xfrm>
                    <a:prstGeom prst="rect">
                      <a:avLst/>
                    </a:prstGeom>
                    <a:noFill/>
                    <a:ln>
                      <a:noFill/>
                    </a:ln>
                  </pic:spPr>
                </pic:pic>
              </a:graphicData>
            </a:graphic>
          </wp:inline>
        </w:drawing>
      </w:r>
    </w:p>
    <w:p w:rsidR="00B267A9" w:rsidRPr="00610559" w:rsidRDefault="00B267A9" w:rsidP="00610559">
      <w:pPr>
        <w:spacing w:after="0"/>
        <w:rPr>
          <w:rFonts w:ascii="Georgia" w:hAnsi="Georgia" w:cs="Arial"/>
          <w:b/>
          <w:color w:val="004855" w:themeColor="text1"/>
          <w:sz w:val="16"/>
          <w:szCs w:val="16"/>
          <w:lang w:val="en-US"/>
        </w:rPr>
      </w:pPr>
    </w:p>
    <w:p w:rsidR="00860953" w:rsidRPr="00930E64" w:rsidRDefault="00860953" w:rsidP="008809DA">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713386" w:rsidRPr="00930E64">
        <w:rPr>
          <w:rFonts w:ascii="Georgia" w:hAnsi="Georgia" w:cs="Arial"/>
          <w:b/>
          <w:color w:val="004855" w:themeColor="text1"/>
          <w:sz w:val="20"/>
          <w:szCs w:val="20"/>
          <w:lang w:val="en-US"/>
        </w:rPr>
        <w:t>3</w:t>
      </w:r>
      <w:r w:rsidR="00127249">
        <w:rPr>
          <w:rFonts w:ascii="Georgia" w:hAnsi="Georgia" w:cs="Arial"/>
          <w:b/>
          <w:color w:val="004855" w:themeColor="text1"/>
          <w:sz w:val="20"/>
          <w:szCs w:val="20"/>
          <w:lang w:val="en-US"/>
        </w:rPr>
        <w:t>5</w:t>
      </w:r>
      <w:r w:rsidRPr="00930E64">
        <w:rPr>
          <w:rFonts w:ascii="Georgia" w:hAnsi="Georgia" w:cs="Arial"/>
          <w:b/>
          <w:color w:val="004855" w:themeColor="text1"/>
          <w:sz w:val="20"/>
          <w:szCs w:val="20"/>
          <w:lang w:val="en-US"/>
        </w:rPr>
        <w:t xml:space="preserve">: Asset replacement ratio range, </w:t>
      </w:r>
      <w:r w:rsidR="008C707D" w:rsidRPr="00930E64">
        <w:rPr>
          <w:rFonts w:ascii="Georgia" w:hAnsi="Georgia" w:cs="Arial"/>
          <w:b/>
          <w:color w:val="004855" w:themeColor="text1"/>
          <w:sz w:val="20"/>
          <w:szCs w:val="20"/>
          <w:lang w:val="en-US"/>
        </w:rPr>
        <w:t>TAFE</w:t>
      </w:r>
      <w:r w:rsidRPr="00930E64">
        <w:rPr>
          <w:rFonts w:ascii="Georgia" w:hAnsi="Georgia" w:cs="Arial"/>
          <w:b/>
          <w:color w:val="004855" w:themeColor="text1"/>
          <w:sz w:val="20"/>
          <w:szCs w:val="20"/>
          <w:lang w:val="en-US"/>
        </w:rPr>
        <w:t xml:space="preserve"> and </w:t>
      </w:r>
      <w:r w:rsidR="00456661">
        <w:rPr>
          <w:rFonts w:ascii="Georgia" w:hAnsi="Georgia" w:cs="Arial"/>
          <w:b/>
          <w:color w:val="004855" w:themeColor="text1"/>
          <w:sz w:val="20"/>
          <w:szCs w:val="20"/>
          <w:lang w:val="en-US"/>
        </w:rPr>
        <w:t>Sector</w:t>
      </w:r>
    </w:p>
    <w:tbl>
      <w:tblPr>
        <w:tblW w:w="5092" w:type="pct"/>
        <w:tblLook w:val="04A0" w:firstRow="1" w:lastRow="0" w:firstColumn="1" w:lastColumn="0" w:noHBand="0" w:noVBand="1"/>
      </w:tblPr>
      <w:tblGrid>
        <w:gridCol w:w="2303"/>
        <w:gridCol w:w="1443"/>
        <w:gridCol w:w="1610"/>
        <w:gridCol w:w="16"/>
        <w:gridCol w:w="1390"/>
        <w:gridCol w:w="1573"/>
        <w:gridCol w:w="1413"/>
      </w:tblGrid>
      <w:tr w:rsidR="00F2568B" w:rsidRPr="00797118" w:rsidTr="00A02129">
        <w:trPr>
          <w:trHeight w:val="300"/>
        </w:trPr>
        <w:tc>
          <w:tcPr>
            <w:tcW w:w="1181" w:type="pct"/>
            <w:tcBorders>
              <w:top w:val="nil"/>
              <w:left w:val="nil"/>
              <w:bottom w:val="single" w:sz="4" w:space="0" w:color="366092"/>
              <w:right w:val="nil"/>
            </w:tcBorders>
            <w:shd w:val="clear" w:color="auto" w:fill="004855"/>
            <w:noWrap/>
            <w:vAlign w:val="center"/>
            <w:hideMark/>
          </w:tcPr>
          <w:p w:rsidR="00F2568B" w:rsidRPr="00797118" w:rsidRDefault="00F2568B" w:rsidP="00A02129">
            <w:pPr>
              <w:spacing w:after="0"/>
              <w:rPr>
                <w:rFonts w:asciiTheme="minorHAnsi" w:hAnsiTheme="minorHAnsi" w:cstheme="minorHAnsi"/>
                <w:b/>
                <w:sz w:val="20"/>
                <w:szCs w:val="20"/>
              </w:rPr>
            </w:pPr>
          </w:p>
        </w:tc>
        <w:tc>
          <w:tcPr>
            <w:tcW w:w="740"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26"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1" w:type="pct"/>
            <w:gridSpan w:val="2"/>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7" w:type="pct"/>
            <w:tcBorders>
              <w:top w:val="nil"/>
              <w:left w:val="nil"/>
              <w:bottom w:val="single" w:sz="4" w:space="0" w:color="366092"/>
              <w:right w:val="nil"/>
            </w:tcBorders>
            <w:shd w:val="clear" w:color="auto" w:fill="004855"/>
            <w:noWrap/>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25" w:type="pct"/>
            <w:tcBorders>
              <w:top w:val="nil"/>
              <w:left w:val="nil"/>
              <w:bottom w:val="single" w:sz="4" w:space="0" w:color="366092"/>
              <w:right w:val="nil"/>
            </w:tcBorders>
            <w:shd w:val="clear" w:color="auto" w:fill="004855"/>
            <w:vAlign w:val="center"/>
          </w:tcPr>
          <w:p w:rsidR="00F2568B" w:rsidRPr="00797118" w:rsidRDefault="00F2568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F2568B" w:rsidRPr="00797118" w:rsidTr="00A02129">
        <w:trPr>
          <w:trHeight w:val="300"/>
        </w:trPr>
        <w:tc>
          <w:tcPr>
            <w:tcW w:w="1181" w:type="pct"/>
            <w:tcBorders>
              <w:top w:val="nil"/>
              <w:left w:val="nil"/>
              <w:bottom w:val="single" w:sz="4" w:space="0" w:color="366092"/>
              <w:right w:val="nil"/>
            </w:tcBorders>
            <w:shd w:val="clear" w:color="auto" w:fill="auto"/>
            <w:noWrap/>
            <w:vAlign w:val="center"/>
          </w:tcPr>
          <w:p w:rsidR="00F2568B" w:rsidRPr="00797118" w:rsidRDefault="00F2568B" w:rsidP="00A02129">
            <w:pPr>
              <w:spacing w:after="0"/>
              <w:rPr>
                <w:rFonts w:asciiTheme="minorHAnsi" w:hAnsiTheme="minorHAnsi" w:cstheme="minorHAnsi"/>
                <w:sz w:val="20"/>
                <w:szCs w:val="20"/>
              </w:rPr>
            </w:pPr>
            <w:r>
              <w:rPr>
                <w:rFonts w:asciiTheme="minorHAnsi" w:hAnsiTheme="minorHAnsi" w:cstheme="minorHAnsi"/>
                <w:sz w:val="20"/>
                <w:szCs w:val="20"/>
              </w:rPr>
              <w:t>TAFE</w:t>
            </w:r>
          </w:p>
        </w:tc>
        <w:tc>
          <w:tcPr>
            <w:tcW w:w="740"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834" w:type="pct"/>
            <w:gridSpan w:val="2"/>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0.6</w:t>
            </w:r>
          </w:p>
        </w:tc>
        <w:tc>
          <w:tcPr>
            <w:tcW w:w="713"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0.7</w:t>
            </w:r>
          </w:p>
        </w:tc>
        <w:tc>
          <w:tcPr>
            <w:tcW w:w="807" w:type="pct"/>
            <w:tcBorders>
              <w:top w:val="nil"/>
              <w:left w:val="nil"/>
              <w:bottom w:val="single" w:sz="4" w:space="0" w:color="366092"/>
              <w:right w:val="nil"/>
            </w:tcBorders>
            <w:shd w:val="clear" w:color="auto" w:fill="auto"/>
            <w:noWrap/>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1.1</w:t>
            </w:r>
          </w:p>
        </w:tc>
        <w:tc>
          <w:tcPr>
            <w:tcW w:w="725" w:type="pct"/>
            <w:tcBorders>
              <w:top w:val="nil"/>
              <w:left w:val="nil"/>
              <w:bottom w:val="single" w:sz="4" w:space="0" w:color="366092"/>
              <w:right w:val="nil"/>
            </w:tcBorders>
            <w:vAlign w:val="bottom"/>
          </w:tcPr>
          <w:p w:rsidR="00F2568B" w:rsidRPr="002922C1" w:rsidRDefault="00F2568B"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2.9</w:t>
            </w:r>
          </w:p>
        </w:tc>
      </w:tr>
      <w:tr w:rsidR="00F2568B" w:rsidRPr="002922C1" w:rsidTr="00A02129">
        <w:trPr>
          <w:trHeight w:val="300"/>
        </w:trPr>
        <w:tc>
          <w:tcPr>
            <w:tcW w:w="1181" w:type="pct"/>
            <w:tcBorders>
              <w:top w:val="single" w:sz="4" w:space="0" w:color="366092"/>
              <w:left w:val="nil"/>
              <w:bottom w:val="single" w:sz="4" w:space="0" w:color="366092"/>
              <w:right w:val="nil"/>
            </w:tcBorders>
            <w:shd w:val="clear" w:color="000000" w:fill="E5F6F6"/>
            <w:noWrap/>
            <w:vAlign w:val="center"/>
          </w:tcPr>
          <w:p w:rsidR="00F2568B"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0"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0.0</w:t>
            </w:r>
          </w:p>
        </w:tc>
        <w:tc>
          <w:tcPr>
            <w:tcW w:w="834" w:type="pct"/>
            <w:gridSpan w:val="2"/>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0.6</w:t>
            </w:r>
          </w:p>
        </w:tc>
        <w:tc>
          <w:tcPr>
            <w:tcW w:w="713"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w:t>
            </w:r>
          </w:p>
        </w:tc>
        <w:tc>
          <w:tcPr>
            <w:tcW w:w="807" w:type="pct"/>
            <w:tcBorders>
              <w:top w:val="single" w:sz="4" w:space="0" w:color="366092"/>
              <w:left w:val="nil"/>
              <w:bottom w:val="single" w:sz="4" w:space="0" w:color="366092"/>
              <w:right w:val="nil"/>
            </w:tcBorders>
            <w:shd w:val="clear" w:color="000000" w:fill="E5F6F6"/>
            <w:noWrap/>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2.4</w:t>
            </w:r>
          </w:p>
        </w:tc>
        <w:tc>
          <w:tcPr>
            <w:tcW w:w="725" w:type="pct"/>
            <w:tcBorders>
              <w:top w:val="single" w:sz="4" w:space="0" w:color="366092"/>
              <w:left w:val="nil"/>
              <w:bottom w:val="single" w:sz="4" w:space="0" w:color="366092"/>
              <w:right w:val="nil"/>
            </w:tcBorders>
            <w:shd w:val="clear" w:color="000000" w:fill="E5F6F6"/>
            <w:vAlign w:val="bottom"/>
          </w:tcPr>
          <w:p w:rsidR="00F2568B" w:rsidRPr="002922C1" w:rsidRDefault="00F2568B"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14.2</w:t>
            </w:r>
          </w:p>
        </w:tc>
      </w:tr>
    </w:tbl>
    <w:p w:rsidR="00860953" w:rsidRDefault="00860953" w:rsidP="00860953">
      <w:pPr>
        <w:spacing w:after="0" w:line="240" w:lineRule="auto"/>
        <w:rPr>
          <w:rFonts w:ascii="Georgia" w:hAnsi="Georgia" w:cs="Arial"/>
          <w:b/>
          <w:color w:val="004855" w:themeColor="text1"/>
          <w:sz w:val="22"/>
          <w:szCs w:val="22"/>
          <w:lang w:val="en-US"/>
        </w:rPr>
      </w:pPr>
    </w:p>
    <w:p w:rsidR="00627B3A" w:rsidRDefault="00627B3A" w:rsidP="00860953">
      <w:pPr>
        <w:spacing w:after="0" w:line="240" w:lineRule="auto"/>
        <w:rPr>
          <w:rFonts w:ascii="Georgia" w:hAnsi="Georgia" w:cs="Arial"/>
          <w:b/>
          <w:color w:val="004855" w:themeColor="text1"/>
          <w:sz w:val="22"/>
          <w:szCs w:val="22"/>
          <w:lang w:val="en-US"/>
        </w:rPr>
      </w:pPr>
    </w:p>
    <w:p w:rsidR="00860953" w:rsidRDefault="00860953" w:rsidP="00860953">
      <w:pPr>
        <w:pStyle w:val="H3"/>
      </w:pPr>
      <w:r>
        <w:t>Liquidity</w:t>
      </w:r>
    </w:p>
    <w:p w:rsidR="00860953" w:rsidRPr="00930E64" w:rsidDel="006B3D04" w:rsidRDefault="00860953" w:rsidP="00860953">
      <w:pPr>
        <w:rPr>
          <w:rFonts w:ascii="Georgia" w:hAnsi="Georgia" w:cs="Arial"/>
          <w:b/>
          <w:color w:val="004855" w:themeColor="text1"/>
          <w:sz w:val="20"/>
          <w:szCs w:val="20"/>
          <w:lang w:val="en-US"/>
        </w:rPr>
      </w:pPr>
      <w:r w:rsidRPr="00930E64" w:rsidDel="006B3D04">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4</w:t>
      </w:r>
      <w:r w:rsidR="006C43D6">
        <w:rPr>
          <w:rFonts w:ascii="Georgia" w:hAnsi="Georgia" w:cs="Arial"/>
          <w:b/>
          <w:color w:val="004855" w:themeColor="text1"/>
          <w:sz w:val="20"/>
          <w:szCs w:val="20"/>
          <w:lang w:val="en-US"/>
        </w:rPr>
        <w:t>1</w:t>
      </w:r>
      <w:r w:rsidRPr="00930E64" w:rsidDel="006B3D04">
        <w:rPr>
          <w:rFonts w:ascii="Georgia" w:hAnsi="Georgia" w:cs="Arial"/>
          <w:b/>
          <w:color w:val="004855" w:themeColor="text1"/>
          <w:sz w:val="20"/>
          <w:szCs w:val="20"/>
          <w:lang w:val="en-US"/>
        </w:rPr>
        <w:t xml:space="preserve">: Liquidity, </w:t>
      </w:r>
      <w:r w:rsidR="008C707D" w:rsidRPr="00930E64" w:rsidDel="006B3D04">
        <w:rPr>
          <w:rFonts w:ascii="Georgia" w:hAnsi="Georgia" w:cs="Arial"/>
          <w:b/>
          <w:color w:val="004855" w:themeColor="text1"/>
          <w:sz w:val="20"/>
          <w:szCs w:val="20"/>
          <w:lang w:val="en-US"/>
        </w:rPr>
        <w:t>TAFE</w:t>
      </w:r>
    </w:p>
    <w:p w:rsidR="00860953" w:rsidRDefault="007F7B24" w:rsidP="00860953">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2CBF9353" wp14:editId="4C839066">
            <wp:extent cx="5930404" cy="250371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1060" cy="2508213"/>
                    </a:xfrm>
                    <a:prstGeom prst="rect">
                      <a:avLst/>
                    </a:prstGeom>
                    <a:noFill/>
                    <a:ln>
                      <a:noFill/>
                    </a:ln>
                  </pic:spPr>
                </pic:pic>
              </a:graphicData>
            </a:graphic>
          </wp:inline>
        </w:drawing>
      </w:r>
    </w:p>
    <w:p w:rsidR="000550D4" w:rsidRDefault="000550D4" w:rsidP="00860953">
      <w:pPr>
        <w:rPr>
          <w:rFonts w:ascii="Georgia" w:hAnsi="Georgia" w:cs="Arial"/>
          <w:b/>
          <w:color w:val="004855" w:themeColor="text1"/>
          <w:sz w:val="22"/>
          <w:szCs w:val="22"/>
          <w:lang w:val="en-US"/>
        </w:rPr>
      </w:pPr>
    </w:p>
    <w:p w:rsidR="00860953" w:rsidRPr="00930E64" w:rsidRDefault="00860953" w:rsidP="00860953">
      <w:pPr>
        <w:rPr>
          <w:rFonts w:ascii="Georgia" w:hAnsi="Georgia" w:cs="Arial"/>
          <w:b/>
          <w:color w:val="004855" w:themeColor="text1"/>
          <w:sz w:val="20"/>
          <w:szCs w:val="20"/>
          <w:lang w:val="en-US"/>
        </w:rPr>
      </w:pPr>
      <w:r w:rsidRPr="00930E64">
        <w:rPr>
          <w:rFonts w:ascii="Georgia" w:hAnsi="Georgia" w:cs="Arial"/>
          <w:b/>
          <w:color w:val="004855" w:themeColor="text1"/>
          <w:sz w:val="20"/>
          <w:szCs w:val="20"/>
          <w:lang w:val="en-US"/>
        </w:rPr>
        <w:t xml:space="preserve">Table </w:t>
      </w:r>
      <w:r w:rsidR="002C1DF4">
        <w:rPr>
          <w:rFonts w:ascii="Georgia" w:hAnsi="Georgia" w:cs="Arial"/>
          <w:b/>
          <w:color w:val="004855" w:themeColor="text1"/>
          <w:sz w:val="20"/>
          <w:szCs w:val="20"/>
          <w:lang w:val="en-US"/>
        </w:rPr>
        <w:t>3</w:t>
      </w:r>
      <w:r w:rsidR="00127249">
        <w:rPr>
          <w:rFonts w:ascii="Georgia" w:hAnsi="Georgia" w:cs="Arial"/>
          <w:b/>
          <w:color w:val="004855" w:themeColor="text1"/>
          <w:sz w:val="20"/>
          <w:szCs w:val="20"/>
          <w:lang w:val="en-US"/>
        </w:rPr>
        <w:t>6</w:t>
      </w:r>
      <w:r w:rsidRPr="00930E64">
        <w:rPr>
          <w:rFonts w:ascii="Georgia" w:hAnsi="Georgia" w:cs="Arial"/>
          <w:b/>
          <w:color w:val="004855" w:themeColor="text1"/>
          <w:sz w:val="20"/>
          <w:szCs w:val="20"/>
          <w:lang w:val="en-US"/>
        </w:rPr>
        <w:t xml:space="preserve">: Liquidity range, </w:t>
      </w:r>
      <w:r w:rsidR="008C707D" w:rsidRPr="00930E64">
        <w:rPr>
          <w:rFonts w:ascii="Georgia" w:hAnsi="Georgia" w:cs="Arial"/>
          <w:b/>
          <w:color w:val="004855" w:themeColor="text1"/>
          <w:sz w:val="20"/>
          <w:szCs w:val="20"/>
          <w:lang w:val="en-US"/>
        </w:rPr>
        <w:t>TAFE</w:t>
      </w:r>
      <w:r w:rsidRPr="00930E64">
        <w:rPr>
          <w:rFonts w:ascii="Georgia" w:hAnsi="Georgia" w:cs="Arial"/>
          <w:b/>
          <w:color w:val="004855" w:themeColor="text1"/>
          <w:sz w:val="20"/>
          <w:szCs w:val="20"/>
          <w:lang w:val="en-US"/>
        </w:rPr>
        <w:t xml:space="preserve"> and </w:t>
      </w:r>
      <w:r w:rsidR="00456661">
        <w:rPr>
          <w:rFonts w:ascii="Georgia" w:hAnsi="Georgia" w:cs="Arial"/>
          <w:b/>
          <w:color w:val="004855" w:themeColor="text1"/>
          <w:sz w:val="20"/>
          <w:szCs w:val="20"/>
          <w:lang w:val="en-US"/>
        </w:rPr>
        <w:t>Sector</w:t>
      </w:r>
    </w:p>
    <w:tbl>
      <w:tblPr>
        <w:tblW w:w="5000" w:type="pct"/>
        <w:tblLook w:val="04A0" w:firstRow="1" w:lastRow="0" w:firstColumn="1" w:lastColumn="0" w:noHBand="0" w:noVBand="1"/>
      </w:tblPr>
      <w:tblGrid>
        <w:gridCol w:w="2283"/>
        <w:gridCol w:w="1426"/>
        <w:gridCol w:w="1595"/>
        <w:gridCol w:w="10"/>
        <w:gridCol w:w="1365"/>
        <w:gridCol w:w="1494"/>
        <w:gridCol w:w="1399"/>
      </w:tblGrid>
      <w:tr w:rsidR="003F5477" w:rsidRPr="00797118" w:rsidTr="00A02129">
        <w:trPr>
          <w:trHeight w:val="300"/>
        </w:trPr>
        <w:tc>
          <w:tcPr>
            <w:tcW w:w="1193" w:type="pct"/>
            <w:tcBorders>
              <w:top w:val="nil"/>
              <w:left w:val="nil"/>
              <w:bottom w:val="single" w:sz="4" w:space="0" w:color="366092"/>
              <w:right w:val="nil"/>
            </w:tcBorders>
            <w:shd w:val="clear" w:color="auto" w:fill="004855"/>
            <w:noWrap/>
            <w:vAlign w:val="bottom"/>
            <w:hideMark/>
          </w:tcPr>
          <w:p w:rsidR="003F5477" w:rsidRPr="00797118" w:rsidRDefault="003F5477" w:rsidP="00A02129">
            <w:pPr>
              <w:spacing w:after="0"/>
              <w:jc w:val="center"/>
              <w:rPr>
                <w:rFonts w:asciiTheme="minorHAnsi" w:hAnsiTheme="minorHAnsi" w:cstheme="minorHAnsi"/>
                <w:b/>
                <w:sz w:val="20"/>
                <w:szCs w:val="20"/>
              </w:rPr>
            </w:pPr>
          </w:p>
        </w:tc>
        <w:tc>
          <w:tcPr>
            <w:tcW w:w="745"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33"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18" w:type="pct"/>
            <w:gridSpan w:val="2"/>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80" w:type="pct"/>
            <w:tcBorders>
              <w:top w:val="nil"/>
              <w:left w:val="nil"/>
              <w:bottom w:val="single" w:sz="4" w:space="0" w:color="366092"/>
              <w:right w:val="nil"/>
            </w:tcBorders>
            <w:shd w:val="clear" w:color="auto" w:fill="004855"/>
            <w:noWrap/>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31" w:type="pct"/>
            <w:tcBorders>
              <w:top w:val="nil"/>
              <w:left w:val="nil"/>
              <w:bottom w:val="single" w:sz="4" w:space="0" w:color="366092"/>
              <w:right w:val="nil"/>
            </w:tcBorders>
            <w:shd w:val="clear" w:color="auto" w:fill="004855"/>
            <w:vAlign w:val="bottom"/>
          </w:tcPr>
          <w:p w:rsidR="003F5477" w:rsidRPr="00797118" w:rsidRDefault="003F5477"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3F5477" w:rsidRPr="00797118" w:rsidTr="00A02129">
        <w:trPr>
          <w:trHeight w:val="300"/>
        </w:trPr>
        <w:tc>
          <w:tcPr>
            <w:tcW w:w="1193" w:type="pct"/>
            <w:tcBorders>
              <w:top w:val="nil"/>
              <w:left w:val="nil"/>
              <w:bottom w:val="single" w:sz="4" w:space="0" w:color="366092"/>
              <w:right w:val="nil"/>
            </w:tcBorders>
            <w:shd w:val="clear" w:color="auto" w:fill="auto"/>
            <w:noWrap/>
            <w:vAlign w:val="bottom"/>
          </w:tcPr>
          <w:p w:rsidR="003F5477" w:rsidRPr="00797118" w:rsidRDefault="003F5477" w:rsidP="00A02129">
            <w:pPr>
              <w:spacing w:after="0"/>
              <w:rPr>
                <w:rFonts w:asciiTheme="minorHAnsi" w:hAnsiTheme="minorHAnsi" w:cstheme="minorHAnsi"/>
                <w:sz w:val="20"/>
                <w:szCs w:val="20"/>
              </w:rPr>
            </w:pPr>
            <w:r>
              <w:rPr>
                <w:rFonts w:asciiTheme="minorHAnsi" w:hAnsiTheme="minorHAnsi" w:cstheme="minorHAnsi"/>
                <w:sz w:val="20"/>
                <w:szCs w:val="20"/>
              </w:rPr>
              <w:t>TAFE</w:t>
            </w:r>
          </w:p>
        </w:tc>
        <w:tc>
          <w:tcPr>
            <w:tcW w:w="745"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0.5</w:t>
            </w:r>
          </w:p>
        </w:tc>
        <w:tc>
          <w:tcPr>
            <w:tcW w:w="838" w:type="pct"/>
            <w:gridSpan w:val="2"/>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1.0</w:t>
            </w:r>
          </w:p>
        </w:tc>
        <w:tc>
          <w:tcPr>
            <w:tcW w:w="713"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1.4</w:t>
            </w:r>
          </w:p>
        </w:tc>
        <w:tc>
          <w:tcPr>
            <w:tcW w:w="780" w:type="pct"/>
            <w:tcBorders>
              <w:top w:val="nil"/>
              <w:left w:val="nil"/>
              <w:bottom w:val="single" w:sz="4" w:space="0" w:color="366092"/>
              <w:right w:val="nil"/>
            </w:tcBorders>
            <w:shd w:val="clear" w:color="auto" w:fill="auto"/>
            <w:noWrap/>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2.4</w:t>
            </w:r>
          </w:p>
        </w:tc>
        <w:tc>
          <w:tcPr>
            <w:tcW w:w="731" w:type="pct"/>
            <w:tcBorders>
              <w:top w:val="nil"/>
              <w:left w:val="nil"/>
              <w:bottom w:val="single" w:sz="4" w:space="0" w:color="366092"/>
              <w:right w:val="nil"/>
            </w:tcBorders>
            <w:vAlign w:val="bottom"/>
          </w:tcPr>
          <w:p w:rsidR="003F5477" w:rsidRPr="002922C1" w:rsidRDefault="003F5477" w:rsidP="005C332B">
            <w:pPr>
              <w:spacing w:after="0"/>
              <w:jc w:val="right"/>
              <w:rPr>
                <w:rFonts w:asciiTheme="minorHAnsi" w:hAnsiTheme="minorHAnsi" w:cstheme="minorHAnsi"/>
                <w:sz w:val="20"/>
                <w:szCs w:val="20"/>
              </w:rPr>
            </w:pPr>
            <w:r w:rsidRPr="002922C1">
              <w:rPr>
                <w:rFonts w:asciiTheme="minorHAnsi" w:hAnsiTheme="minorHAnsi" w:cstheme="minorHAnsi"/>
                <w:sz w:val="20"/>
                <w:szCs w:val="20"/>
              </w:rPr>
              <w:t>3.1</w:t>
            </w:r>
          </w:p>
        </w:tc>
      </w:tr>
      <w:tr w:rsidR="003F5477" w:rsidRPr="002922C1" w:rsidTr="00A02129">
        <w:trPr>
          <w:trHeight w:val="300"/>
        </w:trPr>
        <w:tc>
          <w:tcPr>
            <w:tcW w:w="1193" w:type="pct"/>
            <w:tcBorders>
              <w:top w:val="single" w:sz="4" w:space="0" w:color="366092"/>
              <w:left w:val="nil"/>
              <w:bottom w:val="single" w:sz="4" w:space="0" w:color="366092"/>
              <w:right w:val="nil"/>
            </w:tcBorders>
            <w:shd w:val="clear" w:color="000000" w:fill="E5F6F6"/>
            <w:noWrap/>
            <w:vAlign w:val="bottom"/>
          </w:tcPr>
          <w:p w:rsidR="003F5477" w:rsidRPr="002922C1" w:rsidRDefault="00456661" w:rsidP="00A02129">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5"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0.2</w:t>
            </w:r>
          </w:p>
        </w:tc>
        <w:tc>
          <w:tcPr>
            <w:tcW w:w="838" w:type="pct"/>
            <w:gridSpan w:val="2"/>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0.9</w:t>
            </w:r>
          </w:p>
        </w:tc>
        <w:tc>
          <w:tcPr>
            <w:tcW w:w="713"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1.4</w:t>
            </w:r>
          </w:p>
        </w:tc>
        <w:tc>
          <w:tcPr>
            <w:tcW w:w="780" w:type="pct"/>
            <w:tcBorders>
              <w:top w:val="single" w:sz="4" w:space="0" w:color="366092"/>
              <w:left w:val="nil"/>
              <w:bottom w:val="single" w:sz="4" w:space="0" w:color="366092"/>
              <w:right w:val="nil"/>
            </w:tcBorders>
            <w:shd w:val="clear" w:color="000000" w:fill="E5F6F6"/>
            <w:noWrap/>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2.2</w:t>
            </w:r>
          </w:p>
        </w:tc>
        <w:tc>
          <w:tcPr>
            <w:tcW w:w="731" w:type="pct"/>
            <w:tcBorders>
              <w:top w:val="single" w:sz="4" w:space="0" w:color="366092"/>
              <w:left w:val="nil"/>
              <w:bottom w:val="single" w:sz="4" w:space="0" w:color="366092"/>
              <w:right w:val="nil"/>
            </w:tcBorders>
            <w:shd w:val="clear" w:color="000000" w:fill="E5F6F6"/>
            <w:vAlign w:val="bottom"/>
          </w:tcPr>
          <w:p w:rsidR="003F5477" w:rsidRPr="002922C1" w:rsidRDefault="003F5477" w:rsidP="005C332B">
            <w:pPr>
              <w:spacing w:after="0"/>
              <w:jc w:val="right"/>
              <w:rPr>
                <w:rFonts w:asciiTheme="minorHAnsi" w:hAnsiTheme="minorHAnsi" w:cstheme="minorHAnsi"/>
                <w:b/>
                <w:sz w:val="20"/>
                <w:szCs w:val="20"/>
              </w:rPr>
            </w:pPr>
            <w:r w:rsidRPr="002922C1">
              <w:rPr>
                <w:rFonts w:asciiTheme="minorHAnsi" w:hAnsiTheme="minorHAnsi" w:cstheme="minorHAnsi"/>
                <w:b/>
                <w:sz w:val="20"/>
                <w:szCs w:val="20"/>
              </w:rPr>
              <w:t>13.6</w:t>
            </w:r>
          </w:p>
        </w:tc>
      </w:tr>
    </w:tbl>
    <w:p w:rsidR="00B267A9" w:rsidRDefault="00B267A9" w:rsidP="006B29C9">
      <w:pPr>
        <w:pStyle w:val="H1"/>
        <w:spacing w:after="240"/>
        <w:rPr>
          <w:sz w:val="40"/>
          <w:szCs w:val="40"/>
        </w:rPr>
      </w:pPr>
    </w:p>
    <w:p w:rsidR="00222490" w:rsidRPr="00930E64" w:rsidRDefault="00222490" w:rsidP="00222490">
      <w:pPr>
        <w:pStyle w:val="H1"/>
        <w:spacing w:after="240"/>
        <w:rPr>
          <w:sz w:val="40"/>
          <w:szCs w:val="40"/>
        </w:rPr>
      </w:pPr>
      <w:bookmarkStart w:id="29" w:name="_Toc467075182"/>
      <w:r w:rsidRPr="00930E64">
        <w:rPr>
          <w:sz w:val="40"/>
          <w:szCs w:val="40"/>
        </w:rPr>
        <w:lastRenderedPageBreak/>
        <w:t xml:space="preserve">Appendix </w:t>
      </w:r>
      <w:r>
        <w:rPr>
          <w:sz w:val="40"/>
          <w:szCs w:val="40"/>
        </w:rPr>
        <w:t>E</w:t>
      </w:r>
      <w:r w:rsidRPr="00930E64">
        <w:rPr>
          <w:sz w:val="40"/>
          <w:szCs w:val="40"/>
        </w:rPr>
        <w:t xml:space="preserve">: </w:t>
      </w:r>
      <w:r w:rsidR="004C1A9D">
        <w:rPr>
          <w:sz w:val="40"/>
          <w:szCs w:val="40"/>
        </w:rPr>
        <w:t xml:space="preserve">Provider size - </w:t>
      </w:r>
      <w:r>
        <w:rPr>
          <w:sz w:val="40"/>
          <w:szCs w:val="40"/>
        </w:rPr>
        <w:t>Key financial metric</w:t>
      </w:r>
      <w:r w:rsidR="009371C0">
        <w:rPr>
          <w:sz w:val="40"/>
          <w:szCs w:val="40"/>
        </w:rPr>
        <w:t xml:space="preserve">s and international student </w:t>
      </w:r>
      <w:r w:rsidR="004C1A9D">
        <w:rPr>
          <w:sz w:val="40"/>
          <w:szCs w:val="40"/>
        </w:rPr>
        <w:t xml:space="preserve">revenue </w:t>
      </w:r>
      <w:bookmarkEnd w:id="29"/>
    </w:p>
    <w:p w:rsidR="00222490" w:rsidRDefault="00222490" w:rsidP="00222490">
      <w:pPr>
        <w:pStyle w:val="H3"/>
      </w:pPr>
      <w:r>
        <w:t>Revenue concentration</w:t>
      </w:r>
    </w:p>
    <w:p w:rsidR="00222490" w:rsidDel="0024327E" w:rsidRDefault="00222490" w:rsidP="00222490">
      <w:pPr>
        <w:rPr>
          <w:rFonts w:ascii="Georgia" w:hAnsi="Georgia" w:cs="Arial"/>
          <w:b/>
          <w:color w:val="004855" w:themeColor="text1"/>
          <w:sz w:val="20"/>
          <w:szCs w:val="20"/>
          <w:lang w:val="en-US"/>
        </w:rPr>
      </w:pPr>
      <w:r w:rsidRPr="00C333F5"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4</w:t>
      </w:r>
      <w:r w:rsidR="006C43D6">
        <w:rPr>
          <w:rFonts w:ascii="Georgia" w:hAnsi="Georgia" w:cs="Arial"/>
          <w:b/>
          <w:color w:val="004855" w:themeColor="text1"/>
          <w:sz w:val="20"/>
          <w:szCs w:val="20"/>
          <w:lang w:val="en-US"/>
        </w:rPr>
        <w:t>2</w:t>
      </w:r>
      <w:r w:rsidRPr="00C333F5" w:rsidDel="0024327E">
        <w:rPr>
          <w:rFonts w:ascii="Georgia" w:hAnsi="Georgia" w:cs="Arial"/>
          <w:b/>
          <w:color w:val="004855" w:themeColor="text1"/>
          <w:sz w:val="20"/>
          <w:szCs w:val="20"/>
          <w:lang w:val="en-US"/>
        </w:rPr>
        <w:t>: Revenue concentration, by provider size</w:t>
      </w:r>
    </w:p>
    <w:p w:rsidR="00E55184" w:rsidRDefault="00E55184" w:rsidP="00222490">
      <w:r>
        <w:rPr>
          <w:noProof/>
          <w:lang w:eastAsia="en-AU"/>
        </w:rPr>
        <w:drawing>
          <wp:inline distT="0" distB="0" distL="0" distR="0" wp14:anchorId="6E476A33" wp14:editId="44C21BDD">
            <wp:extent cx="5935980" cy="33223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1060" cy="3325163"/>
                    </a:xfrm>
                    <a:prstGeom prst="rect">
                      <a:avLst/>
                    </a:prstGeom>
                    <a:noFill/>
                    <a:ln>
                      <a:noFill/>
                    </a:ln>
                  </pic:spPr>
                </pic:pic>
              </a:graphicData>
            </a:graphic>
          </wp:inline>
        </w:drawing>
      </w:r>
    </w:p>
    <w:p w:rsidR="00222490" w:rsidRDefault="00222490" w:rsidP="00222490">
      <w:pPr>
        <w:jc w:val="center"/>
        <w:rPr>
          <w:rFonts w:ascii="Georgia" w:hAnsi="Georgia" w:cs="Arial"/>
          <w:b/>
          <w:color w:val="004855" w:themeColor="text1"/>
          <w:sz w:val="22"/>
          <w:szCs w:val="22"/>
          <w:lang w:val="en-US"/>
        </w:rPr>
      </w:pPr>
      <w:r w:rsidRPr="00F21973">
        <w:rPr>
          <w:rFonts w:ascii="Georgia" w:hAnsi="Georgia" w:cs="Arial"/>
          <w:b/>
          <w:noProof/>
          <w:color w:val="004855" w:themeColor="text1"/>
          <w:sz w:val="22"/>
          <w:szCs w:val="22"/>
          <w:lang w:eastAsia="en-AU"/>
        </w:rPr>
        <w:drawing>
          <wp:inline distT="0" distB="0" distL="0" distR="0" wp14:anchorId="65B3D85B" wp14:editId="3F800A8D">
            <wp:extent cx="1059180" cy="358140"/>
            <wp:effectExtent l="0" t="0" r="762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3">
                      <a:extLst>
                        <a:ext uri="{28A0092B-C50C-407E-A947-70E740481C1C}">
                          <a14:useLocalDpi xmlns:a14="http://schemas.microsoft.com/office/drawing/2010/main" val="0"/>
                        </a:ext>
                      </a:extLst>
                    </a:blip>
                    <a:srcRect t="14706" b="50735"/>
                    <a:stretch/>
                  </pic:blipFill>
                  <pic:spPr bwMode="auto">
                    <a:xfrm>
                      <a:off x="0" y="0"/>
                      <a:ext cx="1059180" cy="358140"/>
                    </a:xfrm>
                    <a:prstGeom prst="rect">
                      <a:avLst/>
                    </a:prstGeom>
                    <a:noFill/>
                    <a:ln>
                      <a:noFill/>
                    </a:ln>
                    <a:extLst>
                      <a:ext uri="{53640926-AAD7-44D8-BBD7-CCE9431645EC}">
                        <a14:shadowObscured xmlns:a14="http://schemas.microsoft.com/office/drawing/2010/main"/>
                      </a:ext>
                    </a:extLst>
                  </pic:spPr>
                </pic:pic>
              </a:graphicData>
            </a:graphic>
          </wp:inline>
        </w:drawing>
      </w:r>
      <w:r w:rsidRPr="00F21973">
        <w:rPr>
          <w:rFonts w:ascii="Georgia" w:hAnsi="Georgia" w:cs="Arial"/>
          <w:b/>
          <w:noProof/>
          <w:color w:val="004855" w:themeColor="text1"/>
          <w:sz w:val="22"/>
          <w:szCs w:val="22"/>
          <w:lang w:eastAsia="en-AU"/>
        </w:rPr>
        <w:drawing>
          <wp:inline distT="0" distB="0" distL="0" distR="0" wp14:anchorId="2E21A7DA" wp14:editId="5C312DDC">
            <wp:extent cx="1059180" cy="388620"/>
            <wp:effectExtent l="0" t="0" r="762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a:extLst>
                        <a:ext uri="{28A0092B-C50C-407E-A947-70E740481C1C}">
                          <a14:useLocalDpi xmlns:a14="http://schemas.microsoft.com/office/drawing/2010/main" val="0"/>
                        </a:ext>
                      </a:extLst>
                    </a:blip>
                    <a:srcRect t="46325" b="16176"/>
                    <a:stretch/>
                  </pic:blipFill>
                  <pic:spPr bwMode="auto">
                    <a:xfrm>
                      <a:off x="0" y="0"/>
                      <a:ext cx="1059180" cy="388620"/>
                    </a:xfrm>
                    <a:prstGeom prst="rect">
                      <a:avLst/>
                    </a:prstGeom>
                    <a:noFill/>
                    <a:ln>
                      <a:noFill/>
                    </a:ln>
                    <a:extLst>
                      <a:ext uri="{53640926-AAD7-44D8-BBD7-CCE9431645EC}">
                        <a14:shadowObscured xmlns:a14="http://schemas.microsoft.com/office/drawing/2010/main"/>
                      </a:ext>
                    </a:extLst>
                  </pic:spPr>
                </pic:pic>
              </a:graphicData>
            </a:graphic>
          </wp:inline>
        </w:drawing>
      </w:r>
      <w:r w:rsidRPr="00F21973">
        <w:rPr>
          <w:rFonts w:ascii="Georgia" w:hAnsi="Georgia" w:cs="Arial"/>
          <w:b/>
          <w:noProof/>
          <w:color w:val="004855" w:themeColor="text1"/>
          <w:sz w:val="22"/>
          <w:szCs w:val="22"/>
          <w:lang w:eastAsia="en-AU"/>
        </w:rPr>
        <w:drawing>
          <wp:inline distT="0" distB="0" distL="0" distR="0" wp14:anchorId="65B93EB1" wp14:editId="0EA6EA1D">
            <wp:extent cx="1059180" cy="167640"/>
            <wp:effectExtent l="0" t="0" r="7620" b="381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3">
                      <a:extLst>
                        <a:ext uri="{28A0092B-C50C-407E-A947-70E740481C1C}">
                          <a14:useLocalDpi xmlns:a14="http://schemas.microsoft.com/office/drawing/2010/main" val="0"/>
                        </a:ext>
                      </a:extLst>
                    </a:blip>
                    <a:srcRect t="83824"/>
                    <a:stretch/>
                  </pic:blipFill>
                  <pic:spPr bwMode="auto">
                    <a:xfrm>
                      <a:off x="0" y="0"/>
                      <a:ext cx="1059180" cy="167640"/>
                    </a:xfrm>
                    <a:prstGeom prst="rect">
                      <a:avLst/>
                    </a:prstGeom>
                    <a:noFill/>
                    <a:ln>
                      <a:noFill/>
                    </a:ln>
                    <a:extLst>
                      <a:ext uri="{53640926-AAD7-44D8-BBD7-CCE9431645EC}">
                        <a14:shadowObscured xmlns:a14="http://schemas.microsoft.com/office/drawing/2010/main"/>
                      </a:ext>
                    </a:extLst>
                  </pic:spPr>
                </pic:pic>
              </a:graphicData>
            </a:graphic>
          </wp:inline>
        </w:drawing>
      </w:r>
    </w:p>
    <w:p w:rsidR="00222490" w:rsidRPr="00E65946" w:rsidRDefault="00222490" w:rsidP="00222490">
      <w:pPr>
        <w:rPr>
          <w:rFonts w:ascii="Georgia" w:hAnsi="Georgia" w:cs="Arial"/>
          <w:b/>
          <w:color w:val="004855" w:themeColor="text1"/>
          <w:sz w:val="20"/>
          <w:szCs w:val="20"/>
          <w:lang w:val="en-US"/>
        </w:rPr>
      </w:pPr>
      <w:r w:rsidRPr="00CE5F2A">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37</w:t>
      </w:r>
      <w:r>
        <w:rPr>
          <w:rFonts w:ascii="Georgia" w:hAnsi="Georgia" w:cs="Arial"/>
          <w:b/>
          <w:color w:val="004855" w:themeColor="text1"/>
          <w:sz w:val="20"/>
          <w:szCs w:val="20"/>
          <w:lang w:val="en-US"/>
        </w:rPr>
        <w:t>:</w:t>
      </w:r>
      <w:r w:rsidRPr="00CE5F2A">
        <w:rPr>
          <w:rFonts w:ascii="Georgia" w:hAnsi="Georgia" w:cs="Arial"/>
          <w:b/>
          <w:color w:val="004855" w:themeColor="text1"/>
          <w:sz w:val="20"/>
          <w:szCs w:val="20"/>
          <w:lang w:val="en-US"/>
        </w:rPr>
        <w:t xml:space="preserve"> Largest revenue source range, by provider size</w:t>
      </w:r>
    </w:p>
    <w:tbl>
      <w:tblPr>
        <w:tblW w:w="5048" w:type="pct"/>
        <w:tblLook w:val="04A0" w:firstRow="1" w:lastRow="0" w:firstColumn="1" w:lastColumn="0" w:noHBand="0" w:noVBand="1"/>
      </w:tblPr>
      <w:tblGrid>
        <w:gridCol w:w="2137"/>
        <w:gridCol w:w="1579"/>
        <w:gridCol w:w="46"/>
        <w:gridCol w:w="1432"/>
        <w:gridCol w:w="1450"/>
        <w:gridCol w:w="12"/>
        <w:gridCol w:w="1533"/>
        <w:gridCol w:w="15"/>
        <w:gridCol w:w="1448"/>
        <w:gridCol w:w="12"/>
      </w:tblGrid>
      <w:tr w:rsidR="00222490" w:rsidRPr="00797118" w:rsidTr="000F1F1A">
        <w:trPr>
          <w:trHeight w:val="300"/>
        </w:trPr>
        <w:tc>
          <w:tcPr>
            <w:tcW w:w="1106" w:type="pct"/>
            <w:tcBorders>
              <w:top w:val="nil"/>
              <w:left w:val="nil"/>
              <w:bottom w:val="single" w:sz="4" w:space="0" w:color="366092"/>
              <w:right w:val="nil"/>
            </w:tcBorders>
            <w:shd w:val="clear" w:color="auto" w:fill="004855"/>
            <w:noWrap/>
            <w:vAlign w:val="center"/>
            <w:hideMark/>
          </w:tcPr>
          <w:p w:rsidR="00222490" w:rsidRPr="00797118" w:rsidRDefault="00222490" w:rsidP="000F1F1A">
            <w:pPr>
              <w:spacing w:after="0"/>
              <w:rPr>
                <w:rFonts w:asciiTheme="minorHAnsi" w:hAnsiTheme="minorHAnsi" w:cstheme="minorHAnsi"/>
                <w:b/>
                <w:sz w:val="20"/>
                <w:szCs w:val="20"/>
              </w:rPr>
            </w:pPr>
          </w:p>
        </w:tc>
        <w:tc>
          <w:tcPr>
            <w:tcW w:w="817" w:type="pct"/>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65" w:type="pct"/>
            <w:gridSpan w:val="2"/>
            <w:tcBorders>
              <w:top w:val="nil"/>
              <w:left w:val="nil"/>
              <w:bottom w:val="single" w:sz="4" w:space="0" w:color="366092"/>
              <w:right w:val="nil"/>
            </w:tcBorders>
            <w:shd w:val="clear" w:color="auto" w:fill="004855"/>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56" w:type="pct"/>
            <w:gridSpan w:val="2"/>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1" w:type="pct"/>
            <w:gridSpan w:val="2"/>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55" w:type="pct"/>
            <w:gridSpan w:val="2"/>
            <w:tcBorders>
              <w:top w:val="nil"/>
              <w:left w:val="nil"/>
              <w:bottom w:val="single" w:sz="4" w:space="0" w:color="366092"/>
              <w:right w:val="nil"/>
            </w:tcBorders>
            <w:shd w:val="clear" w:color="auto" w:fill="004855"/>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401987" w:rsidRPr="00797118" w:rsidTr="00F21973">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401987" w:rsidRPr="00DC6756" w:rsidRDefault="00401987" w:rsidP="000F1F1A">
            <w:pPr>
              <w:spacing w:after="0"/>
              <w:rPr>
                <w:rFonts w:asciiTheme="minorHAnsi" w:hAnsiTheme="minorHAnsi" w:cstheme="minorHAnsi"/>
                <w:sz w:val="20"/>
                <w:szCs w:val="20"/>
              </w:rPr>
            </w:pPr>
            <w:r w:rsidRPr="00DC6756">
              <w:rPr>
                <w:rFonts w:asciiTheme="minorHAnsi" w:hAnsiTheme="minorHAnsi" w:cstheme="minorHAnsi"/>
                <w:sz w:val="20"/>
                <w:szCs w:val="20"/>
              </w:rPr>
              <w:t>&lt;</w:t>
            </w:r>
            <w:r>
              <w:rPr>
                <w:rFonts w:asciiTheme="minorHAnsi" w:hAnsiTheme="minorHAnsi" w:cstheme="minorHAnsi"/>
                <w:sz w:val="20"/>
                <w:szCs w:val="20"/>
              </w:rPr>
              <w:t xml:space="preserve"> </w:t>
            </w:r>
            <w:r w:rsidRPr="00DC6756">
              <w:rPr>
                <w:rFonts w:asciiTheme="minorHAnsi" w:hAnsiTheme="minorHAnsi" w:cstheme="minorHAnsi"/>
                <w:sz w:val="20"/>
                <w:szCs w:val="20"/>
              </w:rPr>
              <w:t>100</w:t>
            </w:r>
          </w:p>
        </w:tc>
        <w:tc>
          <w:tcPr>
            <w:tcW w:w="841"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38.2%</w:t>
            </w:r>
          </w:p>
        </w:tc>
        <w:tc>
          <w:tcPr>
            <w:tcW w:w="741"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48.0%</w:t>
            </w:r>
          </w:p>
        </w:tc>
        <w:tc>
          <w:tcPr>
            <w:tcW w:w="750"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69.7%</w:t>
            </w:r>
          </w:p>
        </w:tc>
        <w:tc>
          <w:tcPr>
            <w:tcW w:w="799" w:type="pct"/>
            <w:gridSpan w:val="2"/>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87.8%</w:t>
            </w:r>
          </w:p>
        </w:tc>
        <w:tc>
          <w:tcPr>
            <w:tcW w:w="757"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99.7%</w:t>
            </w:r>
          </w:p>
        </w:tc>
      </w:tr>
      <w:tr w:rsidR="00401987" w:rsidRPr="00797118" w:rsidTr="00F21973">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401987" w:rsidRPr="00DC6756" w:rsidRDefault="00401987" w:rsidP="000F1F1A">
            <w:pPr>
              <w:spacing w:after="0"/>
              <w:rPr>
                <w:rFonts w:asciiTheme="minorHAnsi" w:hAnsiTheme="minorHAnsi" w:cstheme="minorHAnsi"/>
                <w:sz w:val="20"/>
                <w:szCs w:val="20"/>
              </w:rPr>
            </w:pPr>
            <w:r w:rsidRPr="00DC6756">
              <w:rPr>
                <w:rFonts w:asciiTheme="minorHAnsi" w:hAnsiTheme="minorHAnsi" w:cstheme="minorHAnsi"/>
                <w:sz w:val="20"/>
                <w:szCs w:val="20"/>
              </w:rPr>
              <w:t>100</w:t>
            </w:r>
            <w:r>
              <w:rPr>
                <w:rFonts w:asciiTheme="minorHAnsi" w:hAnsiTheme="minorHAnsi" w:cstheme="minorHAnsi"/>
                <w:sz w:val="20"/>
                <w:szCs w:val="20"/>
              </w:rPr>
              <w:t xml:space="preserve"> ≤ </w:t>
            </w:r>
            <w:r w:rsidR="00A47CC7">
              <w:rPr>
                <w:rFonts w:asciiTheme="minorHAnsi" w:hAnsiTheme="minorHAnsi" w:cstheme="minorHAnsi"/>
                <w:sz w:val="20"/>
                <w:szCs w:val="20"/>
              </w:rPr>
              <w:t xml:space="preserve"> </w:t>
            </w:r>
            <w:r w:rsidRPr="00DC6756">
              <w:rPr>
                <w:rFonts w:asciiTheme="minorHAnsi" w:hAnsiTheme="minorHAnsi" w:cstheme="minorHAnsi"/>
                <w:sz w:val="20"/>
                <w:szCs w:val="20"/>
              </w:rPr>
              <w:t>499</w:t>
            </w:r>
          </w:p>
        </w:tc>
        <w:tc>
          <w:tcPr>
            <w:tcW w:w="841"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37.5%</w:t>
            </w:r>
          </w:p>
        </w:tc>
        <w:tc>
          <w:tcPr>
            <w:tcW w:w="741"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47.0%</w:t>
            </w:r>
          </w:p>
        </w:tc>
        <w:tc>
          <w:tcPr>
            <w:tcW w:w="750"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59.7%</w:t>
            </w:r>
          </w:p>
        </w:tc>
        <w:tc>
          <w:tcPr>
            <w:tcW w:w="799" w:type="pct"/>
            <w:gridSpan w:val="2"/>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78.9%</w:t>
            </w:r>
          </w:p>
        </w:tc>
        <w:tc>
          <w:tcPr>
            <w:tcW w:w="757"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95.9%</w:t>
            </w:r>
          </w:p>
        </w:tc>
      </w:tr>
      <w:tr w:rsidR="00401987" w:rsidRPr="00797118" w:rsidTr="00F21973">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401987" w:rsidRPr="00DC6756" w:rsidRDefault="00401987" w:rsidP="000F1F1A">
            <w:pPr>
              <w:spacing w:after="0"/>
              <w:rPr>
                <w:rFonts w:asciiTheme="minorHAnsi" w:hAnsiTheme="minorHAnsi" w:cstheme="minorHAnsi"/>
                <w:sz w:val="20"/>
                <w:szCs w:val="20"/>
              </w:rPr>
            </w:pPr>
            <w:r w:rsidRPr="00DC6756">
              <w:rPr>
                <w:rFonts w:asciiTheme="minorHAnsi" w:hAnsiTheme="minorHAnsi" w:cstheme="minorHAnsi"/>
                <w:sz w:val="20"/>
                <w:szCs w:val="20"/>
              </w:rPr>
              <w:t>500</w:t>
            </w:r>
            <w:r>
              <w:rPr>
                <w:rFonts w:asciiTheme="minorHAnsi" w:hAnsiTheme="minorHAnsi" w:cstheme="minorHAnsi"/>
                <w:sz w:val="20"/>
                <w:szCs w:val="20"/>
              </w:rPr>
              <w:t xml:space="preserve"> ≤ </w:t>
            </w:r>
            <w:r w:rsidR="00A47CC7">
              <w:rPr>
                <w:rFonts w:asciiTheme="minorHAnsi" w:hAnsiTheme="minorHAnsi" w:cstheme="minorHAnsi"/>
                <w:sz w:val="20"/>
                <w:szCs w:val="20"/>
              </w:rPr>
              <w:t xml:space="preserve"> </w:t>
            </w:r>
            <w:r w:rsidRPr="00DC6756">
              <w:rPr>
                <w:rFonts w:asciiTheme="minorHAnsi" w:hAnsiTheme="minorHAnsi" w:cstheme="minorHAnsi"/>
                <w:sz w:val="20"/>
                <w:szCs w:val="20"/>
              </w:rPr>
              <w:t>4</w:t>
            </w:r>
            <w:r>
              <w:rPr>
                <w:rFonts w:asciiTheme="minorHAnsi" w:hAnsiTheme="minorHAnsi" w:cstheme="minorHAnsi"/>
                <w:sz w:val="20"/>
                <w:szCs w:val="20"/>
              </w:rPr>
              <w:t>,</w:t>
            </w:r>
            <w:r w:rsidRPr="00DC6756">
              <w:rPr>
                <w:rFonts w:asciiTheme="minorHAnsi" w:hAnsiTheme="minorHAnsi" w:cstheme="minorHAnsi"/>
                <w:sz w:val="20"/>
                <w:szCs w:val="20"/>
              </w:rPr>
              <w:t>999</w:t>
            </w:r>
          </w:p>
        </w:tc>
        <w:tc>
          <w:tcPr>
            <w:tcW w:w="841"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31.1%</w:t>
            </w:r>
          </w:p>
        </w:tc>
        <w:tc>
          <w:tcPr>
            <w:tcW w:w="741"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53.8%</w:t>
            </w:r>
          </w:p>
        </w:tc>
        <w:tc>
          <w:tcPr>
            <w:tcW w:w="750"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68.5%</w:t>
            </w:r>
          </w:p>
        </w:tc>
        <w:tc>
          <w:tcPr>
            <w:tcW w:w="799" w:type="pct"/>
            <w:gridSpan w:val="2"/>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83.3%</w:t>
            </w:r>
          </w:p>
        </w:tc>
        <w:tc>
          <w:tcPr>
            <w:tcW w:w="757"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99.7%</w:t>
            </w:r>
          </w:p>
        </w:tc>
      </w:tr>
      <w:tr w:rsidR="00401987" w:rsidRPr="00797118" w:rsidTr="00F21973">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401987" w:rsidRPr="00DC6756" w:rsidRDefault="00401987" w:rsidP="000F1F1A">
            <w:pPr>
              <w:spacing w:after="0"/>
              <w:rPr>
                <w:rFonts w:asciiTheme="minorHAnsi" w:hAnsiTheme="minorHAnsi" w:cstheme="minorHAnsi"/>
                <w:sz w:val="20"/>
                <w:szCs w:val="20"/>
              </w:rPr>
            </w:pPr>
            <w:r w:rsidRPr="00E128BF">
              <w:rPr>
                <w:rFonts w:asciiTheme="minorHAnsi" w:hAnsiTheme="minorHAnsi" w:cstheme="minorHAnsi"/>
                <w:sz w:val="20"/>
                <w:szCs w:val="20"/>
              </w:rPr>
              <w:t>5</w:t>
            </w:r>
            <w:r>
              <w:rPr>
                <w:rFonts w:asciiTheme="minorHAnsi" w:hAnsiTheme="minorHAnsi" w:cstheme="minorHAnsi"/>
                <w:sz w:val="20"/>
                <w:szCs w:val="20"/>
              </w:rPr>
              <w:t>,</w:t>
            </w:r>
            <w:r w:rsidRPr="00E128BF">
              <w:rPr>
                <w:rFonts w:asciiTheme="minorHAnsi" w:hAnsiTheme="minorHAnsi" w:cstheme="minorHAnsi"/>
                <w:sz w:val="20"/>
                <w:szCs w:val="20"/>
              </w:rPr>
              <w:t>000</w:t>
            </w:r>
            <w:r>
              <w:rPr>
                <w:rFonts w:asciiTheme="minorHAnsi" w:hAnsiTheme="minorHAnsi" w:cstheme="minorHAnsi"/>
                <w:sz w:val="20"/>
                <w:szCs w:val="20"/>
              </w:rPr>
              <w:t xml:space="preserve"> </w:t>
            </w: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A47CC7">
              <w:rPr>
                <w:rFonts w:asciiTheme="minorHAnsi" w:hAnsiTheme="minorHAnsi" w:cstheme="minorHAnsi"/>
                <w:sz w:val="20"/>
                <w:szCs w:val="20"/>
              </w:rPr>
              <w:t xml:space="preserve"> </w:t>
            </w:r>
            <w:r w:rsidRPr="00E128BF">
              <w:rPr>
                <w:rFonts w:asciiTheme="minorHAnsi" w:hAnsiTheme="minorHAnsi" w:cstheme="minorHAnsi"/>
                <w:sz w:val="20"/>
                <w:szCs w:val="20"/>
              </w:rPr>
              <w:t>19</w:t>
            </w:r>
            <w:r>
              <w:rPr>
                <w:rFonts w:asciiTheme="minorHAnsi" w:hAnsiTheme="minorHAnsi" w:cstheme="minorHAnsi"/>
                <w:sz w:val="20"/>
                <w:szCs w:val="20"/>
              </w:rPr>
              <w:t>,</w:t>
            </w:r>
            <w:r w:rsidRPr="00E128BF">
              <w:rPr>
                <w:rFonts w:asciiTheme="minorHAnsi" w:hAnsiTheme="minorHAnsi" w:cstheme="minorHAnsi"/>
                <w:sz w:val="20"/>
                <w:szCs w:val="20"/>
              </w:rPr>
              <w:t>999</w:t>
            </w:r>
          </w:p>
        </w:tc>
        <w:tc>
          <w:tcPr>
            <w:tcW w:w="841"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33.5%</w:t>
            </w:r>
          </w:p>
        </w:tc>
        <w:tc>
          <w:tcPr>
            <w:tcW w:w="741"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44.6%</w:t>
            </w:r>
          </w:p>
        </w:tc>
        <w:tc>
          <w:tcPr>
            <w:tcW w:w="750"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50.6%</w:t>
            </w:r>
          </w:p>
        </w:tc>
        <w:tc>
          <w:tcPr>
            <w:tcW w:w="799" w:type="pct"/>
            <w:gridSpan w:val="2"/>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54.3%</w:t>
            </w:r>
          </w:p>
        </w:tc>
        <w:tc>
          <w:tcPr>
            <w:tcW w:w="757"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60.6%</w:t>
            </w:r>
          </w:p>
        </w:tc>
      </w:tr>
      <w:tr w:rsidR="00401987" w:rsidRPr="00797118" w:rsidTr="00F21973">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401987" w:rsidRPr="00DC6756" w:rsidRDefault="00401987" w:rsidP="000F1F1A">
            <w:pPr>
              <w:spacing w:after="0"/>
              <w:rPr>
                <w:rFonts w:asciiTheme="minorHAnsi" w:hAnsiTheme="minorHAnsi" w:cstheme="minorHAnsi"/>
                <w:sz w:val="20"/>
                <w:szCs w:val="20"/>
              </w:rPr>
            </w:pP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A47CC7">
              <w:rPr>
                <w:rFonts w:asciiTheme="minorHAnsi" w:hAnsiTheme="minorHAnsi" w:cstheme="minorHAnsi"/>
                <w:sz w:val="20"/>
                <w:szCs w:val="20"/>
              </w:rPr>
              <w:t xml:space="preserve"> </w:t>
            </w:r>
            <w:r w:rsidRPr="00E128BF">
              <w:rPr>
                <w:rFonts w:asciiTheme="minorHAnsi" w:hAnsiTheme="minorHAnsi" w:cstheme="minorHAnsi"/>
                <w:sz w:val="20"/>
                <w:szCs w:val="20"/>
              </w:rPr>
              <w:t>20</w:t>
            </w:r>
            <w:r>
              <w:rPr>
                <w:rFonts w:asciiTheme="minorHAnsi" w:hAnsiTheme="minorHAnsi" w:cstheme="minorHAnsi"/>
                <w:sz w:val="20"/>
                <w:szCs w:val="20"/>
              </w:rPr>
              <w:t>,</w:t>
            </w:r>
            <w:r w:rsidRPr="00E128BF">
              <w:rPr>
                <w:rFonts w:asciiTheme="minorHAnsi" w:hAnsiTheme="minorHAnsi" w:cstheme="minorHAnsi"/>
                <w:sz w:val="20"/>
                <w:szCs w:val="20"/>
              </w:rPr>
              <w:t>000</w:t>
            </w:r>
          </w:p>
        </w:tc>
        <w:tc>
          <w:tcPr>
            <w:tcW w:w="841"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32.0%</w:t>
            </w:r>
          </w:p>
        </w:tc>
        <w:tc>
          <w:tcPr>
            <w:tcW w:w="741"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38.2%</w:t>
            </w:r>
          </w:p>
        </w:tc>
        <w:tc>
          <w:tcPr>
            <w:tcW w:w="750" w:type="pct"/>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40.1%</w:t>
            </w:r>
          </w:p>
        </w:tc>
        <w:tc>
          <w:tcPr>
            <w:tcW w:w="799" w:type="pct"/>
            <w:gridSpan w:val="2"/>
            <w:tcBorders>
              <w:top w:val="nil"/>
              <w:left w:val="nil"/>
              <w:bottom w:val="single" w:sz="4" w:space="0" w:color="366092"/>
              <w:right w:val="nil"/>
            </w:tcBorders>
            <w:shd w:val="clear" w:color="auto" w:fill="auto"/>
            <w:noWrap/>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44.8%</w:t>
            </w:r>
          </w:p>
        </w:tc>
        <w:tc>
          <w:tcPr>
            <w:tcW w:w="757" w:type="pct"/>
            <w:gridSpan w:val="2"/>
            <w:tcBorders>
              <w:top w:val="nil"/>
              <w:left w:val="nil"/>
              <w:bottom w:val="single" w:sz="4" w:space="0" w:color="366092"/>
              <w:right w:val="nil"/>
            </w:tcBorders>
          </w:tcPr>
          <w:p w:rsidR="00401987" w:rsidRPr="00CE5F2A" w:rsidRDefault="00401987" w:rsidP="005C332B">
            <w:pPr>
              <w:spacing w:after="0"/>
              <w:jc w:val="right"/>
              <w:rPr>
                <w:rFonts w:asciiTheme="minorHAnsi" w:hAnsiTheme="minorHAnsi" w:cstheme="minorHAnsi"/>
                <w:sz w:val="20"/>
                <w:szCs w:val="20"/>
              </w:rPr>
            </w:pPr>
            <w:r w:rsidRPr="00F21973">
              <w:rPr>
                <w:rFonts w:asciiTheme="minorHAnsi" w:hAnsiTheme="minorHAnsi" w:cstheme="minorHAnsi"/>
                <w:sz w:val="20"/>
                <w:szCs w:val="20"/>
              </w:rPr>
              <w:t>48.3%</w:t>
            </w:r>
          </w:p>
        </w:tc>
      </w:tr>
      <w:tr w:rsidR="00401987" w:rsidRPr="00797118" w:rsidTr="00F21973">
        <w:trPr>
          <w:gridAfter w:val="1"/>
          <w:wAfter w:w="6" w:type="pct"/>
          <w:trHeight w:val="300"/>
        </w:trPr>
        <w:tc>
          <w:tcPr>
            <w:tcW w:w="1106" w:type="pct"/>
            <w:tcBorders>
              <w:top w:val="single" w:sz="4" w:space="0" w:color="366092"/>
              <w:left w:val="nil"/>
              <w:bottom w:val="single" w:sz="4" w:space="0" w:color="366092"/>
              <w:right w:val="nil"/>
            </w:tcBorders>
            <w:shd w:val="clear" w:color="000000" w:fill="E5F6F6"/>
            <w:noWrap/>
            <w:vAlign w:val="center"/>
          </w:tcPr>
          <w:p w:rsidR="00401987" w:rsidRPr="00797118" w:rsidRDefault="00401987" w:rsidP="000F1F1A">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41" w:type="pct"/>
            <w:gridSpan w:val="2"/>
            <w:tcBorders>
              <w:top w:val="single" w:sz="4" w:space="0" w:color="366092"/>
              <w:left w:val="nil"/>
              <w:bottom w:val="single" w:sz="4" w:space="0" w:color="366092"/>
              <w:right w:val="nil"/>
            </w:tcBorders>
            <w:shd w:val="clear" w:color="000000" w:fill="E5F6F6"/>
          </w:tcPr>
          <w:p w:rsidR="00401987" w:rsidRPr="00F21973" w:rsidRDefault="00401987" w:rsidP="005C332B">
            <w:pPr>
              <w:spacing w:after="0"/>
              <w:jc w:val="right"/>
              <w:rPr>
                <w:rFonts w:asciiTheme="minorHAnsi" w:hAnsiTheme="minorHAnsi" w:cstheme="minorHAnsi"/>
                <w:b/>
                <w:sz w:val="20"/>
                <w:szCs w:val="20"/>
              </w:rPr>
            </w:pPr>
            <w:r w:rsidRPr="00F21973">
              <w:rPr>
                <w:rFonts w:asciiTheme="minorHAnsi" w:hAnsiTheme="minorHAnsi" w:cstheme="minorHAnsi"/>
                <w:b/>
                <w:sz w:val="20"/>
                <w:szCs w:val="20"/>
              </w:rPr>
              <w:t>31.1%</w:t>
            </w:r>
          </w:p>
        </w:tc>
        <w:tc>
          <w:tcPr>
            <w:tcW w:w="741" w:type="pct"/>
            <w:tcBorders>
              <w:top w:val="single" w:sz="4" w:space="0" w:color="366092"/>
              <w:left w:val="nil"/>
              <w:bottom w:val="single" w:sz="4" w:space="0" w:color="366092"/>
              <w:right w:val="nil"/>
            </w:tcBorders>
            <w:shd w:val="clear" w:color="000000" w:fill="E5F6F6"/>
            <w:noWrap/>
          </w:tcPr>
          <w:p w:rsidR="00401987" w:rsidRPr="00F21973" w:rsidRDefault="00401987" w:rsidP="005C332B">
            <w:pPr>
              <w:spacing w:after="0"/>
              <w:jc w:val="right"/>
              <w:rPr>
                <w:rFonts w:asciiTheme="minorHAnsi" w:hAnsiTheme="minorHAnsi" w:cstheme="minorHAnsi"/>
                <w:b/>
                <w:sz w:val="20"/>
                <w:szCs w:val="20"/>
              </w:rPr>
            </w:pPr>
            <w:r w:rsidRPr="00F21973">
              <w:rPr>
                <w:rFonts w:asciiTheme="minorHAnsi" w:hAnsiTheme="minorHAnsi" w:cstheme="minorHAnsi"/>
                <w:b/>
                <w:sz w:val="20"/>
                <w:szCs w:val="20"/>
              </w:rPr>
              <w:t>45.2%</w:t>
            </w:r>
          </w:p>
        </w:tc>
        <w:tc>
          <w:tcPr>
            <w:tcW w:w="750" w:type="pct"/>
            <w:tcBorders>
              <w:top w:val="single" w:sz="4" w:space="0" w:color="366092"/>
              <w:left w:val="nil"/>
              <w:bottom w:val="single" w:sz="4" w:space="0" w:color="366092"/>
              <w:right w:val="nil"/>
            </w:tcBorders>
            <w:shd w:val="clear" w:color="000000" w:fill="E5F6F6"/>
            <w:noWrap/>
          </w:tcPr>
          <w:p w:rsidR="00401987" w:rsidRPr="00F21973" w:rsidRDefault="00401987" w:rsidP="005C332B">
            <w:pPr>
              <w:spacing w:after="0"/>
              <w:jc w:val="right"/>
              <w:rPr>
                <w:rFonts w:asciiTheme="minorHAnsi" w:hAnsiTheme="minorHAnsi" w:cstheme="minorHAnsi"/>
                <w:b/>
                <w:sz w:val="20"/>
                <w:szCs w:val="20"/>
              </w:rPr>
            </w:pPr>
            <w:r w:rsidRPr="00F21973">
              <w:rPr>
                <w:rFonts w:asciiTheme="minorHAnsi" w:hAnsiTheme="minorHAnsi" w:cstheme="minorHAnsi"/>
                <w:b/>
                <w:sz w:val="20"/>
                <w:szCs w:val="20"/>
              </w:rPr>
              <w:t>56.6%</w:t>
            </w:r>
          </w:p>
        </w:tc>
        <w:tc>
          <w:tcPr>
            <w:tcW w:w="799" w:type="pct"/>
            <w:gridSpan w:val="2"/>
            <w:tcBorders>
              <w:top w:val="single" w:sz="4" w:space="0" w:color="366092"/>
              <w:left w:val="nil"/>
              <w:bottom w:val="single" w:sz="4" w:space="0" w:color="366092"/>
              <w:right w:val="nil"/>
            </w:tcBorders>
            <w:shd w:val="clear" w:color="000000" w:fill="E5F6F6"/>
            <w:noWrap/>
          </w:tcPr>
          <w:p w:rsidR="00401987" w:rsidRPr="00F21973" w:rsidRDefault="00401987" w:rsidP="005C332B">
            <w:pPr>
              <w:spacing w:after="0"/>
              <w:jc w:val="right"/>
              <w:rPr>
                <w:rFonts w:asciiTheme="minorHAnsi" w:hAnsiTheme="minorHAnsi" w:cstheme="minorHAnsi"/>
                <w:b/>
                <w:sz w:val="20"/>
                <w:szCs w:val="20"/>
              </w:rPr>
            </w:pPr>
            <w:r w:rsidRPr="00F21973">
              <w:rPr>
                <w:rFonts w:asciiTheme="minorHAnsi" w:hAnsiTheme="minorHAnsi" w:cstheme="minorHAnsi"/>
                <w:b/>
                <w:sz w:val="20"/>
                <w:szCs w:val="20"/>
              </w:rPr>
              <w:t>80.4%</w:t>
            </w:r>
          </w:p>
        </w:tc>
        <w:tc>
          <w:tcPr>
            <w:tcW w:w="757" w:type="pct"/>
            <w:gridSpan w:val="2"/>
            <w:tcBorders>
              <w:top w:val="single" w:sz="4" w:space="0" w:color="366092"/>
              <w:left w:val="nil"/>
              <w:bottom w:val="single" w:sz="4" w:space="0" w:color="366092"/>
              <w:right w:val="nil"/>
            </w:tcBorders>
            <w:shd w:val="clear" w:color="000000" w:fill="E5F6F6"/>
          </w:tcPr>
          <w:p w:rsidR="00401987" w:rsidRPr="00F21973" w:rsidRDefault="00401987" w:rsidP="005C332B">
            <w:pPr>
              <w:spacing w:after="0"/>
              <w:jc w:val="right"/>
              <w:rPr>
                <w:rFonts w:asciiTheme="minorHAnsi" w:hAnsiTheme="minorHAnsi" w:cstheme="minorHAnsi"/>
                <w:b/>
                <w:sz w:val="20"/>
                <w:szCs w:val="20"/>
              </w:rPr>
            </w:pPr>
            <w:r w:rsidRPr="00F21973">
              <w:rPr>
                <w:rFonts w:asciiTheme="minorHAnsi" w:hAnsiTheme="minorHAnsi" w:cstheme="minorHAnsi"/>
                <w:b/>
                <w:sz w:val="20"/>
                <w:szCs w:val="20"/>
              </w:rPr>
              <w:t>99.7%</w:t>
            </w:r>
          </w:p>
        </w:tc>
      </w:tr>
    </w:tbl>
    <w:p w:rsidR="00222490" w:rsidRPr="00AF31E9" w:rsidRDefault="00222490" w:rsidP="00AF31E9">
      <w:pPr>
        <w:spacing w:after="0" w:line="200" w:lineRule="atLeast"/>
        <w:ind w:left="425" w:hanging="425"/>
        <w:rPr>
          <w:rFonts w:ascii="Georgia" w:eastAsiaTheme="minorHAnsi" w:hAnsi="Georgia" w:cs="Arial"/>
          <w:b/>
          <w:color w:val="004855" w:themeColor="text1"/>
          <w:sz w:val="16"/>
          <w:szCs w:val="16"/>
          <w:lang w:val="en-US"/>
        </w:rPr>
      </w:pPr>
    </w:p>
    <w:p w:rsidR="00222490" w:rsidRPr="00353F0C" w:rsidRDefault="00222490" w:rsidP="00353F0C">
      <w:pPr>
        <w:pStyle w:val="BulletsL1"/>
        <w:shd w:val="clear" w:color="auto" w:fill="E5ECED" w:themeFill="accent4" w:themeFillTint="66"/>
        <w:spacing w:before="0" w:after="0"/>
        <w:ind w:left="425" w:hanging="425"/>
        <w:rPr>
          <w:sz w:val="16"/>
          <w:szCs w:val="16"/>
          <w:lang w:val="en-AU"/>
        </w:rPr>
      </w:pPr>
    </w:p>
    <w:p w:rsidR="00C14F45" w:rsidRDefault="00C14F45" w:rsidP="00B840F2">
      <w:pPr>
        <w:pStyle w:val="BulletsL1"/>
        <w:numPr>
          <w:ilvl w:val="0"/>
          <w:numId w:val="7"/>
        </w:numPr>
        <w:shd w:val="clear" w:color="auto" w:fill="E5ECED" w:themeFill="accent4" w:themeFillTint="66"/>
        <w:rPr>
          <w:lang w:val="en-AU"/>
        </w:rPr>
      </w:pPr>
      <w:r>
        <w:rPr>
          <w:lang w:val="en-AU"/>
        </w:rPr>
        <w:t xml:space="preserve">All providers with EFTSL greater than 5,000 were universities. Figure 42 shows that in term of revenue concentration, there is a noticeable difference among universities with greater than 20,000 EFTSL than those with EFTSL between 5,000 </w:t>
      </w:r>
      <w:r>
        <w:rPr>
          <w:rFonts w:cs="Arial"/>
          <w:lang w:val="en-AU"/>
        </w:rPr>
        <w:t>≤</w:t>
      </w:r>
      <w:r>
        <w:rPr>
          <w:lang w:val="en-AU"/>
        </w:rPr>
        <w:t xml:space="preserve"> 19,999. </w:t>
      </w:r>
    </w:p>
    <w:p w:rsidR="00B840F2" w:rsidRDefault="00C14F45" w:rsidP="00B840F2">
      <w:pPr>
        <w:pStyle w:val="BulletsL1"/>
        <w:numPr>
          <w:ilvl w:val="0"/>
          <w:numId w:val="7"/>
        </w:numPr>
        <w:shd w:val="clear" w:color="auto" w:fill="E5ECED" w:themeFill="accent4" w:themeFillTint="66"/>
        <w:rPr>
          <w:lang w:val="en-AU"/>
        </w:rPr>
      </w:pPr>
      <w:r>
        <w:rPr>
          <w:lang w:val="en-AU"/>
        </w:rPr>
        <w:t>P</w:t>
      </w:r>
      <w:r w:rsidR="00B840F2">
        <w:rPr>
          <w:lang w:val="en-AU"/>
        </w:rPr>
        <w:t xml:space="preserve">roviders </w:t>
      </w:r>
      <w:r w:rsidR="00FC0FAC">
        <w:rPr>
          <w:lang w:val="en-AU"/>
        </w:rPr>
        <w:t xml:space="preserve">with greater than </w:t>
      </w:r>
      <w:r w:rsidR="00B840F2">
        <w:rPr>
          <w:lang w:val="en-AU"/>
        </w:rPr>
        <w:t xml:space="preserve">20,000 EFTSL tended </w:t>
      </w:r>
      <w:r w:rsidR="00DC28B1">
        <w:rPr>
          <w:lang w:val="en-AU"/>
        </w:rPr>
        <w:t>to be clustered</w:t>
      </w:r>
      <w:r w:rsidR="00B840F2">
        <w:rPr>
          <w:lang w:val="en-AU"/>
        </w:rPr>
        <w:t xml:space="preserve"> at </w:t>
      </w:r>
      <w:r w:rsidR="00DC28B1">
        <w:rPr>
          <w:lang w:val="en-AU"/>
        </w:rPr>
        <w:t xml:space="preserve">the lower </w:t>
      </w:r>
      <w:r w:rsidR="00B840F2">
        <w:rPr>
          <w:lang w:val="en-AU"/>
        </w:rPr>
        <w:t>end of the scale</w:t>
      </w:r>
      <w:r w:rsidR="009837B5">
        <w:rPr>
          <w:lang w:val="en-AU"/>
        </w:rPr>
        <w:t>. This</w:t>
      </w:r>
      <w:r w:rsidR="00B840F2">
        <w:rPr>
          <w:lang w:val="en-AU"/>
        </w:rPr>
        <w:t xml:space="preserve"> indicat</w:t>
      </w:r>
      <w:r w:rsidR="009837B5">
        <w:rPr>
          <w:lang w:val="en-AU"/>
        </w:rPr>
        <w:t>es that</w:t>
      </w:r>
      <w:r w:rsidR="00B840F2">
        <w:rPr>
          <w:lang w:val="en-AU"/>
        </w:rPr>
        <w:t xml:space="preserve"> these providers have less of a reliance on their largest revenue source. </w:t>
      </w:r>
    </w:p>
    <w:p w:rsidR="00B840F2" w:rsidRDefault="00B840F2" w:rsidP="00B840F2">
      <w:pPr>
        <w:pStyle w:val="BulletsL1"/>
        <w:numPr>
          <w:ilvl w:val="0"/>
          <w:numId w:val="7"/>
        </w:numPr>
        <w:shd w:val="clear" w:color="auto" w:fill="E5ECED" w:themeFill="accent4" w:themeFillTint="66"/>
        <w:rPr>
          <w:lang w:val="en-AU"/>
        </w:rPr>
      </w:pPr>
      <w:r>
        <w:rPr>
          <w:lang w:val="en-AU"/>
        </w:rPr>
        <w:t>In addition, providers with greater than 20,000 EFTSL ha</w:t>
      </w:r>
      <w:r w:rsidR="00DC28B1">
        <w:rPr>
          <w:lang w:val="en-AU"/>
        </w:rPr>
        <w:t>d</w:t>
      </w:r>
      <w:r>
        <w:rPr>
          <w:lang w:val="en-AU"/>
        </w:rPr>
        <w:t xml:space="preserve"> a median of 40.1% which is lower than the sector median of 56.6%. </w:t>
      </w:r>
    </w:p>
    <w:p w:rsidR="00222490" w:rsidRPr="009229D5" w:rsidRDefault="00222490" w:rsidP="00222490">
      <w:pPr>
        <w:pStyle w:val="BulletsL1"/>
        <w:shd w:val="clear" w:color="auto" w:fill="E5ECED" w:themeFill="accent4" w:themeFillTint="66"/>
        <w:ind w:left="0" w:firstLine="0"/>
        <w:rPr>
          <w:lang w:val="en-AU"/>
        </w:rPr>
      </w:pPr>
    </w:p>
    <w:p w:rsidR="00222490" w:rsidRPr="00DC28B1" w:rsidRDefault="00222490" w:rsidP="00D554EE">
      <w:pPr>
        <w:pStyle w:val="H3"/>
      </w:pPr>
      <w:r w:rsidRPr="00DC28B1">
        <w:lastRenderedPageBreak/>
        <w:t>Net profit/surplus margin</w:t>
      </w:r>
    </w:p>
    <w:p w:rsidR="009371C0" w:rsidRDefault="009371C0" w:rsidP="00222490">
      <w:pPr>
        <w:rPr>
          <w:rFonts w:ascii="Georgia" w:hAnsi="Georgia" w:cs="Arial"/>
          <w:b/>
          <w:color w:val="004855" w:themeColor="text1"/>
          <w:sz w:val="20"/>
          <w:szCs w:val="20"/>
          <w:lang w:val="en-US"/>
        </w:rPr>
      </w:pPr>
    </w:p>
    <w:p w:rsidR="00222490" w:rsidRPr="001567F7" w:rsidDel="0024327E" w:rsidRDefault="00222490" w:rsidP="00222490">
      <w:pPr>
        <w:rPr>
          <w:rFonts w:ascii="Georgia" w:hAnsi="Georgia"/>
          <w:b/>
          <w:color w:val="004855" w:themeColor="text1"/>
          <w:sz w:val="20"/>
          <w:szCs w:val="20"/>
        </w:rPr>
      </w:pPr>
      <w:r w:rsidRPr="00C333F5"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4</w:t>
      </w:r>
      <w:r w:rsidR="006C43D6">
        <w:rPr>
          <w:rFonts w:ascii="Georgia" w:hAnsi="Georgia" w:cs="Arial"/>
          <w:b/>
          <w:color w:val="004855" w:themeColor="text1"/>
          <w:sz w:val="20"/>
          <w:szCs w:val="20"/>
          <w:lang w:val="en-US"/>
        </w:rPr>
        <w:t>3</w:t>
      </w:r>
      <w:r w:rsidRPr="00C333F5" w:rsidDel="0024327E">
        <w:rPr>
          <w:rFonts w:ascii="Georgia" w:hAnsi="Georgia" w:cs="Arial"/>
          <w:b/>
          <w:color w:val="004855" w:themeColor="text1"/>
          <w:sz w:val="20"/>
          <w:szCs w:val="20"/>
          <w:lang w:val="en-US"/>
        </w:rPr>
        <w:t>: Net profit/surplus margin, by provider size</w:t>
      </w:r>
    </w:p>
    <w:p w:rsidR="00222490" w:rsidRDefault="00E55184" w:rsidP="00222490">
      <w:pPr>
        <w:rPr>
          <w:rFonts w:ascii="Georgia" w:hAnsi="Georgia" w:cs="Arial"/>
          <w:b/>
          <w:color w:val="004855" w:themeColor="text1"/>
          <w:sz w:val="22"/>
          <w:szCs w:val="22"/>
          <w:lang w:val="en-US"/>
        </w:rPr>
      </w:pPr>
      <w:r>
        <w:rPr>
          <w:rFonts w:ascii="Georgia" w:hAnsi="Georgia" w:cs="Arial"/>
          <w:b/>
          <w:noProof/>
          <w:color w:val="004855" w:themeColor="text1"/>
          <w:sz w:val="22"/>
          <w:szCs w:val="22"/>
          <w:lang w:eastAsia="en-AU"/>
        </w:rPr>
        <w:drawing>
          <wp:inline distT="0" distB="0" distL="0" distR="0" wp14:anchorId="34701DE6" wp14:editId="4C37BF58">
            <wp:extent cx="5943600"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1060" cy="3846456"/>
                    </a:xfrm>
                    <a:prstGeom prst="rect">
                      <a:avLst/>
                    </a:prstGeom>
                    <a:noFill/>
                    <a:ln>
                      <a:noFill/>
                    </a:ln>
                  </pic:spPr>
                </pic:pic>
              </a:graphicData>
            </a:graphic>
          </wp:inline>
        </w:drawing>
      </w:r>
    </w:p>
    <w:p w:rsidR="00222490" w:rsidRDefault="00222490" w:rsidP="00222490">
      <w:pPr>
        <w:jc w:val="center"/>
        <w:rPr>
          <w:rFonts w:ascii="Georgia" w:hAnsi="Georgia" w:cs="Arial"/>
          <w:b/>
          <w:color w:val="004855" w:themeColor="text1"/>
          <w:sz w:val="22"/>
          <w:szCs w:val="22"/>
          <w:lang w:val="en-US"/>
        </w:rPr>
      </w:pPr>
      <w:r w:rsidRPr="003B6D8C">
        <w:rPr>
          <w:rFonts w:ascii="Georgia" w:hAnsi="Georgia" w:cs="Arial"/>
          <w:b/>
          <w:noProof/>
          <w:color w:val="004855" w:themeColor="text1"/>
          <w:sz w:val="22"/>
          <w:szCs w:val="22"/>
          <w:lang w:eastAsia="en-AU"/>
        </w:rPr>
        <w:drawing>
          <wp:inline distT="0" distB="0" distL="0" distR="0" wp14:anchorId="11B4750E" wp14:editId="52FB44A5">
            <wp:extent cx="1059180" cy="358140"/>
            <wp:effectExtent l="0" t="0" r="762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3">
                      <a:extLst>
                        <a:ext uri="{28A0092B-C50C-407E-A947-70E740481C1C}">
                          <a14:useLocalDpi xmlns:a14="http://schemas.microsoft.com/office/drawing/2010/main" val="0"/>
                        </a:ext>
                      </a:extLst>
                    </a:blip>
                    <a:srcRect t="14706" b="50735"/>
                    <a:stretch/>
                  </pic:blipFill>
                  <pic:spPr bwMode="auto">
                    <a:xfrm>
                      <a:off x="0" y="0"/>
                      <a:ext cx="1059180" cy="358140"/>
                    </a:xfrm>
                    <a:prstGeom prst="rect">
                      <a:avLst/>
                    </a:prstGeom>
                    <a:noFill/>
                    <a:ln>
                      <a:noFill/>
                    </a:ln>
                    <a:extLst>
                      <a:ext uri="{53640926-AAD7-44D8-BBD7-CCE9431645EC}">
                        <a14:shadowObscured xmlns:a14="http://schemas.microsoft.com/office/drawing/2010/main"/>
                      </a:ext>
                    </a:extLst>
                  </pic:spPr>
                </pic:pic>
              </a:graphicData>
            </a:graphic>
          </wp:inline>
        </w:drawing>
      </w:r>
      <w:r w:rsidRPr="003B6D8C">
        <w:rPr>
          <w:rFonts w:ascii="Georgia" w:hAnsi="Georgia" w:cs="Arial"/>
          <w:b/>
          <w:noProof/>
          <w:color w:val="004855" w:themeColor="text1"/>
          <w:sz w:val="22"/>
          <w:szCs w:val="22"/>
          <w:lang w:eastAsia="en-AU"/>
        </w:rPr>
        <w:drawing>
          <wp:inline distT="0" distB="0" distL="0" distR="0" wp14:anchorId="0C854E61" wp14:editId="711C89F2">
            <wp:extent cx="1059180" cy="388620"/>
            <wp:effectExtent l="0" t="0" r="762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a:extLst>
                        <a:ext uri="{28A0092B-C50C-407E-A947-70E740481C1C}">
                          <a14:useLocalDpi xmlns:a14="http://schemas.microsoft.com/office/drawing/2010/main" val="0"/>
                        </a:ext>
                      </a:extLst>
                    </a:blip>
                    <a:srcRect t="46325" b="16176"/>
                    <a:stretch/>
                  </pic:blipFill>
                  <pic:spPr bwMode="auto">
                    <a:xfrm>
                      <a:off x="0" y="0"/>
                      <a:ext cx="1059180" cy="388620"/>
                    </a:xfrm>
                    <a:prstGeom prst="rect">
                      <a:avLst/>
                    </a:prstGeom>
                    <a:noFill/>
                    <a:ln>
                      <a:noFill/>
                    </a:ln>
                    <a:extLst>
                      <a:ext uri="{53640926-AAD7-44D8-BBD7-CCE9431645EC}">
                        <a14:shadowObscured xmlns:a14="http://schemas.microsoft.com/office/drawing/2010/main"/>
                      </a:ext>
                    </a:extLst>
                  </pic:spPr>
                </pic:pic>
              </a:graphicData>
            </a:graphic>
          </wp:inline>
        </w:drawing>
      </w:r>
      <w:r w:rsidRPr="003B6D8C">
        <w:rPr>
          <w:rFonts w:ascii="Georgia" w:hAnsi="Georgia" w:cs="Arial"/>
          <w:b/>
          <w:noProof/>
          <w:color w:val="004855" w:themeColor="text1"/>
          <w:sz w:val="22"/>
          <w:szCs w:val="22"/>
          <w:lang w:eastAsia="en-AU"/>
        </w:rPr>
        <w:drawing>
          <wp:inline distT="0" distB="0" distL="0" distR="0" wp14:anchorId="6EE4F748" wp14:editId="60EF746C">
            <wp:extent cx="1059180" cy="167640"/>
            <wp:effectExtent l="0" t="0" r="762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3">
                      <a:extLst>
                        <a:ext uri="{28A0092B-C50C-407E-A947-70E740481C1C}">
                          <a14:useLocalDpi xmlns:a14="http://schemas.microsoft.com/office/drawing/2010/main" val="0"/>
                        </a:ext>
                      </a:extLst>
                    </a:blip>
                    <a:srcRect t="83824"/>
                    <a:stretch/>
                  </pic:blipFill>
                  <pic:spPr bwMode="auto">
                    <a:xfrm>
                      <a:off x="0" y="0"/>
                      <a:ext cx="1059180" cy="167640"/>
                    </a:xfrm>
                    <a:prstGeom prst="rect">
                      <a:avLst/>
                    </a:prstGeom>
                    <a:noFill/>
                    <a:ln>
                      <a:noFill/>
                    </a:ln>
                    <a:extLst>
                      <a:ext uri="{53640926-AAD7-44D8-BBD7-CCE9431645EC}">
                        <a14:shadowObscured xmlns:a14="http://schemas.microsoft.com/office/drawing/2010/main"/>
                      </a:ext>
                    </a:extLst>
                  </pic:spPr>
                </pic:pic>
              </a:graphicData>
            </a:graphic>
          </wp:inline>
        </w:drawing>
      </w:r>
    </w:p>
    <w:p w:rsidR="00D62AA3" w:rsidRDefault="00D62AA3" w:rsidP="00222490">
      <w:pPr>
        <w:rPr>
          <w:rFonts w:ascii="Georgia" w:hAnsi="Georgia" w:cs="Arial"/>
          <w:b/>
          <w:color w:val="004855" w:themeColor="text1"/>
          <w:sz w:val="20"/>
          <w:szCs w:val="20"/>
          <w:lang w:val="en-US"/>
        </w:rPr>
      </w:pPr>
    </w:p>
    <w:p w:rsidR="00222490" w:rsidRPr="001567F7" w:rsidRDefault="00222490" w:rsidP="00222490">
      <w:pPr>
        <w:rPr>
          <w:rFonts w:ascii="Georgia" w:hAnsi="Georgia" w:cs="Arial"/>
          <w:b/>
          <w:color w:val="004855" w:themeColor="text1"/>
          <w:sz w:val="20"/>
          <w:szCs w:val="20"/>
          <w:lang w:val="en-US"/>
        </w:rPr>
      </w:pPr>
      <w:r w:rsidRPr="006A6C2F">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38</w:t>
      </w:r>
      <w:r w:rsidRPr="006A6C2F">
        <w:rPr>
          <w:rFonts w:ascii="Georgia" w:hAnsi="Georgia" w:cs="Arial"/>
          <w:b/>
          <w:color w:val="004855" w:themeColor="text1"/>
          <w:sz w:val="20"/>
          <w:szCs w:val="20"/>
          <w:lang w:val="en-US"/>
        </w:rPr>
        <w:t>: Net profit/surplus margin range, by provider size</w:t>
      </w:r>
    </w:p>
    <w:tbl>
      <w:tblPr>
        <w:tblW w:w="5048" w:type="pct"/>
        <w:tblLook w:val="04A0" w:firstRow="1" w:lastRow="0" w:firstColumn="1" w:lastColumn="0" w:noHBand="0" w:noVBand="1"/>
      </w:tblPr>
      <w:tblGrid>
        <w:gridCol w:w="2137"/>
        <w:gridCol w:w="1579"/>
        <w:gridCol w:w="46"/>
        <w:gridCol w:w="1432"/>
        <w:gridCol w:w="1450"/>
        <w:gridCol w:w="12"/>
        <w:gridCol w:w="1533"/>
        <w:gridCol w:w="15"/>
        <w:gridCol w:w="1448"/>
        <w:gridCol w:w="12"/>
      </w:tblGrid>
      <w:tr w:rsidR="00222490" w:rsidRPr="00797118" w:rsidTr="000F1F1A">
        <w:trPr>
          <w:trHeight w:val="300"/>
        </w:trPr>
        <w:tc>
          <w:tcPr>
            <w:tcW w:w="1106" w:type="pct"/>
            <w:tcBorders>
              <w:top w:val="nil"/>
              <w:left w:val="nil"/>
              <w:bottom w:val="single" w:sz="4" w:space="0" w:color="366092"/>
              <w:right w:val="nil"/>
            </w:tcBorders>
            <w:shd w:val="clear" w:color="auto" w:fill="004855"/>
            <w:noWrap/>
            <w:vAlign w:val="center"/>
            <w:hideMark/>
          </w:tcPr>
          <w:p w:rsidR="00222490" w:rsidRPr="00797118" w:rsidRDefault="00222490" w:rsidP="000F1F1A">
            <w:pPr>
              <w:spacing w:after="0"/>
              <w:rPr>
                <w:rFonts w:asciiTheme="minorHAnsi" w:hAnsiTheme="minorHAnsi" w:cstheme="minorHAnsi"/>
                <w:b/>
                <w:sz w:val="20"/>
                <w:szCs w:val="20"/>
              </w:rPr>
            </w:pPr>
          </w:p>
        </w:tc>
        <w:tc>
          <w:tcPr>
            <w:tcW w:w="817" w:type="pct"/>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65" w:type="pct"/>
            <w:gridSpan w:val="2"/>
            <w:tcBorders>
              <w:top w:val="nil"/>
              <w:left w:val="nil"/>
              <w:bottom w:val="single" w:sz="4" w:space="0" w:color="366092"/>
              <w:right w:val="nil"/>
            </w:tcBorders>
            <w:shd w:val="clear" w:color="auto" w:fill="004855"/>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56" w:type="pct"/>
            <w:gridSpan w:val="2"/>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1" w:type="pct"/>
            <w:gridSpan w:val="2"/>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55" w:type="pct"/>
            <w:gridSpan w:val="2"/>
            <w:tcBorders>
              <w:top w:val="nil"/>
              <w:left w:val="nil"/>
              <w:bottom w:val="single" w:sz="4" w:space="0" w:color="366092"/>
              <w:right w:val="nil"/>
            </w:tcBorders>
            <w:shd w:val="clear" w:color="auto" w:fill="004855"/>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222490" w:rsidRPr="00797118" w:rsidTr="000F1F1A">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222490" w:rsidRPr="00DC6756" w:rsidRDefault="00222490" w:rsidP="000F1F1A">
            <w:pPr>
              <w:spacing w:after="0"/>
              <w:rPr>
                <w:rFonts w:asciiTheme="minorHAnsi" w:hAnsiTheme="minorHAnsi" w:cstheme="minorHAnsi"/>
                <w:sz w:val="20"/>
                <w:szCs w:val="20"/>
              </w:rPr>
            </w:pPr>
            <w:r w:rsidRPr="00DC6756">
              <w:rPr>
                <w:rFonts w:asciiTheme="minorHAnsi" w:hAnsiTheme="minorHAnsi" w:cstheme="minorHAnsi"/>
                <w:sz w:val="20"/>
                <w:szCs w:val="20"/>
              </w:rPr>
              <w:t>&lt;</w:t>
            </w:r>
            <w:r>
              <w:rPr>
                <w:rFonts w:asciiTheme="minorHAnsi" w:hAnsiTheme="minorHAnsi" w:cstheme="minorHAnsi"/>
                <w:sz w:val="20"/>
                <w:szCs w:val="20"/>
              </w:rPr>
              <w:t xml:space="preserve"> </w:t>
            </w:r>
            <w:r w:rsidRPr="00DC6756">
              <w:rPr>
                <w:rFonts w:asciiTheme="minorHAnsi" w:hAnsiTheme="minorHAnsi" w:cstheme="minorHAnsi"/>
                <w:sz w:val="20"/>
                <w:szCs w:val="20"/>
              </w:rPr>
              <w:t>100</w:t>
            </w:r>
          </w:p>
        </w:tc>
        <w:tc>
          <w:tcPr>
            <w:tcW w:w="841"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-38.7%</w:t>
            </w:r>
          </w:p>
        </w:tc>
        <w:tc>
          <w:tcPr>
            <w:tcW w:w="74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-0.5%</w:t>
            </w:r>
          </w:p>
        </w:tc>
        <w:tc>
          <w:tcPr>
            <w:tcW w:w="750"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4.4%</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8.9%</w:t>
            </w:r>
          </w:p>
        </w:tc>
        <w:tc>
          <w:tcPr>
            <w:tcW w:w="757"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32.7%</w:t>
            </w:r>
          </w:p>
        </w:tc>
      </w:tr>
      <w:tr w:rsidR="00222490" w:rsidRPr="00797118" w:rsidTr="000F1F1A">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222490" w:rsidRPr="00DC6756" w:rsidRDefault="00222490" w:rsidP="00B374DD">
            <w:pPr>
              <w:spacing w:after="0"/>
              <w:rPr>
                <w:rFonts w:asciiTheme="minorHAnsi" w:hAnsiTheme="minorHAnsi" w:cstheme="minorHAnsi"/>
                <w:sz w:val="20"/>
                <w:szCs w:val="20"/>
              </w:rPr>
            </w:pPr>
            <w:r w:rsidRPr="00DC6756">
              <w:rPr>
                <w:rFonts w:asciiTheme="minorHAnsi" w:hAnsiTheme="minorHAnsi" w:cstheme="minorHAnsi"/>
                <w:sz w:val="20"/>
                <w:szCs w:val="20"/>
              </w:rPr>
              <w:t>100</w:t>
            </w:r>
            <w:r>
              <w:rPr>
                <w:rFonts w:asciiTheme="minorHAnsi" w:hAnsiTheme="minorHAnsi" w:cstheme="minorHAnsi"/>
                <w:sz w:val="20"/>
                <w:szCs w:val="20"/>
              </w:rPr>
              <w:t xml:space="preserve"> ≤  </w:t>
            </w:r>
            <w:r w:rsidRPr="00DC6756">
              <w:rPr>
                <w:rFonts w:asciiTheme="minorHAnsi" w:hAnsiTheme="minorHAnsi" w:cstheme="minorHAnsi"/>
                <w:sz w:val="20"/>
                <w:szCs w:val="20"/>
              </w:rPr>
              <w:t>499</w:t>
            </w:r>
          </w:p>
        </w:tc>
        <w:tc>
          <w:tcPr>
            <w:tcW w:w="841"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-6.1%</w:t>
            </w:r>
          </w:p>
        </w:tc>
        <w:tc>
          <w:tcPr>
            <w:tcW w:w="74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0.3%</w:t>
            </w:r>
          </w:p>
        </w:tc>
        <w:tc>
          <w:tcPr>
            <w:tcW w:w="750"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4.4%</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11.0%</w:t>
            </w:r>
          </w:p>
        </w:tc>
        <w:tc>
          <w:tcPr>
            <w:tcW w:w="757"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34.5%</w:t>
            </w:r>
          </w:p>
        </w:tc>
      </w:tr>
      <w:tr w:rsidR="00222490" w:rsidRPr="00797118" w:rsidTr="000F1F1A">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222490" w:rsidRPr="00DC6756" w:rsidRDefault="00222490" w:rsidP="00B374DD">
            <w:pPr>
              <w:spacing w:after="0"/>
              <w:rPr>
                <w:rFonts w:asciiTheme="minorHAnsi" w:hAnsiTheme="minorHAnsi" w:cstheme="minorHAnsi"/>
                <w:sz w:val="20"/>
                <w:szCs w:val="20"/>
              </w:rPr>
            </w:pPr>
            <w:r w:rsidRPr="00DC6756">
              <w:rPr>
                <w:rFonts w:asciiTheme="minorHAnsi" w:hAnsiTheme="minorHAnsi" w:cstheme="minorHAnsi"/>
                <w:sz w:val="20"/>
                <w:szCs w:val="20"/>
              </w:rPr>
              <w:t>500</w:t>
            </w:r>
            <w:r>
              <w:rPr>
                <w:rFonts w:asciiTheme="minorHAnsi" w:hAnsiTheme="minorHAnsi" w:cstheme="minorHAnsi"/>
                <w:sz w:val="20"/>
                <w:szCs w:val="20"/>
              </w:rPr>
              <w:t xml:space="preserve"> ≤  </w:t>
            </w:r>
            <w:r w:rsidRPr="00DC6756">
              <w:rPr>
                <w:rFonts w:asciiTheme="minorHAnsi" w:hAnsiTheme="minorHAnsi" w:cstheme="minorHAnsi"/>
                <w:sz w:val="20"/>
                <w:szCs w:val="20"/>
              </w:rPr>
              <w:t>4</w:t>
            </w:r>
            <w:r>
              <w:rPr>
                <w:rFonts w:asciiTheme="minorHAnsi" w:hAnsiTheme="minorHAnsi" w:cstheme="minorHAnsi"/>
                <w:sz w:val="20"/>
                <w:szCs w:val="20"/>
              </w:rPr>
              <w:t>,</w:t>
            </w:r>
            <w:r w:rsidRPr="00DC6756">
              <w:rPr>
                <w:rFonts w:asciiTheme="minorHAnsi" w:hAnsiTheme="minorHAnsi" w:cstheme="minorHAnsi"/>
                <w:sz w:val="20"/>
                <w:szCs w:val="20"/>
              </w:rPr>
              <w:t>999</w:t>
            </w:r>
          </w:p>
        </w:tc>
        <w:tc>
          <w:tcPr>
            <w:tcW w:w="841"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-15.8%</w:t>
            </w:r>
          </w:p>
        </w:tc>
        <w:tc>
          <w:tcPr>
            <w:tcW w:w="74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3.1%</w:t>
            </w:r>
          </w:p>
        </w:tc>
        <w:tc>
          <w:tcPr>
            <w:tcW w:w="750"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10.7%</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22.1%</w:t>
            </w:r>
          </w:p>
        </w:tc>
        <w:tc>
          <w:tcPr>
            <w:tcW w:w="757"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54.2%</w:t>
            </w:r>
          </w:p>
        </w:tc>
      </w:tr>
      <w:tr w:rsidR="00222490" w:rsidRPr="00797118" w:rsidTr="000F1F1A">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222490" w:rsidRPr="00DC6756" w:rsidRDefault="00222490" w:rsidP="00B374DD">
            <w:pPr>
              <w:spacing w:after="0"/>
              <w:rPr>
                <w:rFonts w:asciiTheme="minorHAnsi" w:hAnsiTheme="minorHAnsi" w:cstheme="minorHAnsi"/>
                <w:sz w:val="20"/>
                <w:szCs w:val="20"/>
              </w:rPr>
            </w:pPr>
            <w:r w:rsidRPr="00E128BF">
              <w:rPr>
                <w:rFonts w:asciiTheme="minorHAnsi" w:hAnsiTheme="minorHAnsi" w:cstheme="minorHAnsi"/>
                <w:sz w:val="20"/>
                <w:szCs w:val="20"/>
              </w:rPr>
              <w:t>5</w:t>
            </w:r>
            <w:r>
              <w:rPr>
                <w:rFonts w:asciiTheme="minorHAnsi" w:hAnsiTheme="minorHAnsi" w:cstheme="minorHAnsi"/>
                <w:sz w:val="20"/>
                <w:szCs w:val="20"/>
              </w:rPr>
              <w:t>,</w:t>
            </w:r>
            <w:r w:rsidRPr="00E128BF">
              <w:rPr>
                <w:rFonts w:asciiTheme="minorHAnsi" w:hAnsiTheme="minorHAnsi" w:cstheme="minorHAnsi"/>
                <w:sz w:val="20"/>
                <w:szCs w:val="20"/>
              </w:rPr>
              <w:t>000</w:t>
            </w:r>
            <w:r>
              <w:rPr>
                <w:rFonts w:asciiTheme="minorHAnsi" w:hAnsiTheme="minorHAnsi" w:cstheme="minorHAnsi"/>
                <w:sz w:val="20"/>
                <w:szCs w:val="20"/>
              </w:rPr>
              <w:t xml:space="preserve"> </w:t>
            </w:r>
            <w:r w:rsidRPr="00E128BF">
              <w:rPr>
                <w:rFonts w:asciiTheme="minorHAnsi" w:hAnsiTheme="minorHAnsi" w:cstheme="minorHAnsi"/>
                <w:sz w:val="20"/>
                <w:szCs w:val="20"/>
              </w:rPr>
              <w:t>≤</w:t>
            </w:r>
            <w:r>
              <w:rPr>
                <w:rFonts w:asciiTheme="minorHAnsi" w:hAnsiTheme="minorHAnsi" w:cstheme="minorHAnsi"/>
                <w:sz w:val="20"/>
                <w:szCs w:val="20"/>
              </w:rPr>
              <w:t xml:space="preserve">  </w:t>
            </w:r>
            <w:r w:rsidRPr="00E128BF">
              <w:rPr>
                <w:rFonts w:asciiTheme="minorHAnsi" w:hAnsiTheme="minorHAnsi" w:cstheme="minorHAnsi"/>
                <w:sz w:val="20"/>
                <w:szCs w:val="20"/>
              </w:rPr>
              <w:t>19</w:t>
            </w:r>
            <w:r>
              <w:rPr>
                <w:rFonts w:asciiTheme="minorHAnsi" w:hAnsiTheme="minorHAnsi" w:cstheme="minorHAnsi"/>
                <w:sz w:val="20"/>
                <w:szCs w:val="20"/>
              </w:rPr>
              <w:t>,</w:t>
            </w:r>
            <w:r w:rsidRPr="00E128BF">
              <w:rPr>
                <w:rFonts w:asciiTheme="minorHAnsi" w:hAnsiTheme="minorHAnsi" w:cstheme="minorHAnsi"/>
                <w:sz w:val="20"/>
                <w:szCs w:val="20"/>
              </w:rPr>
              <w:t>999</w:t>
            </w:r>
          </w:p>
        </w:tc>
        <w:tc>
          <w:tcPr>
            <w:tcW w:w="841"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-4.1%</w:t>
            </w:r>
          </w:p>
        </w:tc>
        <w:tc>
          <w:tcPr>
            <w:tcW w:w="74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0.0%</w:t>
            </w:r>
          </w:p>
        </w:tc>
        <w:tc>
          <w:tcPr>
            <w:tcW w:w="750"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1.9%</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7.2%</w:t>
            </w:r>
          </w:p>
        </w:tc>
        <w:tc>
          <w:tcPr>
            <w:tcW w:w="757"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12.0%</w:t>
            </w:r>
          </w:p>
        </w:tc>
      </w:tr>
      <w:tr w:rsidR="00222490" w:rsidRPr="00797118" w:rsidTr="000F1F1A">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222490" w:rsidRPr="00DC6756" w:rsidRDefault="00222490" w:rsidP="00B374DD">
            <w:pPr>
              <w:spacing w:after="0"/>
              <w:rPr>
                <w:rFonts w:asciiTheme="minorHAnsi" w:hAnsiTheme="minorHAnsi" w:cstheme="minorHAnsi"/>
                <w:sz w:val="20"/>
                <w:szCs w:val="20"/>
              </w:rPr>
            </w:pPr>
            <w:r w:rsidRPr="00E128BF">
              <w:rPr>
                <w:rFonts w:asciiTheme="minorHAnsi" w:hAnsiTheme="minorHAnsi" w:cstheme="minorHAnsi"/>
                <w:sz w:val="20"/>
                <w:szCs w:val="20"/>
              </w:rPr>
              <w:t>≥</w:t>
            </w:r>
            <w:r>
              <w:rPr>
                <w:rFonts w:asciiTheme="minorHAnsi" w:hAnsiTheme="minorHAnsi" w:cstheme="minorHAnsi"/>
                <w:sz w:val="20"/>
                <w:szCs w:val="20"/>
              </w:rPr>
              <w:t xml:space="preserve">  </w:t>
            </w:r>
            <w:r w:rsidRPr="00E128BF">
              <w:rPr>
                <w:rFonts w:asciiTheme="minorHAnsi" w:hAnsiTheme="minorHAnsi" w:cstheme="minorHAnsi"/>
                <w:sz w:val="20"/>
                <w:szCs w:val="20"/>
              </w:rPr>
              <w:t>20</w:t>
            </w:r>
            <w:r>
              <w:rPr>
                <w:rFonts w:asciiTheme="minorHAnsi" w:hAnsiTheme="minorHAnsi" w:cstheme="minorHAnsi"/>
                <w:sz w:val="20"/>
                <w:szCs w:val="20"/>
              </w:rPr>
              <w:t>,</w:t>
            </w:r>
            <w:r w:rsidRPr="00E128BF">
              <w:rPr>
                <w:rFonts w:asciiTheme="minorHAnsi" w:hAnsiTheme="minorHAnsi" w:cstheme="minorHAnsi"/>
                <w:sz w:val="20"/>
                <w:szCs w:val="20"/>
              </w:rPr>
              <w:t>000</w:t>
            </w:r>
          </w:p>
        </w:tc>
        <w:tc>
          <w:tcPr>
            <w:tcW w:w="841"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-4.8%</w:t>
            </w:r>
          </w:p>
        </w:tc>
        <w:tc>
          <w:tcPr>
            <w:tcW w:w="74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3.5%</w:t>
            </w:r>
          </w:p>
        </w:tc>
        <w:tc>
          <w:tcPr>
            <w:tcW w:w="750"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6.5%</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8.1%</w:t>
            </w:r>
          </w:p>
        </w:tc>
        <w:tc>
          <w:tcPr>
            <w:tcW w:w="757"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13.7%</w:t>
            </w:r>
          </w:p>
        </w:tc>
      </w:tr>
      <w:tr w:rsidR="00222490" w:rsidRPr="00797118" w:rsidTr="000F1F1A">
        <w:trPr>
          <w:gridAfter w:val="1"/>
          <w:wAfter w:w="6" w:type="pct"/>
          <w:trHeight w:val="300"/>
        </w:trPr>
        <w:tc>
          <w:tcPr>
            <w:tcW w:w="1106" w:type="pct"/>
            <w:tcBorders>
              <w:top w:val="single" w:sz="4" w:space="0" w:color="366092"/>
              <w:left w:val="nil"/>
              <w:bottom w:val="single" w:sz="4" w:space="0" w:color="366092"/>
              <w:right w:val="nil"/>
            </w:tcBorders>
            <w:shd w:val="clear" w:color="000000" w:fill="E5F6F6"/>
            <w:noWrap/>
            <w:vAlign w:val="center"/>
          </w:tcPr>
          <w:p w:rsidR="00222490" w:rsidRPr="00797118" w:rsidRDefault="00222490" w:rsidP="000F1F1A">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41" w:type="pct"/>
            <w:gridSpan w:val="2"/>
            <w:tcBorders>
              <w:top w:val="single" w:sz="4" w:space="0" w:color="366092"/>
              <w:left w:val="nil"/>
              <w:bottom w:val="single" w:sz="4" w:space="0" w:color="366092"/>
              <w:right w:val="nil"/>
            </w:tcBorders>
            <w:shd w:val="clear" w:color="000000" w:fill="E5F6F6"/>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-38.7%</w:t>
            </w:r>
          </w:p>
        </w:tc>
        <w:tc>
          <w:tcPr>
            <w:tcW w:w="741" w:type="pct"/>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0.4%</w:t>
            </w:r>
          </w:p>
        </w:tc>
        <w:tc>
          <w:tcPr>
            <w:tcW w:w="750" w:type="pct"/>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5.9%</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11.0%</w:t>
            </w:r>
          </w:p>
        </w:tc>
        <w:tc>
          <w:tcPr>
            <w:tcW w:w="757" w:type="pct"/>
            <w:gridSpan w:val="2"/>
            <w:tcBorders>
              <w:top w:val="single" w:sz="4" w:space="0" w:color="366092"/>
              <w:left w:val="nil"/>
              <w:bottom w:val="single" w:sz="4" w:space="0" w:color="366092"/>
              <w:right w:val="nil"/>
            </w:tcBorders>
            <w:shd w:val="clear" w:color="000000" w:fill="E5F6F6"/>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54.2%</w:t>
            </w:r>
          </w:p>
        </w:tc>
      </w:tr>
    </w:tbl>
    <w:p w:rsidR="00222490" w:rsidRDefault="00222490" w:rsidP="00353F0C">
      <w:pPr>
        <w:spacing w:after="0" w:line="240" w:lineRule="auto"/>
      </w:pPr>
    </w:p>
    <w:p w:rsidR="00222490" w:rsidRPr="00130AB7" w:rsidRDefault="00222490" w:rsidP="00222490">
      <w:pPr>
        <w:pStyle w:val="BulletsL1"/>
        <w:shd w:val="clear" w:color="auto" w:fill="E5ECED" w:themeFill="accent4" w:themeFillTint="66"/>
        <w:rPr>
          <w:lang w:val="en-AU"/>
        </w:rPr>
      </w:pPr>
    </w:p>
    <w:p w:rsidR="00071D31" w:rsidRPr="00A74AE5" w:rsidRDefault="00C16956" w:rsidP="00071D31">
      <w:pPr>
        <w:pStyle w:val="BulletsL1"/>
        <w:numPr>
          <w:ilvl w:val="0"/>
          <w:numId w:val="6"/>
        </w:numPr>
        <w:shd w:val="clear" w:color="auto" w:fill="E5ECED" w:themeFill="accent4" w:themeFillTint="66"/>
        <w:ind w:left="284" w:hanging="284"/>
        <w:rPr>
          <w:lang w:val="en-AU"/>
        </w:rPr>
      </w:pPr>
      <w:r>
        <w:rPr>
          <w:lang w:val="en-AU"/>
        </w:rPr>
        <w:t>Providers with</w:t>
      </w:r>
      <w:r w:rsidR="00071D31">
        <w:rPr>
          <w:lang w:val="en-AU"/>
        </w:rPr>
        <w:t xml:space="preserve"> 500 </w:t>
      </w:r>
      <w:r w:rsidR="00DC28B1">
        <w:rPr>
          <w:lang w:val="en-AU"/>
        </w:rPr>
        <w:t>to</w:t>
      </w:r>
      <w:r w:rsidR="00071D31">
        <w:rPr>
          <w:lang w:val="en-AU"/>
        </w:rPr>
        <w:t xml:space="preserve"> 4,999 EFTSL </w:t>
      </w:r>
      <w:r w:rsidR="00DC28B1">
        <w:rPr>
          <w:lang w:val="en-AU"/>
        </w:rPr>
        <w:t xml:space="preserve">are </w:t>
      </w:r>
      <w:r w:rsidR="00071D31">
        <w:rPr>
          <w:lang w:val="en-AU"/>
        </w:rPr>
        <w:t>cluster</w:t>
      </w:r>
      <w:r w:rsidR="00DC28B1">
        <w:rPr>
          <w:lang w:val="en-AU"/>
        </w:rPr>
        <w:t>ed</w:t>
      </w:r>
      <w:r>
        <w:rPr>
          <w:lang w:val="en-AU"/>
        </w:rPr>
        <w:t xml:space="preserve"> towards</w:t>
      </w:r>
      <w:r w:rsidR="00071D31">
        <w:rPr>
          <w:lang w:val="en-AU"/>
        </w:rPr>
        <w:t xml:space="preserve"> the upper end of the scale. </w:t>
      </w:r>
    </w:p>
    <w:p w:rsidR="00222490" w:rsidRPr="004A548D" w:rsidRDefault="00071D31" w:rsidP="00222490">
      <w:pPr>
        <w:pStyle w:val="BulletsL1"/>
        <w:numPr>
          <w:ilvl w:val="0"/>
          <w:numId w:val="6"/>
        </w:numPr>
        <w:shd w:val="clear" w:color="auto" w:fill="E5ECED" w:themeFill="accent4" w:themeFillTint="66"/>
        <w:ind w:left="284" w:hanging="284"/>
        <w:rPr>
          <w:lang w:val="en-AU"/>
        </w:rPr>
      </w:pPr>
      <w:r>
        <w:t xml:space="preserve">The median </w:t>
      </w:r>
      <w:r w:rsidR="00222490">
        <w:t xml:space="preserve">profit/surplus margins </w:t>
      </w:r>
      <w:r>
        <w:t xml:space="preserve">for </w:t>
      </w:r>
      <w:r w:rsidR="00222490">
        <w:t>those with 500 to 4,999 EFTSL</w:t>
      </w:r>
      <w:r>
        <w:t xml:space="preserve"> were much greater than the sector median</w:t>
      </w:r>
      <w:r w:rsidR="00DC28B1">
        <w:t>.</w:t>
      </w:r>
      <w:r>
        <w:t xml:space="preserve"> </w:t>
      </w:r>
      <w:r w:rsidR="00DC28B1">
        <w:t>M</w:t>
      </w:r>
      <w:r w:rsidR="00222490">
        <w:t>any of these providers are For-Profit providers.</w:t>
      </w:r>
    </w:p>
    <w:p w:rsidR="00222490" w:rsidRPr="002F003D" w:rsidRDefault="00222490" w:rsidP="00222490">
      <w:pPr>
        <w:pStyle w:val="BulletsL1"/>
        <w:shd w:val="clear" w:color="auto" w:fill="E5ECED" w:themeFill="accent4" w:themeFillTint="66"/>
        <w:ind w:left="0" w:firstLine="0"/>
        <w:rPr>
          <w:lang w:val="en-AU"/>
        </w:rPr>
      </w:pPr>
    </w:p>
    <w:p w:rsidR="00ED2361" w:rsidRDefault="00ED2361" w:rsidP="00222490">
      <w:pPr>
        <w:spacing w:after="0" w:line="240" w:lineRule="auto"/>
        <w:rPr>
          <w:rFonts w:asciiTheme="minorHAnsi" w:eastAsiaTheme="minorHAnsi" w:hAnsiTheme="minorHAnsi" w:cstheme="minorHAnsi"/>
          <w:b/>
          <w:bCs/>
          <w:color w:val="407680" w:themeColor="accent2"/>
          <w:sz w:val="26"/>
          <w:szCs w:val="26"/>
          <w:lang w:val="en-GB"/>
        </w:rPr>
      </w:pPr>
    </w:p>
    <w:p w:rsidR="00E55184" w:rsidRDefault="00E55184">
      <w:pPr>
        <w:spacing w:after="0" w:line="240" w:lineRule="auto"/>
        <w:rPr>
          <w:rFonts w:asciiTheme="minorHAnsi" w:eastAsiaTheme="minorHAnsi" w:hAnsiTheme="minorHAnsi" w:cstheme="minorHAnsi"/>
          <w:b/>
          <w:bCs/>
          <w:color w:val="407680" w:themeColor="accent2"/>
          <w:sz w:val="26"/>
          <w:szCs w:val="26"/>
          <w:lang w:val="en-GB"/>
        </w:rPr>
      </w:pPr>
      <w:r>
        <w:rPr>
          <w:rFonts w:asciiTheme="minorHAnsi" w:eastAsiaTheme="minorHAnsi" w:hAnsiTheme="minorHAnsi" w:cstheme="minorHAnsi"/>
          <w:b/>
          <w:bCs/>
          <w:color w:val="407680" w:themeColor="accent2"/>
          <w:sz w:val="26"/>
          <w:szCs w:val="26"/>
          <w:lang w:val="en-GB"/>
        </w:rPr>
        <w:br w:type="page"/>
      </w:r>
    </w:p>
    <w:p w:rsidR="00222490" w:rsidRDefault="00222490" w:rsidP="00222490">
      <w:pPr>
        <w:spacing w:after="0" w:line="240" w:lineRule="auto"/>
        <w:rPr>
          <w:rFonts w:asciiTheme="minorHAnsi" w:eastAsiaTheme="minorHAnsi" w:hAnsiTheme="minorHAnsi" w:cstheme="minorHAnsi"/>
          <w:b/>
          <w:bCs/>
          <w:color w:val="407680" w:themeColor="accent2"/>
          <w:sz w:val="26"/>
          <w:szCs w:val="26"/>
          <w:lang w:val="en-GB"/>
        </w:rPr>
      </w:pPr>
      <w:r w:rsidRPr="00803619">
        <w:rPr>
          <w:rFonts w:asciiTheme="minorHAnsi" w:eastAsiaTheme="minorHAnsi" w:hAnsiTheme="minorHAnsi" w:cstheme="minorHAnsi"/>
          <w:b/>
          <w:bCs/>
          <w:color w:val="407680" w:themeColor="accent2"/>
          <w:sz w:val="26"/>
          <w:szCs w:val="26"/>
          <w:lang w:val="en-GB"/>
        </w:rPr>
        <w:lastRenderedPageBreak/>
        <w:t>EBITDA margin</w:t>
      </w:r>
    </w:p>
    <w:p w:rsidR="00222490" w:rsidRPr="00803619" w:rsidRDefault="00222490" w:rsidP="00222490">
      <w:pPr>
        <w:spacing w:after="0" w:line="240" w:lineRule="auto"/>
      </w:pPr>
    </w:p>
    <w:p w:rsidR="00222490" w:rsidRPr="001567F7" w:rsidDel="0024327E" w:rsidRDefault="00222490" w:rsidP="00222490">
      <w:pPr>
        <w:rPr>
          <w:rFonts w:ascii="Georgia" w:hAnsi="Georgia"/>
          <w:b/>
          <w:color w:val="004855" w:themeColor="text1"/>
          <w:sz w:val="20"/>
          <w:szCs w:val="20"/>
        </w:rPr>
      </w:pPr>
      <w:r w:rsidRPr="005F65D6"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4</w:t>
      </w:r>
      <w:r w:rsidR="006C43D6">
        <w:rPr>
          <w:rFonts w:ascii="Georgia" w:hAnsi="Georgia" w:cs="Arial"/>
          <w:b/>
          <w:color w:val="004855" w:themeColor="text1"/>
          <w:sz w:val="20"/>
          <w:szCs w:val="20"/>
          <w:lang w:val="en-US"/>
        </w:rPr>
        <w:t>4</w:t>
      </w:r>
      <w:r w:rsidRPr="005F65D6" w:rsidDel="0024327E">
        <w:rPr>
          <w:rFonts w:ascii="Georgia" w:hAnsi="Georgia" w:cs="Arial"/>
          <w:b/>
          <w:color w:val="004855" w:themeColor="text1"/>
          <w:sz w:val="20"/>
          <w:szCs w:val="20"/>
          <w:lang w:val="en-US"/>
        </w:rPr>
        <w:t>: EBITDA margin, by provider size</w:t>
      </w:r>
    </w:p>
    <w:p w:rsidR="00222490" w:rsidRDefault="00E55184" w:rsidP="00222490">
      <w:pPr>
        <w:spacing w:after="0" w:line="240" w:lineRule="auto"/>
        <w:rPr>
          <w:rFonts w:ascii="Arial" w:hAnsi="Arial" w:cs="Arial"/>
        </w:rPr>
      </w:pPr>
      <w:r w:rsidRPr="00F21973">
        <w:rPr>
          <w:rFonts w:ascii="Arial" w:hAnsi="Arial" w:cs="Arial"/>
          <w:noProof/>
          <w:lang w:eastAsia="en-AU"/>
        </w:rPr>
        <w:drawing>
          <wp:inline distT="0" distB="0" distL="0" distR="0" wp14:anchorId="5D524965" wp14:editId="38D692B1">
            <wp:extent cx="5934075" cy="3571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1060" cy="3576079"/>
                    </a:xfrm>
                    <a:prstGeom prst="rect">
                      <a:avLst/>
                    </a:prstGeom>
                    <a:noFill/>
                    <a:ln>
                      <a:noFill/>
                    </a:ln>
                  </pic:spPr>
                </pic:pic>
              </a:graphicData>
            </a:graphic>
          </wp:inline>
        </w:drawing>
      </w:r>
    </w:p>
    <w:p w:rsidR="00222490" w:rsidRDefault="00222490" w:rsidP="00222490">
      <w:pPr>
        <w:jc w:val="center"/>
        <w:rPr>
          <w:rFonts w:ascii="Georgia" w:hAnsi="Georgia" w:cs="Arial"/>
          <w:b/>
          <w:color w:val="004855" w:themeColor="text1"/>
          <w:sz w:val="22"/>
          <w:szCs w:val="22"/>
          <w:lang w:val="en-US"/>
        </w:rPr>
      </w:pPr>
      <w:r w:rsidRPr="00F21973">
        <w:rPr>
          <w:rFonts w:ascii="Georgia" w:hAnsi="Georgia" w:cs="Arial"/>
          <w:b/>
          <w:noProof/>
          <w:color w:val="004855" w:themeColor="text1"/>
          <w:sz w:val="22"/>
          <w:szCs w:val="22"/>
          <w:lang w:eastAsia="en-AU"/>
        </w:rPr>
        <w:drawing>
          <wp:inline distT="0" distB="0" distL="0" distR="0" wp14:anchorId="1AC65277" wp14:editId="4556619E">
            <wp:extent cx="1059180" cy="358140"/>
            <wp:effectExtent l="0" t="0" r="7620" b="381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3">
                      <a:extLst>
                        <a:ext uri="{28A0092B-C50C-407E-A947-70E740481C1C}">
                          <a14:useLocalDpi xmlns:a14="http://schemas.microsoft.com/office/drawing/2010/main" val="0"/>
                        </a:ext>
                      </a:extLst>
                    </a:blip>
                    <a:srcRect t="14706" b="50735"/>
                    <a:stretch/>
                  </pic:blipFill>
                  <pic:spPr bwMode="auto">
                    <a:xfrm>
                      <a:off x="0" y="0"/>
                      <a:ext cx="1059180" cy="358140"/>
                    </a:xfrm>
                    <a:prstGeom prst="rect">
                      <a:avLst/>
                    </a:prstGeom>
                    <a:noFill/>
                    <a:ln>
                      <a:noFill/>
                    </a:ln>
                    <a:extLst>
                      <a:ext uri="{53640926-AAD7-44D8-BBD7-CCE9431645EC}">
                        <a14:shadowObscured xmlns:a14="http://schemas.microsoft.com/office/drawing/2010/main"/>
                      </a:ext>
                    </a:extLst>
                  </pic:spPr>
                </pic:pic>
              </a:graphicData>
            </a:graphic>
          </wp:inline>
        </w:drawing>
      </w:r>
      <w:r w:rsidRPr="00F21973">
        <w:rPr>
          <w:rFonts w:ascii="Georgia" w:hAnsi="Georgia" w:cs="Arial"/>
          <w:b/>
          <w:noProof/>
          <w:color w:val="004855" w:themeColor="text1"/>
          <w:sz w:val="22"/>
          <w:szCs w:val="22"/>
          <w:lang w:eastAsia="en-AU"/>
        </w:rPr>
        <w:drawing>
          <wp:inline distT="0" distB="0" distL="0" distR="0" wp14:anchorId="1DEBC1B1" wp14:editId="78726E3A">
            <wp:extent cx="1059180" cy="388620"/>
            <wp:effectExtent l="0" t="0" r="762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a:extLst>
                        <a:ext uri="{28A0092B-C50C-407E-A947-70E740481C1C}">
                          <a14:useLocalDpi xmlns:a14="http://schemas.microsoft.com/office/drawing/2010/main" val="0"/>
                        </a:ext>
                      </a:extLst>
                    </a:blip>
                    <a:srcRect t="46325" b="16176"/>
                    <a:stretch/>
                  </pic:blipFill>
                  <pic:spPr bwMode="auto">
                    <a:xfrm>
                      <a:off x="0" y="0"/>
                      <a:ext cx="1059180" cy="388620"/>
                    </a:xfrm>
                    <a:prstGeom prst="rect">
                      <a:avLst/>
                    </a:prstGeom>
                    <a:noFill/>
                    <a:ln>
                      <a:noFill/>
                    </a:ln>
                    <a:extLst>
                      <a:ext uri="{53640926-AAD7-44D8-BBD7-CCE9431645EC}">
                        <a14:shadowObscured xmlns:a14="http://schemas.microsoft.com/office/drawing/2010/main"/>
                      </a:ext>
                    </a:extLst>
                  </pic:spPr>
                </pic:pic>
              </a:graphicData>
            </a:graphic>
          </wp:inline>
        </w:drawing>
      </w:r>
      <w:r w:rsidRPr="00F21973">
        <w:rPr>
          <w:rFonts w:ascii="Georgia" w:hAnsi="Georgia" w:cs="Arial"/>
          <w:b/>
          <w:noProof/>
          <w:color w:val="004855" w:themeColor="text1"/>
          <w:sz w:val="22"/>
          <w:szCs w:val="22"/>
          <w:lang w:eastAsia="en-AU"/>
        </w:rPr>
        <w:drawing>
          <wp:inline distT="0" distB="0" distL="0" distR="0" wp14:anchorId="58FB997C" wp14:editId="473C11F9">
            <wp:extent cx="1059180" cy="167640"/>
            <wp:effectExtent l="0" t="0" r="7620" b="381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3">
                      <a:extLst>
                        <a:ext uri="{28A0092B-C50C-407E-A947-70E740481C1C}">
                          <a14:useLocalDpi xmlns:a14="http://schemas.microsoft.com/office/drawing/2010/main" val="0"/>
                        </a:ext>
                      </a:extLst>
                    </a:blip>
                    <a:srcRect t="83824"/>
                    <a:stretch/>
                  </pic:blipFill>
                  <pic:spPr bwMode="auto">
                    <a:xfrm>
                      <a:off x="0" y="0"/>
                      <a:ext cx="1059180" cy="167640"/>
                    </a:xfrm>
                    <a:prstGeom prst="rect">
                      <a:avLst/>
                    </a:prstGeom>
                    <a:noFill/>
                    <a:ln>
                      <a:noFill/>
                    </a:ln>
                    <a:extLst>
                      <a:ext uri="{53640926-AAD7-44D8-BBD7-CCE9431645EC}">
                        <a14:shadowObscured xmlns:a14="http://schemas.microsoft.com/office/drawing/2010/main"/>
                      </a:ext>
                    </a:extLst>
                  </pic:spPr>
                </pic:pic>
              </a:graphicData>
            </a:graphic>
          </wp:inline>
        </w:drawing>
      </w:r>
    </w:p>
    <w:p w:rsidR="00222490" w:rsidRDefault="00222490" w:rsidP="00222490">
      <w:pPr>
        <w:rPr>
          <w:rFonts w:ascii="Georgia" w:hAnsi="Georgia" w:cs="Arial"/>
          <w:b/>
          <w:color w:val="004855" w:themeColor="text1"/>
          <w:sz w:val="20"/>
          <w:szCs w:val="20"/>
          <w:lang w:val="en-US"/>
        </w:rPr>
      </w:pPr>
    </w:p>
    <w:p w:rsidR="00222490" w:rsidRPr="001567F7" w:rsidRDefault="00222490" w:rsidP="00222490">
      <w:pPr>
        <w:rPr>
          <w:rFonts w:ascii="Georgia" w:hAnsi="Georgia" w:cs="Arial"/>
          <w:b/>
          <w:color w:val="004855" w:themeColor="text1"/>
          <w:sz w:val="20"/>
          <w:szCs w:val="20"/>
          <w:lang w:val="en-US"/>
        </w:rPr>
      </w:pPr>
      <w:r w:rsidRPr="006A6C2F">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3</w:t>
      </w:r>
      <w:r w:rsidRPr="006A6C2F">
        <w:rPr>
          <w:rFonts w:ascii="Georgia" w:hAnsi="Georgia" w:cs="Arial"/>
          <w:b/>
          <w:color w:val="004855" w:themeColor="text1"/>
          <w:sz w:val="20"/>
          <w:szCs w:val="20"/>
          <w:lang w:val="en-US"/>
        </w:rPr>
        <w:t>9: EBITDA margin range, by provider size</w:t>
      </w:r>
    </w:p>
    <w:tbl>
      <w:tblPr>
        <w:tblW w:w="5061" w:type="pct"/>
        <w:tblLook w:val="04A0" w:firstRow="1" w:lastRow="0" w:firstColumn="1" w:lastColumn="0" w:noHBand="0" w:noVBand="1"/>
      </w:tblPr>
      <w:tblGrid>
        <w:gridCol w:w="2125"/>
        <w:gridCol w:w="1567"/>
        <w:gridCol w:w="37"/>
        <w:gridCol w:w="1521"/>
        <w:gridCol w:w="1430"/>
        <w:gridCol w:w="10"/>
        <w:gridCol w:w="1539"/>
        <w:gridCol w:w="10"/>
        <w:gridCol w:w="1440"/>
        <w:gridCol w:w="10"/>
      </w:tblGrid>
      <w:tr w:rsidR="00222490" w:rsidRPr="00797118" w:rsidTr="000F1F1A">
        <w:trPr>
          <w:trHeight w:val="300"/>
        </w:trPr>
        <w:tc>
          <w:tcPr>
            <w:tcW w:w="1097" w:type="pct"/>
            <w:tcBorders>
              <w:top w:val="nil"/>
              <w:left w:val="nil"/>
              <w:bottom w:val="single" w:sz="4" w:space="0" w:color="366092"/>
              <w:right w:val="nil"/>
            </w:tcBorders>
            <w:shd w:val="clear" w:color="auto" w:fill="004855"/>
            <w:noWrap/>
            <w:vAlign w:val="center"/>
            <w:hideMark/>
          </w:tcPr>
          <w:p w:rsidR="00222490" w:rsidRPr="00797118" w:rsidRDefault="00222490" w:rsidP="000F1F1A">
            <w:pPr>
              <w:spacing w:after="0"/>
              <w:rPr>
                <w:rFonts w:asciiTheme="minorHAnsi" w:hAnsiTheme="minorHAnsi" w:cstheme="minorHAnsi"/>
                <w:b/>
                <w:sz w:val="20"/>
                <w:szCs w:val="20"/>
              </w:rPr>
            </w:pPr>
          </w:p>
        </w:tc>
        <w:tc>
          <w:tcPr>
            <w:tcW w:w="809" w:type="pct"/>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04" w:type="pct"/>
            <w:gridSpan w:val="2"/>
            <w:tcBorders>
              <w:top w:val="nil"/>
              <w:left w:val="nil"/>
              <w:bottom w:val="single" w:sz="4" w:space="0" w:color="366092"/>
              <w:right w:val="nil"/>
            </w:tcBorders>
            <w:shd w:val="clear" w:color="auto" w:fill="004855"/>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3" w:type="pct"/>
            <w:gridSpan w:val="2"/>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8" w:type="pct"/>
            <w:gridSpan w:val="2"/>
            <w:tcBorders>
              <w:top w:val="nil"/>
              <w:left w:val="nil"/>
              <w:bottom w:val="single" w:sz="4" w:space="0" w:color="366092"/>
              <w:right w:val="nil"/>
            </w:tcBorders>
            <w:shd w:val="clear" w:color="auto" w:fill="004855"/>
            <w:vAlign w:val="center"/>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222490" w:rsidRPr="00797118" w:rsidTr="000F1F1A">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222490" w:rsidRPr="00DC6756" w:rsidRDefault="00222490" w:rsidP="000F1F1A">
            <w:pPr>
              <w:spacing w:after="0"/>
              <w:rPr>
                <w:rFonts w:asciiTheme="minorHAnsi" w:hAnsiTheme="minorHAnsi" w:cstheme="minorHAnsi"/>
                <w:sz w:val="20"/>
                <w:szCs w:val="20"/>
              </w:rPr>
            </w:pPr>
            <w:r w:rsidRPr="00DC6756">
              <w:rPr>
                <w:rFonts w:asciiTheme="minorHAnsi" w:hAnsiTheme="minorHAnsi" w:cstheme="minorHAnsi"/>
                <w:sz w:val="20"/>
                <w:szCs w:val="20"/>
              </w:rPr>
              <w:t>&lt;</w:t>
            </w:r>
            <w:r>
              <w:rPr>
                <w:rFonts w:asciiTheme="minorHAnsi" w:hAnsiTheme="minorHAnsi" w:cstheme="minorHAnsi"/>
                <w:sz w:val="20"/>
                <w:szCs w:val="20"/>
              </w:rPr>
              <w:t xml:space="preserve"> </w:t>
            </w:r>
            <w:r w:rsidRPr="00DC6756">
              <w:rPr>
                <w:rFonts w:asciiTheme="minorHAnsi" w:hAnsiTheme="minorHAnsi" w:cstheme="minorHAnsi"/>
                <w:sz w:val="20"/>
                <w:szCs w:val="20"/>
              </w:rPr>
              <w:t>100</w:t>
            </w:r>
          </w:p>
        </w:tc>
        <w:tc>
          <w:tcPr>
            <w:tcW w:w="82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-77.2%</w:t>
            </w:r>
          </w:p>
        </w:tc>
        <w:tc>
          <w:tcPr>
            <w:tcW w:w="785"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0.4%</w:t>
            </w:r>
          </w:p>
        </w:tc>
        <w:tc>
          <w:tcPr>
            <w:tcW w:w="738"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6.9%</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15.3%</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98.1%</w:t>
            </w:r>
          </w:p>
        </w:tc>
      </w:tr>
      <w:tr w:rsidR="00222490" w:rsidRPr="00797118" w:rsidTr="000F1F1A">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222490" w:rsidRPr="00DC6756" w:rsidRDefault="00222490" w:rsidP="000F1F1A">
            <w:pPr>
              <w:spacing w:after="0"/>
              <w:rPr>
                <w:rFonts w:asciiTheme="minorHAnsi" w:hAnsiTheme="minorHAnsi" w:cstheme="minorHAnsi"/>
                <w:sz w:val="20"/>
                <w:szCs w:val="20"/>
              </w:rPr>
            </w:pPr>
            <w:r w:rsidRPr="00DC6756">
              <w:rPr>
                <w:rFonts w:asciiTheme="minorHAnsi" w:hAnsiTheme="minorHAnsi" w:cstheme="minorHAnsi"/>
                <w:sz w:val="20"/>
                <w:szCs w:val="20"/>
              </w:rPr>
              <w:t>100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499</w:t>
            </w:r>
          </w:p>
        </w:tc>
        <w:tc>
          <w:tcPr>
            <w:tcW w:w="82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-3.9%</w:t>
            </w:r>
          </w:p>
        </w:tc>
        <w:tc>
          <w:tcPr>
            <w:tcW w:w="785"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2.2%</w:t>
            </w:r>
          </w:p>
        </w:tc>
        <w:tc>
          <w:tcPr>
            <w:tcW w:w="738"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8.2%</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17.4%</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47.4%</w:t>
            </w:r>
          </w:p>
        </w:tc>
      </w:tr>
      <w:tr w:rsidR="00222490" w:rsidRPr="00797118" w:rsidTr="000F1F1A">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222490" w:rsidRPr="00DC6756" w:rsidRDefault="00222490" w:rsidP="000F1F1A">
            <w:pPr>
              <w:spacing w:after="0"/>
              <w:rPr>
                <w:rFonts w:asciiTheme="minorHAnsi" w:hAnsiTheme="minorHAnsi" w:cstheme="minorHAnsi"/>
                <w:sz w:val="20"/>
                <w:szCs w:val="20"/>
              </w:rPr>
            </w:pPr>
            <w:r w:rsidRPr="00DC6756">
              <w:rPr>
                <w:rFonts w:asciiTheme="minorHAnsi" w:hAnsiTheme="minorHAnsi" w:cstheme="minorHAnsi"/>
                <w:sz w:val="20"/>
                <w:szCs w:val="20"/>
              </w:rPr>
              <w:t>500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w:t>
            </w:r>
            <w:r>
              <w:rPr>
                <w:rFonts w:asciiTheme="minorHAnsi" w:hAnsiTheme="minorHAnsi" w:cstheme="minorHAnsi"/>
                <w:sz w:val="20"/>
                <w:szCs w:val="20"/>
              </w:rPr>
              <w:t>,</w:t>
            </w:r>
            <w:r w:rsidRPr="00DC6756">
              <w:rPr>
                <w:rFonts w:asciiTheme="minorHAnsi" w:hAnsiTheme="minorHAnsi" w:cstheme="minorHAnsi"/>
                <w:sz w:val="20"/>
                <w:szCs w:val="20"/>
              </w:rPr>
              <w:t>999</w:t>
            </w:r>
          </w:p>
        </w:tc>
        <w:tc>
          <w:tcPr>
            <w:tcW w:w="82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-10.5%</w:t>
            </w:r>
          </w:p>
        </w:tc>
        <w:tc>
          <w:tcPr>
            <w:tcW w:w="785"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6.7%</w:t>
            </w:r>
          </w:p>
        </w:tc>
        <w:tc>
          <w:tcPr>
            <w:tcW w:w="738"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16.3%</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32.4%</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53.9%</w:t>
            </w:r>
          </w:p>
        </w:tc>
      </w:tr>
      <w:tr w:rsidR="00222490" w:rsidRPr="00797118" w:rsidTr="000F1F1A">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222490" w:rsidRPr="00DC6756" w:rsidRDefault="00222490" w:rsidP="000F1F1A">
            <w:pPr>
              <w:spacing w:after="0"/>
              <w:rPr>
                <w:rFonts w:asciiTheme="minorHAnsi" w:hAnsiTheme="minorHAnsi" w:cstheme="minorHAnsi"/>
                <w:sz w:val="20"/>
                <w:szCs w:val="20"/>
              </w:rPr>
            </w:pPr>
            <w:r w:rsidRPr="00E128BF">
              <w:rPr>
                <w:rFonts w:asciiTheme="minorHAnsi" w:hAnsiTheme="minorHAnsi" w:cstheme="minorHAnsi"/>
                <w:sz w:val="20"/>
                <w:szCs w:val="20"/>
              </w:rPr>
              <w:t>5</w:t>
            </w:r>
            <w:r>
              <w:rPr>
                <w:rFonts w:asciiTheme="minorHAnsi" w:hAnsiTheme="minorHAnsi" w:cstheme="minorHAnsi"/>
                <w:sz w:val="20"/>
                <w:szCs w:val="20"/>
              </w:rPr>
              <w:t>,</w:t>
            </w:r>
            <w:r w:rsidRPr="00E128BF">
              <w:rPr>
                <w:rFonts w:asciiTheme="minorHAnsi" w:hAnsiTheme="minorHAnsi" w:cstheme="minorHAnsi"/>
                <w:sz w:val="20"/>
                <w:szCs w:val="20"/>
              </w:rPr>
              <w:t>000</w:t>
            </w:r>
            <w:r>
              <w:rPr>
                <w:rFonts w:asciiTheme="minorHAnsi" w:hAnsiTheme="minorHAnsi" w:cstheme="minorHAnsi"/>
                <w:sz w:val="20"/>
                <w:szCs w:val="20"/>
              </w:rPr>
              <w:t xml:space="preserve"> </w:t>
            </w: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19</w:t>
            </w:r>
            <w:r>
              <w:rPr>
                <w:rFonts w:asciiTheme="minorHAnsi" w:hAnsiTheme="minorHAnsi" w:cstheme="minorHAnsi"/>
                <w:sz w:val="20"/>
                <w:szCs w:val="20"/>
              </w:rPr>
              <w:t>,</w:t>
            </w:r>
            <w:r w:rsidRPr="00E128BF">
              <w:rPr>
                <w:rFonts w:asciiTheme="minorHAnsi" w:hAnsiTheme="minorHAnsi" w:cstheme="minorHAnsi"/>
                <w:sz w:val="20"/>
                <w:szCs w:val="20"/>
              </w:rPr>
              <w:t>999</w:t>
            </w:r>
          </w:p>
        </w:tc>
        <w:tc>
          <w:tcPr>
            <w:tcW w:w="82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1.7%</w:t>
            </w:r>
          </w:p>
        </w:tc>
        <w:tc>
          <w:tcPr>
            <w:tcW w:w="785"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4.8%</w:t>
            </w:r>
          </w:p>
        </w:tc>
        <w:tc>
          <w:tcPr>
            <w:tcW w:w="738"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8.0%</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11.4%</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19.4%</w:t>
            </w:r>
          </w:p>
        </w:tc>
      </w:tr>
      <w:tr w:rsidR="00222490" w:rsidRPr="00797118" w:rsidTr="000F1F1A">
        <w:trPr>
          <w:gridAfter w:val="1"/>
          <w:wAfter w:w="5" w:type="pct"/>
          <w:trHeight w:val="300"/>
        </w:trPr>
        <w:tc>
          <w:tcPr>
            <w:tcW w:w="1097" w:type="pct"/>
            <w:tcBorders>
              <w:top w:val="nil"/>
              <w:left w:val="nil"/>
              <w:bottom w:val="single" w:sz="4" w:space="0" w:color="366092"/>
              <w:right w:val="nil"/>
            </w:tcBorders>
            <w:shd w:val="clear" w:color="auto" w:fill="auto"/>
            <w:noWrap/>
            <w:vAlign w:val="center"/>
          </w:tcPr>
          <w:p w:rsidR="00222490" w:rsidRPr="00DC6756" w:rsidRDefault="00222490" w:rsidP="000F1F1A">
            <w:pPr>
              <w:spacing w:after="0"/>
              <w:rPr>
                <w:rFonts w:asciiTheme="minorHAnsi" w:hAnsiTheme="minorHAnsi" w:cstheme="minorHAnsi"/>
                <w:sz w:val="20"/>
                <w:szCs w:val="20"/>
              </w:rPr>
            </w:pP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20</w:t>
            </w:r>
            <w:r>
              <w:rPr>
                <w:rFonts w:asciiTheme="minorHAnsi" w:hAnsiTheme="minorHAnsi" w:cstheme="minorHAnsi"/>
                <w:sz w:val="20"/>
                <w:szCs w:val="20"/>
              </w:rPr>
              <w:t>,</w:t>
            </w:r>
            <w:r w:rsidRPr="00E128BF">
              <w:rPr>
                <w:rFonts w:asciiTheme="minorHAnsi" w:hAnsiTheme="minorHAnsi" w:cstheme="minorHAnsi"/>
                <w:sz w:val="20"/>
                <w:szCs w:val="20"/>
              </w:rPr>
              <w:t>000</w:t>
            </w:r>
          </w:p>
        </w:tc>
        <w:tc>
          <w:tcPr>
            <w:tcW w:w="82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1.5%</w:t>
            </w:r>
          </w:p>
        </w:tc>
        <w:tc>
          <w:tcPr>
            <w:tcW w:w="785"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10.0%</w:t>
            </w:r>
          </w:p>
        </w:tc>
        <w:tc>
          <w:tcPr>
            <w:tcW w:w="738"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11.9%</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14.4%</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18.2%</w:t>
            </w:r>
          </w:p>
        </w:tc>
      </w:tr>
      <w:tr w:rsidR="00222490" w:rsidRPr="00797118" w:rsidTr="000F1F1A">
        <w:trPr>
          <w:gridAfter w:val="1"/>
          <w:wAfter w:w="5" w:type="pct"/>
          <w:trHeight w:val="300"/>
        </w:trPr>
        <w:tc>
          <w:tcPr>
            <w:tcW w:w="1097" w:type="pct"/>
            <w:tcBorders>
              <w:top w:val="single" w:sz="4" w:space="0" w:color="366092"/>
              <w:left w:val="nil"/>
              <w:bottom w:val="single" w:sz="4" w:space="0" w:color="366092"/>
              <w:right w:val="nil"/>
            </w:tcBorders>
            <w:shd w:val="clear" w:color="000000" w:fill="E5F6F6"/>
            <w:noWrap/>
            <w:vAlign w:val="center"/>
          </w:tcPr>
          <w:p w:rsidR="00222490" w:rsidRPr="00797118" w:rsidRDefault="00222490" w:rsidP="000F1F1A">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28" w:type="pct"/>
            <w:gridSpan w:val="2"/>
            <w:tcBorders>
              <w:top w:val="single" w:sz="4" w:space="0" w:color="366092"/>
              <w:left w:val="nil"/>
              <w:bottom w:val="single" w:sz="4" w:space="0" w:color="366092"/>
              <w:right w:val="nil"/>
            </w:tcBorders>
            <w:shd w:val="clear" w:color="000000" w:fill="E5F6F6"/>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-77.2%</w:t>
            </w:r>
          </w:p>
        </w:tc>
        <w:tc>
          <w:tcPr>
            <w:tcW w:w="785" w:type="pct"/>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3.6%</w:t>
            </w:r>
          </w:p>
        </w:tc>
        <w:tc>
          <w:tcPr>
            <w:tcW w:w="738" w:type="pct"/>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11.1%</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17.8%</w:t>
            </w:r>
          </w:p>
        </w:tc>
        <w:tc>
          <w:tcPr>
            <w:tcW w:w="748" w:type="pct"/>
            <w:gridSpan w:val="2"/>
            <w:tcBorders>
              <w:top w:val="single" w:sz="4" w:space="0" w:color="366092"/>
              <w:left w:val="nil"/>
              <w:bottom w:val="single" w:sz="4" w:space="0" w:color="366092"/>
              <w:right w:val="nil"/>
            </w:tcBorders>
            <w:shd w:val="clear" w:color="000000" w:fill="E5F6F6"/>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98.1%</w:t>
            </w:r>
          </w:p>
        </w:tc>
      </w:tr>
    </w:tbl>
    <w:p w:rsidR="00222490" w:rsidRDefault="00222490" w:rsidP="00222490">
      <w:pPr>
        <w:spacing w:after="0" w:line="240" w:lineRule="auto"/>
        <w:rPr>
          <w:rFonts w:ascii="Georgia" w:hAnsi="Georgia" w:cs="Arial"/>
          <w:b/>
          <w:color w:val="004855" w:themeColor="text1"/>
          <w:sz w:val="20"/>
          <w:szCs w:val="20"/>
          <w:lang w:val="en-US"/>
        </w:rPr>
      </w:pPr>
    </w:p>
    <w:p w:rsidR="00222490" w:rsidRDefault="00222490" w:rsidP="00222490">
      <w:pPr>
        <w:spacing w:after="0" w:line="240" w:lineRule="auto"/>
        <w:rPr>
          <w:rFonts w:ascii="Georgia" w:hAnsi="Georgia" w:cs="Arial"/>
          <w:b/>
          <w:color w:val="004855" w:themeColor="text1"/>
          <w:sz w:val="20"/>
          <w:szCs w:val="20"/>
          <w:lang w:val="en-US"/>
        </w:rPr>
      </w:pPr>
    </w:p>
    <w:p w:rsidR="00222490" w:rsidRPr="00130AB7" w:rsidRDefault="00222490" w:rsidP="00222490">
      <w:pPr>
        <w:pStyle w:val="BulletsL1"/>
        <w:shd w:val="clear" w:color="auto" w:fill="E5ECED" w:themeFill="accent4" w:themeFillTint="66"/>
        <w:rPr>
          <w:lang w:val="en-AU"/>
        </w:rPr>
      </w:pPr>
    </w:p>
    <w:p w:rsidR="00071D31" w:rsidRDefault="00071D31" w:rsidP="00222490">
      <w:pPr>
        <w:pStyle w:val="BulletsL1"/>
        <w:numPr>
          <w:ilvl w:val="0"/>
          <w:numId w:val="6"/>
        </w:numPr>
        <w:shd w:val="clear" w:color="auto" w:fill="E5ECED" w:themeFill="accent4" w:themeFillTint="66"/>
        <w:ind w:left="284" w:hanging="284"/>
        <w:rPr>
          <w:lang w:val="en-AU"/>
        </w:rPr>
      </w:pPr>
      <w:r>
        <w:rPr>
          <w:lang w:val="en-AU"/>
        </w:rPr>
        <w:t xml:space="preserve">The EBITDA margin range for </w:t>
      </w:r>
      <w:r w:rsidR="00222490">
        <w:rPr>
          <w:lang w:val="en-AU"/>
        </w:rPr>
        <w:t xml:space="preserve">providers </w:t>
      </w:r>
      <w:r w:rsidR="00FC0FAC">
        <w:rPr>
          <w:lang w:val="en-AU"/>
        </w:rPr>
        <w:t xml:space="preserve">with greater than </w:t>
      </w:r>
      <w:r w:rsidR="00222490">
        <w:rPr>
          <w:lang w:val="en-AU"/>
        </w:rPr>
        <w:t>5</w:t>
      </w:r>
      <w:r>
        <w:rPr>
          <w:lang w:val="en-AU"/>
        </w:rPr>
        <w:t>,</w:t>
      </w:r>
      <w:r w:rsidR="00222490">
        <w:rPr>
          <w:lang w:val="en-AU"/>
        </w:rPr>
        <w:t>00</w:t>
      </w:r>
      <w:r>
        <w:rPr>
          <w:lang w:val="en-AU"/>
        </w:rPr>
        <w:t>0</w:t>
      </w:r>
      <w:r w:rsidR="00222490">
        <w:rPr>
          <w:lang w:val="en-AU"/>
        </w:rPr>
        <w:t xml:space="preserve"> EFTSL </w:t>
      </w:r>
      <w:r>
        <w:rPr>
          <w:lang w:val="en-AU"/>
        </w:rPr>
        <w:t xml:space="preserve">have been between 1% and 20%, whereas providers with size bands between </w:t>
      </w:r>
      <w:r w:rsidR="00B374DD">
        <w:rPr>
          <w:lang w:val="en-AU"/>
        </w:rPr>
        <w:t>5</w:t>
      </w:r>
      <w:r>
        <w:rPr>
          <w:lang w:val="en-AU"/>
        </w:rPr>
        <w:t xml:space="preserve">00 </w:t>
      </w:r>
      <w:r w:rsidR="009371C0">
        <w:rPr>
          <w:lang w:val="en-AU"/>
        </w:rPr>
        <w:t>and</w:t>
      </w:r>
      <w:r>
        <w:rPr>
          <w:lang w:val="en-AU"/>
        </w:rPr>
        <w:t xml:space="preserve"> 4,999 EFTSL </w:t>
      </w:r>
      <w:r w:rsidR="00C035FE">
        <w:rPr>
          <w:lang w:val="en-AU"/>
        </w:rPr>
        <w:t>ha</w:t>
      </w:r>
      <w:r w:rsidR="009371C0">
        <w:rPr>
          <w:lang w:val="en-AU"/>
        </w:rPr>
        <w:t>ve</w:t>
      </w:r>
      <w:r w:rsidR="00C035FE">
        <w:rPr>
          <w:lang w:val="en-AU"/>
        </w:rPr>
        <w:t xml:space="preserve"> EBITDA rang</w:t>
      </w:r>
      <w:r w:rsidR="00DC28B1">
        <w:rPr>
          <w:lang w:val="en-AU"/>
        </w:rPr>
        <w:t>ed</w:t>
      </w:r>
      <w:r>
        <w:rPr>
          <w:lang w:val="en-AU"/>
        </w:rPr>
        <w:t xml:space="preserve"> </w:t>
      </w:r>
      <w:r w:rsidR="00DC28B1">
        <w:rPr>
          <w:lang w:val="en-AU"/>
        </w:rPr>
        <w:t>from</w:t>
      </w:r>
      <w:r w:rsidR="00C035FE">
        <w:rPr>
          <w:lang w:val="en-AU"/>
        </w:rPr>
        <w:t xml:space="preserve"> </w:t>
      </w:r>
      <w:r w:rsidR="00DC28B1">
        <w:rPr>
          <w:lang w:val="en-AU"/>
        </w:rPr>
        <w:t>-10.5</w:t>
      </w:r>
      <w:r w:rsidR="00C035FE">
        <w:rPr>
          <w:lang w:val="en-AU"/>
        </w:rPr>
        <w:t>%</w:t>
      </w:r>
      <w:r>
        <w:rPr>
          <w:lang w:val="en-AU"/>
        </w:rPr>
        <w:t xml:space="preserve"> to approximately 5</w:t>
      </w:r>
      <w:r w:rsidR="00FC0FAC">
        <w:rPr>
          <w:lang w:val="en-AU"/>
        </w:rPr>
        <w:t>3.9</w:t>
      </w:r>
      <w:r>
        <w:rPr>
          <w:lang w:val="en-AU"/>
        </w:rPr>
        <w:t xml:space="preserve">%. </w:t>
      </w:r>
    </w:p>
    <w:p w:rsidR="00222490" w:rsidRDefault="00DC28B1" w:rsidP="00222490">
      <w:pPr>
        <w:pStyle w:val="BulletsL1"/>
        <w:numPr>
          <w:ilvl w:val="0"/>
          <w:numId w:val="6"/>
        </w:numPr>
        <w:shd w:val="clear" w:color="auto" w:fill="E5ECED" w:themeFill="accent4" w:themeFillTint="66"/>
        <w:ind w:left="284" w:hanging="284"/>
        <w:rPr>
          <w:lang w:val="en-AU"/>
        </w:rPr>
      </w:pPr>
      <w:r>
        <w:rPr>
          <w:lang w:val="en-AU"/>
        </w:rPr>
        <w:t>P</w:t>
      </w:r>
      <w:r w:rsidR="00071D31">
        <w:rPr>
          <w:lang w:val="en-AU"/>
        </w:rPr>
        <w:t xml:space="preserve">roviders with less than 100 EFTSL have the largest EBITDA margin range, spanning from </w:t>
      </w:r>
      <w:r w:rsidR="00C035FE">
        <w:rPr>
          <w:lang w:val="en-AU"/>
        </w:rPr>
        <w:t xml:space="preserve">  </w:t>
      </w:r>
      <w:r w:rsidR="00071D31">
        <w:rPr>
          <w:lang w:val="en-AU"/>
        </w:rPr>
        <w:t xml:space="preserve">-77.2% to 98.1% and with a median margin </w:t>
      </w:r>
      <w:r w:rsidR="00850742">
        <w:rPr>
          <w:lang w:val="en-AU"/>
        </w:rPr>
        <w:t xml:space="preserve">much lower than the sector median. </w:t>
      </w:r>
    </w:p>
    <w:p w:rsidR="00222490" w:rsidRPr="002F003D" w:rsidRDefault="00222490" w:rsidP="00222490">
      <w:pPr>
        <w:pStyle w:val="BulletsL1"/>
        <w:shd w:val="clear" w:color="auto" w:fill="E5ECED" w:themeFill="accent4" w:themeFillTint="66"/>
        <w:ind w:left="0" w:firstLine="0"/>
        <w:rPr>
          <w:lang w:val="en-AU"/>
        </w:rPr>
      </w:pPr>
    </w:p>
    <w:p w:rsidR="00222490" w:rsidRPr="008C0D4B" w:rsidRDefault="00222490" w:rsidP="00222490">
      <w:pPr>
        <w:spacing w:after="0" w:line="240" w:lineRule="auto"/>
        <w:rPr>
          <w:rFonts w:ascii="Arial" w:eastAsiaTheme="minorHAnsi" w:hAnsi="Arial" w:cs="Arial"/>
          <w:b/>
          <w:bCs/>
          <w:color w:val="00A6AA" w:themeColor="background1"/>
          <w:sz w:val="32"/>
          <w:szCs w:val="32"/>
          <w:lang w:val="en-GB"/>
        </w:rPr>
      </w:pPr>
      <w:r w:rsidRPr="008C0D4B">
        <w:rPr>
          <w:rFonts w:ascii="Arial" w:hAnsi="Arial" w:cs="Arial"/>
        </w:rPr>
        <w:br w:type="page"/>
      </w:r>
    </w:p>
    <w:p w:rsidR="007B5AEB" w:rsidRDefault="007B5AEB" w:rsidP="007B5AEB">
      <w:pPr>
        <w:pStyle w:val="H3"/>
      </w:pPr>
      <w:r>
        <w:lastRenderedPageBreak/>
        <w:t>Employee benefits ratio</w:t>
      </w:r>
    </w:p>
    <w:p w:rsidR="00222490" w:rsidDel="0024327E" w:rsidRDefault="00222490" w:rsidP="00222490">
      <w:pPr>
        <w:rPr>
          <w:rFonts w:ascii="Georgia" w:hAnsi="Georgia" w:cs="Arial"/>
          <w:b/>
          <w:color w:val="004855" w:themeColor="text1"/>
          <w:sz w:val="22"/>
          <w:szCs w:val="22"/>
          <w:lang w:val="en-US"/>
        </w:rPr>
      </w:pPr>
      <w:r w:rsidRPr="001B39EA"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4</w:t>
      </w:r>
      <w:r w:rsidR="006C43D6">
        <w:rPr>
          <w:rFonts w:ascii="Georgia" w:hAnsi="Georgia" w:cs="Arial"/>
          <w:b/>
          <w:color w:val="004855" w:themeColor="text1"/>
          <w:sz w:val="20"/>
          <w:szCs w:val="20"/>
          <w:lang w:val="en-US"/>
        </w:rPr>
        <w:t>5</w:t>
      </w:r>
      <w:r w:rsidRPr="001B39EA" w:rsidDel="0024327E">
        <w:rPr>
          <w:rFonts w:ascii="Georgia" w:hAnsi="Georgia" w:cs="Arial"/>
          <w:b/>
          <w:color w:val="004855" w:themeColor="text1"/>
          <w:sz w:val="20"/>
          <w:szCs w:val="20"/>
          <w:lang w:val="en-US"/>
        </w:rPr>
        <w:t>: Employee benefits ratio, by provider size</w:t>
      </w:r>
    </w:p>
    <w:p w:rsidR="00222490" w:rsidRDefault="00E55184" w:rsidP="00222490">
      <w:pPr>
        <w:rPr>
          <w:noProof/>
          <w:lang w:eastAsia="en-AU"/>
        </w:rPr>
      </w:pPr>
      <w:r>
        <w:rPr>
          <w:noProof/>
          <w:lang w:eastAsia="en-AU"/>
        </w:rPr>
        <w:drawing>
          <wp:inline distT="0" distB="0" distL="0" distR="0" wp14:anchorId="45CD1BE5" wp14:editId="68B3E858">
            <wp:extent cx="5934075" cy="3705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1060" cy="3709586"/>
                    </a:xfrm>
                    <a:prstGeom prst="rect">
                      <a:avLst/>
                    </a:prstGeom>
                    <a:noFill/>
                    <a:ln>
                      <a:noFill/>
                    </a:ln>
                  </pic:spPr>
                </pic:pic>
              </a:graphicData>
            </a:graphic>
          </wp:inline>
        </w:drawing>
      </w:r>
    </w:p>
    <w:p w:rsidR="00222490" w:rsidRDefault="00222490" w:rsidP="00222490">
      <w:pPr>
        <w:jc w:val="center"/>
        <w:rPr>
          <w:rFonts w:ascii="Georgia" w:hAnsi="Georgia" w:cs="Arial"/>
          <w:b/>
          <w:color w:val="004855" w:themeColor="text1"/>
          <w:sz w:val="22"/>
          <w:szCs w:val="22"/>
          <w:lang w:val="en-US"/>
        </w:rPr>
      </w:pPr>
      <w:r w:rsidRPr="003B6D8C">
        <w:rPr>
          <w:rFonts w:ascii="Georgia" w:hAnsi="Georgia" w:cs="Arial"/>
          <w:b/>
          <w:noProof/>
          <w:color w:val="004855" w:themeColor="text1"/>
          <w:sz w:val="22"/>
          <w:szCs w:val="22"/>
          <w:lang w:eastAsia="en-AU"/>
        </w:rPr>
        <w:drawing>
          <wp:inline distT="0" distB="0" distL="0" distR="0" wp14:anchorId="58E57519" wp14:editId="75CA26F5">
            <wp:extent cx="1059180" cy="358140"/>
            <wp:effectExtent l="0" t="0" r="7620" b="381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3">
                      <a:extLst>
                        <a:ext uri="{28A0092B-C50C-407E-A947-70E740481C1C}">
                          <a14:useLocalDpi xmlns:a14="http://schemas.microsoft.com/office/drawing/2010/main" val="0"/>
                        </a:ext>
                      </a:extLst>
                    </a:blip>
                    <a:srcRect t="14706" b="50735"/>
                    <a:stretch/>
                  </pic:blipFill>
                  <pic:spPr bwMode="auto">
                    <a:xfrm>
                      <a:off x="0" y="0"/>
                      <a:ext cx="1059180" cy="358140"/>
                    </a:xfrm>
                    <a:prstGeom prst="rect">
                      <a:avLst/>
                    </a:prstGeom>
                    <a:noFill/>
                    <a:ln>
                      <a:noFill/>
                    </a:ln>
                    <a:extLst>
                      <a:ext uri="{53640926-AAD7-44D8-BBD7-CCE9431645EC}">
                        <a14:shadowObscured xmlns:a14="http://schemas.microsoft.com/office/drawing/2010/main"/>
                      </a:ext>
                    </a:extLst>
                  </pic:spPr>
                </pic:pic>
              </a:graphicData>
            </a:graphic>
          </wp:inline>
        </w:drawing>
      </w:r>
      <w:r w:rsidRPr="003B6D8C">
        <w:rPr>
          <w:rFonts w:ascii="Georgia" w:hAnsi="Georgia" w:cs="Arial"/>
          <w:b/>
          <w:noProof/>
          <w:color w:val="004855" w:themeColor="text1"/>
          <w:sz w:val="22"/>
          <w:szCs w:val="22"/>
          <w:lang w:eastAsia="en-AU"/>
        </w:rPr>
        <w:drawing>
          <wp:inline distT="0" distB="0" distL="0" distR="0" wp14:anchorId="67456DE7" wp14:editId="6D961C25">
            <wp:extent cx="1059180" cy="388620"/>
            <wp:effectExtent l="0" t="0" r="762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a:extLst>
                        <a:ext uri="{28A0092B-C50C-407E-A947-70E740481C1C}">
                          <a14:useLocalDpi xmlns:a14="http://schemas.microsoft.com/office/drawing/2010/main" val="0"/>
                        </a:ext>
                      </a:extLst>
                    </a:blip>
                    <a:srcRect t="46325" b="16176"/>
                    <a:stretch/>
                  </pic:blipFill>
                  <pic:spPr bwMode="auto">
                    <a:xfrm>
                      <a:off x="0" y="0"/>
                      <a:ext cx="1059180" cy="388620"/>
                    </a:xfrm>
                    <a:prstGeom prst="rect">
                      <a:avLst/>
                    </a:prstGeom>
                    <a:noFill/>
                    <a:ln>
                      <a:noFill/>
                    </a:ln>
                    <a:extLst>
                      <a:ext uri="{53640926-AAD7-44D8-BBD7-CCE9431645EC}">
                        <a14:shadowObscured xmlns:a14="http://schemas.microsoft.com/office/drawing/2010/main"/>
                      </a:ext>
                    </a:extLst>
                  </pic:spPr>
                </pic:pic>
              </a:graphicData>
            </a:graphic>
          </wp:inline>
        </w:drawing>
      </w:r>
      <w:r w:rsidRPr="003B6D8C">
        <w:rPr>
          <w:rFonts w:ascii="Georgia" w:hAnsi="Georgia" w:cs="Arial"/>
          <w:b/>
          <w:noProof/>
          <w:color w:val="004855" w:themeColor="text1"/>
          <w:sz w:val="22"/>
          <w:szCs w:val="22"/>
          <w:lang w:eastAsia="en-AU"/>
        </w:rPr>
        <w:drawing>
          <wp:inline distT="0" distB="0" distL="0" distR="0" wp14:anchorId="32C2A07E" wp14:editId="6F93CE93">
            <wp:extent cx="1059180" cy="167640"/>
            <wp:effectExtent l="0" t="0" r="762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3">
                      <a:extLst>
                        <a:ext uri="{28A0092B-C50C-407E-A947-70E740481C1C}">
                          <a14:useLocalDpi xmlns:a14="http://schemas.microsoft.com/office/drawing/2010/main" val="0"/>
                        </a:ext>
                      </a:extLst>
                    </a:blip>
                    <a:srcRect t="83824"/>
                    <a:stretch/>
                  </pic:blipFill>
                  <pic:spPr bwMode="auto">
                    <a:xfrm>
                      <a:off x="0" y="0"/>
                      <a:ext cx="1059180" cy="167640"/>
                    </a:xfrm>
                    <a:prstGeom prst="rect">
                      <a:avLst/>
                    </a:prstGeom>
                    <a:noFill/>
                    <a:ln>
                      <a:noFill/>
                    </a:ln>
                    <a:extLst>
                      <a:ext uri="{53640926-AAD7-44D8-BBD7-CCE9431645EC}">
                        <a14:shadowObscured xmlns:a14="http://schemas.microsoft.com/office/drawing/2010/main"/>
                      </a:ext>
                    </a:extLst>
                  </pic:spPr>
                </pic:pic>
              </a:graphicData>
            </a:graphic>
          </wp:inline>
        </w:drawing>
      </w:r>
    </w:p>
    <w:p w:rsidR="00222490" w:rsidRDefault="00222490" w:rsidP="00222490">
      <w:pPr>
        <w:pStyle w:val="ListParagraph"/>
        <w:ind w:left="0"/>
        <w:rPr>
          <w:rFonts w:ascii="Georgia" w:hAnsi="Georgia" w:cs="Arial"/>
          <w:b/>
          <w:color w:val="004855" w:themeColor="text1"/>
          <w:sz w:val="22"/>
          <w:szCs w:val="22"/>
          <w:lang w:val="en-US"/>
        </w:rPr>
      </w:pPr>
    </w:p>
    <w:p w:rsidR="00222490" w:rsidRPr="001567F7" w:rsidRDefault="00222490" w:rsidP="00222490">
      <w:pPr>
        <w:pStyle w:val="ListParagraph"/>
        <w:ind w:left="0"/>
        <w:rPr>
          <w:rFonts w:ascii="Georgia" w:hAnsi="Georgia" w:cs="Arial"/>
          <w:b/>
          <w:color w:val="004855" w:themeColor="text1"/>
          <w:sz w:val="20"/>
          <w:szCs w:val="20"/>
          <w:lang w:val="en-US"/>
        </w:rPr>
      </w:pPr>
      <w:r w:rsidRPr="006A6C2F">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40</w:t>
      </w:r>
      <w:r w:rsidRPr="006A6C2F">
        <w:rPr>
          <w:rFonts w:ascii="Georgia" w:hAnsi="Georgia" w:cs="Arial"/>
          <w:b/>
          <w:color w:val="004855" w:themeColor="text1"/>
          <w:sz w:val="20"/>
          <w:szCs w:val="20"/>
          <w:lang w:val="en-US"/>
        </w:rPr>
        <w:t>: Employee benefits ratio range, by provider size</w:t>
      </w:r>
    </w:p>
    <w:tbl>
      <w:tblPr>
        <w:tblW w:w="5057" w:type="pct"/>
        <w:tblLook w:val="04A0" w:firstRow="1" w:lastRow="0" w:firstColumn="1" w:lastColumn="0" w:noHBand="0" w:noVBand="1"/>
      </w:tblPr>
      <w:tblGrid>
        <w:gridCol w:w="2286"/>
        <w:gridCol w:w="1454"/>
        <w:gridCol w:w="1512"/>
        <w:gridCol w:w="1425"/>
        <w:gridCol w:w="10"/>
        <w:gridCol w:w="1537"/>
        <w:gridCol w:w="10"/>
        <w:gridCol w:w="1439"/>
        <w:gridCol w:w="8"/>
      </w:tblGrid>
      <w:tr w:rsidR="00222490" w:rsidRPr="00797118" w:rsidTr="000F1F1A">
        <w:trPr>
          <w:trHeight w:val="300"/>
        </w:trPr>
        <w:tc>
          <w:tcPr>
            <w:tcW w:w="1181" w:type="pct"/>
            <w:tcBorders>
              <w:top w:val="nil"/>
              <w:left w:val="nil"/>
              <w:bottom w:val="single" w:sz="4" w:space="0" w:color="366092"/>
              <w:right w:val="nil"/>
            </w:tcBorders>
            <w:shd w:val="clear" w:color="auto" w:fill="004855"/>
            <w:noWrap/>
            <w:vAlign w:val="bottom"/>
            <w:hideMark/>
          </w:tcPr>
          <w:p w:rsidR="00222490" w:rsidRPr="00797118" w:rsidRDefault="00222490" w:rsidP="000F1F1A">
            <w:pPr>
              <w:spacing w:after="0"/>
              <w:rPr>
                <w:rFonts w:asciiTheme="minorHAnsi" w:hAnsiTheme="minorHAnsi" w:cstheme="minorHAnsi"/>
                <w:b/>
                <w:sz w:val="20"/>
                <w:szCs w:val="20"/>
              </w:rPr>
            </w:pPr>
          </w:p>
        </w:tc>
        <w:tc>
          <w:tcPr>
            <w:tcW w:w="751" w:type="pct"/>
            <w:tcBorders>
              <w:top w:val="nil"/>
              <w:left w:val="nil"/>
              <w:bottom w:val="single" w:sz="4" w:space="0" w:color="366092"/>
              <w:right w:val="nil"/>
            </w:tcBorders>
            <w:shd w:val="clear" w:color="auto" w:fill="004855"/>
            <w:noWrap/>
            <w:vAlign w:val="bottom"/>
            <w:hideMark/>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81" w:type="pct"/>
            <w:tcBorders>
              <w:top w:val="nil"/>
              <w:left w:val="nil"/>
              <w:bottom w:val="single" w:sz="4" w:space="0" w:color="366092"/>
              <w:right w:val="nil"/>
            </w:tcBorders>
            <w:shd w:val="clear" w:color="auto" w:fill="004855"/>
            <w:vAlign w:val="bottom"/>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41" w:type="pct"/>
            <w:gridSpan w:val="2"/>
            <w:tcBorders>
              <w:top w:val="nil"/>
              <w:left w:val="nil"/>
              <w:bottom w:val="single" w:sz="4" w:space="0" w:color="366092"/>
              <w:right w:val="nil"/>
            </w:tcBorders>
            <w:shd w:val="clear" w:color="auto" w:fill="004855"/>
            <w:noWrap/>
            <w:vAlign w:val="bottom"/>
          </w:tcPr>
          <w:p w:rsidR="00222490" w:rsidRPr="00797118" w:rsidRDefault="00222490"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799" w:type="pct"/>
            <w:gridSpan w:val="2"/>
            <w:tcBorders>
              <w:top w:val="nil"/>
              <w:left w:val="nil"/>
              <w:bottom w:val="single" w:sz="4" w:space="0" w:color="366092"/>
              <w:right w:val="nil"/>
            </w:tcBorders>
            <w:shd w:val="clear" w:color="auto" w:fill="004855"/>
            <w:noWrap/>
            <w:vAlign w:val="bottom"/>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47" w:type="pct"/>
            <w:gridSpan w:val="2"/>
            <w:tcBorders>
              <w:top w:val="nil"/>
              <w:left w:val="nil"/>
              <w:bottom w:val="single" w:sz="4" w:space="0" w:color="366092"/>
              <w:right w:val="nil"/>
            </w:tcBorders>
            <w:shd w:val="clear" w:color="auto" w:fill="004855"/>
            <w:vAlign w:val="bottom"/>
          </w:tcPr>
          <w:p w:rsidR="00222490" w:rsidRPr="00797118" w:rsidRDefault="0022249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222490" w:rsidRPr="00797118" w:rsidTr="000F1F1A">
        <w:trPr>
          <w:gridAfter w:val="1"/>
          <w:wAfter w:w="4" w:type="pct"/>
          <w:trHeight w:val="300"/>
        </w:trPr>
        <w:tc>
          <w:tcPr>
            <w:tcW w:w="1181" w:type="pct"/>
            <w:tcBorders>
              <w:top w:val="nil"/>
              <w:left w:val="nil"/>
              <w:bottom w:val="single" w:sz="4" w:space="0" w:color="366092"/>
              <w:right w:val="nil"/>
            </w:tcBorders>
            <w:shd w:val="clear" w:color="auto" w:fill="auto"/>
            <w:noWrap/>
            <w:vAlign w:val="bottom"/>
            <w:hideMark/>
          </w:tcPr>
          <w:p w:rsidR="00222490" w:rsidRPr="00DC6756" w:rsidRDefault="00222490" w:rsidP="000F1F1A">
            <w:pPr>
              <w:spacing w:after="0"/>
              <w:rPr>
                <w:rFonts w:asciiTheme="minorHAnsi" w:hAnsiTheme="minorHAnsi" w:cstheme="minorHAnsi"/>
                <w:sz w:val="20"/>
                <w:szCs w:val="20"/>
              </w:rPr>
            </w:pPr>
            <w:r w:rsidRPr="00DC6756">
              <w:rPr>
                <w:rFonts w:asciiTheme="minorHAnsi" w:hAnsiTheme="minorHAnsi" w:cstheme="minorHAnsi"/>
                <w:sz w:val="20"/>
                <w:szCs w:val="20"/>
              </w:rPr>
              <w:t>&lt;</w:t>
            </w:r>
            <w:r>
              <w:rPr>
                <w:rFonts w:asciiTheme="minorHAnsi" w:hAnsiTheme="minorHAnsi" w:cstheme="minorHAnsi"/>
                <w:sz w:val="20"/>
                <w:szCs w:val="20"/>
              </w:rPr>
              <w:t xml:space="preserve"> </w:t>
            </w:r>
            <w:r w:rsidRPr="00DC6756">
              <w:rPr>
                <w:rFonts w:asciiTheme="minorHAnsi" w:hAnsiTheme="minorHAnsi" w:cstheme="minorHAnsi"/>
                <w:sz w:val="20"/>
                <w:szCs w:val="20"/>
              </w:rPr>
              <w:t>100</w:t>
            </w:r>
          </w:p>
        </w:tc>
        <w:tc>
          <w:tcPr>
            <w:tcW w:w="751" w:type="pct"/>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0.0%</w:t>
            </w:r>
          </w:p>
        </w:tc>
        <w:tc>
          <w:tcPr>
            <w:tcW w:w="78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43.7%</w:t>
            </w:r>
          </w:p>
        </w:tc>
        <w:tc>
          <w:tcPr>
            <w:tcW w:w="736"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52.8%</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65.9%</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83.9%</w:t>
            </w:r>
          </w:p>
        </w:tc>
      </w:tr>
      <w:tr w:rsidR="00222490" w:rsidRPr="00797118" w:rsidTr="000F1F1A">
        <w:trPr>
          <w:gridAfter w:val="1"/>
          <w:wAfter w:w="4" w:type="pct"/>
          <w:trHeight w:val="300"/>
        </w:trPr>
        <w:tc>
          <w:tcPr>
            <w:tcW w:w="1181" w:type="pct"/>
            <w:tcBorders>
              <w:top w:val="nil"/>
              <w:left w:val="nil"/>
              <w:bottom w:val="single" w:sz="4" w:space="0" w:color="366092"/>
              <w:right w:val="nil"/>
            </w:tcBorders>
            <w:shd w:val="clear" w:color="auto" w:fill="auto"/>
            <w:noWrap/>
            <w:vAlign w:val="bottom"/>
            <w:hideMark/>
          </w:tcPr>
          <w:p w:rsidR="00222490" w:rsidRPr="00DC6756" w:rsidRDefault="00222490" w:rsidP="000F1F1A">
            <w:pPr>
              <w:spacing w:after="0"/>
              <w:rPr>
                <w:rFonts w:asciiTheme="minorHAnsi" w:hAnsiTheme="minorHAnsi" w:cstheme="minorHAnsi"/>
                <w:sz w:val="20"/>
                <w:szCs w:val="20"/>
              </w:rPr>
            </w:pPr>
            <w:r w:rsidRPr="00DC6756">
              <w:rPr>
                <w:rFonts w:asciiTheme="minorHAnsi" w:hAnsiTheme="minorHAnsi" w:cstheme="minorHAnsi"/>
                <w:sz w:val="20"/>
                <w:szCs w:val="20"/>
              </w:rPr>
              <w:t>100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499</w:t>
            </w:r>
          </w:p>
        </w:tc>
        <w:tc>
          <w:tcPr>
            <w:tcW w:w="751" w:type="pct"/>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0.0%</w:t>
            </w:r>
          </w:p>
        </w:tc>
        <w:tc>
          <w:tcPr>
            <w:tcW w:w="78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36.7%</w:t>
            </w:r>
          </w:p>
        </w:tc>
        <w:tc>
          <w:tcPr>
            <w:tcW w:w="736"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48.2%</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58.7%</w:t>
            </w:r>
          </w:p>
        </w:tc>
        <w:tc>
          <w:tcPr>
            <w:tcW w:w="748" w:type="pct"/>
            <w:gridSpan w:val="2"/>
            <w:tcBorders>
              <w:top w:val="nil"/>
              <w:left w:val="nil"/>
              <w:bottom w:val="single" w:sz="4" w:space="0" w:color="366092"/>
              <w:right w:val="nil"/>
            </w:tcBorders>
            <w:vAlign w:val="bottom"/>
          </w:tcPr>
          <w:p w:rsidR="00222490" w:rsidRPr="006A6C2F" w:rsidRDefault="00401987" w:rsidP="005C332B">
            <w:pPr>
              <w:spacing w:after="0"/>
              <w:jc w:val="right"/>
              <w:rPr>
                <w:rFonts w:asciiTheme="minorHAnsi" w:hAnsiTheme="minorHAnsi" w:cstheme="minorHAnsi"/>
                <w:sz w:val="20"/>
                <w:szCs w:val="20"/>
              </w:rPr>
            </w:pPr>
            <w:r>
              <w:rPr>
                <w:rFonts w:asciiTheme="minorHAnsi" w:hAnsiTheme="minorHAnsi" w:cstheme="minorHAnsi"/>
                <w:sz w:val="20"/>
                <w:szCs w:val="20"/>
              </w:rPr>
              <w:t>77.4</w:t>
            </w:r>
            <w:r w:rsidR="00222490" w:rsidRPr="006A6C2F">
              <w:rPr>
                <w:rFonts w:asciiTheme="minorHAnsi" w:hAnsiTheme="minorHAnsi" w:cstheme="minorHAnsi"/>
                <w:sz w:val="20"/>
                <w:szCs w:val="20"/>
              </w:rPr>
              <w:t>%</w:t>
            </w:r>
          </w:p>
        </w:tc>
      </w:tr>
      <w:tr w:rsidR="00222490" w:rsidRPr="00797118" w:rsidTr="000F1F1A">
        <w:trPr>
          <w:gridAfter w:val="1"/>
          <w:wAfter w:w="4" w:type="pct"/>
          <w:trHeight w:val="300"/>
        </w:trPr>
        <w:tc>
          <w:tcPr>
            <w:tcW w:w="1181" w:type="pct"/>
            <w:tcBorders>
              <w:top w:val="nil"/>
              <w:left w:val="nil"/>
              <w:bottom w:val="single" w:sz="4" w:space="0" w:color="366092"/>
              <w:right w:val="nil"/>
            </w:tcBorders>
            <w:shd w:val="clear" w:color="auto" w:fill="auto"/>
            <w:noWrap/>
            <w:vAlign w:val="bottom"/>
            <w:hideMark/>
          </w:tcPr>
          <w:p w:rsidR="00222490" w:rsidRPr="00DC6756" w:rsidRDefault="00222490" w:rsidP="000F1F1A">
            <w:pPr>
              <w:spacing w:after="0"/>
              <w:rPr>
                <w:rFonts w:asciiTheme="minorHAnsi" w:hAnsiTheme="minorHAnsi" w:cstheme="minorHAnsi"/>
                <w:sz w:val="20"/>
                <w:szCs w:val="20"/>
              </w:rPr>
            </w:pPr>
            <w:r w:rsidRPr="00DC6756">
              <w:rPr>
                <w:rFonts w:asciiTheme="minorHAnsi" w:hAnsiTheme="minorHAnsi" w:cstheme="minorHAnsi"/>
                <w:sz w:val="20"/>
                <w:szCs w:val="20"/>
              </w:rPr>
              <w:t>500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w:t>
            </w:r>
            <w:r>
              <w:rPr>
                <w:rFonts w:asciiTheme="minorHAnsi" w:hAnsiTheme="minorHAnsi" w:cstheme="minorHAnsi"/>
                <w:sz w:val="20"/>
                <w:szCs w:val="20"/>
              </w:rPr>
              <w:t>,</w:t>
            </w:r>
            <w:r w:rsidRPr="00DC6756">
              <w:rPr>
                <w:rFonts w:asciiTheme="minorHAnsi" w:hAnsiTheme="minorHAnsi" w:cstheme="minorHAnsi"/>
                <w:sz w:val="20"/>
                <w:szCs w:val="20"/>
              </w:rPr>
              <w:t>999</w:t>
            </w:r>
          </w:p>
        </w:tc>
        <w:tc>
          <w:tcPr>
            <w:tcW w:w="751" w:type="pct"/>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13.2%</w:t>
            </w:r>
          </w:p>
        </w:tc>
        <w:tc>
          <w:tcPr>
            <w:tcW w:w="78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28.8%</w:t>
            </w:r>
          </w:p>
        </w:tc>
        <w:tc>
          <w:tcPr>
            <w:tcW w:w="736"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38.0%</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47.4%</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76.7%</w:t>
            </w:r>
          </w:p>
        </w:tc>
      </w:tr>
      <w:tr w:rsidR="00222490" w:rsidRPr="00797118" w:rsidTr="000F1F1A">
        <w:trPr>
          <w:gridAfter w:val="1"/>
          <w:wAfter w:w="4" w:type="pct"/>
          <w:trHeight w:val="300"/>
        </w:trPr>
        <w:tc>
          <w:tcPr>
            <w:tcW w:w="1181" w:type="pct"/>
            <w:tcBorders>
              <w:top w:val="nil"/>
              <w:left w:val="nil"/>
              <w:bottom w:val="single" w:sz="4" w:space="0" w:color="366092"/>
              <w:right w:val="nil"/>
            </w:tcBorders>
            <w:shd w:val="clear" w:color="auto" w:fill="auto"/>
            <w:noWrap/>
            <w:vAlign w:val="bottom"/>
          </w:tcPr>
          <w:p w:rsidR="00222490" w:rsidRPr="00DC6756" w:rsidRDefault="00222490" w:rsidP="000F1F1A">
            <w:pPr>
              <w:spacing w:after="0"/>
              <w:rPr>
                <w:rFonts w:asciiTheme="minorHAnsi" w:hAnsiTheme="minorHAnsi" w:cstheme="minorHAnsi"/>
                <w:sz w:val="20"/>
                <w:szCs w:val="20"/>
              </w:rPr>
            </w:pPr>
            <w:r w:rsidRPr="00E128BF">
              <w:rPr>
                <w:rFonts w:asciiTheme="minorHAnsi" w:hAnsiTheme="minorHAnsi" w:cstheme="minorHAnsi"/>
                <w:sz w:val="20"/>
                <w:szCs w:val="20"/>
              </w:rPr>
              <w:t>5</w:t>
            </w:r>
            <w:r>
              <w:rPr>
                <w:rFonts w:asciiTheme="minorHAnsi" w:hAnsiTheme="minorHAnsi" w:cstheme="minorHAnsi"/>
                <w:sz w:val="20"/>
                <w:szCs w:val="20"/>
              </w:rPr>
              <w:t>,</w:t>
            </w:r>
            <w:r w:rsidRPr="00E128BF">
              <w:rPr>
                <w:rFonts w:asciiTheme="minorHAnsi" w:hAnsiTheme="minorHAnsi" w:cstheme="minorHAnsi"/>
                <w:sz w:val="20"/>
                <w:szCs w:val="20"/>
              </w:rPr>
              <w:t>000</w:t>
            </w:r>
            <w:r>
              <w:rPr>
                <w:rFonts w:asciiTheme="minorHAnsi" w:hAnsiTheme="minorHAnsi" w:cstheme="minorHAnsi"/>
                <w:sz w:val="20"/>
                <w:szCs w:val="20"/>
              </w:rPr>
              <w:t xml:space="preserve"> </w:t>
            </w: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19</w:t>
            </w:r>
            <w:r>
              <w:rPr>
                <w:rFonts w:asciiTheme="minorHAnsi" w:hAnsiTheme="minorHAnsi" w:cstheme="minorHAnsi"/>
                <w:sz w:val="20"/>
                <w:szCs w:val="20"/>
              </w:rPr>
              <w:t>,</w:t>
            </w:r>
            <w:r w:rsidRPr="00E128BF">
              <w:rPr>
                <w:rFonts w:asciiTheme="minorHAnsi" w:hAnsiTheme="minorHAnsi" w:cstheme="minorHAnsi"/>
                <w:sz w:val="20"/>
                <w:szCs w:val="20"/>
              </w:rPr>
              <w:t>999</w:t>
            </w:r>
          </w:p>
        </w:tc>
        <w:tc>
          <w:tcPr>
            <w:tcW w:w="751" w:type="pct"/>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48.4%</w:t>
            </w:r>
          </w:p>
        </w:tc>
        <w:tc>
          <w:tcPr>
            <w:tcW w:w="78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56.2%</w:t>
            </w:r>
          </w:p>
        </w:tc>
        <w:tc>
          <w:tcPr>
            <w:tcW w:w="736"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57.0%</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59.1%</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65.4%</w:t>
            </w:r>
          </w:p>
        </w:tc>
      </w:tr>
      <w:tr w:rsidR="00222490" w:rsidRPr="00797118" w:rsidTr="000F1F1A">
        <w:trPr>
          <w:gridAfter w:val="1"/>
          <w:wAfter w:w="4" w:type="pct"/>
          <w:trHeight w:val="300"/>
        </w:trPr>
        <w:tc>
          <w:tcPr>
            <w:tcW w:w="1181" w:type="pct"/>
            <w:tcBorders>
              <w:top w:val="nil"/>
              <w:left w:val="nil"/>
              <w:bottom w:val="single" w:sz="4" w:space="0" w:color="366092"/>
              <w:right w:val="nil"/>
            </w:tcBorders>
            <w:shd w:val="clear" w:color="auto" w:fill="auto"/>
            <w:noWrap/>
            <w:vAlign w:val="bottom"/>
            <w:hideMark/>
          </w:tcPr>
          <w:p w:rsidR="00222490" w:rsidRPr="00DC6756" w:rsidRDefault="00222490" w:rsidP="000F1F1A">
            <w:pPr>
              <w:spacing w:after="0"/>
              <w:rPr>
                <w:rFonts w:asciiTheme="minorHAnsi" w:hAnsiTheme="minorHAnsi" w:cstheme="minorHAnsi"/>
                <w:sz w:val="20"/>
                <w:szCs w:val="20"/>
              </w:rPr>
            </w:pP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20</w:t>
            </w:r>
            <w:r>
              <w:rPr>
                <w:rFonts w:asciiTheme="minorHAnsi" w:hAnsiTheme="minorHAnsi" w:cstheme="minorHAnsi"/>
                <w:sz w:val="20"/>
                <w:szCs w:val="20"/>
              </w:rPr>
              <w:t>,</w:t>
            </w:r>
            <w:r w:rsidRPr="00E128BF">
              <w:rPr>
                <w:rFonts w:asciiTheme="minorHAnsi" w:hAnsiTheme="minorHAnsi" w:cstheme="minorHAnsi"/>
                <w:sz w:val="20"/>
                <w:szCs w:val="20"/>
              </w:rPr>
              <w:t>000</w:t>
            </w:r>
          </w:p>
        </w:tc>
        <w:tc>
          <w:tcPr>
            <w:tcW w:w="751" w:type="pct"/>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47.7%</w:t>
            </w:r>
          </w:p>
        </w:tc>
        <w:tc>
          <w:tcPr>
            <w:tcW w:w="781"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52.8%</w:t>
            </w:r>
          </w:p>
        </w:tc>
        <w:tc>
          <w:tcPr>
            <w:tcW w:w="736" w:type="pct"/>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55.1%</w:t>
            </w:r>
          </w:p>
        </w:tc>
        <w:tc>
          <w:tcPr>
            <w:tcW w:w="799" w:type="pct"/>
            <w:gridSpan w:val="2"/>
            <w:tcBorders>
              <w:top w:val="nil"/>
              <w:left w:val="nil"/>
              <w:bottom w:val="single" w:sz="4" w:space="0" w:color="366092"/>
              <w:right w:val="nil"/>
            </w:tcBorders>
            <w:shd w:val="clear" w:color="auto" w:fill="auto"/>
            <w:noWrap/>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57.5%</w:t>
            </w:r>
          </w:p>
        </w:tc>
        <w:tc>
          <w:tcPr>
            <w:tcW w:w="748" w:type="pct"/>
            <w:gridSpan w:val="2"/>
            <w:tcBorders>
              <w:top w:val="nil"/>
              <w:left w:val="nil"/>
              <w:bottom w:val="single" w:sz="4" w:space="0" w:color="366092"/>
              <w:right w:val="nil"/>
            </w:tcBorders>
            <w:vAlign w:val="bottom"/>
          </w:tcPr>
          <w:p w:rsidR="00222490" w:rsidRPr="006A6C2F" w:rsidRDefault="00222490"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68.8%</w:t>
            </w:r>
          </w:p>
        </w:tc>
      </w:tr>
      <w:tr w:rsidR="00222490" w:rsidRPr="00797118" w:rsidTr="000F1F1A">
        <w:trPr>
          <w:gridAfter w:val="1"/>
          <w:wAfter w:w="4" w:type="pct"/>
          <w:trHeight w:val="300"/>
        </w:trPr>
        <w:tc>
          <w:tcPr>
            <w:tcW w:w="1181" w:type="pct"/>
            <w:tcBorders>
              <w:top w:val="single" w:sz="4" w:space="0" w:color="366092"/>
              <w:left w:val="nil"/>
              <w:bottom w:val="single" w:sz="4" w:space="0" w:color="366092"/>
              <w:right w:val="nil"/>
            </w:tcBorders>
            <w:shd w:val="clear" w:color="000000" w:fill="E5F6F6"/>
            <w:noWrap/>
            <w:vAlign w:val="bottom"/>
            <w:hideMark/>
          </w:tcPr>
          <w:p w:rsidR="00222490" w:rsidRPr="00797118" w:rsidRDefault="00222490" w:rsidP="000F1F1A">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51" w:type="pct"/>
            <w:tcBorders>
              <w:top w:val="single" w:sz="4" w:space="0" w:color="366092"/>
              <w:left w:val="nil"/>
              <w:bottom w:val="single" w:sz="4" w:space="0" w:color="366092"/>
              <w:right w:val="nil"/>
            </w:tcBorders>
            <w:shd w:val="clear" w:color="000000" w:fill="E5F6F6"/>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0.0%</w:t>
            </w:r>
          </w:p>
        </w:tc>
        <w:tc>
          <w:tcPr>
            <w:tcW w:w="781" w:type="pct"/>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37.7%</w:t>
            </w:r>
          </w:p>
        </w:tc>
        <w:tc>
          <w:tcPr>
            <w:tcW w:w="736" w:type="pct"/>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51.8%</w:t>
            </w:r>
          </w:p>
        </w:tc>
        <w:tc>
          <w:tcPr>
            <w:tcW w:w="799" w:type="pct"/>
            <w:gridSpan w:val="2"/>
            <w:tcBorders>
              <w:top w:val="single" w:sz="4" w:space="0" w:color="366092"/>
              <w:left w:val="nil"/>
              <w:bottom w:val="single" w:sz="4" w:space="0" w:color="366092"/>
              <w:right w:val="nil"/>
            </w:tcBorders>
            <w:shd w:val="clear" w:color="000000" w:fill="E5F6F6"/>
            <w:noWrap/>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59.1%</w:t>
            </w:r>
          </w:p>
        </w:tc>
        <w:tc>
          <w:tcPr>
            <w:tcW w:w="748" w:type="pct"/>
            <w:gridSpan w:val="2"/>
            <w:tcBorders>
              <w:top w:val="single" w:sz="4" w:space="0" w:color="366092"/>
              <w:left w:val="nil"/>
              <w:bottom w:val="single" w:sz="4" w:space="0" w:color="366092"/>
              <w:right w:val="nil"/>
            </w:tcBorders>
            <w:shd w:val="clear" w:color="000000" w:fill="E5F6F6"/>
            <w:vAlign w:val="bottom"/>
          </w:tcPr>
          <w:p w:rsidR="00222490" w:rsidRPr="006A6C2F" w:rsidRDefault="00222490"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85.3%</w:t>
            </w:r>
          </w:p>
        </w:tc>
      </w:tr>
    </w:tbl>
    <w:p w:rsidR="00222490" w:rsidRDefault="00222490" w:rsidP="00353F0C">
      <w:pPr>
        <w:spacing w:after="0" w:line="240" w:lineRule="auto"/>
        <w:rPr>
          <w:rFonts w:ascii="Arial" w:eastAsiaTheme="minorHAnsi" w:hAnsi="Arial" w:cstheme="minorBidi"/>
          <w:sz w:val="16"/>
          <w:szCs w:val="16"/>
        </w:rPr>
      </w:pPr>
    </w:p>
    <w:p w:rsidR="007B5AEB" w:rsidRPr="00130AB7" w:rsidRDefault="007B5AEB" w:rsidP="00353F0C">
      <w:pPr>
        <w:spacing w:after="0" w:line="240" w:lineRule="auto"/>
        <w:rPr>
          <w:rFonts w:ascii="Arial" w:eastAsiaTheme="minorHAnsi" w:hAnsi="Arial" w:cstheme="minorBidi"/>
          <w:sz w:val="16"/>
          <w:szCs w:val="16"/>
        </w:rPr>
      </w:pPr>
    </w:p>
    <w:p w:rsidR="00473922" w:rsidRDefault="00473922" w:rsidP="00353F0C">
      <w:pPr>
        <w:pStyle w:val="BulletsL1"/>
        <w:shd w:val="clear" w:color="auto" w:fill="E5ECED" w:themeFill="accent4" w:themeFillTint="66"/>
        <w:ind w:left="0" w:firstLine="0"/>
        <w:rPr>
          <w:lang w:val="en-AU"/>
        </w:rPr>
      </w:pPr>
    </w:p>
    <w:p w:rsidR="00222490" w:rsidRDefault="00222490" w:rsidP="00222490">
      <w:pPr>
        <w:pStyle w:val="BulletsL1"/>
        <w:numPr>
          <w:ilvl w:val="0"/>
          <w:numId w:val="6"/>
        </w:numPr>
        <w:shd w:val="clear" w:color="auto" w:fill="E5ECED" w:themeFill="accent4" w:themeFillTint="66"/>
        <w:ind w:left="284" w:hanging="284"/>
        <w:rPr>
          <w:lang w:val="en-AU"/>
        </w:rPr>
      </w:pPr>
      <w:r>
        <w:rPr>
          <w:lang w:val="en-AU"/>
        </w:rPr>
        <w:t xml:space="preserve">Medium-sized providers (500 to 4,999 EFTSL) </w:t>
      </w:r>
      <w:r w:rsidR="00DC28B1">
        <w:rPr>
          <w:lang w:val="en-AU"/>
        </w:rPr>
        <w:t>are</w:t>
      </w:r>
      <w:r w:rsidR="00850742">
        <w:rPr>
          <w:lang w:val="en-AU"/>
        </w:rPr>
        <w:t xml:space="preserve"> clustered at </w:t>
      </w:r>
      <w:r w:rsidR="00DC28B1">
        <w:rPr>
          <w:lang w:val="en-AU"/>
        </w:rPr>
        <w:t>the lower</w:t>
      </w:r>
      <w:r w:rsidR="00850742">
        <w:rPr>
          <w:lang w:val="en-AU"/>
        </w:rPr>
        <w:t xml:space="preserve"> end of the </w:t>
      </w:r>
      <w:r w:rsidR="00DC28B1">
        <w:rPr>
          <w:lang w:val="en-AU"/>
        </w:rPr>
        <w:t>range</w:t>
      </w:r>
      <w:r w:rsidR="00850742">
        <w:rPr>
          <w:lang w:val="en-AU"/>
        </w:rPr>
        <w:t xml:space="preserve">. Table 40 also shows that these providers </w:t>
      </w:r>
      <w:r>
        <w:rPr>
          <w:lang w:val="en-AU"/>
        </w:rPr>
        <w:t>had the lowest median EBR of all provider types in the sector.</w:t>
      </w:r>
    </w:p>
    <w:p w:rsidR="00222490" w:rsidRPr="00130AB7" w:rsidRDefault="00222490" w:rsidP="00222490">
      <w:pPr>
        <w:shd w:val="clear" w:color="auto" w:fill="E5ECED" w:themeFill="accent4" w:themeFillTint="66"/>
        <w:spacing w:after="0"/>
        <w:rPr>
          <w:rFonts w:ascii="Arial" w:eastAsiaTheme="minorHAnsi" w:hAnsi="Arial" w:cstheme="minorBidi"/>
          <w:sz w:val="22"/>
          <w:szCs w:val="22"/>
        </w:rPr>
      </w:pPr>
    </w:p>
    <w:p w:rsidR="00222490" w:rsidRDefault="00222490" w:rsidP="00222490">
      <w:pPr>
        <w:spacing w:after="0" w:line="240" w:lineRule="auto"/>
        <w:rPr>
          <w:rFonts w:asciiTheme="majorHAnsi" w:eastAsiaTheme="minorHAnsi" w:hAnsiTheme="majorHAnsi" w:cs="Garamond"/>
          <w:b/>
          <w:bCs/>
          <w:color w:val="00A6AA" w:themeColor="background1"/>
          <w:sz w:val="32"/>
          <w:szCs w:val="32"/>
          <w:lang w:val="en-GB"/>
        </w:rPr>
      </w:pPr>
      <w:r>
        <w:br w:type="page"/>
      </w:r>
    </w:p>
    <w:p w:rsidR="007B5AEB" w:rsidRDefault="007B5AEB" w:rsidP="007B5AEB">
      <w:pPr>
        <w:pStyle w:val="H3"/>
      </w:pPr>
      <w:r>
        <w:lastRenderedPageBreak/>
        <w:t>Asset replacement ratio</w:t>
      </w:r>
    </w:p>
    <w:p w:rsidR="007B5AEB" w:rsidRPr="001567F7" w:rsidDel="0024327E" w:rsidRDefault="007B5AEB" w:rsidP="007B5AEB">
      <w:pPr>
        <w:rPr>
          <w:rFonts w:ascii="Georgia" w:hAnsi="Georgia" w:cs="Arial"/>
          <w:b/>
          <w:color w:val="004855" w:themeColor="text1"/>
          <w:sz w:val="20"/>
          <w:szCs w:val="20"/>
          <w:lang w:val="en-US"/>
        </w:rPr>
      </w:pPr>
      <w:r w:rsidRPr="001B39EA"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4</w:t>
      </w:r>
      <w:r w:rsidR="006C43D6">
        <w:rPr>
          <w:rFonts w:ascii="Georgia" w:hAnsi="Georgia" w:cs="Arial"/>
          <w:b/>
          <w:color w:val="004855" w:themeColor="text1"/>
          <w:sz w:val="20"/>
          <w:szCs w:val="20"/>
          <w:lang w:val="en-US"/>
        </w:rPr>
        <w:t>6</w:t>
      </w:r>
      <w:r w:rsidRPr="001B39EA" w:rsidDel="0024327E">
        <w:rPr>
          <w:rFonts w:ascii="Georgia" w:hAnsi="Georgia" w:cs="Arial"/>
          <w:b/>
          <w:color w:val="004855" w:themeColor="text1"/>
          <w:sz w:val="20"/>
          <w:szCs w:val="20"/>
          <w:lang w:val="en-US"/>
        </w:rPr>
        <w:t>: Asset replacement ratio, by provider size</w:t>
      </w:r>
    </w:p>
    <w:p w:rsidR="007B5AEB" w:rsidRDefault="00E55184" w:rsidP="007B5AEB">
      <w:pPr>
        <w:rPr>
          <w:rFonts w:ascii="Georgia" w:hAnsi="Georgia" w:cs="Arial"/>
          <w:b/>
          <w:color w:val="004855" w:themeColor="text1"/>
          <w:sz w:val="22"/>
          <w:szCs w:val="22"/>
          <w:lang w:val="en-US"/>
        </w:rPr>
      </w:pPr>
      <w:r w:rsidRPr="00F21973">
        <w:rPr>
          <w:rFonts w:ascii="Georgia" w:hAnsi="Georgia" w:cs="Arial"/>
          <w:b/>
          <w:noProof/>
          <w:color w:val="004855" w:themeColor="text1"/>
          <w:sz w:val="22"/>
          <w:szCs w:val="22"/>
          <w:lang w:eastAsia="en-AU"/>
        </w:rPr>
        <w:drawing>
          <wp:inline distT="0" distB="0" distL="0" distR="0" wp14:anchorId="1468BE36" wp14:editId="1155EB2C">
            <wp:extent cx="5935580" cy="35052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1060" cy="3508436"/>
                    </a:xfrm>
                    <a:prstGeom prst="rect">
                      <a:avLst/>
                    </a:prstGeom>
                    <a:noFill/>
                    <a:ln>
                      <a:noFill/>
                    </a:ln>
                  </pic:spPr>
                </pic:pic>
              </a:graphicData>
            </a:graphic>
          </wp:inline>
        </w:drawing>
      </w:r>
    </w:p>
    <w:p w:rsidR="007B5AEB" w:rsidRDefault="007B5AEB" w:rsidP="007B5AEB">
      <w:pPr>
        <w:jc w:val="center"/>
        <w:rPr>
          <w:rFonts w:ascii="Georgia" w:hAnsi="Georgia" w:cs="Arial"/>
          <w:b/>
          <w:color w:val="004855" w:themeColor="text1"/>
          <w:sz w:val="22"/>
          <w:szCs w:val="22"/>
          <w:lang w:val="en-US"/>
        </w:rPr>
      </w:pPr>
      <w:r w:rsidRPr="00F21973">
        <w:rPr>
          <w:rFonts w:ascii="Georgia" w:hAnsi="Georgia" w:cs="Arial"/>
          <w:b/>
          <w:noProof/>
          <w:color w:val="004855" w:themeColor="text1"/>
          <w:sz w:val="22"/>
          <w:szCs w:val="22"/>
          <w:lang w:eastAsia="en-AU"/>
        </w:rPr>
        <w:drawing>
          <wp:inline distT="0" distB="0" distL="0" distR="0" wp14:anchorId="282BAA63" wp14:editId="2E3462AB">
            <wp:extent cx="1059180" cy="358140"/>
            <wp:effectExtent l="0" t="0" r="7620" b="381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3">
                      <a:extLst>
                        <a:ext uri="{28A0092B-C50C-407E-A947-70E740481C1C}">
                          <a14:useLocalDpi xmlns:a14="http://schemas.microsoft.com/office/drawing/2010/main" val="0"/>
                        </a:ext>
                      </a:extLst>
                    </a:blip>
                    <a:srcRect t="14706" b="50735"/>
                    <a:stretch/>
                  </pic:blipFill>
                  <pic:spPr bwMode="auto">
                    <a:xfrm>
                      <a:off x="0" y="0"/>
                      <a:ext cx="1059180" cy="358140"/>
                    </a:xfrm>
                    <a:prstGeom prst="rect">
                      <a:avLst/>
                    </a:prstGeom>
                    <a:noFill/>
                    <a:ln>
                      <a:noFill/>
                    </a:ln>
                    <a:extLst>
                      <a:ext uri="{53640926-AAD7-44D8-BBD7-CCE9431645EC}">
                        <a14:shadowObscured xmlns:a14="http://schemas.microsoft.com/office/drawing/2010/main"/>
                      </a:ext>
                    </a:extLst>
                  </pic:spPr>
                </pic:pic>
              </a:graphicData>
            </a:graphic>
          </wp:inline>
        </w:drawing>
      </w:r>
      <w:r w:rsidRPr="00F21973">
        <w:rPr>
          <w:rFonts w:ascii="Georgia" w:hAnsi="Georgia" w:cs="Arial"/>
          <w:b/>
          <w:noProof/>
          <w:color w:val="004855" w:themeColor="text1"/>
          <w:sz w:val="22"/>
          <w:szCs w:val="22"/>
          <w:lang w:eastAsia="en-AU"/>
        </w:rPr>
        <w:drawing>
          <wp:inline distT="0" distB="0" distL="0" distR="0" wp14:anchorId="2ABA17A2" wp14:editId="40296FB4">
            <wp:extent cx="1059180" cy="388620"/>
            <wp:effectExtent l="0" t="0" r="762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a:extLst>
                        <a:ext uri="{28A0092B-C50C-407E-A947-70E740481C1C}">
                          <a14:useLocalDpi xmlns:a14="http://schemas.microsoft.com/office/drawing/2010/main" val="0"/>
                        </a:ext>
                      </a:extLst>
                    </a:blip>
                    <a:srcRect t="46325" b="16176"/>
                    <a:stretch/>
                  </pic:blipFill>
                  <pic:spPr bwMode="auto">
                    <a:xfrm>
                      <a:off x="0" y="0"/>
                      <a:ext cx="1059180" cy="388620"/>
                    </a:xfrm>
                    <a:prstGeom prst="rect">
                      <a:avLst/>
                    </a:prstGeom>
                    <a:noFill/>
                    <a:ln>
                      <a:noFill/>
                    </a:ln>
                    <a:extLst>
                      <a:ext uri="{53640926-AAD7-44D8-BBD7-CCE9431645EC}">
                        <a14:shadowObscured xmlns:a14="http://schemas.microsoft.com/office/drawing/2010/main"/>
                      </a:ext>
                    </a:extLst>
                  </pic:spPr>
                </pic:pic>
              </a:graphicData>
            </a:graphic>
          </wp:inline>
        </w:drawing>
      </w:r>
      <w:r w:rsidRPr="00F21973">
        <w:rPr>
          <w:rFonts w:ascii="Georgia" w:hAnsi="Georgia" w:cs="Arial"/>
          <w:b/>
          <w:noProof/>
          <w:color w:val="004855" w:themeColor="text1"/>
          <w:sz w:val="22"/>
          <w:szCs w:val="22"/>
          <w:lang w:eastAsia="en-AU"/>
        </w:rPr>
        <w:drawing>
          <wp:inline distT="0" distB="0" distL="0" distR="0" wp14:anchorId="10AF1BAB" wp14:editId="28C52958">
            <wp:extent cx="1059180" cy="167640"/>
            <wp:effectExtent l="0" t="0" r="7620" b="381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3">
                      <a:extLst>
                        <a:ext uri="{28A0092B-C50C-407E-A947-70E740481C1C}">
                          <a14:useLocalDpi xmlns:a14="http://schemas.microsoft.com/office/drawing/2010/main" val="0"/>
                        </a:ext>
                      </a:extLst>
                    </a:blip>
                    <a:srcRect t="83824"/>
                    <a:stretch/>
                  </pic:blipFill>
                  <pic:spPr bwMode="auto">
                    <a:xfrm>
                      <a:off x="0" y="0"/>
                      <a:ext cx="1059180" cy="167640"/>
                    </a:xfrm>
                    <a:prstGeom prst="rect">
                      <a:avLst/>
                    </a:prstGeom>
                    <a:noFill/>
                    <a:ln>
                      <a:noFill/>
                    </a:ln>
                    <a:extLst>
                      <a:ext uri="{53640926-AAD7-44D8-BBD7-CCE9431645EC}">
                        <a14:shadowObscured xmlns:a14="http://schemas.microsoft.com/office/drawing/2010/main"/>
                      </a:ext>
                    </a:extLst>
                  </pic:spPr>
                </pic:pic>
              </a:graphicData>
            </a:graphic>
          </wp:inline>
        </w:drawing>
      </w:r>
    </w:p>
    <w:p w:rsidR="007B5AEB" w:rsidRDefault="007B5AEB" w:rsidP="007B5AEB">
      <w:pPr>
        <w:rPr>
          <w:rFonts w:ascii="Georgia" w:hAnsi="Georgia" w:cs="Arial"/>
          <w:b/>
          <w:color w:val="004855" w:themeColor="text1"/>
          <w:sz w:val="20"/>
          <w:szCs w:val="20"/>
          <w:lang w:val="en-US"/>
        </w:rPr>
      </w:pPr>
    </w:p>
    <w:p w:rsidR="007B5AEB" w:rsidRPr="001567F7" w:rsidRDefault="007B5AEB" w:rsidP="007B5AEB">
      <w:pPr>
        <w:rPr>
          <w:rFonts w:ascii="Georgia" w:hAnsi="Georgia" w:cs="Arial"/>
          <w:b/>
          <w:color w:val="004855" w:themeColor="text1"/>
          <w:sz w:val="20"/>
          <w:szCs w:val="20"/>
          <w:lang w:val="en-US"/>
        </w:rPr>
      </w:pPr>
      <w:r w:rsidRPr="006A6C2F">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41</w:t>
      </w:r>
      <w:r w:rsidRPr="006A6C2F">
        <w:rPr>
          <w:rFonts w:ascii="Georgia" w:hAnsi="Georgia" w:cs="Arial"/>
          <w:b/>
          <w:color w:val="004855" w:themeColor="text1"/>
          <w:sz w:val="20"/>
          <w:szCs w:val="20"/>
          <w:lang w:val="en-US"/>
        </w:rPr>
        <w:t>: Asset replacement ratio range, by provider size</w:t>
      </w:r>
    </w:p>
    <w:tbl>
      <w:tblPr>
        <w:tblW w:w="5092" w:type="pct"/>
        <w:tblLook w:val="04A0" w:firstRow="1" w:lastRow="0" w:firstColumn="1" w:lastColumn="0" w:noHBand="0" w:noVBand="1"/>
      </w:tblPr>
      <w:tblGrid>
        <w:gridCol w:w="2303"/>
        <w:gridCol w:w="1443"/>
        <w:gridCol w:w="1610"/>
        <w:gridCol w:w="16"/>
        <w:gridCol w:w="1390"/>
        <w:gridCol w:w="1573"/>
        <w:gridCol w:w="1413"/>
      </w:tblGrid>
      <w:tr w:rsidR="007B5AEB" w:rsidRPr="00797118" w:rsidTr="000F1F1A">
        <w:trPr>
          <w:trHeight w:val="300"/>
        </w:trPr>
        <w:tc>
          <w:tcPr>
            <w:tcW w:w="1181" w:type="pct"/>
            <w:tcBorders>
              <w:top w:val="nil"/>
              <w:left w:val="nil"/>
              <w:bottom w:val="single" w:sz="4" w:space="0" w:color="366092"/>
              <w:right w:val="nil"/>
            </w:tcBorders>
            <w:shd w:val="clear" w:color="auto" w:fill="004855"/>
            <w:noWrap/>
            <w:vAlign w:val="center"/>
            <w:hideMark/>
          </w:tcPr>
          <w:p w:rsidR="007B5AEB" w:rsidRPr="00797118" w:rsidRDefault="007B5AEB" w:rsidP="000F1F1A">
            <w:pPr>
              <w:spacing w:after="0"/>
              <w:rPr>
                <w:rFonts w:asciiTheme="minorHAnsi" w:hAnsiTheme="minorHAnsi" w:cstheme="minorHAnsi"/>
                <w:b/>
                <w:sz w:val="20"/>
                <w:szCs w:val="20"/>
              </w:rPr>
            </w:pPr>
          </w:p>
        </w:tc>
        <w:tc>
          <w:tcPr>
            <w:tcW w:w="740" w:type="pct"/>
            <w:tcBorders>
              <w:top w:val="nil"/>
              <w:left w:val="nil"/>
              <w:bottom w:val="single" w:sz="4" w:space="0" w:color="366092"/>
              <w:right w:val="nil"/>
            </w:tcBorders>
            <w:shd w:val="clear" w:color="auto" w:fill="004855"/>
            <w:noWrap/>
            <w:vAlign w:val="center"/>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26" w:type="pct"/>
            <w:tcBorders>
              <w:top w:val="nil"/>
              <w:left w:val="nil"/>
              <w:bottom w:val="single" w:sz="4" w:space="0" w:color="366092"/>
              <w:right w:val="nil"/>
            </w:tcBorders>
            <w:shd w:val="clear" w:color="auto" w:fill="004855"/>
            <w:vAlign w:val="center"/>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21" w:type="pct"/>
            <w:gridSpan w:val="2"/>
            <w:tcBorders>
              <w:top w:val="nil"/>
              <w:left w:val="nil"/>
              <w:bottom w:val="single" w:sz="4" w:space="0" w:color="366092"/>
              <w:right w:val="nil"/>
            </w:tcBorders>
            <w:shd w:val="clear" w:color="auto" w:fill="004855"/>
            <w:noWrap/>
            <w:vAlign w:val="center"/>
          </w:tcPr>
          <w:p w:rsidR="007B5AEB" w:rsidRPr="00797118" w:rsidRDefault="007B5AEB"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7" w:type="pct"/>
            <w:tcBorders>
              <w:top w:val="nil"/>
              <w:left w:val="nil"/>
              <w:bottom w:val="single" w:sz="4" w:space="0" w:color="366092"/>
              <w:right w:val="nil"/>
            </w:tcBorders>
            <w:shd w:val="clear" w:color="auto" w:fill="004855"/>
            <w:noWrap/>
            <w:vAlign w:val="center"/>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25" w:type="pct"/>
            <w:tcBorders>
              <w:top w:val="nil"/>
              <w:left w:val="nil"/>
              <w:bottom w:val="single" w:sz="4" w:space="0" w:color="366092"/>
              <w:right w:val="nil"/>
            </w:tcBorders>
            <w:shd w:val="clear" w:color="auto" w:fill="004855"/>
            <w:vAlign w:val="center"/>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7B5AEB" w:rsidRPr="00797118" w:rsidTr="000F1F1A">
        <w:trPr>
          <w:trHeight w:val="300"/>
        </w:trPr>
        <w:tc>
          <w:tcPr>
            <w:tcW w:w="1181" w:type="pct"/>
            <w:tcBorders>
              <w:top w:val="nil"/>
              <w:left w:val="nil"/>
              <w:bottom w:val="single" w:sz="4" w:space="0" w:color="366092"/>
              <w:right w:val="nil"/>
            </w:tcBorders>
            <w:shd w:val="clear" w:color="auto" w:fill="auto"/>
            <w:noWrap/>
            <w:vAlign w:val="center"/>
          </w:tcPr>
          <w:p w:rsidR="007B5AEB" w:rsidRPr="00DC6756" w:rsidRDefault="007B5AEB" w:rsidP="000F1F1A">
            <w:pPr>
              <w:spacing w:after="0"/>
              <w:rPr>
                <w:rFonts w:asciiTheme="minorHAnsi" w:hAnsiTheme="minorHAnsi" w:cstheme="minorHAnsi"/>
                <w:sz w:val="20"/>
                <w:szCs w:val="20"/>
              </w:rPr>
            </w:pPr>
            <w:r w:rsidRPr="00DC6756">
              <w:rPr>
                <w:rFonts w:asciiTheme="minorHAnsi" w:hAnsiTheme="minorHAnsi" w:cstheme="minorHAnsi"/>
                <w:sz w:val="20"/>
                <w:szCs w:val="20"/>
              </w:rPr>
              <w:t>&lt;</w:t>
            </w:r>
            <w:r>
              <w:rPr>
                <w:rFonts w:asciiTheme="minorHAnsi" w:hAnsiTheme="minorHAnsi" w:cstheme="minorHAnsi"/>
                <w:sz w:val="20"/>
                <w:szCs w:val="20"/>
              </w:rPr>
              <w:t xml:space="preserve"> </w:t>
            </w:r>
            <w:r w:rsidRPr="00DC6756">
              <w:rPr>
                <w:rFonts w:asciiTheme="minorHAnsi" w:hAnsiTheme="minorHAnsi" w:cstheme="minorHAnsi"/>
                <w:sz w:val="20"/>
                <w:szCs w:val="20"/>
              </w:rPr>
              <w:t>100</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0.0</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0.5</w:t>
            </w:r>
          </w:p>
        </w:tc>
        <w:tc>
          <w:tcPr>
            <w:tcW w:w="713"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0.8</w:t>
            </w:r>
          </w:p>
        </w:tc>
        <w:tc>
          <w:tcPr>
            <w:tcW w:w="807"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1.2</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10.9</w:t>
            </w:r>
          </w:p>
        </w:tc>
      </w:tr>
      <w:tr w:rsidR="007B5AEB" w:rsidRPr="00797118" w:rsidTr="000F1F1A">
        <w:trPr>
          <w:trHeight w:val="300"/>
        </w:trPr>
        <w:tc>
          <w:tcPr>
            <w:tcW w:w="1181" w:type="pct"/>
            <w:tcBorders>
              <w:top w:val="nil"/>
              <w:left w:val="nil"/>
              <w:bottom w:val="single" w:sz="4" w:space="0" w:color="366092"/>
              <w:right w:val="nil"/>
            </w:tcBorders>
            <w:shd w:val="clear" w:color="auto" w:fill="auto"/>
            <w:noWrap/>
            <w:vAlign w:val="center"/>
          </w:tcPr>
          <w:p w:rsidR="007B5AEB" w:rsidRPr="00DC6756" w:rsidRDefault="007B5AEB" w:rsidP="000F1F1A">
            <w:pPr>
              <w:spacing w:after="0"/>
              <w:rPr>
                <w:rFonts w:asciiTheme="minorHAnsi" w:hAnsiTheme="minorHAnsi" w:cstheme="minorHAnsi"/>
                <w:sz w:val="20"/>
                <w:szCs w:val="20"/>
              </w:rPr>
            </w:pPr>
            <w:r w:rsidRPr="00DC6756">
              <w:rPr>
                <w:rFonts w:asciiTheme="minorHAnsi" w:hAnsiTheme="minorHAnsi" w:cstheme="minorHAnsi"/>
                <w:sz w:val="20"/>
                <w:szCs w:val="20"/>
              </w:rPr>
              <w:t>100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499</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0.2</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0.6</w:t>
            </w:r>
          </w:p>
        </w:tc>
        <w:tc>
          <w:tcPr>
            <w:tcW w:w="713"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1.3</w:t>
            </w:r>
          </w:p>
        </w:tc>
        <w:tc>
          <w:tcPr>
            <w:tcW w:w="807"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2.1</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14.2</w:t>
            </w:r>
          </w:p>
        </w:tc>
      </w:tr>
      <w:tr w:rsidR="007B5AEB" w:rsidRPr="00797118" w:rsidTr="000F1F1A">
        <w:trPr>
          <w:trHeight w:val="300"/>
        </w:trPr>
        <w:tc>
          <w:tcPr>
            <w:tcW w:w="1181" w:type="pct"/>
            <w:tcBorders>
              <w:top w:val="nil"/>
              <w:left w:val="nil"/>
              <w:bottom w:val="single" w:sz="4" w:space="0" w:color="366092"/>
              <w:right w:val="nil"/>
            </w:tcBorders>
            <w:shd w:val="clear" w:color="auto" w:fill="auto"/>
            <w:noWrap/>
            <w:vAlign w:val="center"/>
          </w:tcPr>
          <w:p w:rsidR="007B5AEB" w:rsidRPr="00DC6756" w:rsidRDefault="007B5AEB" w:rsidP="000F1F1A">
            <w:pPr>
              <w:spacing w:after="0"/>
              <w:rPr>
                <w:rFonts w:asciiTheme="minorHAnsi" w:hAnsiTheme="minorHAnsi" w:cstheme="minorHAnsi"/>
                <w:sz w:val="20"/>
                <w:szCs w:val="20"/>
              </w:rPr>
            </w:pPr>
            <w:r w:rsidRPr="00DC6756">
              <w:rPr>
                <w:rFonts w:asciiTheme="minorHAnsi" w:hAnsiTheme="minorHAnsi" w:cstheme="minorHAnsi"/>
                <w:sz w:val="20"/>
                <w:szCs w:val="20"/>
              </w:rPr>
              <w:t>500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w:t>
            </w:r>
            <w:r>
              <w:rPr>
                <w:rFonts w:asciiTheme="minorHAnsi" w:hAnsiTheme="minorHAnsi" w:cstheme="minorHAnsi"/>
                <w:sz w:val="20"/>
                <w:szCs w:val="20"/>
              </w:rPr>
              <w:t>,</w:t>
            </w:r>
            <w:r w:rsidRPr="00DC6756">
              <w:rPr>
                <w:rFonts w:asciiTheme="minorHAnsi" w:hAnsiTheme="minorHAnsi" w:cstheme="minorHAnsi"/>
                <w:sz w:val="20"/>
                <w:szCs w:val="20"/>
              </w:rPr>
              <w:t>999</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0.0</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0.6</w:t>
            </w:r>
          </w:p>
        </w:tc>
        <w:tc>
          <w:tcPr>
            <w:tcW w:w="713"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1.0</w:t>
            </w:r>
          </w:p>
        </w:tc>
        <w:tc>
          <w:tcPr>
            <w:tcW w:w="807"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2.1</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11.2</w:t>
            </w:r>
          </w:p>
        </w:tc>
      </w:tr>
      <w:tr w:rsidR="007B5AEB" w:rsidRPr="00797118" w:rsidTr="000F1F1A">
        <w:trPr>
          <w:trHeight w:val="300"/>
        </w:trPr>
        <w:tc>
          <w:tcPr>
            <w:tcW w:w="1181" w:type="pct"/>
            <w:tcBorders>
              <w:top w:val="nil"/>
              <w:left w:val="nil"/>
              <w:bottom w:val="single" w:sz="4" w:space="0" w:color="366092"/>
              <w:right w:val="nil"/>
            </w:tcBorders>
            <w:shd w:val="clear" w:color="auto" w:fill="auto"/>
            <w:noWrap/>
            <w:vAlign w:val="center"/>
          </w:tcPr>
          <w:p w:rsidR="007B5AEB" w:rsidRPr="00DC6756" w:rsidRDefault="007B5AEB" w:rsidP="000F1F1A">
            <w:pPr>
              <w:spacing w:after="0"/>
              <w:rPr>
                <w:rFonts w:asciiTheme="minorHAnsi" w:hAnsiTheme="minorHAnsi" w:cstheme="minorHAnsi"/>
                <w:sz w:val="20"/>
                <w:szCs w:val="20"/>
              </w:rPr>
            </w:pPr>
            <w:r w:rsidRPr="00E128BF">
              <w:rPr>
                <w:rFonts w:asciiTheme="minorHAnsi" w:hAnsiTheme="minorHAnsi" w:cstheme="minorHAnsi"/>
                <w:sz w:val="20"/>
                <w:szCs w:val="20"/>
              </w:rPr>
              <w:t>5</w:t>
            </w:r>
            <w:r>
              <w:rPr>
                <w:rFonts w:asciiTheme="minorHAnsi" w:hAnsiTheme="minorHAnsi" w:cstheme="minorHAnsi"/>
                <w:sz w:val="20"/>
                <w:szCs w:val="20"/>
              </w:rPr>
              <w:t>,</w:t>
            </w:r>
            <w:r w:rsidRPr="00E128BF">
              <w:rPr>
                <w:rFonts w:asciiTheme="minorHAnsi" w:hAnsiTheme="minorHAnsi" w:cstheme="minorHAnsi"/>
                <w:sz w:val="20"/>
                <w:szCs w:val="20"/>
              </w:rPr>
              <w:t>000</w:t>
            </w:r>
            <w:r>
              <w:rPr>
                <w:rFonts w:asciiTheme="minorHAnsi" w:hAnsiTheme="minorHAnsi" w:cstheme="minorHAnsi"/>
                <w:sz w:val="20"/>
                <w:szCs w:val="20"/>
              </w:rPr>
              <w:t xml:space="preserve"> </w:t>
            </w: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19</w:t>
            </w:r>
            <w:r>
              <w:rPr>
                <w:rFonts w:asciiTheme="minorHAnsi" w:hAnsiTheme="minorHAnsi" w:cstheme="minorHAnsi"/>
                <w:sz w:val="20"/>
                <w:szCs w:val="20"/>
              </w:rPr>
              <w:t>,</w:t>
            </w:r>
            <w:r w:rsidRPr="00E128BF">
              <w:rPr>
                <w:rFonts w:asciiTheme="minorHAnsi" w:hAnsiTheme="minorHAnsi" w:cstheme="minorHAnsi"/>
                <w:sz w:val="20"/>
                <w:szCs w:val="20"/>
              </w:rPr>
              <w:t>999</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0.8</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1.6</w:t>
            </w:r>
          </w:p>
        </w:tc>
        <w:tc>
          <w:tcPr>
            <w:tcW w:w="713"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2.1</w:t>
            </w:r>
          </w:p>
        </w:tc>
        <w:tc>
          <w:tcPr>
            <w:tcW w:w="807"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3.3</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5.7</w:t>
            </w:r>
          </w:p>
        </w:tc>
      </w:tr>
      <w:tr w:rsidR="007B5AEB" w:rsidRPr="00797118" w:rsidTr="000F1F1A">
        <w:trPr>
          <w:trHeight w:val="300"/>
        </w:trPr>
        <w:tc>
          <w:tcPr>
            <w:tcW w:w="1181" w:type="pct"/>
            <w:tcBorders>
              <w:top w:val="nil"/>
              <w:left w:val="nil"/>
              <w:bottom w:val="single" w:sz="4" w:space="0" w:color="366092"/>
              <w:right w:val="nil"/>
            </w:tcBorders>
            <w:shd w:val="clear" w:color="auto" w:fill="auto"/>
            <w:noWrap/>
            <w:vAlign w:val="center"/>
          </w:tcPr>
          <w:p w:rsidR="007B5AEB" w:rsidRPr="00DC6756" w:rsidRDefault="007B5AEB" w:rsidP="000F1F1A">
            <w:pPr>
              <w:spacing w:after="0"/>
              <w:rPr>
                <w:rFonts w:asciiTheme="minorHAnsi" w:hAnsiTheme="minorHAnsi" w:cstheme="minorHAnsi"/>
                <w:sz w:val="20"/>
                <w:szCs w:val="20"/>
              </w:rPr>
            </w:pP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20</w:t>
            </w:r>
            <w:r>
              <w:rPr>
                <w:rFonts w:asciiTheme="minorHAnsi" w:hAnsiTheme="minorHAnsi" w:cstheme="minorHAnsi"/>
                <w:sz w:val="20"/>
                <w:szCs w:val="20"/>
              </w:rPr>
              <w:t>,</w:t>
            </w:r>
            <w:r w:rsidRPr="00E128BF">
              <w:rPr>
                <w:rFonts w:asciiTheme="minorHAnsi" w:hAnsiTheme="minorHAnsi" w:cstheme="minorHAnsi"/>
                <w:sz w:val="20"/>
                <w:szCs w:val="20"/>
              </w:rPr>
              <w:t>000</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1.4</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1.9</w:t>
            </w:r>
          </w:p>
        </w:tc>
        <w:tc>
          <w:tcPr>
            <w:tcW w:w="713"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2.1</w:t>
            </w:r>
          </w:p>
        </w:tc>
        <w:tc>
          <w:tcPr>
            <w:tcW w:w="807"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2.9</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6.6</w:t>
            </w:r>
          </w:p>
        </w:tc>
      </w:tr>
      <w:tr w:rsidR="007B5AEB" w:rsidRPr="00797118" w:rsidTr="000F1F1A">
        <w:trPr>
          <w:trHeight w:val="300"/>
        </w:trPr>
        <w:tc>
          <w:tcPr>
            <w:tcW w:w="1181" w:type="pct"/>
            <w:tcBorders>
              <w:top w:val="single" w:sz="4" w:space="0" w:color="366092"/>
              <w:left w:val="nil"/>
              <w:bottom w:val="single" w:sz="4" w:space="0" w:color="366092"/>
              <w:right w:val="nil"/>
            </w:tcBorders>
            <w:shd w:val="clear" w:color="000000" w:fill="E5F6F6"/>
            <w:noWrap/>
            <w:vAlign w:val="center"/>
          </w:tcPr>
          <w:p w:rsidR="007B5AEB" w:rsidRPr="00797118" w:rsidRDefault="007B5AEB" w:rsidP="000F1F1A">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0" w:type="pct"/>
            <w:tcBorders>
              <w:top w:val="single" w:sz="4" w:space="0" w:color="366092"/>
              <w:left w:val="nil"/>
              <w:bottom w:val="single" w:sz="4" w:space="0" w:color="366092"/>
              <w:right w:val="nil"/>
            </w:tcBorders>
            <w:shd w:val="clear" w:color="000000" w:fill="E5F6F6"/>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0.0</w:t>
            </w:r>
          </w:p>
        </w:tc>
        <w:tc>
          <w:tcPr>
            <w:tcW w:w="834" w:type="pct"/>
            <w:gridSpan w:val="2"/>
            <w:tcBorders>
              <w:top w:val="single" w:sz="4" w:space="0" w:color="366092"/>
              <w:left w:val="nil"/>
              <w:bottom w:val="single" w:sz="4" w:space="0" w:color="366092"/>
              <w:right w:val="nil"/>
            </w:tcBorders>
            <w:shd w:val="clear" w:color="000000" w:fill="E5F6F6"/>
            <w:noWrap/>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0.6</w:t>
            </w:r>
          </w:p>
        </w:tc>
        <w:tc>
          <w:tcPr>
            <w:tcW w:w="713" w:type="pct"/>
            <w:tcBorders>
              <w:top w:val="single" w:sz="4" w:space="0" w:color="366092"/>
              <w:left w:val="nil"/>
              <w:bottom w:val="single" w:sz="4" w:space="0" w:color="366092"/>
              <w:right w:val="nil"/>
            </w:tcBorders>
            <w:shd w:val="clear" w:color="000000" w:fill="E5F6F6"/>
            <w:noWrap/>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1.3</w:t>
            </w:r>
          </w:p>
        </w:tc>
        <w:tc>
          <w:tcPr>
            <w:tcW w:w="807" w:type="pct"/>
            <w:tcBorders>
              <w:top w:val="single" w:sz="4" w:space="0" w:color="366092"/>
              <w:left w:val="nil"/>
              <w:bottom w:val="single" w:sz="4" w:space="0" w:color="366092"/>
              <w:right w:val="nil"/>
            </w:tcBorders>
            <w:shd w:val="clear" w:color="000000" w:fill="E5F6F6"/>
            <w:noWrap/>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2.4</w:t>
            </w:r>
          </w:p>
        </w:tc>
        <w:tc>
          <w:tcPr>
            <w:tcW w:w="725" w:type="pct"/>
            <w:tcBorders>
              <w:top w:val="single" w:sz="4" w:space="0" w:color="366092"/>
              <w:left w:val="nil"/>
              <w:bottom w:val="single" w:sz="4" w:space="0" w:color="366092"/>
              <w:right w:val="nil"/>
            </w:tcBorders>
            <w:shd w:val="clear" w:color="000000" w:fill="E5F6F6"/>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14.2</w:t>
            </w:r>
          </w:p>
        </w:tc>
      </w:tr>
    </w:tbl>
    <w:p w:rsidR="007B5AEB" w:rsidRDefault="007B5AEB" w:rsidP="007B5AEB">
      <w:pPr>
        <w:spacing w:after="0" w:line="240" w:lineRule="auto"/>
        <w:rPr>
          <w:rFonts w:asciiTheme="majorHAnsi" w:eastAsiaTheme="minorHAnsi" w:hAnsiTheme="majorHAnsi" w:cs="Garamond"/>
          <w:b/>
          <w:bCs/>
          <w:color w:val="00A6AA" w:themeColor="background1"/>
          <w:sz w:val="32"/>
          <w:szCs w:val="32"/>
          <w:lang w:val="en-GB"/>
        </w:rPr>
      </w:pPr>
    </w:p>
    <w:p w:rsidR="00473922" w:rsidRPr="006D1D0C" w:rsidRDefault="00473922" w:rsidP="00F21973">
      <w:pPr>
        <w:shd w:val="clear" w:color="auto" w:fill="E5ECED" w:themeFill="accent4" w:themeFillTint="66"/>
        <w:spacing w:after="0"/>
        <w:rPr>
          <w:rFonts w:ascii="Arial" w:eastAsiaTheme="minorHAnsi" w:hAnsi="Arial" w:cstheme="minorBidi"/>
          <w:sz w:val="16"/>
          <w:szCs w:val="16"/>
        </w:rPr>
      </w:pPr>
    </w:p>
    <w:p w:rsidR="007B5AEB" w:rsidRDefault="00FC0FAC" w:rsidP="007B5AEB">
      <w:pPr>
        <w:pStyle w:val="ListParagraph"/>
        <w:numPr>
          <w:ilvl w:val="0"/>
          <w:numId w:val="19"/>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 xml:space="preserve">Providers with greater than </w:t>
      </w:r>
      <w:r w:rsidR="007B5AEB" w:rsidRPr="00E77C28">
        <w:rPr>
          <w:rFonts w:ascii="Arial" w:eastAsiaTheme="minorHAnsi" w:hAnsi="Arial" w:cstheme="minorBidi"/>
          <w:sz w:val="22"/>
          <w:szCs w:val="22"/>
        </w:rPr>
        <w:t>5,000 EFTSL typically have higher asset replacement ratios than other providers.</w:t>
      </w:r>
      <w:r w:rsidR="00850742">
        <w:rPr>
          <w:rFonts w:ascii="Arial" w:eastAsiaTheme="minorHAnsi" w:hAnsi="Arial" w:cstheme="minorBidi"/>
          <w:sz w:val="22"/>
          <w:szCs w:val="22"/>
        </w:rPr>
        <w:t xml:space="preserve"> </w:t>
      </w:r>
      <w:r w:rsidR="00C035FE">
        <w:rPr>
          <w:rFonts w:ascii="Arial" w:eastAsiaTheme="minorHAnsi" w:hAnsi="Arial" w:cstheme="minorBidi"/>
          <w:sz w:val="22"/>
          <w:szCs w:val="22"/>
        </w:rPr>
        <w:t>Providers in these bands are</w:t>
      </w:r>
      <w:r w:rsidR="00850742">
        <w:rPr>
          <w:rFonts w:ascii="Arial" w:eastAsiaTheme="minorHAnsi" w:hAnsi="Arial" w:cstheme="minorBidi"/>
          <w:sz w:val="22"/>
          <w:szCs w:val="22"/>
        </w:rPr>
        <w:t xml:space="preserve"> all universities. </w:t>
      </w:r>
    </w:p>
    <w:p w:rsidR="007B5AEB" w:rsidRDefault="007B5AEB" w:rsidP="007B5AEB">
      <w:pPr>
        <w:pStyle w:val="ListParagraph"/>
        <w:numPr>
          <w:ilvl w:val="0"/>
          <w:numId w:val="19"/>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The lowest asset replacement ratio recorded for providers with greater than 20,000 EFTSL was 1.4</w:t>
      </w:r>
      <w:r w:rsidR="00342DA2">
        <w:rPr>
          <w:rFonts w:ascii="Arial" w:eastAsiaTheme="minorHAnsi" w:hAnsi="Arial" w:cstheme="minorBidi"/>
          <w:sz w:val="22"/>
          <w:szCs w:val="22"/>
        </w:rPr>
        <w:t xml:space="preserve">. This level </w:t>
      </w:r>
      <w:r>
        <w:rPr>
          <w:rFonts w:ascii="Arial" w:eastAsiaTheme="minorHAnsi" w:hAnsi="Arial" w:cstheme="minorBidi"/>
          <w:sz w:val="22"/>
          <w:szCs w:val="22"/>
        </w:rPr>
        <w:t>was higher than the sector median and the generally accepted benchmark of 1.</w:t>
      </w:r>
    </w:p>
    <w:p w:rsidR="007B5AEB" w:rsidRPr="00130AB7" w:rsidRDefault="007B5AEB" w:rsidP="007B5AEB">
      <w:pPr>
        <w:shd w:val="clear" w:color="auto" w:fill="E5ECED" w:themeFill="accent4" w:themeFillTint="66"/>
        <w:spacing w:after="0"/>
        <w:rPr>
          <w:rFonts w:ascii="Arial" w:eastAsiaTheme="minorHAnsi" w:hAnsi="Arial" w:cstheme="minorBidi"/>
          <w:sz w:val="16"/>
          <w:szCs w:val="16"/>
        </w:rPr>
      </w:pPr>
    </w:p>
    <w:p w:rsidR="007B5AEB" w:rsidRDefault="007B5AEB">
      <w:pPr>
        <w:spacing w:after="0" w:line="240" w:lineRule="auto"/>
        <w:rPr>
          <w:rFonts w:asciiTheme="majorHAnsi" w:eastAsiaTheme="majorEastAsia" w:hAnsiTheme="majorHAnsi" w:cstheme="majorBidi"/>
          <w:b/>
          <w:bCs/>
          <w:noProof/>
          <w:color w:val="00353F" w:themeColor="accent1" w:themeShade="BF"/>
          <w:sz w:val="40"/>
          <w:szCs w:val="40"/>
          <w:lang w:eastAsia="en-AU"/>
        </w:rPr>
      </w:pPr>
      <w:r>
        <w:rPr>
          <w:sz w:val="40"/>
          <w:szCs w:val="40"/>
        </w:rPr>
        <w:br w:type="page"/>
      </w:r>
    </w:p>
    <w:p w:rsidR="007B5AEB" w:rsidRDefault="007B5AEB" w:rsidP="007B5AEB">
      <w:pPr>
        <w:pStyle w:val="H3"/>
      </w:pPr>
      <w:r>
        <w:lastRenderedPageBreak/>
        <w:t>Liquidity</w:t>
      </w:r>
    </w:p>
    <w:p w:rsidR="007B5AEB" w:rsidRPr="001567F7" w:rsidDel="0024327E" w:rsidRDefault="007B5AEB" w:rsidP="007B5AEB">
      <w:pPr>
        <w:rPr>
          <w:rFonts w:ascii="Georgia" w:hAnsi="Georgia" w:cs="Arial"/>
          <w:b/>
          <w:color w:val="004855" w:themeColor="text1"/>
          <w:sz w:val="20"/>
          <w:szCs w:val="20"/>
          <w:lang w:val="en-US"/>
        </w:rPr>
      </w:pPr>
      <w:r w:rsidRPr="001B39EA" w:rsidDel="0024327E">
        <w:rPr>
          <w:rFonts w:ascii="Georgia" w:hAnsi="Georgia" w:cs="Arial"/>
          <w:b/>
          <w:color w:val="004855" w:themeColor="text1"/>
          <w:sz w:val="20"/>
          <w:szCs w:val="20"/>
          <w:lang w:val="en-US"/>
        </w:rPr>
        <w:t xml:space="preserve">Figure </w:t>
      </w:r>
      <w:r w:rsidR="008C384C">
        <w:rPr>
          <w:rFonts w:ascii="Georgia" w:hAnsi="Georgia" w:cs="Arial"/>
          <w:b/>
          <w:color w:val="004855" w:themeColor="text1"/>
          <w:sz w:val="20"/>
          <w:szCs w:val="20"/>
          <w:lang w:val="en-US"/>
        </w:rPr>
        <w:t>4</w:t>
      </w:r>
      <w:r w:rsidR="006C43D6">
        <w:rPr>
          <w:rFonts w:ascii="Georgia" w:hAnsi="Georgia" w:cs="Arial"/>
          <w:b/>
          <w:color w:val="004855" w:themeColor="text1"/>
          <w:sz w:val="20"/>
          <w:szCs w:val="20"/>
          <w:lang w:val="en-US"/>
        </w:rPr>
        <w:t>7</w:t>
      </w:r>
      <w:r w:rsidRPr="001B39EA" w:rsidDel="0024327E">
        <w:rPr>
          <w:rFonts w:ascii="Georgia" w:hAnsi="Georgia" w:cs="Arial"/>
          <w:b/>
          <w:color w:val="004855" w:themeColor="text1"/>
          <w:sz w:val="20"/>
          <w:szCs w:val="20"/>
          <w:lang w:val="en-US"/>
        </w:rPr>
        <w:t>: Liquidity, by provider size</w:t>
      </w:r>
    </w:p>
    <w:p w:rsidR="007B5AEB" w:rsidRDefault="00E55184" w:rsidP="007B5AEB">
      <w:pPr>
        <w:rPr>
          <w:rFonts w:ascii="Georgia" w:hAnsi="Georgia"/>
          <w:b/>
          <w:color w:val="004855" w:themeColor="text1"/>
        </w:rPr>
      </w:pPr>
      <w:r w:rsidRPr="003B6D8C">
        <w:rPr>
          <w:rFonts w:ascii="Georgia" w:hAnsi="Georgia"/>
          <w:b/>
          <w:noProof/>
          <w:color w:val="004855" w:themeColor="text1"/>
          <w:lang w:eastAsia="en-AU"/>
        </w:rPr>
        <w:drawing>
          <wp:inline distT="0" distB="0" distL="0" distR="0" wp14:anchorId="3B1F2C46" wp14:editId="35F2434F">
            <wp:extent cx="5935580" cy="38004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1060" cy="3803984"/>
                    </a:xfrm>
                    <a:prstGeom prst="rect">
                      <a:avLst/>
                    </a:prstGeom>
                    <a:noFill/>
                    <a:ln>
                      <a:noFill/>
                    </a:ln>
                  </pic:spPr>
                </pic:pic>
              </a:graphicData>
            </a:graphic>
          </wp:inline>
        </w:drawing>
      </w:r>
    </w:p>
    <w:p w:rsidR="007B5AEB" w:rsidRDefault="007B5AEB" w:rsidP="007B5AEB">
      <w:pPr>
        <w:jc w:val="center"/>
        <w:rPr>
          <w:rFonts w:ascii="Georgia" w:hAnsi="Georgia" w:cs="Arial"/>
          <w:b/>
          <w:color w:val="004855" w:themeColor="text1"/>
          <w:sz w:val="22"/>
          <w:szCs w:val="22"/>
          <w:lang w:val="en-US"/>
        </w:rPr>
      </w:pPr>
      <w:r w:rsidRPr="003B6D8C">
        <w:rPr>
          <w:rFonts w:ascii="Georgia" w:hAnsi="Georgia" w:cs="Arial"/>
          <w:b/>
          <w:noProof/>
          <w:color w:val="004855" w:themeColor="text1"/>
          <w:sz w:val="22"/>
          <w:szCs w:val="22"/>
          <w:lang w:eastAsia="en-AU"/>
        </w:rPr>
        <w:drawing>
          <wp:inline distT="0" distB="0" distL="0" distR="0" wp14:anchorId="2A0D0B49" wp14:editId="5176C456">
            <wp:extent cx="1059180" cy="358140"/>
            <wp:effectExtent l="0" t="0" r="7620" b="381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3">
                      <a:extLst>
                        <a:ext uri="{28A0092B-C50C-407E-A947-70E740481C1C}">
                          <a14:useLocalDpi xmlns:a14="http://schemas.microsoft.com/office/drawing/2010/main" val="0"/>
                        </a:ext>
                      </a:extLst>
                    </a:blip>
                    <a:srcRect t="14706" b="50735"/>
                    <a:stretch/>
                  </pic:blipFill>
                  <pic:spPr bwMode="auto">
                    <a:xfrm>
                      <a:off x="0" y="0"/>
                      <a:ext cx="1059180" cy="358140"/>
                    </a:xfrm>
                    <a:prstGeom prst="rect">
                      <a:avLst/>
                    </a:prstGeom>
                    <a:noFill/>
                    <a:ln>
                      <a:noFill/>
                    </a:ln>
                    <a:extLst>
                      <a:ext uri="{53640926-AAD7-44D8-BBD7-CCE9431645EC}">
                        <a14:shadowObscured xmlns:a14="http://schemas.microsoft.com/office/drawing/2010/main"/>
                      </a:ext>
                    </a:extLst>
                  </pic:spPr>
                </pic:pic>
              </a:graphicData>
            </a:graphic>
          </wp:inline>
        </w:drawing>
      </w:r>
      <w:r w:rsidRPr="003B6D8C">
        <w:rPr>
          <w:rFonts w:ascii="Georgia" w:hAnsi="Georgia" w:cs="Arial"/>
          <w:b/>
          <w:noProof/>
          <w:color w:val="004855" w:themeColor="text1"/>
          <w:sz w:val="22"/>
          <w:szCs w:val="22"/>
          <w:lang w:eastAsia="en-AU"/>
        </w:rPr>
        <w:drawing>
          <wp:inline distT="0" distB="0" distL="0" distR="0" wp14:anchorId="545708C2" wp14:editId="29F7DB6F">
            <wp:extent cx="1059180" cy="388620"/>
            <wp:effectExtent l="0" t="0" r="762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a:extLst>
                        <a:ext uri="{28A0092B-C50C-407E-A947-70E740481C1C}">
                          <a14:useLocalDpi xmlns:a14="http://schemas.microsoft.com/office/drawing/2010/main" val="0"/>
                        </a:ext>
                      </a:extLst>
                    </a:blip>
                    <a:srcRect t="46325" b="16176"/>
                    <a:stretch/>
                  </pic:blipFill>
                  <pic:spPr bwMode="auto">
                    <a:xfrm>
                      <a:off x="0" y="0"/>
                      <a:ext cx="1059180" cy="388620"/>
                    </a:xfrm>
                    <a:prstGeom prst="rect">
                      <a:avLst/>
                    </a:prstGeom>
                    <a:noFill/>
                    <a:ln>
                      <a:noFill/>
                    </a:ln>
                    <a:extLst>
                      <a:ext uri="{53640926-AAD7-44D8-BBD7-CCE9431645EC}">
                        <a14:shadowObscured xmlns:a14="http://schemas.microsoft.com/office/drawing/2010/main"/>
                      </a:ext>
                    </a:extLst>
                  </pic:spPr>
                </pic:pic>
              </a:graphicData>
            </a:graphic>
          </wp:inline>
        </w:drawing>
      </w:r>
      <w:r w:rsidRPr="003B6D8C">
        <w:rPr>
          <w:rFonts w:ascii="Georgia" w:hAnsi="Georgia" w:cs="Arial"/>
          <w:b/>
          <w:noProof/>
          <w:color w:val="004855" w:themeColor="text1"/>
          <w:sz w:val="22"/>
          <w:szCs w:val="22"/>
          <w:lang w:eastAsia="en-AU"/>
        </w:rPr>
        <w:drawing>
          <wp:inline distT="0" distB="0" distL="0" distR="0" wp14:anchorId="24AA0CD0" wp14:editId="2ABA5916">
            <wp:extent cx="1059180" cy="167640"/>
            <wp:effectExtent l="0" t="0" r="7620" b="381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3">
                      <a:extLst>
                        <a:ext uri="{28A0092B-C50C-407E-A947-70E740481C1C}">
                          <a14:useLocalDpi xmlns:a14="http://schemas.microsoft.com/office/drawing/2010/main" val="0"/>
                        </a:ext>
                      </a:extLst>
                    </a:blip>
                    <a:srcRect t="83824"/>
                    <a:stretch/>
                  </pic:blipFill>
                  <pic:spPr bwMode="auto">
                    <a:xfrm>
                      <a:off x="0" y="0"/>
                      <a:ext cx="1059180" cy="167640"/>
                    </a:xfrm>
                    <a:prstGeom prst="rect">
                      <a:avLst/>
                    </a:prstGeom>
                    <a:noFill/>
                    <a:ln>
                      <a:noFill/>
                    </a:ln>
                    <a:extLst>
                      <a:ext uri="{53640926-AAD7-44D8-BBD7-CCE9431645EC}">
                        <a14:shadowObscured xmlns:a14="http://schemas.microsoft.com/office/drawing/2010/main"/>
                      </a:ext>
                    </a:extLst>
                  </pic:spPr>
                </pic:pic>
              </a:graphicData>
            </a:graphic>
          </wp:inline>
        </w:drawing>
      </w:r>
    </w:p>
    <w:p w:rsidR="007B5AEB" w:rsidRDefault="007B5AEB" w:rsidP="007B5AEB">
      <w:pPr>
        <w:rPr>
          <w:rFonts w:ascii="Georgia" w:hAnsi="Georgia" w:cs="Arial"/>
          <w:b/>
          <w:color w:val="004855" w:themeColor="text1"/>
          <w:sz w:val="22"/>
          <w:szCs w:val="22"/>
          <w:lang w:val="en-US"/>
        </w:rPr>
      </w:pPr>
    </w:p>
    <w:p w:rsidR="007B5AEB" w:rsidRPr="001567F7" w:rsidRDefault="007B5AEB" w:rsidP="007B5AEB">
      <w:pPr>
        <w:rPr>
          <w:rFonts w:ascii="Georgia" w:hAnsi="Georgia" w:cs="Arial"/>
          <w:b/>
          <w:color w:val="004855" w:themeColor="text1"/>
          <w:sz w:val="20"/>
          <w:szCs w:val="20"/>
          <w:lang w:val="en-US"/>
        </w:rPr>
      </w:pPr>
      <w:r w:rsidRPr="006A6C2F">
        <w:rPr>
          <w:rFonts w:ascii="Georgia" w:hAnsi="Georgia" w:cs="Arial"/>
          <w:b/>
          <w:color w:val="004855" w:themeColor="text1"/>
          <w:sz w:val="20"/>
          <w:szCs w:val="20"/>
          <w:lang w:val="en-US"/>
        </w:rPr>
        <w:t xml:space="preserve">Table </w:t>
      </w:r>
      <w:r w:rsidR="00127249">
        <w:rPr>
          <w:rFonts w:ascii="Georgia" w:hAnsi="Georgia" w:cs="Arial"/>
          <w:b/>
          <w:color w:val="004855" w:themeColor="text1"/>
          <w:sz w:val="20"/>
          <w:szCs w:val="20"/>
          <w:lang w:val="en-US"/>
        </w:rPr>
        <w:t>42</w:t>
      </w:r>
      <w:r w:rsidRPr="006A6C2F">
        <w:rPr>
          <w:rFonts w:ascii="Georgia" w:hAnsi="Georgia" w:cs="Arial"/>
          <w:b/>
          <w:color w:val="004855" w:themeColor="text1"/>
          <w:sz w:val="20"/>
          <w:szCs w:val="20"/>
          <w:lang w:val="en-US"/>
        </w:rPr>
        <w:t>: Liquidity range, by provider size</w:t>
      </w:r>
    </w:p>
    <w:tbl>
      <w:tblPr>
        <w:tblW w:w="5000" w:type="pct"/>
        <w:tblLook w:val="04A0" w:firstRow="1" w:lastRow="0" w:firstColumn="1" w:lastColumn="0" w:noHBand="0" w:noVBand="1"/>
      </w:tblPr>
      <w:tblGrid>
        <w:gridCol w:w="2276"/>
        <w:gridCol w:w="1417"/>
        <w:gridCol w:w="1585"/>
        <w:gridCol w:w="11"/>
        <w:gridCol w:w="1348"/>
        <w:gridCol w:w="1547"/>
        <w:gridCol w:w="1388"/>
      </w:tblGrid>
      <w:tr w:rsidR="007B5AEB" w:rsidRPr="00797118" w:rsidTr="000F1F1A">
        <w:trPr>
          <w:trHeight w:val="300"/>
        </w:trPr>
        <w:tc>
          <w:tcPr>
            <w:tcW w:w="1189" w:type="pct"/>
            <w:tcBorders>
              <w:top w:val="nil"/>
              <w:left w:val="nil"/>
              <w:bottom w:val="single" w:sz="4" w:space="0" w:color="366092"/>
              <w:right w:val="nil"/>
            </w:tcBorders>
            <w:shd w:val="clear" w:color="auto" w:fill="004855"/>
            <w:noWrap/>
            <w:vAlign w:val="bottom"/>
            <w:hideMark/>
          </w:tcPr>
          <w:p w:rsidR="007B5AEB" w:rsidRPr="00797118" w:rsidRDefault="007B5AEB" w:rsidP="000F1F1A">
            <w:pPr>
              <w:spacing w:after="0"/>
              <w:jc w:val="center"/>
              <w:rPr>
                <w:rFonts w:asciiTheme="minorHAnsi" w:hAnsiTheme="minorHAnsi" w:cstheme="minorHAnsi"/>
                <w:b/>
                <w:sz w:val="20"/>
                <w:szCs w:val="20"/>
              </w:rPr>
            </w:pPr>
          </w:p>
        </w:tc>
        <w:tc>
          <w:tcPr>
            <w:tcW w:w="740" w:type="pct"/>
            <w:tcBorders>
              <w:top w:val="nil"/>
              <w:left w:val="nil"/>
              <w:bottom w:val="single" w:sz="4" w:space="0" w:color="366092"/>
              <w:right w:val="nil"/>
            </w:tcBorders>
            <w:shd w:val="clear" w:color="auto" w:fill="004855"/>
            <w:noWrap/>
            <w:vAlign w:val="bottom"/>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828" w:type="pct"/>
            <w:tcBorders>
              <w:top w:val="nil"/>
              <w:left w:val="nil"/>
              <w:bottom w:val="single" w:sz="4" w:space="0" w:color="366092"/>
              <w:right w:val="nil"/>
            </w:tcBorders>
            <w:shd w:val="clear" w:color="auto" w:fill="004855"/>
            <w:vAlign w:val="bottom"/>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10" w:type="pct"/>
            <w:gridSpan w:val="2"/>
            <w:tcBorders>
              <w:top w:val="nil"/>
              <w:left w:val="nil"/>
              <w:bottom w:val="single" w:sz="4" w:space="0" w:color="366092"/>
              <w:right w:val="nil"/>
            </w:tcBorders>
            <w:shd w:val="clear" w:color="auto" w:fill="004855"/>
            <w:noWrap/>
            <w:vAlign w:val="bottom"/>
          </w:tcPr>
          <w:p w:rsidR="007B5AEB" w:rsidRPr="00797118" w:rsidRDefault="007B5AEB"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8" w:type="pct"/>
            <w:tcBorders>
              <w:top w:val="nil"/>
              <w:left w:val="nil"/>
              <w:bottom w:val="single" w:sz="4" w:space="0" w:color="366092"/>
              <w:right w:val="nil"/>
            </w:tcBorders>
            <w:shd w:val="clear" w:color="auto" w:fill="004855"/>
            <w:noWrap/>
            <w:vAlign w:val="bottom"/>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25" w:type="pct"/>
            <w:tcBorders>
              <w:top w:val="nil"/>
              <w:left w:val="nil"/>
              <w:bottom w:val="single" w:sz="4" w:space="0" w:color="366092"/>
              <w:right w:val="nil"/>
            </w:tcBorders>
            <w:shd w:val="clear" w:color="auto" w:fill="004855"/>
            <w:vAlign w:val="bottom"/>
          </w:tcPr>
          <w:p w:rsidR="007B5AEB" w:rsidRPr="00797118" w:rsidRDefault="007B5AEB"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7B5AEB" w:rsidRPr="00797118" w:rsidTr="000F1F1A">
        <w:trPr>
          <w:trHeight w:val="300"/>
        </w:trPr>
        <w:tc>
          <w:tcPr>
            <w:tcW w:w="1189" w:type="pct"/>
            <w:tcBorders>
              <w:top w:val="nil"/>
              <w:left w:val="nil"/>
              <w:bottom w:val="single" w:sz="4" w:space="0" w:color="366092"/>
              <w:right w:val="nil"/>
            </w:tcBorders>
            <w:shd w:val="clear" w:color="auto" w:fill="auto"/>
            <w:noWrap/>
            <w:vAlign w:val="bottom"/>
          </w:tcPr>
          <w:p w:rsidR="007B5AEB" w:rsidRPr="00DC6756" w:rsidRDefault="007B5AEB" w:rsidP="000F1F1A">
            <w:pPr>
              <w:spacing w:after="0"/>
              <w:rPr>
                <w:rFonts w:asciiTheme="minorHAnsi" w:hAnsiTheme="minorHAnsi" w:cstheme="minorHAnsi"/>
                <w:sz w:val="20"/>
                <w:szCs w:val="20"/>
              </w:rPr>
            </w:pPr>
            <w:r w:rsidRPr="00DC6756">
              <w:rPr>
                <w:rFonts w:asciiTheme="minorHAnsi" w:hAnsiTheme="minorHAnsi" w:cstheme="minorHAnsi"/>
                <w:sz w:val="20"/>
                <w:szCs w:val="20"/>
              </w:rPr>
              <w:t>&lt;</w:t>
            </w:r>
            <w:r>
              <w:rPr>
                <w:rFonts w:asciiTheme="minorHAnsi" w:hAnsiTheme="minorHAnsi" w:cstheme="minorHAnsi"/>
                <w:sz w:val="20"/>
                <w:szCs w:val="20"/>
              </w:rPr>
              <w:t xml:space="preserve"> </w:t>
            </w:r>
            <w:r w:rsidRPr="00DC6756">
              <w:rPr>
                <w:rFonts w:asciiTheme="minorHAnsi" w:hAnsiTheme="minorHAnsi" w:cstheme="minorHAnsi"/>
                <w:sz w:val="20"/>
                <w:szCs w:val="20"/>
              </w:rPr>
              <w:t>100</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0.2</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1.1</w:t>
            </w:r>
          </w:p>
        </w:tc>
        <w:tc>
          <w:tcPr>
            <w:tcW w:w="704"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1.5</w:t>
            </w:r>
          </w:p>
        </w:tc>
        <w:tc>
          <w:tcPr>
            <w:tcW w:w="808"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2.9</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13.6</w:t>
            </w:r>
          </w:p>
        </w:tc>
      </w:tr>
      <w:tr w:rsidR="007B5AEB" w:rsidRPr="00797118" w:rsidTr="000F1F1A">
        <w:trPr>
          <w:trHeight w:val="300"/>
        </w:trPr>
        <w:tc>
          <w:tcPr>
            <w:tcW w:w="1189" w:type="pct"/>
            <w:tcBorders>
              <w:top w:val="nil"/>
              <w:left w:val="nil"/>
              <w:bottom w:val="single" w:sz="4" w:space="0" w:color="366092"/>
              <w:right w:val="nil"/>
            </w:tcBorders>
            <w:shd w:val="clear" w:color="auto" w:fill="auto"/>
            <w:noWrap/>
            <w:vAlign w:val="bottom"/>
          </w:tcPr>
          <w:p w:rsidR="007B5AEB" w:rsidRPr="00DC6756" w:rsidRDefault="007B5AEB" w:rsidP="000F1F1A">
            <w:pPr>
              <w:spacing w:after="0"/>
              <w:rPr>
                <w:rFonts w:asciiTheme="minorHAnsi" w:hAnsiTheme="minorHAnsi" w:cstheme="minorHAnsi"/>
                <w:sz w:val="20"/>
                <w:szCs w:val="20"/>
              </w:rPr>
            </w:pPr>
            <w:r w:rsidRPr="00DC6756">
              <w:rPr>
                <w:rFonts w:asciiTheme="minorHAnsi" w:hAnsiTheme="minorHAnsi" w:cstheme="minorHAnsi"/>
                <w:sz w:val="20"/>
                <w:szCs w:val="20"/>
              </w:rPr>
              <w:t>100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499</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0.3</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1.1</w:t>
            </w:r>
          </w:p>
        </w:tc>
        <w:tc>
          <w:tcPr>
            <w:tcW w:w="704"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1.6</w:t>
            </w:r>
          </w:p>
        </w:tc>
        <w:tc>
          <w:tcPr>
            <w:tcW w:w="808"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2.4</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5.7</w:t>
            </w:r>
          </w:p>
        </w:tc>
      </w:tr>
      <w:tr w:rsidR="007B5AEB" w:rsidRPr="00797118" w:rsidTr="000F1F1A">
        <w:trPr>
          <w:trHeight w:val="300"/>
        </w:trPr>
        <w:tc>
          <w:tcPr>
            <w:tcW w:w="1189" w:type="pct"/>
            <w:tcBorders>
              <w:top w:val="nil"/>
              <w:left w:val="nil"/>
              <w:bottom w:val="single" w:sz="4" w:space="0" w:color="366092"/>
              <w:right w:val="nil"/>
            </w:tcBorders>
            <w:shd w:val="clear" w:color="auto" w:fill="auto"/>
            <w:noWrap/>
            <w:vAlign w:val="bottom"/>
          </w:tcPr>
          <w:p w:rsidR="007B5AEB" w:rsidRPr="00DC6756" w:rsidRDefault="007B5AEB" w:rsidP="000F1F1A">
            <w:pPr>
              <w:spacing w:after="0"/>
              <w:rPr>
                <w:rFonts w:asciiTheme="minorHAnsi" w:hAnsiTheme="minorHAnsi" w:cstheme="minorHAnsi"/>
                <w:sz w:val="20"/>
                <w:szCs w:val="20"/>
              </w:rPr>
            </w:pPr>
            <w:r w:rsidRPr="00DC6756">
              <w:rPr>
                <w:rFonts w:asciiTheme="minorHAnsi" w:hAnsiTheme="minorHAnsi" w:cstheme="minorHAnsi"/>
                <w:sz w:val="20"/>
                <w:szCs w:val="20"/>
              </w:rPr>
              <w:t>500</w:t>
            </w:r>
            <w:r>
              <w:rPr>
                <w:rFonts w:asciiTheme="minorHAnsi" w:hAnsiTheme="minorHAnsi" w:cstheme="minorHAnsi"/>
                <w:sz w:val="20"/>
                <w:szCs w:val="20"/>
              </w:rPr>
              <w:t xml:space="preserve"> ≤ </w:t>
            </w:r>
            <w:r w:rsidR="00342DA2">
              <w:rPr>
                <w:rFonts w:asciiTheme="minorHAnsi" w:hAnsiTheme="minorHAnsi" w:cstheme="minorHAnsi"/>
                <w:sz w:val="20"/>
                <w:szCs w:val="20"/>
              </w:rPr>
              <w:t xml:space="preserve"> </w:t>
            </w:r>
            <w:r w:rsidRPr="00DC6756">
              <w:rPr>
                <w:rFonts w:asciiTheme="minorHAnsi" w:hAnsiTheme="minorHAnsi" w:cstheme="minorHAnsi"/>
                <w:sz w:val="20"/>
                <w:szCs w:val="20"/>
              </w:rPr>
              <w:t>4</w:t>
            </w:r>
            <w:r>
              <w:rPr>
                <w:rFonts w:asciiTheme="minorHAnsi" w:hAnsiTheme="minorHAnsi" w:cstheme="minorHAnsi"/>
                <w:sz w:val="20"/>
                <w:szCs w:val="20"/>
              </w:rPr>
              <w:t>,</w:t>
            </w:r>
            <w:r w:rsidRPr="00DC6756">
              <w:rPr>
                <w:rFonts w:asciiTheme="minorHAnsi" w:hAnsiTheme="minorHAnsi" w:cstheme="minorHAnsi"/>
                <w:sz w:val="20"/>
                <w:szCs w:val="20"/>
              </w:rPr>
              <w:t>999</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0.3</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0.6</w:t>
            </w:r>
          </w:p>
        </w:tc>
        <w:tc>
          <w:tcPr>
            <w:tcW w:w="704"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1.0</w:t>
            </w:r>
          </w:p>
        </w:tc>
        <w:tc>
          <w:tcPr>
            <w:tcW w:w="808"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2.0</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6.8</w:t>
            </w:r>
          </w:p>
        </w:tc>
      </w:tr>
      <w:tr w:rsidR="007B5AEB" w:rsidRPr="00797118" w:rsidTr="000F1F1A">
        <w:trPr>
          <w:trHeight w:val="300"/>
        </w:trPr>
        <w:tc>
          <w:tcPr>
            <w:tcW w:w="1189" w:type="pct"/>
            <w:tcBorders>
              <w:top w:val="nil"/>
              <w:left w:val="nil"/>
              <w:bottom w:val="single" w:sz="4" w:space="0" w:color="366092"/>
              <w:right w:val="nil"/>
            </w:tcBorders>
            <w:shd w:val="clear" w:color="auto" w:fill="auto"/>
            <w:noWrap/>
            <w:vAlign w:val="bottom"/>
          </w:tcPr>
          <w:p w:rsidR="007B5AEB" w:rsidRPr="00DC6756" w:rsidRDefault="007B5AEB" w:rsidP="000F1F1A">
            <w:pPr>
              <w:spacing w:after="0"/>
              <w:rPr>
                <w:rFonts w:asciiTheme="minorHAnsi" w:hAnsiTheme="minorHAnsi" w:cstheme="minorHAnsi"/>
                <w:sz w:val="20"/>
                <w:szCs w:val="20"/>
              </w:rPr>
            </w:pPr>
            <w:r w:rsidRPr="00E128BF">
              <w:rPr>
                <w:rFonts w:asciiTheme="minorHAnsi" w:hAnsiTheme="minorHAnsi" w:cstheme="minorHAnsi"/>
                <w:sz w:val="20"/>
                <w:szCs w:val="20"/>
              </w:rPr>
              <w:t>5</w:t>
            </w:r>
            <w:r>
              <w:rPr>
                <w:rFonts w:asciiTheme="minorHAnsi" w:hAnsiTheme="minorHAnsi" w:cstheme="minorHAnsi"/>
                <w:sz w:val="20"/>
                <w:szCs w:val="20"/>
              </w:rPr>
              <w:t>,</w:t>
            </w:r>
            <w:r w:rsidRPr="00E128BF">
              <w:rPr>
                <w:rFonts w:asciiTheme="minorHAnsi" w:hAnsiTheme="minorHAnsi" w:cstheme="minorHAnsi"/>
                <w:sz w:val="20"/>
                <w:szCs w:val="20"/>
              </w:rPr>
              <w:t>000</w:t>
            </w:r>
            <w:r>
              <w:rPr>
                <w:rFonts w:asciiTheme="minorHAnsi" w:hAnsiTheme="minorHAnsi" w:cstheme="minorHAnsi"/>
                <w:sz w:val="20"/>
                <w:szCs w:val="20"/>
              </w:rPr>
              <w:t xml:space="preserve"> </w:t>
            </w: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19</w:t>
            </w:r>
            <w:r>
              <w:rPr>
                <w:rFonts w:asciiTheme="minorHAnsi" w:hAnsiTheme="minorHAnsi" w:cstheme="minorHAnsi"/>
                <w:sz w:val="20"/>
                <w:szCs w:val="20"/>
              </w:rPr>
              <w:t>,</w:t>
            </w:r>
            <w:r w:rsidRPr="00E128BF">
              <w:rPr>
                <w:rFonts w:asciiTheme="minorHAnsi" w:hAnsiTheme="minorHAnsi" w:cstheme="minorHAnsi"/>
                <w:sz w:val="20"/>
                <w:szCs w:val="20"/>
              </w:rPr>
              <w:t>999</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0.4</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1.3</w:t>
            </w:r>
          </w:p>
        </w:tc>
        <w:tc>
          <w:tcPr>
            <w:tcW w:w="704"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2.1</w:t>
            </w:r>
          </w:p>
        </w:tc>
        <w:tc>
          <w:tcPr>
            <w:tcW w:w="808"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2.7</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3.6</w:t>
            </w:r>
          </w:p>
        </w:tc>
      </w:tr>
      <w:tr w:rsidR="007B5AEB" w:rsidRPr="00797118" w:rsidTr="000F1F1A">
        <w:trPr>
          <w:trHeight w:val="300"/>
        </w:trPr>
        <w:tc>
          <w:tcPr>
            <w:tcW w:w="1189" w:type="pct"/>
            <w:tcBorders>
              <w:top w:val="nil"/>
              <w:left w:val="nil"/>
              <w:bottom w:val="single" w:sz="4" w:space="0" w:color="366092"/>
              <w:right w:val="nil"/>
            </w:tcBorders>
            <w:shd w:val="clear" w:color="auto" w:fill="auto"/>
            <w:noWrap/>
            <w:vAlign w:val="bottom"/>
          </w:tcPr>
          <w:p w:rsidR="007B5AEB" w:rsidRPr="00DC6756" w:rsidRDefault="007B5AEB" w:rsidP="000F1F1A">
            <w:pPr>
              <w:spacing w:after="0"/>
              <w:rPr>
                <w:rFonts w:asciiTheme="minorHAnsi" w:hAnsiTheme="minorHAnsi" w:cstheme="minorHAnsi"/>
                <w:sz w:val="20"/>
                <w:szCs w:val="20"/>
              </w:rPr>
            </w:pPr>
            <w:r w:rsidRPr="00E128BF">
              <w:rPr>
                <w:rFonts w:asciiTheme="minorHAnsi" w:hAnsiTheme="minorHAnsi" w:cstheme="minorHAnsi"/>
                <w:sz w:val="20"/>
                <w:szCs w:val="20"/>
              </w:rPr>
              <w:t>≥</w:t>
            </w:r>
            <w:r>
              <w:rPr>
                <w:rFonts w:asciiTheme="minorHAnsi" w:hAnsiTheme="minorHAnsi" w:cstheme="minorHAnsi"/>
                <w:sz w:val="20"/>
                <w:szCs w:val="20"/>
              </w:rPr>
              <w:t xml:space="preserve"> </w:t>
            </w:r>
            <w:r w:rsidR="00342DA2">
              <w:rPr>
                <w:rFonts w:asciiTheme="minorHAnsi" w:hAnsiTheme="minorHAnsi" w:cstheme="minorHAnsi"/>
                <w:sz w:val="20"/>
                <w:szCs w:val="20"/>
              </w:rPr>
              <w:t xml:space="preserve"> </w:t>
            </w:r>
            <w:r w:rsidRPr="00E128BF">
              <w:rPr>
                <w:rFonts w:asciiTheme="minorHAnsi" w:hAnsiTheme="minorHAnsi" w:cstheme="minorHAnsi"/>
                <w:sz w:val="20"/>
                <w:szCs w:val="20"/>
              </w:rPr>
              <w:t>20</w:t>
            </w:r>
            <w:r>
              <w:rPr>
                <w:rFonts w:asciiTheme="minorHAnsi" w:hAnsiTheme="minorHAnsi" w:cstheme="minorHAnsi"/>
                <w:sz w:val="20"/>
                <w:szCs w:val="20"/>
              </w:rPr>
              <w:t>,</w:t>
            </w:r>
            <w:r w:rsidRPr="00E128BF">
              <w:rPr>
                <w:rFonts w:asciiTheme="minorHAnsi" w:hAnsiTheme="minorHAnsi" w:cstheme="minorHAnsi"/>
                <w:sz w:val="20"/>
                <w:szCs w:val="20"/>
              </w:rPr>
              <w:t>000</w:t>
            </w:r>
          </w:p>
        </w:tc>
        <w:tc>
          <w:tcPr>
            <w:tcW w:w="740"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0.3</w:t>
            </w:r>
          </w:p>
        </w:tc>
        <w:tc>
          <w:tcPr>
            <w:tcW w:w="834" w:type="pct"/>
            <w:gridSpan w:val="2"/>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1.0</w:t>
            </w:r>
          </w:p>
        </w:tc>
        <w:tc>
          <w:tcPr>
            <w:tcW w:w="704"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1.1</w:t>
            </w:r>
          </w:p>
        </w:tc>
        <w:tc>
          <w:tcPr>
            <w:tcW w:w="808" w:type="pct"/>
            <w:tcBorders>
              <w:top w:val="nil"/>
              <w:left w:val="nil"/>
              <w:bottom w:val="single" w:sz="4" w:space="0" w:color="366092"/>
              <w:right w:val="nil"/>
            </w:tcBorders>
            <w:shd w:val="clear" w:color="auto" w:fill="auto"/>
            <w:noWrap/>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1.5</w:t>
            </w:r>
          </w:p>
        </w:tc>
        <w:tc>
          <w:tcPr>
            <w:tcW w:w="725" w:type="pct"/>
            <w:tcBorders>
              <w:top w:val="nil"/>
              <w:left w:val="nil"/>
              <w:bottom w:val="single" w:sz="4" w:space="0" w:color="366092"/>
              <w:right w:val="nil"/>
            </w:tcBorders>
            <w:vAlign w:val="bottom"/>
          </w:tcPr>
          <w:p w:rsidR="007B5AEB" w:rsidRPr="006A6C2F" w:rsidRDefault="007B5AEB" w:rsidP="005C332B">
            <w:pPr>
              <w:spacing w:after="0"/>
              <w:jc w:val="right"/>
              <w:rPr>
                <w:rFonts w:asciiTheme="minorHAnsi" w:hAnsiTheme="minorHAnsi" w:cstheme="minorHAnsi"/>
                <w:sz w:val="20"/>
                <w:szCs w:val="20"/>
              </w:rPr>
            </w:pPr>
            <w:r w:rsidRPr="006A6C2F">
              <w:rPr>
                <w:rFonts w:asciiTheme="minorHAnsi" w:hAnsiTheme="minorHAnsi" w:cstheme="minorHAnsi"/>
                <w:sz w:val="20"/>
                <w:szCs w:val="20"/>
              </w:rPr>
              <w:t>2.7</w:t>
            </w:r>
          </w:p>
        </w:tc>
      </w:tr>
      <w:tr w:rsidR="007B5AEB" w:rsidRPr="00797118" w:rsidTr="000F1F1A">
        <w:trPr>
          <w:trHeight w:val="300"/>
        </w:trPr>
        <w:tc>
          <w:tcPr>
            <w:tcW w:w="1189" w:type="pct"/>
            <w:tcBorders>
              <w:top w:val="single" w:sz="4" w:space="0" w:color="366092"/>
              <w:left w:val="nil"/>
              <w:bottom w:val="single" w:sz="4" w:space="0" w:color="366092"/>
              <w:right w:val="nil"/>
            </w:tcBorders>
            <w:shd w:val="clear" w:color="000000" w:fill="E5F6F6"/>
            <w:noWrap/>
            <w:vAlign w:val="bottom"/>
          </w:tcPr>
          <w:p w:rsidR="007B5AEB" w:rsidRPr="00797118" w:rsidRDefault="007B5AEB" w:rsidP="000F1F1A">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740" w:type="pct"/>
            <w:tcBorders>
              <w:top w:val="single" w:sz="4" w:space="0" w:color="366092"/>
              <w:left w:val="nil"/>
              <w:bottom w:val="single" w:sz="4" w:space="0" w:color="366092"/>
              <w:right w:val="nil"/>
            </w:tcBorders>
            <w:shd w:val="clear" w:color="000000" w:fill="E5F6F6"/>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0.2</w:t>
            </w:r>
          </w:p>
        </w:tc>
        <w:tc>
          <w:tcPr>
            <w:tcW w:w="834" w:type="pct"/>
            <w:gridSpan w:val="2"/>
            <w:tcBorders>
              <w:top w:val="single" w:sz="4" w:space="0" w:color="366092"/>
              <w:left w:val="nil"/>
              <w:bottom w:val="single" w:sz="4" w:space="0" w:color="366092"/>
              <w:right w:val="nil"/>
            </w:tcBorders>
            <w:shd w:val="clear" w:color="000000" w:fill="E5F6F6"/>
            <w:noWrap/>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0.9</w:t>
            </w:r>
          </w:p>
        </w:tc>
        <w:tc>
          <w:tcPr>
            <w:tcW w:w="704" w:type="pct"/>
            <w:tcBorders>
              <w:top w:val="single" w:sz="4" w:space="0" w:color="366092"/>
              <w:left w:val="nil"/>
              <w:bottom w:val="single" w:sz="4" w:space="0" w:color="366092"/>
              <w:right w:val="nil"/>
            </w:tcBorders>
            <w:shd w:val="clear" w:color="000000" w:fill="E5F6F6"/>
            <w:noWrap/>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1.4</w:t>
            </w:r>
          </w:p>
        </w:tc>
        <w:tc>
          <w:tcPr>
            <w:tcW w:w="808" w:type="pct"/>
            <w:tcBorders>
              <w:top w:val="single" w:sz="4" w:space="0" w:color="366092"/>
              <w:left w:val="nil"/>
              <w:bottom w:val="single" w:sz="4" w:space="0" w:color="366092"/>
              <w:right w:val="nil"/>
            </w:tcBorders>
            <w:shd w:val="clear" w:color="000000" w:fill="E5F6F6"/>
            <w:noWrap/>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2.2</w:t>
            </w:r>
          </w:p>
        </w:tc>
        <w:tc>
          <w:tcPr>
            <w:tcW w:w="725" w:type="pct"/>
            <w:tcBorders>
              <w:top w:val="single" w:sz="4" w:space="0" w:color="366092"/>
              <w:left w:val="nil"/>
              <w:bottom w:val="single" w:sz="4" w:space="0" w:color="366092"/>
              <w:right w:val="nil"/>
            </w:tcBorders>
            <w:shd w:val="clear" w:color="000000" w:fill="E5F6F6"/>
            <w:vAlign w:val="bottom"/>
          </w:tcPr>
          <w:p w:rsidR="007B5AEB" w:rsidRPr="006A6C2F" w:rsidRDefault="007B5AEB" w:rsidP="005C332B">
            <w:pPr>
              <w:spacing w:after="0"/>
              <w:jc w:val="right"/>
              <w:rPr>
                <w:rFonts w:asciiTheme="minorHAnsi" w:hAnsiTheme="minorHAnsi" w:cstheme="minorHAnsi"/>
                <w:b/>
                <w:sz w:val="20"/>
                <w:szCs w:val="20"/>
              </w:rPr>
            </w:pPr>
            <w:r w:rsidRPr="006A6C2F">
              <w:rPr>
                <w:rFonts w:asciiTheme="minorHAnsi" w:hAnsiTheme="minorHAnsi" w:cstheme="minorHAnsi"/>
                <w:b/>
                <w:sz w:val="20"/>
                <w:szCs w:val="20"/>
              </w:rPr>
              <w:t>13.6</w:t>
            </w:r>
          </w:p>
        </w:tc>
      </w:tr>
    </w:tbl>
    <w:p w:rsidR="007B5AEB" w:rsidRDefault="007B5AEB" w:rsidP="007B5AEB">
      <w:pPr>
        <w:spacing w:after="0" w:line="240" w:lineRule="auto"/>
        <w:rPr>
          <w:rFonts w:ascii="Arial" w:eastAsiaTheme="minorHAnsi" w:hAnsi="Arial" w:cstheme="minorBidi"/>
          <w:sz w:val="22"/>
          <w:szCs w:val="22"/>
          <w:highlight w:val="yellow"/>
        </w:rPr>
      </w:pPr>
    </w:p>
    <w:p w:rsidR="00473922" w:rsidRDefault="00473922" w:rsidP="007B5AEB">
      <w:pPr>
        <w:spacing w:after="0" w:line="240" w:lineRule="auto"/>
        <w:rPr>
          <w:rFonts w:ascii="Arial" w:eastAsiaTheme="minorHAnsi" w:hAnsi="Arial" w:cstheme="minorBidi"/>
          <w:sz w:val="22"/>
          <w:szCs w:val="22"/>
          <w:highlight w:val="yellow"/>
        </w:rPr>
      </w:pPr>
    </w:p>
    <w:p w:rsidR="007B5AEB" w:rsidRPr="00130AB7" w:rsidRDefault="007B5AEB" w:rsidP="007B5AEB">
      <w:pPr>
        <w:shd w:val="clear" w:color="auto" w:fill="E5ECED" w:themeFill="accent4" w:themeFillTint="66"/>
        <w:spacing w:after="0" w:line="240" w:lineRule="auto"/>
        <w:rPr>
          <w:rFonts w:ascii="Georgia" w:hAnsi="Georgia" w:cs="Arial"/>
          <w:b/>
          <w:color w:val="004855" w:themeColor="text1"/>
          <w:sz w:val="20"/>
          <w:szCs w:val="20"/>
          <w:lang w:val="en-US"/>
        </w:rPr>
      </w:pPr>
    </w:p>
    <w:p w:rsidR="007B5AEB" w:rsidRPr="00130AB7" w:rsidRDefault="00850742" w:rsidP="007B5AEB">
      <w:pPr>
        <w:pStyle w:val="ListParagraph"/>
        <w:numPr>
          <w:ilvl w:val="0"/>
          <w:numId w:val="20"/>
        </w:numPr>
        <w:shd w:val="clear" w:color="auto" w:fill="E5ECED" w:themeFill="accent4" w:themeFillTint="66"/>
        <w:spacing w:after="0" w:line="240" w:lineRule="auto"/>
        <w:rPr>
          <w:rFonts w:ascii="Georgia" w:hAnsi="Georgia" w:cs="Arial"/>
          <w:b/>
          <w:color w:val="004855" w:themeColor="text1"/>
          <w:sz w:val="20"/>
          <w:szCs w:val="20"/>
          <w:lang w:val="en-US"/>
        </w:rPr>
      </w:pPr>
      <w:r>
        <w:rPr>
          <w:rFonts w:ascii="Arial" w:eastAsiaTheme="minorHAnsi" w:hAnsi="Arial" w:cstheme="minorBidi"/>
          <w:sz w:val="22"/>
          <w:szCs w:val="22"/>
        </w:rPr>
        <w:t>As seen in Figure 4</w:t>
      </w:r>
      <w:r w:rsidR="006C43D6">
        <w:rPr>
          <w:rFonts w:ascii="Arial" w:eastAsiaTheme="minorHAnsi" w:hAnsi="Arial" w:cstheme="minorBidi"/>
          <w:sz w:val="22"/>
          <w:szCs w:val="22"/>
        </w:rPr>
        <w:t>7</w:t>
      </w:r>
      <w:r>
        <w:rPr>
          <w:rFonts w:ascii="Arial" w:eastAsiaTheme="minorHAnsi" w:hAnsi="Arial" w:cstheme="minorBidi"/>
          <w:sz w:val="22"/>
          <w:szCs w:val="22"/>
        </w:rPr>
        <w:t xml:space="preserve">, </w:t>
      </w:r>
      <w:r w:rsidR="00035392">
        <w:rPr>
          <w:rFonts w:ascii="Arial" w:eastAsiaTheme="minorHAnsi" w:hAnsi="Arial" w:cstheme="minorBidi"/>
          <w:sz w:val="22"/>
          <w:szCs w:val="22"/>
        </w:rPr>
        <w:t xml:space="preserve">the </w:t>
      </w:r>
      <w:r>
        <w:rPr>
          <w:rFonts w:ascii="Arial" w:eastAsiaTheme="minorHAnsi" w:hAnsi="Arial" w:cstheme="minorBidi"/>
          <w:sz w:val="22"/>
          <w:szCs w:val="22"/>
        </w:rPr>
        <w:t>majority of providers (71.7%) ha</w:t>
      </w:r>
      <w:r w:rsidR="00A96802">
        <w:rPr>
          <w:rFonts w:ascii="Arial" w:eastAsiaTheme="minorHAnsi" w:hAnsi="Arial" w:cstheme="minorBidi"/>
          <w:sz w:val="22"/>
          <w:szCs w:val="22"/>
        </w:rPr>
        <w:t>ve</w:t>
      </w:r>
      <w:r>
        <w:rPr>
          <w:rFonts w:ascii="Arial" w:eastAsiaTheme="minorHAnsi" w:hAnsi="Arial" w:cstheme="minorBidi"/>
          <w:sz w:val="22"/>
          <w:szCs w:val="22"/>
        </w:rPr>
        <w:t xml:space="preserve"> sufficient liquidity</w:t>
      </w:r>
      <w:r w:rsidR="00035392">
        <w:rPr>
          <w:rFonts w:ascii="Arial" w:eastAsiaTheme="minorHAnsi" w:hAnsi="Arial" w:cstheme="minorBidi"/>
          <w:sz w:val="22"/>
          <w:szCs w:val="22"/>
        </w:rPr>
        <w:t xml:space="preserve">, </w:t>
      </w:r>
      <w:r>
        <w:rPr>
          <w:rFonts w:ascii="Arial" w:eastAsiaTheme="minorHAnsi" w:hAnsi="Arial" w:cstheme="minorBidi"/>
          <w:sz w:val="22"/>
          <w:szCs w:val="22"/>
        </w:rPr>
        <w:t>record</w:t>
      </w:r>
      <w:r w:rsidR="00035392">
        <w:rPr>
          <w:rFonts w:ascii="Arial" w:eastAsiaTheme="minorHAnsi" w:hAnsi="Arial" w:cstheme="minorBidi"/>
          <w:sz w:val="22"/>
          <w:szCs w:val="22"/>
        </w:rPr>
        <w:t>ing</w:t>
      </w:r>
      <w:r>
        <w:rPr>
          <w:rFonts w:ascii="Arial" w:eastAsiaTheme="minorHAnsi" w:hAnsi="Arial" w:cstheme="minorBidi"/>
          <w:sz w:val="22"/>
          <w:szCs w:val="22"/>
        </w:rPr>
        <w:t xml:space="preserve"> a current ratio higher than the generally accepted benchmark of 1. </w:t>
      </w:r>
    </w:p>
    <w:p w:rsidR="007B5AEB" w:rsidRPr="00130AB7" w:rsidRDefault="007B5AEB" w:rsidP="007B5AEB">
      <w:pPr>
        <w:shd w:val="clear" w:color="auto" w:fill="E5ECED" w:themeFill="accent4" w:themeFillTint="66"/>
        <w:spacing w:after="0" w:line="240" w:lineRule="auto"/>
        <w:rPr>
          <w:rFonts w:ascii="Georgia" w:hAnsi="Georgia" w:cs="Arial"/>
          <w:b/>
          <w:color w:val="004855" w:themeColor="text1"/>
          <w:sz w:val="20"/>
          <w:szCs w:val="20"/>
          <w:lang w:val="en-US"/>
        </w:rPr>
      </w:pPr>
    </w:p>
    <w:p w:rsidR="0095537D" w:rsidRDefault="0095537D" w:rsidP="007B5AEB">
      <w:pPr>
        <w:spacing w:after="0" w:line="240" w:lineRule="auto"/>
        <w:rPr>
          <w:rFonts w:asciiTheme="majorHAnsi" w:eastAsiaTheme="majorEastAsia" w:hAnsiTheme="majorHAnsi" w:cstheme="majorBidi"/>
          <w:b/>
          <w:bCs/>
          <w:noProof/>
          <w:color w:val="00353F" w:themeColor="accent1" w:themeShade="BF"/>
          <w:sz w:val="44"/>
          <w:szCs w:val="44"/>
          <w:lang w:eastAsia="en-AU"/>
        </w:rPr>
      </w:pPr>
    </w:p>
    <w:p w:rsidR="0095537D" w:rsidRDefault="0095537D">
      <w:pPr>
        <w:spacing w:after="0" w:line="240" w:lineRule="auto"/>
        <w:rPr>
          <w:rFonts w:asciiTheme="minorHAnsi" w:eastAsiaTheme="minorHAnsi" w:hAnsiTheme="minorHAnsi" w:cstheme="minorHAnsi"/>
          <w:b/>
          <w:bCs/>
          <w:color w:val="407680" w:themeColor="accent2"/>
          <w:sz w:val="26"/>
          <w:szCs w:val="26"/>
          <w:lang w:val="en-GB"/>
        </w:rPr>
      </w:pPr>
      <w:r>
        <w:br w:type="page"/>
      </w:r>
    </w:p>
    <w:p w:rsidR="0095537D" w:rsidRDefault="00045892" w:rsidP="0095537D">
      <w:pPr>
        <w:pStyle w:val="H3"/>
      </w:pPr>
      <w:r>
        <w:lastRenderedPageBreak/>
        <w:t>Revenue from international students</w:t>
      </w:r>
    </w:p>
    <w:p w:rsidR="00D62AA3" w:rsidRDefault="00D62AA3" w:rsidP="00D62AA3">
      <w:pPr>
        <w:pStyle w:val="Figureheading"/>
        <w:spacing w:after="0"/>
        <w:rPr>
          <w:b w:val="0"/>
          <w:bCs/>
          <w:color w:val="auto"/>
          <w:lang w:val="en-AU"/>
        </w:rPr>
      </w:pPr>
      <w:r>
        <w:rPr>
          <w:b w:val="0"/>
          <w:bCs/>
          <w:color w:val="auto"/>
          <w:lang w:val="en-AU"/>
        </w:rPr>
        <w:t xml:space="preserve">The following </w:t>
      </w:r>
      <w:r w:rsidR="0096138A">
        <w:rPr>
          <w:b w:val="0"/>
          <w:bCs/>
          <w:color w:val="auto"/>
          <w:lang w:val="en-AU"/>
        </w:rPr>
        <w:t>examines</w:t>
      </w:r>
      <w:r w:rsidR="00F65980">
        <w:rPr>
          <w:b w:val="0"/>
          <w:bCs/>
          <w:color w:val="auto"/>
          <w:lang w:val="en-AU"/>
        </w:rPr>
        <w:t xml:space="preserve"> </w:t>
      </w:r>
      <w:r>
        <w:rPr>
          <w:b w:val="0"/>
          <w:bCs/>
          <w:color w:val="auto"/>
          <w:lang w:val="en-AU"/>
        </w:rPr>
        <w:t xml:space="preserve">international student </w:t>
      </w:r>
      <w:r w:rsidR="00045892">
        <w:rPr>
          <w:b w:val="0"/>
          <w:bCs/>
          <w:color w:val="auto"/>
          <w:lang w:val="en-AU"/>
        </w:rPr>
        <w:t xml:space="preserve">revenue </w:t>
      </w:r>
      <w:r>
        <w:rPr>
          <w:b w:val="0"/>
          <w:bCs/>
          <w:color w:val="auto"/>
          <w:lang w:val="en-AU"/>
        </w:rPr>
        <w:t>by each provide</w:t>
      </w:r>
      <w:r w:rsidR="00F65980">
        <w:rPr>
          <w:b w:val="0"/>
          <w:bCs/>
          <w:color w:val="auto"/>
          <w:lang w:val="en-AU"/>
        </w:rPr>
        <w:t>r</w:t>
      </w:r>
      <w:r>
        <w:rPr>
          <w:b w:val="0"/>
          <w:bCs/>
          <w:color w:val="auto"/>
          <w:lang w:val="en-AU"/>
        </w:rPr>
        <w:t xml:space="preserve"> size band.  </w:t>
      </w:r>
    </w:p>
    <w:p w:rsidR="0095537D" w:rsidDel="0024327E" w:rsidRDefault="0095537D" w:rsidP="00F21973">
      <w:pPr>
        <w:pStyle w:val="Figureheading"/>
        <w:spacing w:before="240" w:after="0"/>
        <w:rPr>
          <w:rFonts w:ascii="Georgia" w:hAnsi="Georgia"/>
          <w:sz w:val="20"/>
          <w:szCs w:val="20"/>
        </w:rPr>
      </w:pPr>
      <w:r w:rsidRPr="001156F3" w:rsidDel="0024327E">
        <w:rPr>
          <w:rFonts w:ascii="Georgia" w:hAnsi="Georgia"/>
          <w:sz w:val="20"/>
          <w:szCs w:val="20"/>
        </w:rPr>
        <w:t xml:space="preserve">Figure </w:t>
      </w:r>
      <w:r w:rsidR="008C384C">
        <w:rPr>
          <w:rFonts w:ascii="Georgia" w:hAnsi="Georgia"/>
          <w:sz w:val="20"/>
          <w:szCs w:val="20"/>
        </w:rPr>
        <w:t>48</w:t>
      </w:r>
      <w:r w:rsidRPr="001156F3" w:rsidDel="0024327E">
        <w:rPr>
          <w:rFonts w:ascii="Georgia" w:hAnsi="Georgia"/>
          <w:sz w:val="20"/>
          <w:szCs w:val="20"/>
        </w:rPr>
        <w:t xml:space="preserve">: </w:t>
      </w:r>
      <w:r w:rsidDel="0024327E">
        <w:rPr>
          <w:rFonts w:ascii="Georgia" w:hAnsi="Georgia"/>
          <w:sz w:val="20"/>
          <w:szCs w:val="20"/>
        </w:rPr>
        <w:t xml:space="preserve">International student </w:t>
      </w:r>
      <w:r w:rsidR="00045892">
        <w:rPr>
          <w:rFonts w:ascii="Georgia" w:hAnsi="Georgia"/>
          <w:sz w:val="20"/>
          <w:szCs w:val="20"/>
        </w:rPr>
        <w:t>revenue</w:t>
      </w:r>
      <w:r w:rsidDel="0024327E">
        <w:rPr>
          <w:rFonts w:ascii="Georgia" w:hAnsi="Georgia"/>
          <w:sz w:val="20"/>
          <w:szCs w:val="20"/>
        </w:rPr>
        <w:t xml:space="preserve"> ($)</w:t>
      </w:r>
      <w:r w:rsidRPr="001156F3" w:rsidDel="0024327E">
        <w:rPr>
          <w:rFonts w:ascii="Georgia" w:hAnsi="Georgia"/>
          <w:sz w:val="20"/>
          <w:szCs w:val="20"/>
        </w:rPr>
        <w:t>, by provider size</w:t>
      </w:r>
    </w:p>
    <w:p w:rsidR="0095537D" w:rsidRDefault="0095537D" w:rsidP="0095537D">
      <w:pPr>
        <w:spacing w:after="0" w:line="240" w:lineRule="auto"/>
        <w:rPr>
          <w:noProof/>
          <w:lang w:eastAsia="en-AU"/>
        </w:rPr>
      </w:pPr>
      <w:r w:rsidRPr="002F4DCD" w:rsidDel="0024327E">
        <w:rPr>
          <w:noProof/>
          <w:lang w:eastAsia="en-AU"/>
        </w:rPr>
        <w:t xml:space="preserve"> </w:t>
      </w:r>
      <w:r>
        <w:rPr>
          <w:noProof/>
          <w:lang w:eastAsia="en-AU"/>
        </w:rPr>
        <w:drawing>
          <wp:inline distT="0" distB="0" distL="0" distR="0" wp14:anchorId="49F86C72" wp14:editId="5A6527E1">
            <wp:extent cx="5821680" cy="2560320"/>
            <wp:effectExtent l="0" t="0" r="0" b="0"/>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5537D" w:rsidRPr="00130AB7" w:rsidRDefault="0095537D" w:rsidP="0095537D">
      <w:pPr>
        <w:shd w:val="clear" w:color="auto" w:fill="E5ECED" w:themeFill="accent4" w:themeFillTint="66"/>
        <w:spacing w:after="0"/>
        <w:rPr>
          <w:rFonts w:ascii="Arial" w:eastAsiaTheme="minorHAnsi" w:hAnsi="Arial" w:cstheme="minorBidi"/>
          <w:sz w:val="22"/>
          <w:szCs w:val="22"/>
        </w:rPr>
      </w:pPr>
    </w:p>
    <w:p w:rsidR="0095537D" w:rsidRDefault="00DC28B1" w:rsidP="0095537D">
      <w:pPr>
        <w:pStyle w:val="ListParagraph"/>
        <w:numPr>
          <w:ilvl w:val="0"/>
          <w:numId w:val="14"/>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The m</w:t>
      </w:r>
      <w:r w:rsidR="009538E0">
        <w:rPr>
          <w:rFonts w:ascii="Arial" w:eastAsiaTheme="minorHAnsi" w:hAnsi="Arial" w:cstheme="minorBidi"/>
          <w:sz w:val="22"/>
          <w:szCs w:val="22"/>
        </w:rPr>
        <w:t xml:space="preserve">ajority of the sector’s international student </w:t>
      </w:r>
      <w:r w:rsidR="00045892">
        <w:rPr>
          <w:rFonts w:ascii="Arial" w:eastAsiaTheme="minorHAnsi" w:hAnsi="Arial" w:cstheme="minorBidi"/>
          <w:sz w:val="22"/>
          <w:szCs w:val="22"/>
        </w:rPr>
        <w:t>revenue</w:t>
      </w:r>
      <w:r w:rsidR="00C035FE">
        <w:rPr>
          <w:rFonts w:ascii="Arial" w:eastAsiaTheme="minorHAnsi" w:hAnsi="Arial" w:cstheme="minorBidi"/>
          <w:sz w:val="22"/>
          <w:szCs w:val="22"/>
        </w:rPr>
        <w:t xml:space="preserve"> </w:t>
      </w:r>
      <w:r w:rsidR="00C16956">
        <w:rPr>
          <w:rFonts w:ascii="Arial" w:eastAsiaTheme="minorHAnsi" w:hAnsi="Arial" w:cstheme="minorBidi"/>
          <w:sz w:val="22"/>
          <w:szCs w:val="22"/>
        </w:rPr>
        <w:t>were</w:t>
      </w:r>
      <w:r w:rsidR="009538E0">
        <w:rPr>
          <w:rFonts w:ascii="Arial" w:eastAsiaTheme="minorHAnsi" w:hAnsi="Arial" w:cstheme="minorBidi"/>
          <w:sz w:val="22"/>
          <w:szCs w:val="22"/>
        </w:rPr>
        <w:t xml:space="preserve"> generated by providers with greater</w:t>
      </w:r>
      <w:r w:rsidR="0095537D">
        <w:rPr>
          <w:rFonts w:ascii="Arial" w:eastAsiaTheme="minorHAnsi" w:hAnsi="Arial" w:cstheme="minorBidi"/>
          <w:sz w:val="22"/>
          <w:szCs w:val="22"/>
        </w:rPr>
        <w:t xml:space="preserve"> than 5,000 EFTSL</w:t>
      </w:r>
      <w:r w:rsidR="009538E0">
        <w:rPr>
          <w:rFonts w:ascii="Arial" w:eastAsiaTheme="minorHAnsi" w:hAnsi="Arial" w:cstheme="minorBidi"/>
          <w:sz w:val="22"/>
          <w:szCs w:val="22"/>
        </w:rPr>
        <w:t xml:space="preserve">. </w:t>
      </w:r>
    </w:p>
    <w:p w:rsidR="0095537D" w:rsidRDefault="0095537D" w:rsidP="003B6D8C">
      <w:pPr>
        <w:pStyle w:val="ListParagraph"/>
        <w:numPr>
          <w:ilvl w:val="0"/>
          <w:numId w:val="14"/>
        </w:numPr>
        <w:shd w:val="clear" w:color="auto" w:fill="E5ECED" w:themeFill="accent4" w:themeFillTint="66"/>
        <w:spacing w:after="120"/>
        <w:ind w:left="357" w:hanging="357"/>
        <w:rPr>
          <w:rFonts w:ascii="Arial" w:eastAsiaTheme="minorHAnsi" w:hAnsi="Arial" w:cstheme="minorBidi"/>
          <w:sz w:val="22"/>
          <w:szCs w:val="22"/>
        </w:rPr>
      </w:pPr>
      <w:r>
        <w:rPr>
          <w:rFonts w:ascii="Arial" w:eastAsiaTheme="minorHAnsi" w:hAnsi="Arial" w:cstheme="minorBidi"/>
          <w:sz w:val="22"/>
          <w:szCs w:val="22"/>
        </w:rPr>
        <w:t xml:space="preserve">All </w:t>
      </w:r>
      <w:r w:rsidRPr="00810124">
        <w:rPr>
          <w:rFonts w:ascii="Arial" w:eastAsiaTheme="minorHAnsi" w:hAnsi="Arial" w:cstheme="minorBidi"/>
          <w:sz w:val="22"/>
          <w:szCs w:val="22"/>
        </w:rPr>
        <w:t xml:space="preserve">provider sizes </w:t>
      </w:r>
      <w:r>
        <w:rPr>
          <w:rFonts w:ascii="Arial" w:eastAsiaTheme="minorHAnsi" w:hAnsi="Arial" w:cstheme="minorBidi"/>
          <w:sz w:val="22"/>
          <w:szCs w:val="22"/>
        </w:rPr>
        <w:t xml:space="preserve">(except 5,000 </w:t>
      </w:r>
      <w:r w:rsidRPr="00810124">
        <w:rPr>
          <w:rFonts w:ascii="Arial" w:eastAsiaTheme="minorHAnsi" w:hAnsi="Arial" w:cstheme="minorBidi"/>
          <w:sz w:val="22"/>
          <w:szCs w:val="22"/>
        </w:rPr>
        <w:t>≤</w:t>
      </w:r>
      <w:r>
        <w:rPr>
          <w:rFonts w:ascii="Arial" w:eastAsiaTheme="minorHAnsi" w:hAnsi="Arial" w:cstheme="minorBidi"/>
          <w:sz w:val="22"/>
          <w:szCs w:val="22"/>
        </w:rPr>
        <w:t xml:space="preserve"> 19,999) </w:t>
      </w:r>
      <w:r w:rsidRPr="00810124">
        <w:rPr>
          <w:rFonts w:ascii="Arial" w:eastAsiaTheme="minorHAnsi" w:hAnsi="Arial" w:cstheme="minorBidi"/>
          <w:sz w:val="22"/>
          <w:szCs w:val="22"/>
        </w:rPr>
        <w:t>experie</w:t>
      </w:r>
      <w:r>
        <w:rPr>
          <w:rFonts w:ascii="Arial" w:eastAsiaTheme="minorHAnsi" w:hAnsi="Arial" w:cstheme="minorBidi"/>
          <w:sz w:val="22"/>
          <w:szCs w:val="22"/>
        </w:rPr>
        <w:t xml:space="preserve">nced increases </w:t>
      </w:r>
      <w:r w:rsidR="00836B54">
        <w:rPr>
          <w:rFonts w:ascii="Arial" w:eastAsiaTheme="minorHAnsi" w:hAnsi="Arial" w:cstheme="minorBidi"/>
          <w:sz w:val="22"/>
          <w:szCs w:val="22"/>
        </w:rPr>
        <w:t xml:space="preserve">in international student </w:t>
      </w:r>
      <w:r w:rsidR="00045892">
        <w:rPr>
          <w:rFonts w:ascii="Arial" w:eastAsiaTheme="minorHAnsi" w:hAnsi="Arial" w:cstheme="minorBidi"/>
          <w:sz w:val="22"/>
          <w:szCs w:val="22"/>
        </w:rPr>
        <w:t>revenue</w:t>
      </w:r>
      <w:r w:rsidRPr="00810124">
        <w:rPr>
          <w:rFonts w:ascii="Arial" w:eastAsiaTheme="minorHAnsi" w:hAnsi="Arial" w:cstheme="minorBidi"/>
          <w:sz w:val="22"/>
          <w:szCs w:val="22"/>
        </w:rPr>
        <w:t xml:space="preserve">. </w:t>
      </w:r>
      <w:r w:rsidR="00D10A9B">
        <w:rPr>
          <w:rFonts w:ascii="Arial" w:eastAsiaTheme="minorHAnsi" w:hAnsi="Arial" w:cstheme="minorBidi"/>
          <w:sz w:val="22"/>
          <w:szCs w:val="22"/>
        </w:rPr>
        <w:t>P</w:t>
      </w:r>
      <w:r>
        <w:rPr>
          <w:rFonts w:ascii="Arial" w:eastAsiaTheme="minorHAnsi" w:hAnsi="Arial" w:cstheme="minorBidi"/>
          <w:sz w:val="22"/>
          <w:szCs w:val="22"/>
        </w:rPr>
        <w:t xml:space="preserve">roviders with EFTSL between 5,000 and 19,999 earned approximately $13 million less in international student </w:t>
      </w:r>
      <w:r w:rsidR="00045892">
        <w:rPr>
          <w:rFonts w:ascii="Arial" w:eastAsiaTheme="minorHAnsi" w:hAnsi="Arial" w:cstheme="minorBidi"/>
          <w:sz w:val="22"/>
          <w:szCs w:val="22"/>
        </w:rPr>
        <w:t>revenue</w:t>
      </w:r>
      <w:r w:rsidR="00D10A9B">
        <w:rPr>
          <w:rFonts w:ascii="Arial" w:eastAsiaTheme="minorHAnsi" w:hAnsi="Arial" w:cstheme="minorBidi"/>
          <w:sz w:val="22"/>
          <w:szCs w:val="22"/>
        </w:rPr>
        <w:t xml:space="preserve"> </w:t>
      </w:r>
      <w:r w:rsidR="00EE7DCE">
        <w:rPr>
          <w:rFonts w:ascii="Arial" w:eastAsiaTheme="minorHAnsi" w:hAnsi="Arial" w:cstheme="minorBidi"/>
          <w:sz w:val="22"/>
          <w:szCs w:val="22"/>
        </w:rPr>
        <w:t>than the previous year</w:t>
      </w:r>
      <w:r>
        <w:rPr>
          <w:rFonts w:ascii="Arial" w:eastAsiaTheme="minorHAnsi" w:hAnsi="Arial" w:cstheme="minorBidi"/>
          <w:sz w:val="22"/>
          <w:szCs w:val="22"/>
        </w:rPr>
        <w:t>.</w:t>
      </w:r>
    </w:p>
    <w:p w:rsidR="0095537D" w:rsidRPr="003B6D8C" w:rsidRDefault="0095537D" w:rsidP="0095537D">
      <w:pPr>
        <w:shd w:val="clear" w:color="auto" w:fill="E5ECED" w:themeFill="accent4" w:themeFillTint="66"/>
        <w:spacing w:after="0"/>
        <w:rPr>
          <w:rFonts w:ascii="Arial" w:eastAsiaTheme="minorHAnsi" w:hAnsi="Arial" w:cstheme="minorBidi"/>
          <w:sz w:val="16"/>
          <w:szCs w:val="16"/>
        </w:rPr>
      </w:pPr>
    </w:p>
    <w:p w:rsidR="0095537D" w:rsidRDefault="0095537D" w:rsidP="0095537D">
      <w:pPr>
        <w:pStyle w:val="Figureheading"/>
        <w:spacing w:after="0"/>
        <w:rPr>
          <w:rFonts w:ascii="Georgia" w:hAnsi="Georgia"/>
          <w:sz w:val="20"/>
          <w:szCs w:val="20"/>
        </w:rPr>
      </w:pPr>
    </w:p>
    <w:p w:rsidR="00127249" w:rsidRPr="001567F7" w:rsidRDefault="00127249" w:rsidP="00127249">
      <w:pPr>
        <w:rPr>
          <w:rFonts w:ascii="Georgia" w:hAnsi="Georgia" w:cs="Arial"/>
          <w:b/>
          <w:color w:val="004855" w:themeColor="text1"/>
          <w:sz w:val="20"/>
          <w:szCs w:val="20"/>
          <w:lang w:val="en-US"/>
        </w:rPr>
      </w:pPr>
      <w:r w:rsidRPr="006A6C2F">
        <w:rPr>
          <w:rFonts w:ascii="Georgia" w:hAnsi="Georgia" w:cs="Arial"/>
          <w:b/>
          <w:color w:val="004855" w:themeColor="text1"/>
          <w:sz w:val="20"/>
          <w:szCs w:val="20"/>
          <w:lang w:val="en-US"/>
        </w:rPr>
        <w:t xml:space="preserve">Table </w:t>
      </w:r>
      <w:r>
        <w:rPr>
          <w:rFonts w:ascii="Georgia" w:hAnsi="Georgia" w:cs="Arial"/>
          <w:b/>
          <w:color w:val="004855" w:themeColor="text1"/>
          <w:sz w:val="20"/>
          <w:szCs w:val="20"/>
          <w:lang w:val="en-US"/>
        </w:rPr>
        <w:t>43:</w:t>
      </w:r>
      <w:r w:rsidRPr="00127249">
        <w:rPr>
          <w:rFonts w:ascii="Georgia" w:hAnsi="Georgia" w:cs="Arial"/>
          <w:b/>
          <w:color w:val="004855" w:themeColor="text1"/>
          <w:sz w:val="20"/>
          <w:szCs w:val="20"/>
          <w:lang w:val="en-US"/>
        </w:rPr>
        <w:t xml:space="preserve"> </w:t>
      </w:r>
      <w:r>
        <w:rPr>
          <w:rFonts w:ascii="Georgia" w:hAnsi="Georgia" w:cs="Arial"/>
          <w:b/>
          <w:color w:val="004855" w:themeColor="text1"/>
          <w:sz w:val="20"/>
          <w:szCs w:val="20"/>
          <w:lang w:val="en-US"/>
        </w:rPr>
        <w:t xml:space="preserve">International student </w:t>
      </w:r>
      <w:r w:rsidR="00045892">
        <w:rPr>
          <w:rFonts w:ascii="Georgia" w:hAnsi="Georgia" w:cs="Arial"/>
          <w:b/>
          <w:color w:val="004855" w:themeColor="text1"/>
          <w:sz w:val="20"/>
          <w:szCs w:val="20"/>
          <w:lang w:val="en-US"/>
        </w:rPr>
        <w:t>revenue</w:t>
      </w:r>
      <w:r>
        <w:rPr>
          <w:rFonts w:ascii="Georgia" w:hAnsi="Georgia" w:cs="Arial"/>
          <w:b/>
          <w:color w:val="004855" w:themeColor="text1"/>
          <w:sz w:val="20"/>
          <w:szCs w:val="20"/>
          <w:lang w:val="en-US"/>
        </w:rPr>
        <w:t xml:space="preserve"> to</w:t>
      </w:r>
      <w:r w:rsidR="00045892">
        <w:rPr>
          <w:rFonts w:ascii="Georgia" w:hAnsi="Georgia" w:cs="Arial"/>
          <w:b/>
          <w:color w:val="004855" w:themeColor="text1"/>
          <w:sz w:val="20"/>
          <w:szCs w:val="20"/>
          <w:lang w:val="en-US"/>
        </w:rPr>
        <w:t xml:space="preserve"> total</w:t>
      </w:r>
      <w:r>
        <w:rPr>
          <w:rFonts w:ascii="Georgia" w:hAnsi="Georgia" w:cs="Arial"/>
          <w:b/>
          <w:color w:val="004855" w:themeColor="text1"/>
          <w:sz w:val="20"/>
          <w:szCs w:val="20"/>
          <w:lang w:val="en-US"/>
        </w:rPr>
        <w:t xml:space="preserve"> </w:t>
      </w:r>
      <w:r w:rsidR="003C278D">
        <w:rPr>
          <w:rFonts w:ascii="Georgia" w:hAnsi="Georgia" w:cs="Arial"/>
          <w:b/>
          <w:color w:val="004855" w:themeColor="text1"/>
          <w:sz w:val="20"/>
          <w:szCs w:val="20"/>
          <w:lang w:val="en-US"/>
        </w:rPr>
        <w:t>higher education</w:t>
      </w:r>
      <w:r>
        <w:rPr>
          <w:rFonts w:ascii="Georgia" w:hAnsi="Georgia" w:cs="Arial"/>
          <w:b/>
          <w:color w:val="004855" w:themeColor="text1"/>
          <w:sz w:val="20"/>
          <w:szCs w:val="20"/>
          <w:lang w:val="en-US"/>
        </w:rPr>
        <w:t xml:space="preserve"> revenue</w:t>
      </w:r>
      <w:r w:rsidRPr="006A6C2F">
        <w:rPr>
          <w:rFonts w:ascii="Georgia" w:hAnsi="Georgia" w:cs="Arial"/>
          <w:b/>
          <w:color w:val="004855" w:themeColor="text1"/>
          <w:sz w:val="20"/>
          <w:szCs w:val="20"/>
          <w:lang w:val="en-US"/>
        </w:rPr>
        <w:t>, by provider size</w:t>
      </w:r>
    </w:p>
    <w:tbl>
      <w:tblPr>
        <w:tblW w:w="5048" w:type="pct"/>
        <w:tblLook w:val="04A0" w:firstRow="1" w:lastRow="0" w:firstColumn="1" w:lastColumn="0" w:noHBand="0" w:noVBand="1"/>
      </w:tblPr>
      <w:tblGrid>
        <w:gridCol w:w="2137"/>
        <w:gridCol w:w="1579"/>
        <w:gridCol w:w="46"/>
        <w:gridCol w:w="1432"/>
        <w:gridCol w:w="1450"/>
        <w:gridCol w:w="12"/>
        <w:gridCol w:w="1533"/>
        <w:gridCol w:w="15"/>
        <w:gridCol w:w="1448"/>
        <w:gridCol w:w="12"/>
      </w:tblGrid>
      <w:tr w:rsidR="009538E0" w:rsidRPr="00797118" w:rsidTr="009538E0">
        <w:trPr>
          <w:trHeight w:val="300"/>
        </w:trPr>
        <w:tc>
          <w:tcPr>
            <w:tcW w:w="1106" w:type="pct"/>
            <w:tcBorders>
              <w:top w:val="nil"/>
              <w:left w:val="nil"/>
              <w:bottom w:val="single" w:sz="4" w:space="0" w:color="366092"/>
              <w:right w:val="nil"/>
            </w:tcBorders>
            <w:shd w:val="clear" w:color="auto" w:fill="004855"/>
            <w:noWrap/>
            <w:vAlign w:val="center"/>
            <w:hideMark/>
          </w:tcPr>
          <w:p w:rsidR="009538E0" w:rsidRPr="00797118" w:rsidRDefault="009538E0" w:rsidP="009538E0">
            <w:pPr>
              <w:spacing w:after="0"/>
              <w:rPr>
                <w:rFonts w:asciiTheme="minorHAnsi" w:hAnsiTheme="minorHAnsi" w:cstheme="minorHAnsi"/>
                <w:b/>
                <w:sz w:val="20"/>
                <w:szCs w:val="20"/>
              </w:rPr>
            </w:pPr>
          </w:p>
        </w:tc>
        <w:tc>
          <w:tcPr>
            <w:tcW w:w="817" w:type="pct"/>
            <w:tcBorders>
              <w:top w:val="nil"/>
              <w:left w:val="nil"/>
              <w:bottom w:val="single" w:sz="4" w:space="0" w:color="366092"/>
              <w:right w:val="nil"/>
            </w:tcBorders>
            <w:shd w:val="clear" w:color="auto" w:fill="004855"/>
            <w:noWrap/>
            <w:vAlign w:val="center"/>
          </w:tcPr>
          <w:p w:rsidR="009538E0" w:rsidRPr="00797118" w:rsidRDefault="009538E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Minimum</w:t>
            </w:r>
          </w:p>
        </w:tc>
        <w:tc>
          <w:tcPr>
            <w:tcW w:w="765" w:type="pct"/>
            <w:gridSpan w:val="2"/>
            <w:tcBorders>
              <w:top w:val="nil"/>
              <w:left w:val="nil"/>
              <w:bottom w:val="single" w:sz="4" w:space="0" w:color="366092"/>
              <w:right w:val="nil"/>
            </w:tcBorders>
            <w:shd w:val="clear" w:color="auto" w:fill="004855"/>
            <w:vAlign w:val="center"/>
          </w:tcPr>
          <w:p w:rsidR="009538E0" w:rsidRPr="00797118" w:rsidRDefault="009538E0" w:rsidP="005C332B">
            <w:pPr>
              <w:spacing w:after="0"/>
              <w:jc w:val="right"/>
              <w:rPr>
                <w:rFonts w:asciiTheme="minorHAnsi" w:hAnsiTheme="minorHAnsi" w:cstheme="minorHAnsi"/>
                <w:b/>
                <w:sz w:val="20"/>
                <w:szCs w:val="20"/>
              </w:rPr>
            </w:pPr>
            <w:r>
              <w:rPr>
                <w:rFonts w:asciiTheme="minorHAnsi" w:hAnsiTheme="minorHAnsi" w:cstheme="minorHAnsi"/>
                <w:b/>
                <w:sz w:val="20"/>
                <w:szCs w:val="20"/>
              </w:rPr>
              <w:t>First quartile</w:t>
            </w:r>
          </w:p>
        </w:tc>
        <w:tc>
          <w:tcPr>
            <w:tcW w:w="756" w:type="pct"/>
            <w:gridSpan w:val="2"/>
            <w:tcBorders>
              <w:top w:val="nil"/>
              <w:left w:val="nil"/>
              <w:bottom w:val="single" w:sz="4" w:space="0" w:color="366092"/>
              <w:right w:val="nil"/>
            </w:tcBorders>
            <w:shd w:val="clear" w:color="auto" w:fill="004855"/>
            <w:noWrap/>
            <w:vAlign w:val="center"/>
          </w:tcPr>
          <w:p w:rsidR="009538E0" w:rsidRPr="00797118" w:rsidRDefault="009538E0" w:rsidP="005C332B">
            <w:pPr>
              <w:spacing w:after="0"/>
              <w:jc w:val="right"/>
              <w:rPr>
                <w:rFonts w:asciiTheme="minorHAnsi" w:hAnsiTheme="minorHAnsi" w:cstheme="minorHAnsi"/>
                <w:b/>
                <w:sz w:val="20"/>
                <w:szCs w:val="20"/>
              </w:rPr>
            </w:pPr>
            <w:r w:rsidRPr="00797118">
              <w:rPr>
                <w:rFonts w:asciiTheme="minorHAnsi" w:hAnsiTheme="minorHAnsi" w:cstheme="minorHAnsi"/>
                <w:b/>
                <w:sz w:val="20"/>
                <w:szCs w:val="20"/>
              </w:rPr>
              <w:t>Median</w:t>
            </w:r>
          </w:p>
        </w:tc>
        <w:tc>
          <w:tcPr>
            <w:tcW w:w="801" w:type="pct"/>
            <w:gridSpan w:val="2"/>
            <w:tcBorders>
              <w:top w:val="nil"/>
              <w:left w:val="nil"/>
              <w:bottom w:val="single" w:sz="4" w:space="0" w:color="366092"/>
              <w:right w:val="nil"/>
            </w:tcBorders>
            <w:shd w:val="clear" w:color="auto" w:fill="004855"/>
            <w:noWrap/>
            <w:vAlign w:val="center"/>
          </w:tcPr>
          <w:p w:rsidR="009538E0" w:rsidRPr="00797118" w:rsidRDefault="009538E0" w:rsidP="005C332B">
            <w:pPr>
              <w:spacing w:after="0"/>
              <w:jc w:val="right"/>
              <w:rPr>
                <w:rFonts w:asciiTheme="minorHAnsi" w:hAnsiTheme="minorHAnsi" w:cstheme="minorHAnsi"/>
                <w:b/>
                <w:sz w:val="20"/>
                <w:szCs w:val="20"/>
              </w:rPr>
            </w:pPr>
            <w:r>
              <w:rPr>
                <w:rFonts w:asciiTheme="minorHAnsi" w:hAnsiTheme="minorHAnsi" w:cstheme="minorHAnsi"/>
                <w:b/>
                <w:sz w:val="20"/>
                <w:szCs w:val="20"/>
              </w:rPr>
              <w:t>Third quartile</w:t>
            </w:r>
          </w:p>
        </w:tc>
        <w:tc>
          <w:tcPr>
            <w:tcW w:w="755" w:type="pct"/>
            <w:gridSpan w:val="2"/>
            <w:tcBorders>
              <w:top w:val="nil"/>
              <w:left w:val="nil"/>
              <w:bottom w:val="single" w:sz="4" w:space="0" w:color="366092"/>
              <w:right w:val="nil"/>
            </w:tcBorders>
            <w:shd w:val="clear" w:color="auto" w:fill="004855"/>
            <w:vAlign w:val="center"/>
          </w:tcPr>
          <w:p w:rsidR="009538E0" w:rsidRPr="00797118" w:rsidRDefault="009538E0" w:rsidP="005C332B">
            <w:pPr>
              <w:spacing w:after="0"/>
              <w:jc w:val="right"/>
              <w:rPr>
                <w:rFonts w:asciiTheme="minorHAnsi" w:hAnsiTheme="minorHAnsi" w:cstheme="minorHAnsi"/>
                <w:b/>
                <w:sz w:val="20"/>
                <w:szCs w:val="20"/>
              </w:rPr>
            </w:pPr>
            <w:r>
              <w:rPr>
                <w:rFonts w:asciiTheme="minorHAnsi" w:hAnsiTheme="minorHAnsi" w:cstheme="minorHAnsi"/>
                <w:b/>
                <w:sz w:val="20"/>
                <w:szCs w:val="20"/>
              </w:rPr>
              <w:t>Maximum</w:t>
            </w:r>
          </w:p>
        </w:tc>
      </w:tr>
      <w:tr w:rsidR="009538E0" w:rsidRPr="00797118" w:rsidTr="009538E0">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9538E0" w:rsidRPr="00DC6756" w:rsidRDefault="009538E0" w:rsidP="009538E0">
            <w:pPr>
              <w:spacing w:after="0"/>
              <w:rPr>
                <w:rFonts w:asciiTheme="minorHAnsi" w:hAnsiTheme="minorHAnsi" w:cstheme="minorHAnsi"/>
                <w:sz w:val="20"/>
                <w:szCs w:val="20"/>
              </w:rPr>
            </w:pPr>
            <w:r w:rsidRPr="00DC6756">
              <w:rPr>
                <w:rFonts w:asciiTheme="minorHAnsi" w:hAnsiTheme="minorHAnsi" w:cstheme="minorHAnsi"/>
                <w:sz w:val="20"/>
                <w:szCs w:val="20"/>
              </w:rPr>
              <w:t>&lt;</w:t>
            </w:r>
            <w:r>
              <w:rPr>
                <w:rFonts w:asciiTheme="minorHAnsi" w:hAnsiTheme="minorHAnsi" w:cstheme="minorHAnsi"/>
                <w:sz w:val="20"/>
                <w:szCs w:val="20"/>
              </w:rPr>
              <w:t xml:space="preserve"> </w:t>
            </w:r>
            <w:r w:rsidRPr="00DC6756">
              <w:rPr>
                <w:rFonts w:asciiTheme="minorHAnsi" w:hAnsiTheme="minorHAnsi" w:cstheme="minorHAnsi"/>
                <w:sz w:val="20"/>
                <w:szCs w:val="20"/>
              </w:rPr>
              <w:t>100</w:t>
            </w:r>
          </w:p>
        </w:tc>
        <w:tc>
          <w:tcPr>
            <w:tcW w:w="841"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0.1%</w:t>
            </w:r>
          </w:p>
        </w:tc>
        <w:tc>
          <w:tcPr>
            <w:tcW w:w="741"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2.4%</w:t>
            </w:r>
          </w:p>
        </w:tc>
        <w:tc>
          <w:tcPr>
            <w:tcW w:w="750"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21.5%</w:t>
            </w:r>
          </w:p>
        </w:tc>
        <w:tc>
          <w:tcPr>
            <w:tcW w:w="799" w:type="pct"/>
            <w:gridSpan w:val="2"/>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82.5%</w:t>
            </w:r>
          </w:p>
        </w:tc>
        <w:tc>
          <w:tcPr>
            <w:tcW w:w="757"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100.0%</w:t>
            </w:r>
          </w:p>
        </w:tc>
      </w:tr>
      <w:tr w:rsidR="009538E0" w:rsidRPr="00797118" w:rsidTr="009538E0">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9538E0" w:rsidRPr="00DC6756" w:rsidRDefault="009538E0" w:rsidP="00D41FF7">
            <w:pPr>
              <w:spacing w:after="0"/>
              <w:rPr>
                <w:rFonts w:asciiTheme="minorHAnsi" w:hAnsiTheme="minorHAnsi" w:cstheme="minorHAnsi"/>
                <w:sz w:val="20"/>
                <w:szCs w:val="20"/>
              </w:rPr>
            </w:pPr>
            <w:r w:rsidRPr="00DC6756">
              <w:rPr>
                <w:rFonts w:asciiTheme="minorHAnsi" w:hAnsiTheme="minorHAnsi" w:cstheme="minorHAnsi"/>
                <w:sz w:val="20"/>
                <w:szCs w:val="20"/>
              </w:rPr>
              <w:t>100</w:t>
            </w:r>
            <w:r>
              <w:rPr>
                <w:rFonts w:asciiTheme="minorHAnsi" w:hAnsiTheme="minorHAnsi" w:cstheme="minorHAnsi"/>
                <w:sz w:val="20"/>
                <w:szCs w:val="20"/>
              </w:rPr>
              <w:t xml:space="preserve"> ≤  </w:t>
            </w:r>
            <w:r w:rsidRPr="00DC6756">
              <w:rPr>
                <w:rFonts w:asciiTheme="minorHAnsi" w:hAnsiTheme="minorHAnsi" w:cstheme="minorHAnsi"/>
                <w:sz w:val="20"/>
                <w:szCs w:val="20"/>
              </w:rPr>
              <w:t>499</w:t>
            </w:r>
          </w:p>
        </w:tc>
        <w:tc>
          <w:tcPr>
            <w:tcW w:w="841"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0.6%</w:t>
            </w:r>
          </w:p>
        </w:tc>
        <w:tc>
          <w:tcPr>
            <w:tcW w:w="741"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3.5%</w:t>
            </w:r>
          </w:p>
        </w:tc>
        <w:tc>
          <w:tcPr>
            <w:tcW w:w="750"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14.8%</w:t>
            </w:r>
          </w:p>
        </w:tc>
        <w:tc>
          <w:tcPr>
            <w:tcW w:w="799" w:type="pct"/>
            <w:gridSpan w:val="2"/>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82.3%</w:t>
            </w:r>
          </w:p>
        </w:tc>
        <w:tc>
          <w:tcPr>
            <w:tcW w:w="757"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100.0%</w:t>
            </w:r>
          </w:p>
        </w:tc>
      </w:tr>
      <w:tr w:rsidR="009538E0" w:rsidRPr="00797118" w:rsidTr="009538E0">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9538E0" w:rsidRPr="00DC6756" w:rsidRDefault="009538E0" w:rsidP="00D41FF7">
            <w:pPr>
              <w:spacing w:after="0"/>
              <w:rPr>
                <w:rFonts w:asciiTheme="minorHAnsi" w:hAnsiTheme="minorHAnsi" w:cstheme="minorHAnsi"/>
                <w:sz w:val="20"/>
                <w:szCs w:val="20"/>
              </w:rPr>
            </w:pPr>
            <w:r w:rsidRPr="00DC6756">
              <w:rPr>
                <w:rFonts w:asciiTheme="minorHAnsi" w:hAnsiTheme="minorHAnsi" w:cstheme="minorHAnsi"/>
                <w:sz w:val="20"/>
                <w:szCs w:val="20"/>
              </w:rPr>
              <w:t>500</w:t>
            </w:r>
            <w:r>
              <w:rPr>
                <w:rFonts w:asciiTheme="minorHAnsi" w:hAnsiTheme="minorHAnsi" w:cstheme="minorHAnsi"/>
                <w:sz w:val="20"/>
                <w:szCs w:val="20"/>
              </w:rPr>
              <w:t xml:space="preserve"> ≤  </w:t>
            </w:r>
            <w:r w:rsidRPr="00DC6756">
              <w:rPr>
                <w:rFonts w:asciiTheme="minorHAnsi" w:hAnsiTheme="minorHAnsi" w:cstheme="minorHAnsi"/>
                <w:sz w:val="20"/>
                <w:szCs w:val="20"/>
              </w:rPr>
              <w:t>4</w:t>
            </w:r>
            <w:r>
              <w:rPr>
                <w:rFonts w:asciiTheme="minorHAnsi" w:hAnsiTheme="minorHAnsi" w:cstheme="minorHAnsi"/>
                <w:sz w:val="20"/>
                <w:szCs w:val="20"/>
              </w:rPr>
              <w:t>,</w:t>
            </w:r>
            <w:r w:rsidRPr="00DC6756">
              <w:rPr>
                <w:rFonts w:asciiTheme="minorHAnsi" w:hAnsiTheme="minorHAnsi" w:cstheme="minorHAnsi"/>
                <w:sz w:val="20"/>
                <w:szCs w:val="20"/>
              </w:rPr>
              <w:t>999</w:t>
            </w:r>
          </w:p>
        </w:tc>
        <w:tc>
          <w:tcPr>
            <w:tcW w:w="841"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1.7%</w:t>
            </w:r>
          </w:p>
        </w:tc>
        <w:tc>
          <w:tcPr>
            <w:tcW w:w="741"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10.0%</w:t>
            </w:r>
          </w:p>
        </w:tc>
        <w:tc>
          <w:tcPr>
            <w:tcW w:w="750"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50.2%</w:t>
            </w:r>
          </w:p>
        </w:tc>
        <w:tc>
          <w:tcPr>
            <w:tcW w:w="799" w:type="pct"/>
            <w:gridSpan w:val="2"/>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85.7%</w:t>
            </w:r>
          </w:p>
        </w:tc>
        <w:tc>
          <w:tcPr>
            <w:tcW w:w="757"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100.0%</w:t>
            </w:r>
          </w:p>
        </w:tc>
      </w:tr>
      <w:tr w:rsidR="009538E0" w:rsidRPr="00797118" w:rsidTr="009538E0">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9538E0" w:rsidRPr="00DC6756" w:rsidRDefault="009538E0" w:rsidP="00D41FF7">
            <w:pPr>
              <w:spacing w:after="0"/>
              <w:rPr>
                <w:rFonts w:asciiTheme="minorHAnsi" w:hAnsiTheme="minorHAnsi" w:cstheme="minorHAnsi"/>
                <w:sz w:val="20"/>
                <w:szCs w:val="20"/>
              </w:rPr>
            </w:pPr>
            <w:r w:rsidRPr="00E128BF">
              <w:rPr>
                <w:rFonts w:asciiTheme="minorHAnsi" w:hAnsiTheme="minorHAnsi" w:cstheme="minorHAnsi"/>
                <w:sz w:val="20"/>
                <w:szCs w:val="20"/>
              </w:rPr>
              <w:t>5</w:t>
            </w:r>
            <w:r>
              <w:rPr>
                <w:rFonts w:asciiTheme="minorHAnsi" w:hAnsiTheme="minorHAnsi" w:cstheme="minorHAnsi"/>
                <w:sz w:val="20"/>
                <w:szCs w:val="20"/>
              </w:rPr>
              <w:t>,</w:t>
            </w:r>
            <w:r w:rsidRPr="00E128BF">
              <w:rPr>
                <w:rFonts w:asciiTheme="minorHAnsi" w:hAnsiTheme="minorHAnsi" w:cstheme="minorHAnsi"/>
                <w:sz w:val="20"/>
                <w:szCs w:val="20"/>
              </w:rPr>
              <w:t>000</w:t>
            </w:r>
            <w:r>
              <w:rPr>
                <w:rFonts w:asciiTheme="minorHAnsi" w:hAnsiTheme="minorHAnsi" w:cstheme="minorHAnsi"/>
                <w:sz w:val="20"/>
                <w:szCs w:val="20"/>
              </w:rPr>
              <w:t xml:space="preserve"> </w:t>
            </w:r>
            <w:r w:rsidRPr="00E128BF">
              <w:rPr>
                <w:rFonts w:asciiTheme="minorHAnsi" w:hAnsiTheme="minorHAnsi" w:cstheme="minorHAnsi"/>
                <w:sz w:val="20"/>
                <w:szCs w:val="20"/>
              </w:rPr>
              <w:t>≤</w:t>
            </w:r>
            <w:r>
              <w:rPr>
                <w:rFonts w:asciiTheme="minorHAnsi" w:hAnsiTheme="minorHAnsi" w:cstheme="minorHAnsi"/>
                <w:sz w:val="20"/>
                <w:szCs w:val="20"/>
              </w:rPr>
              <w:t xml:space="preserve">  </w:t>
            </w:r>
            <w:r w:rsidRPr="00E128BF">
              <w:rPr>
                <w:rFonts w:asciiTheme="minorHAnsi" w:hAnsiTheme="minorHAnsi" w:cstheme="minorHAnsi"/>
                <w:sz w:val="20"/>
                <w:szCs w:val="20"/>
              </w:rPr>
              <w:t>19</w:t>
            </w:r>
            <w:r>
              <w:rPr>
                <w:rFonts w:asciiTheme="minorHAnsi" w:hAnsiTheme="minorHAnsi" w:cstheme="minorHAnsi"/>
                <w:sz w:val="20"/>
                <w:szCs w:val="20"/>
              </w:rPr>
              <w:t>,</w:t>
            </w:r>
            <w:r w:rsidRPr="00E128BF">
              <w:rPr>
                <w:rFonts w:asciiTheme="minorHAnsi" w:hAnsiTheme="minorHAnsi" w:cstheme="minorHAnsi"/>
                <w:sz w:val="20"/>
                <w:szCs w:val="20"/>
              </w:rPr>
              <w:t>999</w:t>
            </w:r>
          </w:p>
        </w:tc>
        <w:tc>
          <w:tcPr>
            <w:tcW w:w="841"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2.1%</w:t>
            </w:r>
          </w:p>
        </w:tc>
        <w:tc>
          <w:tcPr>
            <w:tcW w:w="741"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11.6%</w:t>
            </w:r>
          </w:p>
        </w:tc>
        <w:tc>
          <w:tcPr>
            <w:tcW w:w="750"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13.6%</w:t>
            </w:r>
          </w:p>
        </w:tc>
        <w:tc>
          <w:tcPr>
            <w:tcW w:w="799" w:type="pct"/>
            <w:gridSpan w:val="2"/>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18.4%</w:t>
            </w:r>
          </w:p>
        </w:tc>
        <w:tc>
          <w:tcPr>
            <w:tcW w:w="757"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32.9%</w:t>
            </w:r>
          </w:p>
        </w:tc>
      </w:tr>
      <w:tr w:rsidR="009538E0" w:rsidRPr="00797118" w:rsidTr="009538E0">
        <w:trPr>
          <w:gridAfter w:val="1"/>
          <w:wAfter w:w="6" w:type="pct"/>
          <w:trHeight w:val="300"/>
        </w:trPr>
        <w:tc>
          <w:tcPr>
            <w:tcW w:w="1106" w:type="pct"/>
            <w:tcBorders>
              <w:top w:val="nil"/>
              <w:left w:val="nil"/>
              <w:bottom w:val="single" w:sz="4" w:space="0" w:color="366092"/>
              <w:right w:val="nil"/>
            </w:tcBorders>
            <w:shd w:val="clear" w:color="auto" w:fill="auto"/>
            <w:noWrap/>
            <w:vAlign w:val="center"/>
          </w:tcPr>
          <w:p w:rsidR="009538E0" w:rsidRPr="00DC6756" w:rsidRDefault="009538E0" w:rsidP="00D41FF7">
            <w:pPr>
              <w:spacing w:after="0"/>
              <w:rPr>
                <w:rFonts w:asciiTheme="minorHAnsi" w:hAnsiTheme="minorHAnsi" w:cstheme="minorHAnsi"/>
                <w:sz w:val="20"/>
                <w:szCs w:val="20"/>
              </w:rPr>
            </w:pPr>
            <w:r w:rsidRPr="00E128BF">
              <w:rPr>
                <w:rFonts w:asciiTheme="minorHAnsi" w:hAnsiTheme="minorHAnsi" w:cstheme="minorHAnsi"/>
                <w:sz w:val="20"/>
                <w:szCs w:val="20"/>
              </w:rPr>
              <w:t>≥</w:t>
            </w:r>
            <w:r>
              <w:rPr>
                <w:rFonts w:asciiTheme="minorHAnsi" w:hAnsiTheme="minorHAnsi" w:cstheme="minorHAnsi"/>
                <w:sz w:val="20"/>
                <w:szCs w:val="20"/>
              </w:rPr>
              <w:t xml:space="preserve">  </w:t>
            </w:r>
            <w:r w:rsidRPr="00E128BF">
              <w:rPr>
                <w:rFonts w:asciiTheme="minorHAnsi" w:hAnsiTheme="minorHAnsi" w:cstheme="minorHAnsi"/>
                <w:sz w:val="20"/>
                <w:szCs w:val="20"/>
              </w:rPr>
              <w:t>20</w:t>
            </w:r>
            <w:r>
              <w:rPr>
                <w:rFonts w:asciiTheme="minorHAnsi" w:hAnsiTheme="minorHAnsi" w:cstheme="minorHAnsi"/>
                <w:sz w:val="20"/>
                <w:szCs w:val="20"/>
              </w:rPr>
              <w:t>,</w:t>
            </w:r>
            <w:r w:rsidRPr="00E128BF">
              <w:rPr>
                <w:rFonts w:asciiTheme="minorHAnsi" w:hAnsiTheme="minorHAnsi" w:cstheme="minorHAnsi"/>
                <w:sz w:val="20"/>
                <w:szCs w:val="20"/>
              </w:rPr>
              <w:t>000</w:t>
            </w:r>
          </w:p>
        </w:tc>
        <w:tc>
          <w:tcPr>
            <w:tcW w:w="841"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10.4%</w:t>
            </w:r>
          </w:p>
        </w:tc>
        <w:tc>
          <w:tcPr>
            <w:tcW w:w="741"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17.7%</w:t>
            </w:r>
          </w:p>
        </w:tc>
        <w:tc>
          <w:tcPr>
            <w:tcW w:w="750" w:type="pct"/>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20.5%</w:t>
            </w:r>
          </w:p>
        </w:tc>
        <w:tc>
          <w:tcPr>
            <w:tcW w:w="799" w:type="pct"/>
            <w:gridSpan w:val="2"/>
            <w:tcBorders>
              <w:top w:val="nil"/>
              <w:left w:val="nil"/>
              <w:bottom w:val="single" w:sz="4" w:space="0" w:color="366092"/>
              <w:right w:val="nil"/>
            </w:tcBorders>
            <w:shd w:val="clear" w:color="auto" w:fill="auto"/>
            <w:noWrap/>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24.3%</w:t>
            </w:r>
          </w:p>
        </w:tc>
        <w:tc>
          <w:tcPr>
            <w:tcW w:w="757" w:type="pct"/>
            <w:gridSpan w:val="2"/>
            <w:tcBorders>
              <w:top w:val="nil"/>
              <w:left w:val="nil"/>
              <w:bottom w:val="single" w:sz="4" w:space="0" w:color="366092"/>
              <w:right w:val="nil"/>
            </w:tcBorders>
          </w:tcPr>
          <w:p w:rsidR="009538E0" w:rsidRPr="006A6C2F" w:rsidRDefault="009538E0" w:rsidP="005C332B">
            <w:pPr>
              <w:spacing w:after="0"/>
              <w:jc w:val="right"/>
              <w:rPr>
                <w:rFonts w:asciiTheme="minorHAnsi" w:hAnsiTheme="minorHAnsi" w:cstheme="minorHAnsi"/>
                <w:sz w:val="20"/>
                <w:szCs w:val="20"/>
              </w:rPr>
            </w:pPr>
            <w:r w:rsidRPr="009538E0">
              <w:rPr>
                <w:rFonts w:asciiTheme="minorHAnsi" w:hAnsiTheme="minorHAnsi" w:cstheme="minorHAnsi"/>
                <w:sz w:val="20"/>
                <w:szCs w:val="20"/>
              </w:rPr>
              <w:t>30.6%</w:t>
            </w:r>
          </w:p>
        </w:tc>
      </w:tr>
      <w:tr w:rsidR="009538E0" w:rsidRPr="00797118" w:rsidTr="009538E0">
        <w:trPr>
          <w:gridAfter w:val="1"/>
          <w:wAfter w:w="6" w:type="pct"/>
          <w:trHeight w:val="300"/>
        </w:trPr>
        <w:tc>
          <w:tcPr>
            <w:tcW w:w="1106" w:type="pct"/>
            <w:tcBorders>
              <w:top w:val="single" w:sz="4" w:space="0" w:color="366092"/>
              <w:left w:val="nil"/>
              <w:bottom w:val="single" w:sz="4" w:space="0" w:color="366092"/>
              <w:right w:val="nil"/>
            </w:tcBorders>
            <w:shd w:val="clear" w:color="000000" w:fill="E5F6F6"/>
            <w:noWrap/>
            <w:vAlign w:val="center"/>
          </w:tcPr>
          <w:p w:rsidR="009538E0" w:rsidRPr="00797118" w:rsidRDefault="009538E0" w:rsidP="009538E0">
            <w:pPr>
              <w:spacing w:after="0"/>
              <w:rPr>
                <w:rFonts w:asciiTheme="minorHAnsi" w:hAnsiTheme="minorHAnsi" w:cstheme="minorHAnsi"/>
                <w:b/>
                <w:sz w:val="20"/>
                <w:szCs w:val="20"/>
              </w:rPr>
            </w:pPr>
            <w:r>
              <w:rPr>
                <w:rFonts w:asciiTheme="minorHAnsi" w:hAnsiTheme="minorHAnsi" w:cstheme="minorHAnsi"/>
                <w:b/>
                <w:sz w:val="20"/>
                <w:szCs w:val="20"/>
              </w:rPr>
              <w:t>Sector</w:t>
            </w:r>
          </w:p>
        </w:tc>
        <w:tc>
          <w:tcPr>
            <w:tcW w:w="841" w:type="pct"/>
            <w:gridSpan w:val="2"/>
            <w:tcBorders>
              <w:top w:val="single" w:sz="4" w:space="0" w:color="366092"/>
              <w:left w:val="nil"/>
              <w:bottom w:val="single" w:sz="4" w:space="0" w:color="366092"/>
              <w:right w:val="nil"/>
            </w:tcBorders>
            <w:shd w:val="clear" w:color="000000" w:fill="E5F6F6"/>
          </w:tcPr>
          <w:p w:rsidR="009538E0" w:rsidRPr="009538E0" w:rsidRDefault="009538E0" w:rsidP="005C332B">
            <w:pPr>
              <w:spacing w:after="0"/>
              <w:jc w:val="right"/>
              <w:rPr>
                <w:rFonts w:asciiTheme="minorHAnsi" w:hAnsiTheme="minorHAnsi" w:cstheme="minorHAnsi"/>
                <w:b/>
                <w:sz w:val="20"/>
                <w:szCs w:val="20"/>
              </w:rPr>
            </w:pPr>
            <w:r w:rsidRPr="009538E0">
              <w:rPr>
                <w:rFonts w:asciiTheme="minorHAnsi" w:hAnsiTheme="minorHAnsi" w:cstheme="minorHAnsi"/>
                <w:b/>
                <w:sz w:val="20"/>
                <w:szCs w:val="20"/>
              </w:rPr>
              <w:t>0.1%</w:t>
            </w:r>
          </w:p>
        </w:tc>
        <w:tc>
          <w:tcPr>
            <w:tcW w:w="741" w:type="pct"/>
            <w:tcBorders>
              <w:top w:val="single" w:sz="4" w:space="0" w:color="366092"/>
              <w:left w:val="nil"/>
              <w:bottom w:val="single" w:sz="4" w:space="0" w:color="366092"/>
              <w:right w:val="nil"/>
            </w:tcBorders>
            <w:shd w:val="clear" w:color="000000" w:fill="E5F6F6"/>
            <w:noWrap/>
          </w:tcPr>
          <w:p w:rsidR="009538E0" w:rsidRPr="009538E0" w:rsidRDefault="009538E0" w:rsidP="005C332B">
            <w:pPr>
              <w:spacing w:after="0"/>
              <w:jc w:val="right"/>
              <w:rPr>
                <w:rFonts w:asciiTheme="minorHAnsi" w:hAnsiTheme="minorHAnsi" w:cstheme="minorHAnsi"/>
                <w:b/>
                <w:sz w:val="20"/>
                <w:szCs w:val="20"/>
              </w:rPr>
            </w:pPr>
            <w:r w:rsidRPr="009538E0">
              <w:rPr>
                <w:rFonts w:asciiTheme="minorHAnsi" w:hAnsiTheme="minorHAnsi" w:cstheme="minorHAnsi"/>
                <w:b/>
                <w:sz w:val="20"/>
                <w:szCs w:val="20"/>
              </w:rPr>
              <w:t>9.2%</w:t>
            </w:r>
          </w:p>
        </w:tc>
        <w:tc>
          <w:tcPr>
            <w:tcW w:w="750" w:type="pct"/>
            <w:tcBorders>
              <w:top w:val="single" w:sz="4" w:space="0" w:color="366092"/>
              <w:left w:val="nil"/>
              <w:bottom w:val="single" w:sz="4" w:space="0" w:color="366092"/>
              <w:right w:val="nil"/>
            </w:tcBorders>
            <w:shd w:val="clear" w:color="000000" w:fill="E5F6F6"/>
            <w:noWrap/>
          </w:tcPr>
          <w:p w:rsidR="009538E0" w:rsidRPr="009538E0" w:rsidRDefault="009538E0" w:rsidP="005C332B">
            <w:pPr>
              <w:spacing w:after="0"/>
              <w:jc w:val="right"/>
              <w:rPr>
                <w:rFonts w:asciiTheme="minorHAnsi" w:hAnsiTheme="minorHAnsi" w:cstheme="minorHAnsi"/>
                <w:b/>
                <w:sz w:val="20"/>
                <w:szCs w:val="20"/>
              </w:rPr>
            </w:pPr>
            <w:r w:rsidRPr="009538E0">
              <w:rPr>
                <w:rFonts w:asciiTheme="minorHAnsi" w:hAnsiTheme="minorHAnsi" w:cstheme="minorHAnsi"/>
                <w:b/>
                <w:sz w:val="20"/>
                <w:szCs w:val="20"/>
              </w:rPr>
              <w:t>20.5%</w:t>
            </w:r>
          </w:p>
        </w:tc>
        <w:tc>
          <w:tcPr>
            <w:tcW w:w="799" w:type="pct"/>
            <w:gridSpan w:val="2"/>
            <w:tcBorders>
              <w:top w:val="single" w:sz="4" w:space="0" w:color="366092"/>
              <w:left w:val="nil"/>
              <w:bottom w:val="single" w:sz="4" w:space="0" w:color="366092"/>
              <w:right w:val="nil"/>
            </w:tcBorders>
            <w:shd w:val="clear" w:color="000000" w:fill="E5F6F6"/>
            <w:noWrap/>
          </w:tcPr>
          <w:p w:rsidR="009538E0" w:rsidRPr="009538E0" w:rsidRDefault="009538E0" w:rsidP="005C332B">
            <w:pPr>
              <w:spacing w:after="0"/>
              <w:jc w:val="right"/>
              <w:rPr>
                <w:rFonts w:asciiTheme="minorHAnsi" w:hAnsiTheme="minorHAnsi" w:cstheme="minorHAnsi"/>
                <w:b/>
                <w:sz w:val="20"/>
                <w:szCs w:val="20"/>
              </w:rPr>
            </w:pPr>
            <w:r w:rsidRPr="009538E0">
              <w:rPr>
                <w:rFonts w:asciiTheme="minorHAnsi" w:hAnsiTheme="minorHAnsi" w:cstheme="minorHAnsi"/>
                <w:b/>
                <w:sz w:val="20"/>
                <w:szCs w:val="20"/>
              </w:rPr>
              <w:t>73.7%</w:t>
            </w:r>
          </w:p>
        </w:tc>
        <w:tc>
          <w:tcPr>
            <w:tcW w:w="757" w:type="pct"/>
            <w:gridSpan w:val="2"/>
            <w:tcBorders>
              <w:top w:val="single" w:sz="4" w:space="0" w:color="366092"/>
              <w:left w:val="nil"/>
              <w:bottom w:val="single" w:sz="4" w:space="0" w:color="366092"/>
              <w:right w:val="nil"/>
            </w:tcBorders>
            <w:shd w:val="clear" w:color="000000" w:fill="E5F6F6"/>
          </w:tcPr>
          <w:p w:rsidR="009538E0" w:rsidRPr="009538E0" w:rsidRDefault="009538E0" w:rsidP="005C332B">
            <w:pPr>
              <w:spacing w:after="0"/>
              <w:jc w:val="right"/>
              <w:rPr>
                <w:rFonts w:asciiTheme="minorHAnsi" w:hAnsiTheme="minorHAnsi" w:cstheme="minorHAnsi"/>
                <w:b/>
                <w:sz w:val="20"/>
                <w:szCs w:val="20"/>
              </w:rPr>
            </w:pPr>
            <w:r w:rsidRPr="009538E0">
              <w:rPr>
                <w:rFonts w:asciiTheme="minorHAnsi" w:hAnsiTheme="minorHAnsi" w:cstheme="minorHAnsi"/>
                <w:b/>
                <w:sz w:val="20"/>
                <w:szCs w:val="20"/>
              </w:rPr>
              <w:t>100.0%</w:t>
            </w:r>
          </w:p>
        </w:tc>
      </w:tr>
    </w:tbl>
    <w:p w:rsidR="00127249" w:rsidRDefault="00127249" w:rsidP="0095537D">
      <w:pPr>
        <w:pStyle w:val="Figureheading"/>
        <w:spacing w:after="0"/>
        <w:rPr>
          <w:rFonts w:ascii="Georgia" w:hAnsi="Georgia"/>
          <w:sz w:val="20"/>
          <w:szCs w:val="20"/>
        </w:rPr>
      </w:pPr>
    </w:p>
    <w:p w:rsidR="009538E0" w:rsidRPr="00130AB7" w:rsidRDefault="009538E0" w:rsidP="009538E0">
      <w:pPr>
        <w:shd w:val="clear" w:color="auto" w:fill="E5ECED" w:themeFill="accent4" w:themeFillTint="66"/>
        <w:spacing w:after="0"/>
        <w:rPr>
          <w:rFonts w:ascii="Arial" w:eastAsiaTheme="minorHAnsi" w:hAnsi="Arial" w:cstheme="minorBidi"/>
          <w:sz w:val="22"/>
          <w:szCs w:val="22"/>
        </w:rPr>
      </w:pPr>
    </w:p>
    <w:p w:rsidR="009538E0" w:rsidRDefault="009538E0" w:rsidP="000C7753">
      <w:pPr>
        <w:pStyle w:val="ListParagraph"/>
        <w:numPr>
          <w:ilvl w:val="0"/>
          <w:numId w:val="14"/>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 xml:space="preserve">Providers in the size band of 500 </w:t>
      </w:r>
      <w:r w:rsidR="00D41FF7">
        <w:rPr>
          <w:rFonts w:ascii="Arial" w:eastAsiaTheme="minorHAnsi" w:hAnsi="Arial" w:cstheme="minorBidi"/>
          <w:sz w:val="22"/>
          <w:szCs w:val="22"/>
        </w:rPr>
        <w:t>to</w:t>
      </w:r>
      <w:r>
        <w:rPr>
          <w:rFonts w:ascii="Arial" w:eastAsiaTheme="minorHAnsi" w:hAnsi="Arial" w:cstheme="minorBidi"/>
          <w:sz w:val="22"/>
          <w:szCs w:val="22"/>
        </w:rPr>
        <w:t xml:space="preserve"> 4,999 EFTSL had the highest median </w:t>
      </w:r>
      <w:r w:rsidR="000C7753">
        <w:rPr>
          <w:rFonts w:ascii="Arial" w:eastAsiaTheme="minorHAnsi" w:hAnsi="Arial" w:cstheme="minorBidi"/>
          <w:sz w:val="22"/>
          <w:szCs w:val="22"/>
        </w:rPr>
        <w:t xml:space="preserve">in terms of the </w:t>
      </w:r>
      <w:r>
        <w:rPr>
          <w:rFonts w:ascii="Arial" w:eastAsiaTheme="minorHAnsi" w:hAnsi="Arial" w:cstheme="minorBidi"/>
          <w:sz w:val="22"/>
          <w:szCs w:val="22"/>
        </w:rPr>
        <w:t xml:space="preserve">proportion of international student </w:t>
      </w:r>
      <w:r w:rsidR="00045892">
        <w:rPr>
          <w:rFonts w:ascii="Arial" w:eastAsiaTheme="minorHAnsi" w:hAnsi="Arial" w:cstheme="minorBidi"/>
          <w:sz w:val="22"/>
          <w:szCs w:val="22"/>
        </w:rPr>
        <w:t>revenue</w:t>
      </w:r>
      <w:r>
        <w:rPr>
          <w:rFonts w:ascii="Arial" w:eastAsiaTheme="minorHAnsi" w:hAnsi="Arial" w:cstheme="minorBidi"/>
          <w:sz w:val="22"/>
          <w:szCs w:val="22"/>
        </w:rPr>
        <w:t xml:space="preserve"> to higher education revenue</w:t>
      </w:r>
      <w:r w:rsidR="000C7753">
        <w:rPr>
          <w:rFonts w:ascii="Arial" w:eastAsiaTheme="minorHAnsi" w:hAnsi="Arial" w:cstheme="minorBidi"/>
          <w:sz w:val="22"/>
          <w:szCs w:val="22"/>
        </w:rPr>
        <w:t xml:space="preserve">, which was </w:t>
      </w:r>
      <w:r>
        <w:rPr>
          <w:rFonts w:ascii="Arial" w:eastAsiaTheme="minorHAnsi" w:hAnsi="Arial" w:cstheme="minorBidi"/>
          <w:sz w:val="22"/>
          <w:szCs w:val="22"/>
        </w:rPr>
        <w:t xml:space="preserve">50.2%. This is more than double the sector median. </w:t>
      </w:r>
    </w:p>
    <w:p w:rsidR="009538E0" w:rsidRDefault="009538E0" w:rsidP="000C7753">
      <w:pPr>
        <w:pStyle w:val="ListParagraph"/>
        <w:numPr>
          <w:ilvl w:val="0"/>
          <w:numId w:val="14"/>
        </w:numPr>
        <w:shd w:val="clear" w:color="auto" w:fill="E5ECED" w:themeFill="accent4" w:themeFillTint="66"/>
        <w:rPr>
          <w:rFonts w:ascii="Arial" w:eastAsiaTheme="minorHAnsi" w:hAnsi="Arial" w:cstheme="minorBidi"/>
          <w:sz w:val="22"/>
          <w:szCs w:val="22"/>
        </w:rPr>
      </w:pPr>
      <w:r>
        <w:rPr>
          <w:rFonts w:ascii="Arial" w:eastAsiaTheme="minorHAnsi" w:hAnsi="Arial" w:cstheme="minorBidi"/>
          <w:sz w:val="22"/>
          <w:szCs w:val="22"/>
        </w:rPr>
        <w:t>Providers with 100% reliance o</w:t>
      </w:r>
      <w:r w:rsidR="00D41FF7">
        <w:rPr>
          <w:rFonts w:ascii="Arial" w:eastAsiaTheme="minorHAnsi" w:hAnsi="Arial" w:cstheme="minorBidi"/>
          <w:sz w:val="22"/>
          <w:szCs w:val="22"/>
        </w:rPr>
        <w:t>n</w:t>
      </w:r>
      <w:r>
        <w:rPr>
          <w:rFonts w:ascii="Arial" w:eastAsiaTheme="minorHAnsi" w:hAnsi="Arial" w:cstheme="minorBidi"/>
          <w:sz w:val="22"/>
          <w:szCs w:val="22"/>
        </w:rPr>
        <w:t xml:space="preserve"> international student</w:t>
      </w:r>
      <w:r w:rsidR="00D41FF7">
        <w:rPr>
          <w:rFonts w:ascii="Arial" w:eastAsiaTheme="minorHAnsi" w:hAnsi="Arial" w:cstheme="minorBidi"/>
          <w:sz w:val="22"/>
          <w:szCs w:val="22"/>
        </w:rPr>
        <w:t>s</w:t>
      </w:r>
      <w:r>
        <w:rPr>
          <w:rFonts w:ascii="Arial" w:eastAsiaTheme="minorHAnsi" w:hAnsi="Arial" w:cstheme="minorBidi"/>
          <w:sz w:val="22"/>
          <w:szCs w:val="22"/>
        </w:rPr>
        <w:t xml:space="preserve"> in terms of higher education revenue were spread across </w:t>
      </w:r>
      <w:r w:rsidR="00056B35">
        <w:rPr>
          <w:rFonts w:ascii="Arial" w:eastAsiaTheme="minorHAnsi" w:hAnsi="Arial" w:cstheme="minorBidi"/>
          <w:sz w:val="22"/>
          <w:szCs w:val="22"/>
        </w:rPr>
        <w:t>the three size band</w:t>
      </w:r>
      <w:r w:rsidR="00D41FF7">
        <w:rPr>
          <w:rFonts w:ascii="Arial" w:eastAsiaTheme="minorHAnsi" w:hAnsi="Arial" w:cstheme="minorBidi"/>
          <w:sz w:val="22"/>
          <w:szCs w:val="22"/>
        </w:rPr>
        <w:t>s</w:t>
      </w:r>
      <w:r w:rsidR="00056B35">
        <w:rPr>
          <w:rFonts w:ascii="Arial" w:eastAsiaTheme="minorHAnsi" w:hAnsi="Arial" w:cstheme="minorBidi"/>
          <w:sz w:val="22"/>
          <w:szCs w:val="22"/>
        </w:rPr>
        <w:t xml:space="preserve"> of </w:t>
      </w:r>
      <w:r>
        <w:rPr>
          <w:rFonts w:ascii="Arial" w:eastAsiaTheme="minorHAnsi" w:hAnsi="Arial" w:cstheme="minorBidi"/>
          <w:sz w:val="22"/>
          <w:szCs w:val="22"/>
        </w:rPr>
        <w:t xml:space="preserve">less than </w:t>
      </w:r>
      <w:r w:rsidR="00342DA2">
        <w:rPr>
          <w:rFonts w:ascii="Arial" w:eastAsiaTheme="minorHAnsi" w:hAnsi="Arial" w:cstheme="minorBidi"/>
          <w:sz w:val="22"/>
          <w:szCs w:val="22"/>
        </w:rPr>
        <w:t>4</w:t>
      </w:r>
      <w:r>
        <w:rPr>
          <w:rFonts w:ascii="Arial" w:eastAsiaTheme="minorHAnsi" w:hAnsi="Arial" w:cstheme="minorBidi"/>
          <w:sz w:val="22"/>
          <w:szCs w:val="22"/>
        </w:rPr>
        <w:t>,</w:t>
      </w:r>
      <w:r w:rsidR="00342DA2">
        <w:rPr>
          <w:rFonts w:ascii="Arial" w:eastAsiaTheme="minorHAnsi" w:hAnsi="Arial" w:cstheme="minorBidi"/>
          <w:sz w:val="22"/>
          <w:szCs w:val="22"/>
        </w:rPr>
        <w:t>999</w:t>
      </w:r>
      <w:r>
        <w:rPr>
          <w:rFonts w:ascii="Arial" w:eastAsiaTheme="minorHAnsi" w:hAnsi="Arial" w:cstheme="minorBidi"/>
          <w:sz w:val="22"/>
          <w:szCs w:val="22"/>
        </w:rPr>
        <w:t xml:space="preserve"> EFTSL. </w:t>
      </w:r>
    </w:p>
    <w:p w:rsidR="00353F0C" w:rsidRDefault="00353F0C" w:rsidP="003B6D8C">
      <w:pPr>
        <w:pStyle w:val="ListParagraph"/>
        <w:numPr>
          <w:ilvl w:val="0"/>
          <w:numId w:val="14"/>
        </w:numPr>
        <w:shd w:val="clear" w:color="auto" w:fill="E5ECED" w:themeFill="accent4" w:themeFillTint="66"/>
        <w:spacing w:after="120"/>
        <w:ind w:left="357" w:hanging="357"/>
        <w:rPr>
          <w:rFonts w:ascii="Arial" w:eastAsiaTheme="minorHAnsi" w:hAnsi="Arial" w:cstheme="minorBidi"/>
          <w:sz w:val="22"/>
          <w:szCs w:val="22"/>
        </w:rPr>
      </w:pPr>
      <w:r>
        <w:rPr>
          <w:rFonts w:ascii="Arial" w:eastAsiaTheme="minorHAnsi" w:hAnsi="Arial" w:cstheme="minorBidi"/>
          <w:sz w:val="22"/>
          <w:szCs w:val="22"/>
        </w:rPr>
        <w:t xml:space="preserve">In comparison, providers with greater than 5,000 EFTSL had a relative low reliance on international students. The maximum proportion for these two size bands were just above 30%. </w:t>
      </w:r>
    </w:p>
    <w:p w:rsidR="000C7753" w:rsidRPr="003B6D8C" w:rsidRDefault="000C7753" w:rsidP="00F21973">
      <w:pPr>
        <w:shd w:val="clear" w:color="auto" w:fill="E5ECED" w:themeFill="accent4" w:themeFillTint="66"/>
        <w:spacing w:after="0"/>
        <w:rPr>
          <w:rFonts w:ascii="Arial" w:eastAsiaTheme="minorHAnsi" w:hAnsi="Arial" w:cstheme="minorBidi"/>
          <w:sz w:val="16"/>
          <w:szCs w:val="16"/>
        </w:rPr>
      </w:pPr>
    </w:p>
    <w:p w:rsidR="00AA0737" w:rsidRPr="00930F2B" w:rsidRDefault="00AA0737" w:rsidP="008C4455">
      <w:pPr>
        <w:pStyle w:val="H1"/>
        <w:spacing w:after="240"/>
        <w:rPr>
          <w:sz w:val="40"/>
          <w:szCs w:val="40"/>
        </w:rPr>
      </w:pPr>
      <w:bookmarkStart w:id="30" w:name="_Toc467075183"/>
      <w:r w:rsidRPr="00C855A0">
        <w:rPr>
          <w:sz w:val="40"/>
          <w:szCs w:val="40"/>
        </w:rPr>
        <w:lastRenderedPageBreak/>
        <w:t>Explanatory notes</w:t>
      </w:r>
      <w:bookmarkEnd w:id="30"/>
    </w:p>
    <w:p w:rsidR="000740A4" w:rsidRDefault="000740A4" w:rsidP="008C4455">
      <w:pPr>
        <w:pStyle w:val="H2"/>
        <w:spacing w:after="120"/>
        <w:rPr>
          <w:rFonts w:cs="HelveticaNeueLT Std Lt"/>
          <w:color w:val="000000"/>
        </w:rPr>
      </w:pPr>
      <w:r w:rsidRPr="001972AC">
        <w:rPr>
          <w:noProof/>
        </w:rPr>
        <w:t>Legislation</w:t>
      </w:r>
    </w:p>
    <w:p w:rsidR="000740A4" w:rsidRPr="001972AC" w:rsidRDefault="000740A4" w:rsidP="005D6E32">
      <w:pPr>
        <w:pStyle w:val="Pa7"/>
        <w:spacing w:before="40" w:after="140" w:line="300" w:lineRule="atLeast"/>
        <w:rPr>
          <w:rFonts w:asciiTheme="minorHAnsi" w:hAnsiTheme="minorHAnsi" w:cstheme="minorHAnsi"/>
          <w:noProof/>
          <w:sz w:val="22"/>
          <w:szCs w:val="22"/>
        </w:rPr>
      </w:pPr>
      <w:r w:rsidRPr="001972AC">
        <w:rPr>
          <w:rFonts w:asciiTheme="minorHAnsi" w:hAnsiTheme="minorHAnsi" w:cstheme="minorHAnsi"/>
          <w:noProof/>
          <w:sz w:val="22"/>
          <w:szCs w:val="22"/>
        </w:rPr>
        <w:t xml:space="preserve">A key function of TEQSA as the national regulator </w:t>
      </w:r>
      <w:r w:rsidR="00D8684C">
        <w:rPr>
          <w:rFonts w:asciiTheme="minorHAnsi" w:hAnsiTheme="minorHAnsi" w:cstheme="minorHAnsi"/>
          <w:noProof/>
          <w:sz w:val="22"/>
          <w:szCs w:val="22"/>
        </w:rPr>
        <w:t xml:space="preserve">for higher education </w:t>
      </w:r>
      <w:r w:rsidRPr="001972AC">
        <w:rPr>
          <w:rFonts w:asciiTheme="minorHAnsi" w:hAnsiTheme="minorHAnsi" w:cstheme="minorHAnsi"/>
          <w:noProof/>
          <w:sz w:val="22"/>
          <w:szCs w:val="22"/>
        </w:rPr>
        <w:t xml:space="preserve">includes disseminating information about higher education providers and their awards. This function is specified in section 134 (1)(e) of the </w:t>
      </w:r>
      <w:r w:rsidR="00380C9E" w:rsidRPr="000C7753">
        <w:rPr>
          <w:rFonts w:asciiTheme="minorHAnsi" w:hAnsiTheme="minorHAnsi" w:cstheme="minorHAnsi"/>
          <w:i/>
          <w:noProof/>
          <w:sz w:val="22"/>
          <w:szCs w:val="22"/>
        </w:rPr>
        <w:t>Tertiary Education Quality and Standards Act 2011</w:t>
      </w:r>
      <w:r w:rsidRPr="001972AC">
        <w:rPr>
          <w:rFonts w:asciiTheme="minorHAnsi" w:hAnsiTheme="minorHAnsi" w:cstheme="minorHAnsi"/>
          <w:noProof/>
          <w:sz w:val="22"/>
          <w:szCs w:val="22"/>
        </w:rPr>
        <w:t xml:space="preserve">, which </w:t>
      </w:r>
      <w:r w:rsidR="00FA75DF">
        <w:rPr>
          <w:rFonts w:asciiTheme="minorHAnsi" w:hAnsiTheme="minorHAnsi" w:cstheme="minorHAnsi"/>
          <w:noProof/>
          <w:sz w:val="22"/>
          <w:szCs w:val="22"/>
        </w:rPr>
        <w:t>states</w:t>
      </w:r>
      <w:r w:rsidR="00FA75DF" w:rsidRPr="001972AC">
        <w:rPr>
          <w:rFonts w:asciiTheme="minorHAnsi" w:hAnsiTheme="minorHAnsi" w:cstheme="minorHAnsi"/>
          <w:noProof/>
          <w:sz w:val="22"/>
          <w:szCs w:val="22"/>
        </w:rPr>
        <w:t xml:space="preserve"> </w:t>
      </w:r>
      <w:r w:rsidRPr="001972AC">
        <w:rPr>
          <w:rFonts w:asciiTheme="minorHAnsi" w:hAnsiTheme="minorHAnsi" w:cstheme="minorHAnsi"/>
          <w:noProof/>
          <w:sz w:val="22"/>
          <w:szCs w:val="22"/>
        </w:rPr>
        <w:t>that TEQSA</w:t>
      </w:r>
      <w:r w:rsidR="00051D8D">
        <w:rPr>
          <w:rFonts w:asciiTheme="minorHAnsi" w:hAnsiTheme="minorHAnsi" w:cstheme="minorHAnsi"/>
          <w:noProof/>
          <w:sz w:val="22"/>
          <w:szCs w:val="22"/>
        </w:rPr>
        <w:t>’s</w:t>
      </w:r>
      <w:r w:rsidRPr="001972AC">
        <w:rPr>
          <w:rFonts w:asciiTheme="minorHAnsi" w:hAnsiTheme="minorHAnsi" w:cstheme="minorHAnsi"/>
          <w:noProof/>
          <w:sz w:val="22"/>
          <w:szCs w:val="22"/>
        </w:rPr>
        <w:t xml:space="preserve"> </w:t>
      </w:r>
      <w:r w:rsidR="00FA75DF">
        <w:rPr>
          <w:rFonts w:asciiTheme="minorHAnsi" w:hAnsiTheme="minorHAnsi" w:cstheme="minorHAnsi"/>
          <w:noProof/>
          <w:sz w:val="22"/>
          <w:szCs w:val="22"/>
        </w:rPr>
        <w:t>functions include</w:t>
      </w:r>
      <w:r w:rsidR="00FA75DF" w:rsidRPr="001972AC">
        <w:rPr>
          <w:rFonts w:asciiTheme="minorHAnsi" w:hAnsiTheme="minorHAnsi" w:cstheme="minorHAnsi"/>
          <w:noProof/>
          <w:sz w:val="22"/>
          <w:szCs w:val="22"/>
        </w:rPr>
        <w:t xml:space="preserve"> </w:t>
      </w:r>
      <w:r w:rsidRPr="001972AC">
        <w:rPr>
          <w:rFonts w:asciiTheme="minorHAnsi" w:hAnsiTheme="minorHAnsi" w:cstheme="minorHAnsi"/>
          <w:noProof/>
          <w:sz w:val="22"/>
          <w:szCs w:val="22"/>
        </w:rPr>
        <w:t>collect</w:t>
      </w:r>
      <w:r w:rsidR="00FA75DF">
        <w:rPr>
          <w:rFonts w:asciiTheme="minorHAnsi" w:hAnsiTheme="minorHAnsi" w:cstheme="minorHAnsi"/>
          <w:noProof/>
          <w:sz w:val="22"/>
          <w:szCs w:val="22"/>
        </w:rPr>
        <w:t>ing</w:t>
      </w:r>
      <w:r w:rsidRPr="001972AC">
        <w:rPr>
          <w:rFonts w:asciiTheme="minorHAnsi" w:hAnsiTheme="minorHAnsi" w:cstheme="minorHAnsi"/>
          <w:noProof/>
          <w:sz w:val="22"/>
          <w:szCs w:val="22"/>
        </w:rPr>
        <w:t>, analys</w:t>
      </w:r>
      <w:r w:rsidR="00FA75DF">
        <w:rPr>
          <w:rFonts w:asciiTheme="minorHAnsi" w:hAnsiTheme="minorHAnsi" w:cstheme="minorHAnsi"/>
          <w:noProof/>
          <w:sz w:val="22"/>
          <w:szCs w:val="22"/>
        </w:rPr>
        <w:t>ing</w:t>
      </w:r>
      <w:r w:rsidRPr="001972AC">
        <w:rPr>
          <w:rFonts w:asciiTheme="minorHAnsi" w:hAnsiTheme="minorHAnsi" w:cstheme="minorHAnsi"/>
          <w:noProof/>
          <w:sz w:val="22"/>
          <w:szCs w:val="22"/>
        </w:rPr>
        <w:t>, interpret</w:t>
      </w:r>
      <w:r w:rsidR="00FA75DF">
        <w:rPr>
          <w:rFonts w:asciiTheme="minorHAnsi" w:hAnsiTheme="minorHAnsi" w:cstheme="minorHAnsi"/>
          <w:noProof/>
          <w:sz w:val="22"/>
          <w:szCs w:val="22"/>
        </w:rPr>
        <w:t>ing</w:t>
      </w:r>
      <w:r w:rsidRPr="001972AC">
        <w:rPr>
          <w:rFonts w:asciiTheme="minorHAnsi" w:hAnsiTheme="minorHAnsi" w:cstheme="minorHAnsi"/>
          <w:noProof/>
          <w:sz w:val="22"/>
          <w:szCs w:val="22"/>
        </w:rPr>
        <w:t xml:space="preserve"> and disseminat</w:t>
      </w:r>
      <w:r w:rsidR="00FA75DF">
        <w:rPr>
          <w:rFonts w:asciiTheme="minorHAnsi" w:hAnsiTheme="minorHAnsi" w:cstheme="minorHAnsi"/>
          <w:noProof/>
          <w:sz w:val="22"/>
          <w:szCs w:val="22"/>
        </w:rPr>
        <w:t>ing</w:t>
      </w:r>
      <w:r w:rsidRPr="001972AC">
        <w:rPr>
          <w:rFonts w:asciiTheme="minorHAnsi" w:hAnsiTheme="minorHAnsi" w:cstheme="minorHAnsi"/>
          <w:noProof/>
          <w:sz w:val="22"/>
          <w:szCs w:val="22"/>
        </w:rPr>
        <w:t xml:space="preserve"> information relating to</w:t>
      </w:r>
      <w:r w:rsidR="00FA75DF">
        <w:rPr>
          <w:rFonts w:asciiTheme="minorHAnsi" w:hAnsiTheme="minorHAnsi" w:cstheme="minorHAnsi"/>
          <w:noProof/>
          <w:sz w:val="22"/>
          <w:szCs w:val="22"/>
        </w:rPr>
        <w:t>:</w:t>
      </w:r>
      <w:r w:rsidRPr="001972AC">
        <w:rPr>
          <w:rFonts w:asciiTheme="minorHAnsi" w:hAnsiTheme="minorHAnsi" w:cstheme="minorHAnsi"/>
          <w:noProof/>
          <w:sz w:val="22"/>
          <w:szCs w:val="22"/>
        </w:rPr>
        <w:t xml:space="preserve"> higher education providers</w:t>
      </w:r>
      <w:r w:rsidR="001919A5">
        <w:rPr>
          <w:rFonts w:asciiTheme="minorHAnsi" w:hAnsiTheme="minorHAnsi" w:cstheme="minorHAnsi"/>
          <w:noProof/>
          <w:sz w:val="22"/>
          <w:szCs w:val="22"/>
        </w:rPr>
        <w:t>;</w:t>
      </w:r>
      <w:r w:rsidRPr="001972AC">
        <w:rPr>
          <w:rFonts w:asciiTheme="minorHAnsi" w:hAnsiTheme="minorHAnsi" w:cstheme="minorHAnsi"/>
          <w:noProof/>
          <w:sz w:val="22"/>
          <w:szCs w:val="22"/>
        </w:rPr>
        <w:t xml:space="preserve"> </w:t>
      </w:r>
      <w:r w:rsidR="00051D8D">
        <w:rPr>
          <w:rFonts w:asciiTheme="minorHAnsi" w:hAnsiTheme="minorHAnsi" w:cstheme="minorHAnsi"/>
          <w:noProof/>
          <w:sz w:val="22"/>
          <w:szCs w:val="22"/>
        </w:rPr>
        <w:t xml:space="preserve">and </w:t>
      </w:r>
      <w:r w:rsidRPr="001972AC">
        <w:rPr>
          <w:rFonts w:asciiTheme="minorHAnsi" w:hAnsiTheme="minorHAnsi" w:cstheme="minorHAnsi"/>
          <w:noProof/>
          <w:sz w:val="22"/>
          <w:szCs w:val="22"/>
        </w:rPr>
        <w:t>regulated higher education awards</w:t>
      </w:r>
      <w:r w:rsidR="001919A5">
        <w:rPr>
          <w:rFonts w:asciiTheme="minorHAnsi" w:hAnsiTheme="minorHAnsi" w:cstheme="minorHAnsi"/>
          <w:noProof/>
          <w:sz w:val="22"/>
          <w:szCs w:val="22"/>
        </w:rPr>
        <w:t>;</w:t>
      </w:r>
      <w:r w:rsidRPr="001972AC">
        <w:rPr>
          <w:rFonts w:asciiTheme="minorHAnsi" w:hAnsiTheme="minorHAnsi" w:cstheme="minorHAnsi"/>
          <w:noProof/>
          <w:sz w:val="22"/>
          <w:szCs w:val="22"/>
        </w:rPr>
        <w:t xml:space="preserve"> and quality assurance practice</w:t>
      </w:r>
      <w:r w:rsidR="001919A5">
        <w:rPr>
          <w:rFonts w:asciiTheme="minorHAnsi" w:hAnsiTheme="minorHAnsi" w:cstheme="minorHAnsi"/>
          <w:noProof/>
          <w:sz w:val="22"/>
          <w:szCs w:val="22"/>
        </w:rPr>
        <w:t>,</w:t>
      </w:r>
      <w:r w:rsidRPr="001972AC">
        <w:rPr>
          <w:rFonts w:asciiTheme="minorHAnsi" w:hAnsiTheme="minorHAnsi" w:cstheme="minorHAnsi"/>
          <w:noProof/>
          <w:sz w:val="22"/>
          <w:szCs w:val="22"/>
        </w:rPr>
        <w:t xml:space="preserve"> and</w:t>
      </w:r>
      <w:r w:rsidR="001919A5">
        <w:rPr>
          <w:rFonts w:asciiTheme="minorHAnsi" w:hAnsiTheme="minorHAnsi" w:cstheme="minorHAnsi"/>
          <w:noProof/>
          <w:sz w:val="22"/>
          <w:szCs w:val="22"/>
        </w:rPr>
        <w:t xml:space="preserve"> quality </w:t>
      </w:r>
      <w:r w:rsidRPr="001972AC">
        <w:rPr>
          <w:rFonts w:asciiTheme="minorHAnsi" w:hAnsiTheme="minorHAnsi" w:cstheme="minorHAnsi"/>
          <w:noProof/>
          <w:sz w:val="22"/>
          <w:szCs w:val="22"/>
        </w:rPr>
        <w:t>improvement</w:t>
      </w:r>
      <w:r w:rsidR="001919A5">
        <w:rPr>
          <w:rFonts w:asciiTheme="minorHAnsi" w:hAnsiTheme="minorHAnsi" w:cstheme="minorHAnsi"/>
          <w:noProof/>
          <w:sz w:val="22"/>
          <w:szCs w:val="22"/>
        </w:rPr>
        <w:t>,</w:t>
      </w:r>
      <w:r w:rsidRPr="001972AC">
        <w:rPr>
          <w:rFonts w:asciiTheme="minorHAnsi" w:hAnsiTheme="minorHAnsi" w:cstheme="minorHAnsi"/>
          <w:noProof/>
          <w:sz w:val="22"/>
          <w:szCs w:val="22"/>
        </w:rPr>
        <w:t xml:space="preserve"> in higher education</w:t>
      </w:r>
      <w:r w:rsidR="001919A5">
        <w:rPr>
          <w:rFonts w:asciiTheme="minorHAnsi" w:hAnsiTheme="minorHAnsi" w:cstheme="minorHAnsi"/>
          <w:noProof/>
          <w:sz w:val="22"/>
          <w:szCs w:val="22"/>
        </w:rPr>
        <w:t>; and the Higher Education Standards Framework</w:t>
      </w:r>
      <w:r w:rsidRPr="001972AC">
        <w:rPr>
          <w:rFonts w:asciiTheme="minorHAnsi" w:hAnsiTheme="minorHAnsi" w:cstheme="minorHAnsi"/>
          <w:noProof/>
          <w:sz w:val="22"/>
          <w:szCs w:val="22"/>
        </w:rPr>
        <w:t>.</w:t>
      </w:r>
    </w:p>
    <w:p w:rsidR="00F413E4" w:rsidRDefault="00F413E4" w:rsidP="008C4455">
      <w:pPr>
        <w:pStyle w:val="H2"/>
        <w:spacing w:after="120"/>
        <w:rPr>
          <w:noProof/>
        </w:rPr>
      </w:pPr>
      <w:r w:rsidRPr="00F413E4">
        <w:rPr>
          <w:noProof/>
        </w:rPr>
        <w:t>Rounding</w:t>
      </w:r>
      <w:r w:rsidR="001972AC">
        <w:rPr>
          <w:noProof/>
        </w:rPr>
        <w:t xml:space="preserve"> and </w:t>
      </w:r>
      <w:r w:rsidR="00AC67FE">
        <w:rPr>
          <w:noProof/>
        </w:rPr>
        <w:t>presentation</w:t>
      </w:r>
    </w:p>
    <w:p w:rsidR="001972AC" w:rsidRPr="00F413E4" w:rsidRDefault="00F413E4" w:rsidP="001972AC">
      <w:pPr>
        <w:rPr>
          <w:rFonts w:ascii="Arial" w:eastAsiaTheme="minorHAnsi" w:hAnsi="Arial" w:cstheme="minorBidi"/>
          <w:sz w:val="22"/>
          <w:szCs w:val="22"/>
        </w:rPr>
      </w:pPr>
      <w:r w:rsidRPr="00F413E4">
        <w:rPr>
          <w:rFonts w:asciiTheme="minorHAnsi" w:hAnsiTheme="minorHAnsi" w:cstheme="minorHAnsi"/>
          <w:noProof/>
          <w:sz w:val="22"/>
          <w:szCs w:val="22"/>
        </w:rPr>
        <w:t>In this report</w:t>
      </w:r>
      <w:r>
        <w:rPr>
          <w:rFonts w:asciiTheme="minorHAnsi" w:hAnsiTheme="minorHAnsi" w:cstheme="minorHAnsi"/>
          <w:noProof/>
          <w:sz w:val="22"/>
          <w:szCs w:val="22"/>
        </w:rPr>
        <w:t xml:space="preserve">, data has sometimes been rounded. Rounded figures and unrounded figures should not be assumed to be accurate to the last digit shown. Where figures have been rounded, discrepancies may occur between sums of component items and totals. </w:t>
      </w:r>
      <w:r w:rsidR="001972AC" w:rsidRPr="001972AC">
        <w:rPr>
          <w:rFonts w:ascii="Arial" w:eastAsiaTheme="minorHAnsi" w:hAnsi="Arial" w:cstheme="minorBidi"/>
          <w:sz w:val="22"/>
          <w:szCs w:val="22"/>
        </w:rPr>
        <w:t>The colour</w:t>
      </w:r>
      <w:r w:rsidR="00D8684C">
        <w:rPr>
          <w:rFonts w:ascii="Arial" w:eastAsiaTheme="minorHAnsi" w:hAnsi="Arial" w:cstheme="minorBidi"/>
          <w:sz w:val="22"/>
          <w:szCs w:val="22"/>
        </w:rPr>
        <w:t>s</w:t>
      </w:r>
      <w:r w:rsidR="001972AC" w:rsidRPr="001972AC">
        <w:rPr>
          <w:rFonts w:ascii="Arial" w:eastAsiaTheme="minorHAnsi" w:hAnsi="Arial" w:cstheme="minorBidi"/>
          <w:sz w:val="22"/>
          <w:szCs w:val="22"/>
        </w:rPr>
        <w:t xml:space="preserve"> used in each chart for a particular </w:t>
      </w:r>
      <w:r w:rsidR="00452500">
        <w:rPr>
          <w:rFonts w:ascii="Arial" w:eastAsiaTheme="minorHAnsi" w:hAnsi="Arial" w:cstheme="minorBidi"/>
          <w:sz w:val="22"/>
          <w:szCs w:val="22"/>
        </w:rPr>
        <w:t>type</w:t>
      </w:r>
      <w:r w:rsidR="001972AC" w:rsidRPr="001972AC">
        <w:rPr>
          <w:rFonts w:ascii="Arial" w:eastAsiaTheme="minorHAnsi" w:hAnsi="Arial" w:cstheme="minorBidi"/>
          <w:sz w:val="22"/>
          <w:szCs w:val="22"/>
        </w:rPr>
        <w:t xml:space="preserve"> or size were assigned randomly and do not </w:t>
      </w:r>
      <w:r w:rsidR="001919A5">
        <w:rPr>
          <w:rFonts w:ascii="Arial" w:eastAsiaTheme="minorHAnsi" w:hAnsi="Arial" w:cstheme="minorBidi"/>
          <w:sz w:val="22"/>
          <w:szCs w:val="22"/>
        </w:rPr>
        <w:t>indicate</w:t>
      </w:r>
      <w:r w:rsidR="001919A5" w:rsidRPr="001972AC">
        <w:rPr>
          <w:rFonts w:ascii="Arial" w:eastAsiaTheme="minorHAnsi" w:hAnsi="Arial" w:cstheme="minorBidi"/>
          <w:sz w:val="22"/>
          <w:szCs w:val="22"/>
        </w:rPr>
        <w:t xml:space="preserve"> </w:t>
      </w:r>
      <w:r w:rsidR="001972AC" w:rsidRPr="001972AC">
        <w:rPr>
          <w:rFonts w:ascii="Arial" w:eastAsiaTheme="minorHAnsi" w:hAnsi="Arial" w:cstheme="minorBidi"/>
          <w:sz w:val="22"/>
          <w:szCs w:val="22"/>
        </w:rPr>
        <w:t xml:space="preserve">any significance </w:t>
      </w:r>
      <w:r w:rsidR="00E25C57">
        <w:rPr>
          <w:rFonts w:ascii="Arial" w:eastAsiaTheme="minorHAnsi" w:hAnsi="Arial" w:cstheme="minorBidi"/>
          <w:sz w:val="22"/>
          <w:szCs w:val="22"/>
        </w:rPr>
        <w:t>or</w:t>
      </w:r>
      <w:r w:rsidR="001972AC" w:rsidRPr="001972AC">
        <w:rPr>
          <w:rFonts w:ascii="Arial" w:eastAsiaTheme="minorHAnsi" w:hAnsi="Arial" w:cstheme="minorBidi"/>
          <w:sz w:val="22"/>
          <w:szCs w:val="22"/>
        </w:rPr>
        <w:t xml:space="preserve"> represent any views of TEQSA.</w:t>
      </w:r>
    </w:p>
    <w:p w:rsidR="00F413E4" w:rsidRDefault="006218AF" w:rsidP="008C4455">
      <w:pPr>
        <w:pStyle w:val="H2"/>
        <w:spacing w:after="120"/>
      </w:pPr>
      <w:r>
        <w:t>Sources</w:t>
      </w:r>
    </w:p>
    <w:p w:rsidR="006218AF" w:rsidRDefault="006218AF" w:rsidP="00F413E4">
      <w:pPr>
        <w:rPr>
          <w:rFonts w:ascii="Arial" w:eastAsiaTheme="minorHAnsi" w:hAnsi="Arial" w:cstheme="minorBidi"/>
          <w:sz w:val="22"/>
          <w:szCs w:val="22"/>
        </w:rPr>
      </w:pPr>
      <w:r>
        <w:rPr>
          <w:rFonts w:ascii="Arial" w:eastAsiaTheme="minorHAnsi" w:hAnsi="Arial" w:cstheme="minorBidi"/>
          <w:sz w:val="22"/>
          <w:szCs w:val="22"/>
        </w:rPr>
        <w:t>This report has been prepared</w:t>
      </w:r>
      <w:r w:rsidR="005D6E32">
        <w:rPr>
          <w:rFonts w:ascii="Arial" w:eastAsiaTheme="minorHAnsi" w:hAnsi="Arial" w:cstheme="minorBidi"/>
          <w:sz w:val="22"/>
          <w:szCs w:val="22"/>
        </w:rPr>
        <w:t xml:space="preserve"> using data</w:t>
      </w:r>
      <w:r>
        <w:rPr>
          <w:rFonts w:ascii="Arial" w:eastAsiaTheme="minorHAnsi" w:hAnsi="Arial" w:cstheme="minorBidi"/>
          <w:sz w:val="22"/>
          <w:szCs w:val="22"/>
        </w:rPr>
        <w:t xml:space="preserve"> from the following sources:</w:t>
      </w:r>
    </w:p>
    <w:p w:rsidR="006218AF" w:rsidRDefault="006218AF" w:rsidP="00797BC0">
      <w:pPr>
        <w:pStyle w:val="ListParagraph"/>
        <w:numPr>
          <w:ilvl w:val="0"/>
          <w:numId w:val="23"/>
        </w:numPr>
        <w:rPr>
          <w:rFonts w:ascii="Arial" w:eastAsiaTheme="minorHAnsi" w:hAnsi="Arial" w:cstheme="minorBidi"/>
          <w:sz w:val="22"/>
          <w:szCs w:val="22"/>
        </w:rPr>
      </w:pPr>
      <w:r>
        <w:rPr>
          <w:rFonts w:ascii="Arial" w:eastAsiaTheme="minorHAnsi" w:hAnsi="Arial" w:cstheme="minorBidi"/>
          <w:sz w:val="22"/>
          <w:szCs w:val="22"/>
        </w:rPr>
        <w:t>TEQSA’s National Register</w:t>
      </w:r>
      <w:r w:rsidR="0003234D">
        <w:rPr>
          <w:rFonts w:ascii="Arial" w:eastAsiaTheme="minorHAnsi" w:hAnsi="Arial" w:cstheme="minorBidi"/>
          <w:sz w:val="22"/>
          <w:szCs w:val="22"/>
        </w:rPr>
        <w:t>;</w:t>
      </w:r>
    </w:p>
    <w:p w:rsidR="00D63694" w:rsidRDefault="003E5CA0" w:rsidP="00797BC0">
      <w:pPr>
        <w:pStyle w:val="ListParagraph"/>
        <w:numPr>
          <w:ilvl w:val="0"/>
          <w:numId w:val="23"/>
        </w:numPr>
        <w:rPr>
          <w:rFonts w:ascii="Arial" w:eastAsiaTheme="minorHAnsi" w:hAnsi="Arial" w:cstheme="minorBidi"/>
          <w:sz w:val="22"/>
          <w:szCs w:val="22"/>
        </w:rPr>
      </w:pPr>
      <w:r>
        <w:rPr>
          <w:rFonts w:ascii="Arial" w:eastAsiaTheme="minorHAnsi" w:hAnsi="Arial" w:cstheme="minorBidi"/>
          <w:sz w:val="22"/>
          <w:szCs w:val="22"/>
        </w:rPr>
        <w:t>TEQSA’s Provider Information Request</w:t>
      </w:r>
      <w:r w:rsidR="0003234D">
        <w:rPr>
          <w:rFonts w:ascii="Arial" w:eastAsiaTheme="minorHAnsi" w:hAnsi="Arial" w:cstheme="minorBidi"/>
          <w:sz w:val="22"/>
          <w:szCs w:val="22"/>
        </w:rPr>
        <w:t>;</w:t>
      </w:r>
    </w:p>
    <w:p w:rsidR="004E7F3D" w:rsidRDefault="003E5CA0" w:rsidP="00797BC0">
      <w:pPr>
        <w:pStyle w:val="ListParagraph"/>
        <w:numPr>
          <w:ilvl w:val="0"/>
          <w:numId w:val="23"/>
        </w:numPr>
        <w:rPr>
          <w:rFonts w:ascii="Arial" w:eastAsiaTheme="minorHAnsi" w:hAnsi="Arial" w:cstheme="minorBidi"/>
          <w:sz w:val="22"/>
          <w:szCs w:val="22"/>
        </w:rPr>
      </w:pPr>
      <w:r>
        <w:rPr>
          <w:rFonts w:ascii="Arial" w:eastAsiaTheme="minorHAnsi" w:hAnsi="Arial" w:cstheme="minorBidi"/>
          <w:sz w:val="22"/>
          <w:szCs w:val="22"/>
        </w:rPr>
        <w:t>TEQSA analysis</w:t>
      </w:r>
      <w:r w:rsidR="0003234D">
        <w:rPr>
          <w:rFonts w:ascii="Arial" w:eastAsiaTheme="minorHAnsi" w:hAnsi="Arial" w:cstheme="minorBidi"/>
          <w:sz w:val="22"/>
          <w:szCs w:val="22"/>
        </w:rPr>
        <w:t>;</w:t>
      </w:r>
    </w:p>
    <w:p w:rsidR="006218AF" w:rsidRDefault="004E7F3D" w:rsidP="00797BC0">
      <w:pPr>
        <w:pStyle w:val="ListParagraph"/>
        <w:numPr>
          <w:ilvl w:val="0"/>
          <w:numId w:val="23"/>
        </w:numPr>
        <w:rPr>
          <w:rFonts w:ascii="Arial" w:eastAsiaTheme="minorHAnsi" w:hAnsi="Arial" w:cstheme="minorBidi"/>
          <w:sz w:val="22"/>
          <w:szCs w:val="22"/>
        </w:rPr>
      </w:pPr>
      <w:r>
        <w:rPr>
          <w:rFonts w:ascii="Arial" w:eastAsiaTheme="minorHAnsi" w:hAnsi="Arial" w:cstheme="minorBidi"/>
          <w:sz w:val="22"/>
          <w:szCs w:val="22"/>
        </w:rPr>
        <w:t>Department of Education and Training’s Higher Education Statistics Collection (through the Higher Education Information Management System – HEIMS)</w:t>
      </w:r>
      <w:r w:rsidR="0003234D">
        <w:rPr>
          <w:rFonts w:ascii="Arial" w:eastAsiaTheme="minorHAnsi" w:hAnsi="Arial" w:cstheme="minorBidi"/>
          <w:sz w:val="22"/>
          <w:szCs w:val="22"/>
        </w:rPr>
        <w:t>; and</w:t>
      </w:r>
    </w:p>
    <w:p w:rsidR="006218AF" w:rsidRPr="00930F2B" w:rsidRDefault="006218AF" w:rsidP="00797BC0">
      <w:pPr>
        <w:pStyle w:val="ListParagraph"/>
        <w:numPr>
          <w:ilvl w:val="0"/>
          <w:numId w:val="23"/>
        </w:numPr>
        <w:rPr>
          <w:rFonts w:ascii="Arial" w:eastAsiaTheme="minorHAnsi" w:hAnsi="Arial" w:cstheme="minorBidi"/>
          <w:sz w:val="22"/>
          <w:szCs w:val="22"/>
        </w:rPr>
      </w:pPr>
      <w:r>
        <w:rPr>
          <w:rFonts w:ascii="Arial" w:eastAsiaTheme="minorHAnsi" w:hAnsi="Arial" w:cstheme="minorBidi"/>
          <w:sz w:val="22"/>
          <w:szCs w:val="22"/>
        </w:rPr>
        <w:t>Department of Education and Training’s Finance Publication</w:t>
      </w:r>
      <w:r w:rsidR="00957133">
        <w:rPr>
          <w:rFonts w:ascii="Arial" w:eastAsiaTheme="minorHAnsi" w:hAnsi="Arial" w:cstheme="minorBidi"/>
          <w:sz w:val="22"/>
          <w:szCs w:val="22"/>
        </w:rPr>
        <w:t>.</w:t>
      </w:r>
    </w:p>
    <w:bookmarkEnd w:id="25"/>
    <w:p w:rsidR="00930F2B" w:rsidRDefault="00930F2B" w:rsidP="00930F2B">
      <w:pPr>
        <w:pStyle w:val="H2"/>
        <w:spacing w:after="120"/>
        <w:rPr>
          <w:noProof/>
        </w:rPr>
      </w:pPr>
      <w:r>
        <w:rPr>
          <w:noProof/>
        </w:rPr>
        <w:t>Provider exclusions</w:t>
      </w:r>
    </w:p>
    <w:p w:rsidR="00930F2B" w:rsidRDefault="00930F2B" w:rsidP="00930F2B">
      <w:pPr>
        <w:rPr>
          <w:rFonts w:ascii="Georgia" w:hAnsi="Georgia" w:cs="Arial"/>
          <w:b/>
          <w:color w:val="004855" w:themeColor="text1"/>
          <w:sz w:val="22"/>
          <w:szCs w:val="22"/>
          <w:lang w:val="en-US"/>
        </w:rPr>
      </w:pPr>
      <w:r>
        <w:rPr>
          <w:rFonts w:ascii="Arial" w:eastAsiaTheme="minorHAnsi" w:hAnsi="Arial" w:cstheme="minorBidi"/>
          <w:sz w:val="22"/>
          <w:szCs w:val="22"/>
        </w:rPr>
        <w:t xml:space="preserve">Details on provider inclusions and exclusions are available in the Introduction of this report. </w:t>
      </w:r>
      <w:r w:rsidR="00E55D24">
        <w:rPr>
          <w:rFonts w:ascii="Arial" w:eastAsiaTheme="minorHAnsi" w:hAnsi="Arial" w:cstheme="minorBidi"/>
          <w:sz w:val="22"/>
          <w:szCs w:val="22"/>
        </w:rPr>
        <w:t>The table b</w:t>
      </w:r>
      <w:r>
        <w:rPr>
          <w:rFonts w:ascii="Arial" w:eastAsiaTheme="minorHAnsi" w:hAnsi="Arial" w:cstheme="minorBidi"/>
          <w:sz w:val="22"/>
          <w:szCs w:val="22"/>
        </w:rPr>
        <w:t>elow provides a breakdow</w:t>
      </w:r>
      <w:r w:rsidR="00496386">
        <w:rPr>
          <w:rFonts w:ascii="Arial" w:eastAsiaTheme="minorHAnsi" w:hAnsi="Arial" w:cstheme="minorBidi"/>
          <w:sz w:val="22"/>
          <w:szCs w:val="22"/>
        </w:rPr>
        <w:t xml:space="preserve">n of </w:t>
      </w:r>
      <w:r w:rsidR="00E55D24">
        <w:rPr>
          <w:rFonts w:ascii="Arial" w:eastAsiaTheme="minorHAnsi" w:hAnsi="Arial" w:cstheme="minorBidi"/>
          <w:sz w:val="22"/>
          <w:szCs w:val="22"/>
        </w:rPr>
        <w:t>exclusion</w:t>
      </w:r>
      <w:r w:rsidR="00496386">
        <w:rPr>
          <w:rFonts w:ascii="Arial" w:eastAsiaTheme="minorHAnsi" w:hAnsi="Arial" w:cstheme="minorBidi"/>
          <w:sz w:val="22"/>
          <w:szCs w:val="22"/>
        </w:rPr>
        <w:t>s</w:t>
      </w:r>
      <w:r>
        <w:rPr>
          <w:rFonts w:ascii="Arial" w:eastAsiaTheme="minorHAnsi" w:hAnsi="Arial" w:cstheme="minorBidi"/>
          <w:sz w:val="22"/>
          <w:szCs w:val="22"/>
        </w:rPr>
        <w:t xml:space="preserve"> </w:t>
      </w:r>
      <w:r w:rsidR="00496386">
        <w:rPr>
          <w:rFonts w:ascii="Arial" w:eastAsiaTheme="minorHAnsi" w:hAnsi="Arial" w:cstheme="minorBidi"/>
          <w:sz w:val="22"/>
          <w:szCs w:val="22"/>
        </w:rPr>
        <w:t xml:space="preserve">relating to </w:t>
      </w:r>
      <w:r w:rsidR="007E70CA">
        <w:rPr>
          <w:rFonts w:ascii="Arial" w:eastAsiaTheme="minorHAnsi" w:hAnsi="Arial" w:cstheme="minorBidi"/>
          <w:sz w:val="22"/>
          <w:szCs w:val="22"/>
        </w:rPr>
        <w:t>irregular and/or abnormal data points</w:t>
      </w:r>
      <w:r w:rsidR="00E55D24">
        <w:rPr>
          <w:rFonts w:ascii="Arial" w:eastAsiaTheme="minorHAnsi" w:hAnsi="Arial" w:cstheme="minorBidi"/>
          <w:sz w:val="22"/>
          <w:szCs w:val="22"/>
        </w:rPr>
        <w:t>,</w:t>
      </w:r>
      <w:r w:rsidR="007E70CA">
        <w:rPr>
          <w:rFonts w:ascii="Arial" w:eastAsiaTheme="minorHAnsi" w:hAnsi="Arial" w:cstheme="minorBidi"/>
          <w:sz w:val="22"/>
          <w:szCs w:val="22"/>
        </w:rPr>
        <w:t xml:space="preserve"> </w:t>
      </w:r>
      <w:r>
        <w:rPr>
          <w:rFonts w:ascii="Arial" w:eastAsiaTheme="minorHAnsi" w:hAnsi="Arial" w:cstheme="minorBidi"/>
          <w:sz w:val="22"/>
          <w:szCs w:val="22"/>
        </w:rPr>
        <w:t>by provider type.</w:t>
      </w:r>
      <w:r w:rsidR="00B67851">
        <w:rPr>
          <w:rFonts w:ascii="Arial" w:eastAsiaTheme="minorHAnsi" w:hAnsi="Arial" w:cstheme="minorBidi"/>
          <w:sz w:val="22"/>
          <w:szCs w:val="22"/>
        </w:rPr>
        <w:t xml:space="preserve"> These exclusions differ </w:t>
      </w:r>
      <w:r w:rsidR="0095537D">
        <w:rPr>
          <w:rFonts w:ascii="Arial" w:eastAsiaTheme="minorHAnsi" w:hAnsi="Arial" w:cstheme="minorBidi"/>
          <w:sz w:val="22"/>
          <w:szCs w:val="22"/>
        </w:rPr>
        <w:t>from</w:t>
      </w:r>
      <w:r w:rsidR="00B67851">
        <w:rPr>
          <w:rFonts w:ascii="Arial" w:eastAsiaTheme="minorHAnsi" w:hAnsi="Arial" w:cstheme="minorBidi"/>
          <w:sz w:val="22"/>
          <w:szCs w:val="22"/>
        </w:rPr>
        <w:t xml:space="preserve"> those where there w</w:t>
      </w:r>
      <w:r w:rsidR="0095537D">
        <w:rPr>
          <w:rFonts w:ascii="Arial" w:eastAsiaTheme="minorHAnsi" w:hAnsi="Arial" w:cstheme="minorBidi"/>
          <w:sz w:val="22"/>
          <w:szCs w:val="22"/>
        </w:rPr>
        <w:t>as</w:t>
      </w:r>
      <w:r w:rsidR="00B67851">
        <w:rPr>
          <w:rFonts w:ascii="Arial" w:eastAsiaTheme="minorHAnsi" w:hAnsi="Arial" w:cstheme="minorBidi"/>
          <w:sz w:val="22"/>
          <w:szCs w:val="22"/>
        </w:rPr>
        <w:t xml:space="preserve"> insufficient data to calculate the </w:t>
      </w:r>
      <w:r w:rsidR="00330743">
        <w:rPr>
          <w:rFonts w:ascii="Arial" w:eastAsiaTheme="minorHAnsi" w:hAnsi="Arial" w:cstheme="minorBidi"/>
          <w:sz w:val="22"/>
          <w:szCs w:val="22"/>
        </w:rPr>
        <w:t>metric</w:t>
      </w:r>
      <w:r w:rsidR="00B67851">
        <w:rPr>
          <w:rFonts w:ascii="Arial" w:eastAsiaTheme="minorHAnsi" w:hAnsi="Arial" w:cstheme="minorBidi"/>
          <w:sz w:val="22"/>
          <w:szCs w:val="22"/>
        </w:rPr>
        <w:t>.</w:t>
      </w:r>
    </w:p>
    <w:p w:rsidR="00930F2B" w:rsidRPr="002C1DF4" w:rsidRDefault="00930F2B" w:rsidP="002C1DF4">
      <w:pPr>
        <w:spacing w:before="240"/>
        <w:rPr>
          <w:rFonts w:ascii="Georgia" w:hAnsi="Georgia" w:cs="Arial"/>
          <w:b/>
          <w:color w:val="004855" w:themeColor="text1"/>
          <w:sz w:val="20"/>
          <w:szCs w:val="20"/>
          <w:lang w:val="en-US"/>
        </w:rPr>
      </w:pPr>
      <w:r w:rsidRPr="0076531C">
        <w:rPr>
          <w:rFonts w:ascii="Georgia" w:hAnsi="Georgia" w:cs="Arial"/>
          <w:b/>
          <w:color w:val="004855" w:themeColor="text1"/>
          <w:sz w:val="20"/>
          <w:szCs w:val="20"/>
          <w:lang w:val="en-US"/>
        </w:rPr>
        <w:t xml:space="preserve">Table </w:t>
      </w:r>
      <w:r w:rsidR="00E23353">
        <w:rPr>
          <w:rFonts w:ascii="Georgia" w:hAnsi="Georgia" w:cs="Arial"/>
          <w:b/>
          <w:color w:val="004855" w:themeColor="text1"/>
          <w:sz w:val="20"/>
          <w:szCs w:val="20"/>
          <w:lang w:val="en-US"/>
        </w:rPr>
        <w:t>4</w:t>
      </w:r>
      <w:r w:rsidR="00127249">
        <w:rPr>
          <w:rFonts w:ascii="Georgia" w:hAnsi="Georgia" w:cs="Arial"/>
          <w:b/>
          <w:color w:val="004855" w:themeColor="text1"/>
          <w:sz w:val="20"/>
          <w:szCs w:val="20"/>
          <w:lang w:val="en-US"/>
        </w:rPr>
        <w:t>4</w:t>
      </w:r>
      <w:r w:rsidRPr="0076531C">
        <w:rPr>
          <w:rFonts w:ascii="Georgia" w:hAnsi="Georgia" w:cs="Arial"/>
          <w:b/>
          <w:color w:val="004855" w:themeColor="text1"/>
          <w:sz w:val="20"/>
          <w:szCs w:val="20"/>
          <w:lang w:val="en-US"/>
        </w:rPr>
        <w:t>: Exclusions</w:t>
      </w:r>
      <w:r w:rsidR="00A50843" w:rsidRPr="0076531C">
        <w:rPr>
          <w:rFonts w:ascii="Georgia" w:hAnsi="Georgia" w:cs="Arial"/>
          <w:b/>
          <w:color w:val="004855" w:themeColor="text1"/>
          <w:sz w:val="20"/>
          <w:szCs w:val="20"/>
          <w:lang w:val="en-US"/>
        </w:rPr>
        <w:t xml:space="preserve"> (irregular/abnormal data points)</w:t>
      </w:r>
      <w:r w:rsidRPr="0076531C">
        <w:rPr>
          <w:rFonts w:ascii="Georgia" w:hAnsi="Georgia" w:cs="Arial"/>
          <w:b/>
          <w:color w:val="004855" w:themeColor="text1"/>
          <w:sz w:val="20"/>
          <w:szCs w:val="20"/>
          <w:lang w:val="en-US"/>
        </w:rPr>
        <w:t>, by provider type</w:t>
      </w:r>
    </w:p>
    <w:tbl>
      <w:tblPr>
        <w:tblW w:w="5025" w:type="pct"/>
        <w:tblLayout w:type="fixed"/>
        <w:tblLook w:val="04A0" w:firstRow="1" w:lastRow="0" w:firstColumn="1" w:lastColumn="0" w:noHBand="0" w:noVBand="1"/>
      </w:tblPr>
      <w:tblGrid>
        <w:gridCol w:w="1527"/>
        <w:gridCol w:w="1666"/>
        <w:gridCol w:w="1299"/>
        <w:gridCol w:w="13"/>
        <w:gridCol w:w="1372"/>
        <w:gridCol w:w="42"/>
        <w:gridCol w:w="1406"/>
        <w:gridCol w:w="42"/>
        <w:gridCol w:w="1228"/>
        <w:gridCol w:w="42"/>
        <w:gridCol w:w="935"/>
        <w:gridCol w:w="48"/>
      </w:tblGrid>
      <w:tr w:rsidR="00873224" w:rsidRPr="00873224" w:rsidTr="00AA6E7C">
        <w:trPr>
          <w:gridAfter w:val="1"/>
          <w:wAfter w:w="25" w:type="pct"/>
          <w:trHeight w:val="308"/>
        </w:trPr>
        <w:tc>
          <w:tcPr>
            <w:tcW w:w="793" w:type="pct"/>
            <w:tcBorders>
              <w:top w:val="nil"/>
              <w:left w:val="nil"/>
              <w:bottom w:val="single" w:sz="4" w:space="0" w:color="366092"/>
              <w:right w:val="nil"/>
            </w:tcBorders>
            <w:shd w:val="clear" w:color="auto" w:fill="004855"/>
            <w:noWrap/>
            <w:hideMark/>
          </w:tcPr>
          <w:p w:rsidR="00930F2B" w:rsidRPr="00873224" w:rsidRDefault="00930F2B" w:rsidP="00E31FF9">
            <w:pPr>
              <w:spacing w:after="0"/>
              <w:rPr>
                <w:rFonts w:asciiTheme="minorHAnsi" w:hAnsiTheme="minorHAnsi" w:cstheme="minorHAnsi"/>
                <w:b/>
                <w:sz w:val="16"/>
                <w:szCs w:val="16"/>
              </w:rPr>
            </w:pPr>
          </w:p>
        </w:tc>
        <w:tc>
          <w:tcPr>
            <w:tcW w:w="866" w:type="pct"/>
            <w:tcBorders>
              <w:top w:val="nil"/>
              <w:left w:val="nil"/>
              <w:bottom w:val="single" w:sz="4" w:space="0" w:color="366092"/>
              <w:right w:val="nil"/>
            </w:tcBorders>
            <w:shd w:val="clear" w:color="auto" w:fill="004855"/>
            <w:noWrap/>
            <w:vAlign w:val="center"/>
          </w:tcPr>
          <w:p w:rsidR="00930F2B" w:rsidRPr="00873224" w:rsidRDefault="00930F2B" w:rsidP="00AA6E7C">
            <w:pPr>
              <w:spacing w:after="0" w:line="240" w:lineRule="auto"/>
              <w:jc w:val="right"/>
              <w:rPr>
                <w:rFonts w:asciiTheme="minorHAnsi" w:hAnsiTheme="minorHAnsi" w:cstheme="minorHAnsi"/>
                <w:b/>
                <w:sz w:val="16"/>
                <w:szCs w:val="16"/>
              </w:rPr>
            </w:pPr>
            <w:r w:rsidRPr="00873224">
              <w:rPr>
                <w:rFonts w:asciiTheme="minorHAnsi" w:hAnsiTheme="minorHAnsi" w:cstheme="minorHAnsi"/>
                <w:b/>
                <w:sz w:val="16"/>
                <w:szCs w:val="16"/>
              </w:rPr>
              <w:t>Revenue concentration</w:t>
            </w:r>
          </w:p>
        </w:tc>
        <w:tc>
          <w:tcPr>
            <w:tcW w:w="675" w:type="pct"/>
            <w:tcBorders>
              <w:top w:val="nil"/>
              <w:left w:val="nil"/>
              <w:bottom w:val="single" w:sz="4" w:space="0" w:color="366092"/>
              <w:right w:val="nil"/>
            </w:tcBorders>
            <w:shd w:val="clear" w:color="auto" w:fill="004855"/>
            <w:vAlign w:val="center"/>
          </w:tcPr>
          <w:p w:rsidR="00930F2B" w:rsidRPr="00873224" w:rsidRDefault="00930F2B" w:rsidP="00AA6E7C">
            <w:pPr>
              <w:spacing w:after="0" w:line="240" w:lineRule="auto"/>
              <w:jc w:val="right"/>
              <w:rPr>
                <w:rFonts w:asciiTheme="minorHAnsi" w:hAnsiTheme="minorHAnsi" w:cstheme="minorHAnsi"/>
                <w:b/>
                <w:sz w:val="16"/>
                <w:szCs w:val="16"/>
              </w:rPr>
            </w:pPr>
            <w:r w:rsidRPr="00873224">
              <w:rPr>
                <w:rFonts w:asciiTheme="minorHAnsi" w:hAnsiTheme="minorHAnsi" w:cstheme="minorHAnsi"/>
                <w:b/>
                <w:sz w:val="16"/>
                <w:szCs w:val="16"/>
              </w:rPr>
              <w:t>Net profit/</w:t>
            </w:r>
          </w:p>
          <w:p w:rsidR="00930F2B" w:rsidRPr="00873224" w:rsidRDefault="00930F2B" w:rsidP="00AA6E7C">
            <w:pPr>
              <w:spacing w:after="0" w:line="240" w:lineRule="auto"/>
              <w:jc w:val="right"/>
              <w:rPr>
                <w:rFonts w:asciiTheme="minorHAnsi" w:hAnsiTheme="minorHAnsi" w:cstheme="minorHAnsi"/>
                <w:b/>
                <w:sz w:val="16"/>
                <w:szCs w:val="16"/>
              </w:rPr>
            </w:pPr>
            <w:r w:rsidRPr="00873224">
              <w:rPr>
                <w:rFonts w:asciiTheme="minorHAnsi" w:hAnsiTheme="minorHAnsi" w:cstheme="minorHAnsi"/>
                <w:b/>
                <w:sz w:val="16"/>
                <w:szCs w:val="16"/>
              </w:rPr>
              <w:t>surplus margin</w:t>
            </w:r>
          </w:p>
        </w:tc>
        <w:tc>
          <w:tcPr>
            <w:tcW w:w="720" w:type="pct"/>
            <w:gridSpan w:val="2"/>
            <w:tcBorders>
              <w:top w:val="nil"/>
              <w:left w:val="nil"/>
              <w:bottom w:val="single" w:sz="4" w:space="0" w:color="366092"/>
              <w:right w:val="nil"/>
            </w:tcBorders>
            <w:shd w:val="clear" w:color="auto" w:fill="004855"/>
            <w:noWrap/>
            <w:vAlign w:val="center"/>
          </w:tcPr>
          <w:p w:rsidR="00930F2B" w:rsidRPr="00873224" w:rsidRDefault="00930F2B" w:rsidP="00AA6E7C">
            <w:pPr>
              <w:spacing w:after="0" w:line="240" w:lineRule="auto"/>
              <w:jc w:val="right"/>
              <w:rPr>
                <w:rFonts w:asciiTheme="minorHAnsi" w:hAnsiTheme="minorHAnsi" w:cstheme="minorHAnsi"/>
                <w:b/>
                <w:sz w:val="16"/>
                <w:szCs w:val="16"/>
              </w:rPr>
            </w:pPr>
            <w:r w:rsidRPr="00873224">
              <w:rPr>
                <w:rFonts w:asciiTheme="minorHAnsi" w:hAnsiTheme="minorHAnsi" w:cstheme="minorHAnsi"/>
                <w:b/>
                <w:sz w:val="16"/>
                <w:szCs w:val="16"/>
              </w:rPr>
              <w:t>EBITDA margin</w:t>
            </w:r>
          </w:p>
        </w:tc>
        <w:tc>
          <w:tcPr>
            <w:tcW w:w="753" w:type="pct"/>
            <w:gridSpan w:val="2"/>
            <w:tcBorders>
              <w:top w:val="nil"/>
              <w:left w:val="nil"/>
              <w:bottom w:val="single" w:sz="4" w:space="0" w:color="366092"/>
              <w:right w:val="nil"/>
            </w:tcBorders>
            <w:shd w:val="clear" w:color="auto" w:fill="004855"/>
            <w:noWrap/>
            <w:vAlign w:val="center"/>
          </w:tcPr>
          <w:p w:rsidR="00930F2B" w:rsidRPr="00873224" w:rsidRDefault="00930F2B" w:rsidP="00AA6E7C">
            <w:pPr>
              <w:spacing w:after="0" w:line="240" w:lineRule="auto"/>
              <w:jc w:val="right"/>
              <w:rPr>
                <w:rFonts w:asciiTheme="minorHAnsi" w:hAnsiTheme="minorHAnsi" w:cstheme="minorHAnsi"/>
                <w:b/>
                <w:sz w:val="16"/>
                <w:szCs w:val="16"/>
              </w:rPr>
            </w:pPr>
            <w:r w:rsidRPr="00873224">
              <w:rPr>
                <w:rFonts w:asciiTheme="minorHAnsi" w:hAnsiTheme="minorHAnsi" w:cstheme="minorHAnsi"/>
                <w:b/>
                <w:sz w:val="16"/>
                <w:szCs w:val="16"/>
              </w:rPr>
              <w:t>Employee benefits ratio</w:t>
            </w:r>
          </w:p>
        </w:tc>
        <w:tc>
          <w:tcPr>
            <w:tcW w:w="660" w:type="pct"/>
            <w:gridSpan w:val="2"/>
            <w:tcBorders>
              <w:top w:val="nil"/>
              <w:left w:val="nil"/>
              <w:bottom w:val="single" w:sz="4" w:space="0" w:color="366092"/>
              <w:right w:val="nil"/>
            </w:tcBorders>
            <w:shd w:val="clear" w:color="auto" w:fill="004855"/>
            <w:vAlign w:val="center"/>
          </w:tcPr>
          <w:p w:rsidR="00930F2B" w:rsidRPr="00873224" w:rsidRDefault="00930F2B" w:rsidP="00AA6E7C">
            <w:pPr>
              <w:spacing w:after="0" w:line="240" w:lineRule="auto"/>
              <w:jc w:val="right"/>
              <w:rPr>
                <w:rFonts w:asciiTheme="minorHAnsi" w:hAnsiTheme="minorHAnsi" w:cstheme="minorHAnsi"/>
                <w:b/>
                <w:sz w:val="16"/>
                <w:szCs w:val="16"/>
              </w:rPr>
            </w:pPr>
            <w:r w:rsidRPr="00873224">
              <w:rPr>
                <w:rFonts w:asciiTheme="minorHAnsi" w:hAnsiTheme="minorHAnsi" w:cstheme="minorHAnsi"/>
                <w:b/>
                <w:sz w:val="16"/>
                <w:szCs w:val="16"/>
              </w:rPr>
              <w:t>Asset replacement ratio</w:t>
            </w:r>
          </w:p>
        </w:tc>
        <w:tc>
          <w:tcPr>
            <w:tcW w:w="508" w:type="pct"/>
            <w:gridSpan w:val="2"/>
            <w:tcBorders>
              <w:top w:val="nil"/>
              <w:left w:val="nil"/>
              <w:bottom w:val="single" w:sz="4" w:space="0" w:color="366092"/>
              <w:right w:val="nil"/>
            </w:tcBorders>
            <w:shd w:val="clear" w:color="auto" w:fill="004855"/>
            <w:vAlign w:val="center"/>
          </w:tcPr>
          <w:p w:rsidR="00930F2B" w:rsidRPr="00873224" w:rsidRDefault="00930F2B" w:rsidP="00AA6E7C">
            <w:pPr>
              <w:spacing w:after="0" w:line="240" w:lineRule="auto"/>
              <w:jc w:val="right"/>
              <w:rPr>
                <w:rFonts w:asciiTheme="minorHAnsi" w:hAnsiTheme="minorHAnsi" w:cstheme="minorHAnsi"/>
                <w:b/>
                <w:sz w:val="16"/>
                <w:szCs w:val="16"/>
              </w:rPr>
            </w:pPr>
            <w:r w:rsidRPr="00873224">
              <w:rPr>
                <w:rFonts w:asciiTheme="minorHAnsi" w:hAnsiTheme="minorHAnsi" w:cstheme="minorHAnsi"/>
                <w:b/>
                <w:sz w:val="16"/>
                <w:szCs w:val="16"/>
              </w:rPr>
              <w:t>Liquidity</w:t>
            </w:r>
          </w:p>
        </w:tc>
      </w:tr>
      <w:tr w:rsidR="00873224" w:rsidRPr="00797118" w:rsidTr="00AA6E7C">
        <w:trPr>
          <w:trHeight w:val="308"/>
        </w:trPr>
        <w:tc>
          <w:tcPr>
            <w:tcW w:w="793" w:type="pct"/>
            <w:tcBorders>
              <w:top w:val="nil"/>
              <w:left w:val="nil"/>
              <w:bottom w:val="single" w:sz="4" w:space="0" w:color="366092"/>
              <w:right w:val="nil"/>
            </w:tcBorders>
            <w:shd w:val="clear" w:color="auto" w:fill="auto"/>
            <w:noWrap/>
            <w:vAlign w:val="center"/>
          </w:tcPr>
          <w:p w:rsidR="00930F2B" w:rsidRPr="00437F95" w:rsidRDefault="00930F2B" w:rsidP="00E31FF9">
            <w:pPr>
              <w:spacing w:after="0" w:line="240" w:lineRule="auto"/>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Universities</w:t>
            </w:r>
          </w:p>
        </w:tc>
        <w:tc>
          <w:tcPr>
            <w:tcW w:w="866" w:type="pct"/>
            <w:tcBorders>
              <w:top w:val="nil"/>
              <w:left w:val="nil"/>
              <w:bottom w:val="single" w:sz="4" w:space="0" w:color="366092"/>
              <w:right w:val="nil"/>
            </w:tcBorders>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0</w:t>
            </w:r>
          </w:p>
        </w:tc>
        <w:tc>
          <w:tcPr>
            <w:tcW w:w="682" w:type="pct"/>
            <w:gridSpan w:val="2"/>
            <w:tcBorders>
              <w:top w:val="nil"/>
              <w:left w:val="nil"/>
              <w:bottom w:val="single" w:sz="4" w:space="0" w:color="366092"/>
              <w:right w:val="nil"/>
            </w:tcBorders>
            <w:shd w:val="clear" w:color="auto" w:fill="auto"/>
            <w:noWrap/>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1</w:t>
            </w:r>
          </w:p>
        </w:tc>
        <w:tc>
          <w:tcPr>
            <w:tcW w:w="735" w:type="pct"/>
            <w:gridSpan w:val="2"/>
            <w:tcBorders>
              <w:top w:val="nil"/>
              <w:left w:val="nil"/>
              <w:bottom w:val="single" w:sz="4" w:space="0" w:color="366092"/>
              <w:right w:val="nil"/>
            </w:tcBorders>
            <w:shd w:val="clear" w:color="auto" w:fill="auto"/>
            <w:noWrap/>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1</w:t>
            </w:r>
          </w:p>
        </w:tc>
        <w:tc>
          <w:tcPr>
            <w:tcW w:w="753" w:type="pct"/>
            <w:gridSpan w:val="2"/>
            <w:tcBorders>
              <w:top w:val="nil"/>
              <w:left w:val="nil"/>
              <w:bottom w:val="single" w:sz="4" w:space="0" w:color="366092"/>
              <w:right w:val="nil"/>
            </w:tcBorders>
            <w:shd w:val="clear" w:color="auto" w:fill="auto"/>
            <w:noWrap/>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1</w:t>
            </w:r>
          </w:p>
        </w:tc>
        <w:tc>
          <w:tcPr>
            <w:tcW w:w="660" w:type="pct"/>
            <w:gridSpan w:val="2"/>
            <w:tcBorders>
              <w:top w:val="nil"/>
              <w:left w:val="nil"/>
              <w:bottom w:val="single" w:sz="4" w:space="0" w:color="366092"/>
              <w:right w:val="nil"/>
            </w:tcBorders>
            <w:vAlign w:val="center"/>
          </w:tcPr>
          <w:p w:rsidR="00930F2B" w:rsidRPr="00437F95" w:rsidRDefault="00F87B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0</w:t>
            </w:r>
          </w:p>
        </w:tc>
        <w:tc>
          <w:tcPr>
            <w:tcW w:w="510" w:type="pct"/>
            <w:gridSpan w:val="2"/>
            <w:tcBorders>
              <w:top w:val="nil"/>
              <w:left w:val="nil"/>
              <w:bottom w:val="single" w:sz="4" w:space="0" w:color="366092"/>
              <w:right w:val="nil"/>
            </w:tcBorders>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0</w:t>
            </w:r>
          </w:p>
        </w:tc>
      </w:tr>
      <w:tr w:rsidR="00873224" w:rsidRPr="00797118" w:rsidTr="00AA6E7C">
        <w:trPr>
          <w:trHeight w:val="308"/>
        </w:trPr>
        <w:tc>
          <w:tcPr>
            <w:tcW w:w="793" w:type="pct"/>
            <w:tcBorders>
              <w:top w:val="nil"/>
              <w:left w:val="nil"/>
              <w:bottom w:val="single" w:sz="4" w:space="0" w:color="366092"/>
              <w:right w:val="nil"/>
            </w:tcBorders>
            <w:shd w:val="clear" w:color="auto" w:fill="auto"/>
            <w:noWrap/>
            <w:vAlign w:val="center"/>
          </w:tcPr>
          <w:p w:rsidR="00930F2B" w:rsidRPr="00437F95" w:rsidRDefault="00CF3E1F" w:rsidP="00E31FF9">
            <w:pPr>
              <w:spacing w:after="0" w:line="240" w:lineRule="auto"/>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For-Profit</w:t>
            </w:r>
          </w:p>
        </w:tc>
        <w:tc>
          <w:tcPr>
            <w:tcW w:w="866" w:type="pct"/>
            <w:tcBorders>
              <w:top w:val="nil"/>
              <w:left w:val="nil"/>
              <w:bottom w:val="single" w:sz="4" w:space="0" w:color="366092"/>
              <w:right w:val="nil"/>
            </w:tcBorders>
            <w:vAlign w:val="center"/>
          </w:tcPr>
          <w:p w:rsidR="00930F2B" w:rsidRPr="00437F95" w:rsidRDefault="00F87B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0</w:t>
            </w:r>
          </w:p>
        </w:tc>
        <w:tc>
          <w:tcPr>
            <w:tcW w:w="682" w:type="pct"/>
            <w:gridSpan w:val="2"/>
            <w:tcBorders>
              <w:top w:val="nil"/>
              <w:left w:val="nil"/>
              <w:bottom w:val="single" w:sz="4" w:space="0" w:color="366092"/>
              <w:right w:val="nil"/>
            </w:tcBorders>
            <w:shd w:val="clear" w:color="auto" w:fill="auto"/>
            <w:noWrap/>
            <w:vAlign w:val="center"/>
          </w:tcPr>
          <w:p w:rsidR="00930F2B" w:rsidRPr="00437F95" w:rsidRDefault="00F87B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1</w:t>
            </w:r>
          </w:p>
        </w:tc>
        <w:tc>
          <w:tcPr>
            <w:tcW w:w="735" w:type="pct"/>
            <w:gridSpan w:val="2"/>
            <w:tcBorders>
              <w:top w:val="nil"/>
              <w:left w:val="nil"/>
              <w:bottom w:val="single" w:sz="4" w:space="0" w:color="366092"/>
              <w:right w:val="nil"/>
            </w:tcBorders>
            <w:shd w:val="clear" w:color="auto" w:fill="auto"/>
            <w:noWrap/>
            <w:vAlign w:val="center"/>
          </w:tcPr>
          <w:p w:rsidR="00930F2B" w:rsidRPr="00437F95" w:rsidRDefault="00F87B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0</w:t>
            </w:r>
          </w:p>
        </w:tc>
        <w:tc>
          <w:tcPr>
            <w:tcW w:w="753" w:type="pct"/>
            <w:gridSpan w:val="2"/>
            <w:tcBorders>
              <w:top w:val="nil"/>
              <w:left w:val="nil"/>
              <w:bottom w:val="single" w:sz="4" w:space="0" w:color="366092"/>
              <w:right w:val="nil"/>
            </w:tcBorders>
            <w:shd w:val="clear" w:color="auto" w:fill="auto"/>
            <w:noWrap/>
            <w:vAlign w:val="center"/>
          </w:tcPr>
          <w:p w:rsidR="00930F2B" w:rsidRPr="00437F95" w:rsidRDefault="00F87B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0</w:t>
            </w:r>
          </w:p>
        </w:tc>
        <w:tc>
          <w:tcPr>
            <w:tcW w:w="660" w:type="pct"/>
            <w:gridSpan w:val="2"/>
            <w:tcBorders>
              <w:top w:val="nil"/>
              <w:left w:val="nil"/>
              <w:bottom w:val="single" w:sz="4" w:space="0" w:color="366092"/>
              <w:right w:val="nil"/>
            </w:tcBorders>
            <w:vAlign w:val="center"/>
          </w:tcPr>
          <w:p w:rsidR="00930F2B" w:rsidRPr="00437F95" w:rsidRDefault="005D0E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0</w:t>
            </w:r>
          </w:p>
        </w:tc>
        <w:tc>
          <w:tcPr>
            <w:tcW w:w="510" w:type="pct"/>
            <w:gridSpan w:val="2"/>
            <w:tcBorders>
              <w:top w:val="nil"/>
              <w:left w:val="nil"/>
              <w:bottom w:val="single" w:sz="4" w:space="0" w:color="366092"/>
              <w:right w:val="nil"/>
            </w:tcBorders>
            <w:vAlign w:val="center"/>
          </w:tcPr>
          <w:p w:rsidR="00930F2B" w:rsidRPr="00437F95" w:rsidRDefault="00F87B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1</w:t>
            </w:r>
          </w:p>
        </w:tc>
      </w:tr>
      <w:tr w:rsidR="00873224" w:rsidRPr="00797118" w:rsidTr="00AA6E7C">
        <w:trPr>
          <w:trHeight w:val="308"/>
        </w:trPr>
        <w:tc>
          <w:tcPr>
            <w:tcW w:w="793" w:type="pct"/>
            <w:tcBorders>
              <w:top w:val="nil"/>
              <w:left w:val="nil"/>
              <w:bottom w:val="single" w:sz="4" w:space="0" w:color="366092"/>
              <w:right w:val="nil"/>
            </w:tcBorders>
            <w:shd w:val="clear" w:color="auto" w:fill="auto"/>
            <w:noWrap/>
            <w:vAlign w:val="center"/>
          </w:tcPr>
          <w:p w:rsidR="00930F2B" w:rsidRPr="00437F95" w:rsidRDefault="00CF3E1F" w:rsidP="00E31FF9">
            <w:pPr>
              <w:spacing w:after="0" w:line="240" w:lineRule="auto"/>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Not-For-Profit</w:t>
            </w:r>
          </w:p>
        </w:tc>
        <w:tc>
          <w:tcPr>
            <w:tcW w:w="866" w:type="pct"/>
            <w:tcBorders>
              <w:top w:val="nil"/>
              <w:left w:val="nil"/>
              <w:bottom w:val="single" w:sz="4" w:space="0" w:color="366092"/>
              <w:right w:val="nil"/>
            </w:tcBorders>
            <w:vAlign w:val="center"/>
          </w:tcPr>
          <w:p w:rsidR="00930F2B" w:rsidRPr="00437F95" w:rsidRDefault="00F87B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0</w:t>
            </w:r>
          </w:p>
        </w:tc>
        <w:tc>
          <w:tcPr>
            <w:tcW w:w="682" w:type="pct"/>
            <w:gridSpan w:val="2"/>
            <w:tcBorders>
              <w:top w:val="nil"/>
              <w:left w:val="nil"/>
              <w:bottom w:val="single" w:sz="4" w:space="0" w:color="366092"/>
              <w:right w:val="nil"/>
            </w:tcBorders>
            <w:shd w:val="clear" w:color="auto" w:fill="auto"/>
            <w:noWrap/>
            <w:vAlign w:val="center"/>
          </w:tcPr>
          <w:p w:rsidR="00930F2B" w:rsidRPr="00437F95" w:rsidRDefault="0076531C"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2</w:t>
            </w:r>
          </w:p>
        </w:tc>
        <w:tc>
          <w:tcPr>
            <w:tcW w:w="735" w:type="pct"/>
            <w:gridSpan w:val="2"/>
            <w:tcBorders>
              <w:top w:val="nil"/>
              <w:left w:val="nil"/>
              <w:bottom w:val="single" w:sz="4" w:space="0" w:color="366092"/>
              <w:right w:val="nil"/>
            </w:tcBorders>
            <w:shd w:val="clear" w:color="auto" w:fill="auto"/>
            <w:noWrap/>
            <w:vAlign w:val="center"/>
          </w:tcPr>
          <w:p w:rsidR="00930F2B" w:rsidRPr="00437F95" w:rsidRDefault="0076531C"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1</w:t>
            </w:r>
          </w:p>
        </w:tc>
        <w:tc>
          <w:tcPr>
            <w:tcW w:w="753" w:type="pct"/>
            <w:gridSpan w:val="2"/>
            <w:tcBorders>
              <w:top w:val="nil"/>
              <w:left w:val="nil"/>
              <w:bottom w:val="single" w:sz="4" w:space="0" w:color="366092"/>
              <w:right w:val="nil"/>
            </w:tcBorders>
            <w:shd w:val="clear" w:color="auto" w:fill="auto"/>
            <w:noWrap/>
            <w:vAlign w:val="center"/>
          </w:tcPr>
          <w:p w:rsidR="00930F2B" w:rsidRPr="00437F95" w:rsidRDefault="0076531C"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2</w:t>
            </w:r>
          </w:p>
        </w:tc>
        <w:tc>
          <w:tcPr>
            <w:tcW w:w="660" w:type="pct"/>
            <w:gridSpan w:val="2"/>
            <w:tcBorders>
              <w:top w:val="nil"/>
              <w:left w:val="nil"/>
              <w:bottom w:val="single" w:sz="4" w:space="0" w:color="366092"/>
              <w:right w:val="nil"/>
            </w:tcBorders>
            <w:vAlign w:val="center"/>
          </w:tcPr>
          <w:p w:rsidR="00930F2B" w:rsidRPr="00437F95" w:rsidRDefault="005D0E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2</w:t>
            </w:r>
          </w:p>
        </w:tc>
        <w:tc>
          <w:tcPr>
            <w:tcW w:w="510" w:type="pct"/>
            <w:gridSpan w:val="2"/>
            <w:tcBorders>
              <w:top w:val="nil"/>
              <w:left w:val="nil"/>
              <w:bottom w:val="single" w:sz="4" w:space="0" w:color="366092"/>
              <w:right w:val="nil"/>
            </w:tcBorders>
            <w:vAlign w:val="center"/>
          </w:tcPr>
          <w:p w:rsidR="00930F2B" w:rsidRPr="00437F95" w:rsidRDefault="0076531C"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1</w:t>
            </w:r>
          </w:p>
        </w:tc>
      </w:tr>
      <w:tr w:rsidR="00873224" w:rsidRPr="00797118" w:rsidTr="00AA6E7C">
        <w:trPr>
          <w:trHeight w:val="308"/>
        </w:trPr>
        <w:tc>
          <w:tcPr>
            <w:tcW w:w="793" w:type="pct"/>
            <w:tcBorders>
              <w:top w:val="nil"/>
              <w:left w:val="nil"/>
              <w:bottom w:val="single" w:sz="4" w:space="0" w:color="366092"/>
              <w:right w:val="nil"/>
            </w:tcBorders>
            <w:shd w:val="clear" w:color="auto" w:fill="auto"/>
            <w:noWrap/>
            <w:vAlign w:val="center"/>
          </w:tcPr>
          <w:p w:rsidR="00930F2B" w:rsidRPr="00437F95" w:rsidRDefault="00930F2B" w:rsidP="00E31FF9">
            <w:pPr>
              <w:spacing w:after="0" w:line="240" w:lineRule="auto"/>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TAFE</w:t>
            </w:r>
          </w:p>
        </w:tc>
        <w:tc>
          <w:tcPr>
            <w:tcW w:w="866" w:type="pct"/>
            <w:tcBorders>
              <w:top w:val="nil"/>
              <w:left w:val="nil"/>
              <w:bottom w:val="single" w:sz="4" w:space="0" w:color="366092"/>
              <w:right w:val="nil"/>
            </w:tcBorders>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0</w:t>
            </w:r>
          </w:p>
        </w:tc>
        <w:tc>
          <w:tcPr>
            <w:tcW w:w="682" w:type="pct"/>
            <w:gridSpan w:val="2"/>
            <w:tcBorders>
              <w:top w:val="nil"/>
              <w:left w:val="nil"/>
              <w:bottom w:val="single" w:sz="4" w:space="0" w:color="366092"/>
              <w:right w:val="nil"/>
            </w:tcBorders>
            <w:shd w:val="clear" w:color="auto" w:fill="auto"/>
            <w:noWrap/>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0</w:t>
            </w:r>
          </w:p>
        </w:tc>
        <w:tc>
          <w:tcPr>
            <w:tcW w:w="735" w:type="pct"/>
            <w:gridSpan w:val="2"/>
            <w:tcBorders>
              <w:top w:val="nil"/>
              <w:left w:val="nil"/>
              <w:bottom w:val="single" w:sz="4" w:space="0" w:color="366092"/>
              <w:right w:val="nil"/>
            </w:tcBorders>
            <w:shd w:val="clear" w:color="auto" w:fill="auto"/>
            <w:noWrap/>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0</w:t>
            </w:r>
          </w:p>
        </w:tc>
        <w:tc>
          <w:tcPr>
            <w:tcW w:w="753" w:type="pct"/>
            <w:gridSpan w:val="2"/>
            <w:tcBorders>
              <w:top w:val="nil"/>
              <w:left w:val="nil"/>
              <w:bottom w:val="single" w:sz="4" w:space="0" w:color="366092"/>
              <w:right w:val="nil"/>
            </w:tcBorders>
            <w:shd w:val="clear" w:color="auto" w:fill="auto"/>
            <w:noWrap/>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0</w:t>
            </w:r>
          </w:p>
        </w:tc>
        <w:tc>
          <w:tcPr>
            <w:tcW w:w="660" w:type="pct"/>
            <w:gridSpan w:val="2"/>
            <w:tcBorders>
              <w:top w:val="nil"/>
              <w:left w:val="nil"/>
              <w:bottom w:val="single" w:sz="4" w:space="0" w:color="366092"/>
              <w:right w:val="nil"/>
            </w:tcBorders>
            <w:vAlign w:val="center"/>
          </w:tcPr>
          <w:p w:rsidR="00930F2B" w:rsidRPr="00437F95" w:rsidRDefault="005D0E96" w:rsidP="00AA6E7C">
            <w:pPr>
              <w:spacing w:after="0" w:line="240" w:lineRule="auto"/>
              <w:jc w:val="right"/>
              <w:rPr>
                <w:rFonts w:asciiTheme="minorHAnsi" w:hAnsiTheme="minorHAnsi" w:cstheme="minorHAnsi"/>
                <w:bCs/>
                <w:color w:val="000000"/>
                <w:sz w:val="20"/>
                <w:szCs w:val="20"/>
                <w:lang w:eastAsia="en-AU"/>
              </w:rPr>
            </w:pPr>
            <w:r>
              <w:rPr>
                <w:rFonts w:asciiTheme="minorHAnsi" w:hAnsiTheme="minorHAnsi" w:cstheme="minorHAnsi"/>
                <w:bCs/>
                <w:color w:val="000000"/>
                <w:sz w:val="20"/>
                <w:szCs w:val="20"/>
                <w:lang w:eastAsia="en-AU"/>
              </w:rPr>
              <w:t>0</w:t>
            </w:r>
          </w:p>
        </w:tc>
        <w:tc>
          <w:tcPr>
            <w:tcW w:w="510" w:type="pct"/>
            <w:gridSpan w:val="2"/>
            <w:tcBorders>
              <w:top w:val="nil"/>
              <w:left w:val="nil"/>
              <w:bottom w:val="single" w:sz="4" w:space="0" w:color="366092"/>
              <w:right w:val="nil"/>
            </w:tcBorders>
            <w:vAlign w:val="center"/>
          </w:tcPr>
          <w:p w:rsidR="00930F2B" w:rsidRPr="00437F95" w:rsidRDefault="00930F2B" w:rsidP="00AA6E7C">
            <w:pPr>
              <w:spacing w:after="0" w:line="240" w:lineRule="auto"/>
              <w:jc w:val="right"/>
              <w:rPr>
                <w:rFonts w:asciiTheme="minorHAnsi" w:hAnsiTheme="minorHAnsi" w:cstheme="minorHAnsi"/>
                <w:bCs/>
                <w:color w:val="000000"/>
                <w:sz w:val="20"/>
                <w:szCs w:val="20"/>
                <w:lang w:eastAsia="en-AU"/>
              </w:rPr>
            </w:pPr>
            <w:r w:rsidRPr="00437F95">
              <w:rPr>
                <w:rFonts w:asciiTheme="minorHAnsi" w:hAnsiTheme="minorHAnsi" w:cstheme="minorHAnsi"/>
                <w:bCs/>
                <w:color w:val="000000"/>
                <w:sz w:val="20"/>
                <w:szCs w:val="20"/>
                <w:lang w:eastAsia="en-AU"/>
              </w:rPr>
              <w:t>0</w:t>
            </w:r>
          </w:p>
        </w:tc>
      </w:tr>
      <w:tr w:rsidR="00873224" w:rsidRPr="00797118" w:rsidTr="00AA6E7C">
        <w:trPr>
          <w:trHeight w:val="308"/>
        </w:trPr>
        <w:tc>
          <w:tcPr>
            <w:tcW w:w="793" w:type="pct"/>
            <w:tcBorders>
              <w:top w:val="single" w:sz="4" w:space="0" w:color="366092"/>
              <w:left w:val="nil"/>
              <w:bottom w:val="single" w:sz="4" w:space="0" w:color="366092"/>
              <w:right w:val="nil"/>
            </w:tcBorders>
            <w:shd w:val="clear" w:color="000000" w:fill="E5F6F6"/>
            <w:noWrap/>
            <w:vAlign w:val="center"/>
          </w:tcPr>
          <w:p w:rsidR="00930F2B" w:rsidRPr="00437F95" w:rsidRDefault="00930F2B" w:rsidP="000477BA">
            <w:pPr>
              <w:spacing w:after="0" w:line="240" w:lineRule="auto"/>
              <w:rPr>
                <w:rFonts w:asciiTheme="minorHAnsi" w:hAnsiTheme="minorHAnsi" w:cstheme="minorHAnsi"/>
                <w:b/>
                <w:color w:val="000000"/>
                <w:sz w:val="20"/>
                <w:szCs w:val="20"/>
                <w:lang w:eastAsia="en-AU"/>
              </w:rPr>
            </w:pPr>
            <w:r w:rsidRPr="00437F95">
              <w:rPr>
                <w:rFonts w:asciiTheme="minorHAnsi" w:hAnsiTheme="minorHAnsi" w:cstheme="minorHAnsi"/>
                <w:b/>
                <w:color w:val="000000"/>
                <w:sz w:val="20"/>
                <w:szCs w:val="20"/>
                <w:lang w:eastAsia="en-AU"/>
              </w:rPr>
              <w:t xml:space="preserve">Total </w:t>
            </w:r>
          </w:p>
        </w:tc>
        <w:tc>
          <w:tcPr>
            <w:tcW w:w="866" w:type="pct"/>
            <w:tcBorders>
              <w:top w:val="single" w:sz="4" w:space="0" w:color="366092"/>
              <w:left w:val="nil"/>
              <w:bottom w:val="single" w:sz="4" w:space="0" w:color="366092"/>
              <w:right w:val="nil"/>
            </w:tcBorders>
            <w:shd w:val="clear" w:color="000000" w:fill="E5F6F6"/>
            <w:vAlign w:val="center"/>
          </w:tcPr>
          <w:p w:rsidR="00930F2B" w:rsidRPr="00437F95" w:rsidRDefault="00F87B96" w:rsidP="00AA6E7C">
            <w:pPr>
              <w:spacing w:after="0" w:line="240" w:lineRule="auto"/>
              <w:jc w:val="right"/>
              <w:rPr>
                <w:rFonts w:asciiTheme="minorHAnsi" w:hAnsiTheme="minorHAnsi" w:cstheme="minorHAnsi"/>
                <w:b/>
                <w:color w:val="000000"/>
                <w:sz w:val="20"/>
                <w:szCs w:val="20"/>
                <w:lang w:eastAsia="en-AU"/>
              </w:rPr>
            </w:pPr>
            <w:r>
              <w:rPr>
                <w:rFonts w:asciiTheme="minorHAnsi" w:hAnsiTheme="minorHAnsi" w:cstheme="minorHAnsi"/>
                <w:b/>
                <w:color w:val="000000"/>
                <w:sz w:val="20"/>
                <w:szCs w:val="20"/>
                <w:lang w:eastAsia="en-AU"/>
              </w:rPr>
              <w:t>0</w:t>
            </w:r>
          </w:p>
        </w:tc>
        <w:tc>
          <w:tcPr>
            <w:tcW w:w="682" w:type="pct"/>
            <w:gridSpan w:val="2"/>
            <w:tcBorders>
              <w:top w:val="single" w:sz="4" w:space="0" w:color="366092"/>
              <w:left w:val="nil"/>
              <w:bottom w:val="single" w:sz="4" w:space="0" w:color="366092"/>
              <w:right w:val="nil"/>
            </w:tcBorders>
            <w:shd w:val="clear" w:color="000000" w:fill="E5F6F6"/>
            <w:noWrap/>
            <w:vAlign w:val="center"/>
          </w:tcPr>
          <w:p w:rsidR="00930F2B" w:rsidRPr="00437F95" w:rsidRDefault="0076531C" w:rsidP="00AA6E7C">
            <w:pPr>
              <w:spacing w:after="0" w:line="240" w:lineRule="auto"/>
              <w:jc w:val="right"/>
              <w:rPr>
                <w:rFonts w:asciiTheme="minorHAnsi" w:hAnsiTheme="minorHAnsi" w:cstheme="minorHAnsi"/>
                <w:b/>
                <w:color w:val="000000"/>
                <w:sz w:val="20"/>
                <w:szCs w:val="20"/>
                <w:lang w:eastAsia="en-AU"/>
              </w:rPr>
            </w:pPr>
            <w:r>
              <w:rPr>
                <w:rFonts w:asciiTheme="minorHAnsi" w:hAnsiTheme="minorHAnsi" w:cstheme="minorHAnsi"/>
                <w:b/>
                <w:color w:val="000000"/>
                <w:sz w:val="20"/>
                <w:szCs w:val="20"/>
                <w:lang w:eastAsia="en-AU"/>
              </w:rPr>
              <w:t>4</w:t>
            </w:r>
          </w:p>
        </w:tc>
        <w:tc>
          <w:tcPr>
            <w:tcW w:w="735" w:type="pct"/>
            <w:gridSpan w:val="2"/>
            <w:tcBorders>
              <w:top w:val="single" w:sz="4" w:space="0" w:color="366092"/>
              <w:left w:val="nil"/>
              <w:bottom w:val="single" w:sz="4" w:space="0" w:color="366092"/>
              <w:right w:val="nil"/>
            </w:tcBorders>
            <w:shd w:val="clear" w:color="000000" w:fill="E5F6F6"/>
            <w:noWrap/>
            <w:vAlign w:val="center"/>
          </w:tcPr>
          <w:p w:rsidR="00930F2B" w:rsidRPr="00437F95" w:rsidRDefault="0076531C" w:rsidP="00AA6E7C">
            <w:pPr>
              <w:spacing w:after="0" w:line="240" w:lineRule="auto"/>
              <w:jc w:val="right"/>
              <w:rPr>
                <w:rFonts w:asciiTheme="minorHAnsi" w:hAnsiTheme="minorHAnsi" w:cstheme="minorHAnsi"/>
                <w:b/>
                <w:color w:val="000000"/>
                <w:sz w:val="20"/>
                <w:szCs w:val="20"/>
                <w:lang w:eastAsia="en-AU"/>
              </w:rPr>
            </w:pPr>
            <w:r>
              <w:rPr>
                <w:rFonts w:asciiTheme="minorHAnsi" w:hAnsiTheme="minorHAnsi" w:cstheme="minorHAnsi"/>
                <w:b/>
                <w:color w:val="000000"/>
                <w:sz w:val="20"/>
                <w:szCs w:val="20"/>
                <w:lang w:eastAsia="en-AU"/>
              </w:rPr>
              <w:t>2</w:t>
            </w:r>
          </w:p>
        </w:tc>
        <w:tc>
          <w:tcPr>
            <w:tcW w:w="753" w:type="pct"/>
            <w:gridSpan w:val="2"/>
            <w:tcBorders>
              <w:top w:val="single" w:sz="4" w:space="0" w:color="366092"/>
              <w:left w:val="nil"/>
              <w:bottom w:val="single" w:sz="4" w:space="0" w:color="366092"/>
              <w:right w:val="nil"/>
            </w:tcBorders>
            <w:shd w:val="clear" w:color="000000" w:fill="E5F6F6"/>
            <w:noWrap/>
            <w:vAlign w:val="center"/>
          </w:tcPr>
          <w:p w:rsidR="00930F2B" w:rsidRPr="00437F95" w:rsidRDefault="0076531C" w:rsidP="00AA6E7C">
            <w:pPr>
              <w:spacing w:after="0" w:line="240" w:lineRule="auto"/>
              <w:jc w:val="right"/>
              <w:rPr>
                <w:rFonts w:asciiTheme="minorHAnsi" w:hAnsiTheme="minorHAnsi" w:cstheme="minorHAnsi"/>
                <w:b/>
                <w:color w:val="000000"/>
                <w:sz w:val="20"/>
                <w:szCs w:val="20"/>
                <w:lang w:eastAsia="en-AU"/>
              </w:rPr>
            </w:pPr>
            <w:r>
              <w:rPr>
                <w:rFonts w:asciiTheme="minorHAnsi" w:hAnsiTheme="minorHAnsi" w:cstheme="minorHAnsi"/>
                <w:b/>
                <w:color w:val="000000"/>
                <w:sz w:val="20"/>
                <w:szCs w:val="20"/>
                <w:lang w:eastAsia="en-AU"/>
              </w:rPr>
              <w:t>3</w:t>
            </w:r>
          </w:p>
        </w:tc>
        <w:tc>
          <w:tcPr>
            <w:tcW w:w="660" w:type="pct"/>
            <w:gridSpan w:val="2"/>
            <w:tcBorders>
              <w:top w:val="single" w:sz="4" w:space="0" w:color="366092"/>
              <w:left w:val="nil"/>
              <w:bottom w:val="single" w:sz="4" w:space="0" w:color="366092"/>
              <w:right w:val="nil"/>
            </w:tcBorders>
            <w:shd w:val="clear" w:color="000000" w:fill="E5F6F6"/>
            <w:vAlign w:val="center"/>
          </w:tcPr>
          <w:p w:rsidR="00930F2B" w:rsidRPr="00437F95" w:rsidRDefault="005D0E96" w:rsidP="00AA6E7C">
            <w:pPr>
              <w:spacing w:after="0" w:line="240" w:lineRule="auto"/>
              <w:jc w:val="right"/>
              <w:rPr>
                <w:rFonts w:asciiTheme="minorHAnsi" w:hAnsiTheme="minorHAnsi" w:cstheme="minorHAnsi"/>
                <w:b/>
                <w:color w:val="000000"/>
                <w:sz w:val="20"/>
                <w:szCs w:val="20"/>
                <w:lang w:eastAsia="en-AU"/>
              </w:rPr>
            </w:pPr>
            <w:r>
              <w:rPr>
                <w:rFonts w:asciiTheme="minorHAnsi" w:hAnsiTheme="minorHAnsi" w:cstheme="minorHAnsi"/>
                <w:b/>
                <w:color w:val="000000"/>
                <w:sz w:val="20"/>
                <w:szCs w:val="20"/>
                <w:lang w:eastAsia="en-AU"/>
              </w:rPr>
              <w:t>2</w:t>
            </w:r>
          </w:p>
        </w:tc>
        <w:tc>
          <w:tcPr>
            <w:tcW w:w="510" w:type="pct"/>
            <w:gridSpan w:val="2"/>
            <w:tcBorders>
              <w:top w:val="single" w:sz="4" w:space="0" w:color="366092"/>
              <w:left w:val="nil"/>
              <w:bottom w:val="single" w:sz="4" w:space="0" w:color="366092"/>
              <w:right w:val="nil"/>
            </w:tcBorders>
            <w:shd w:val="clear" w:color="000000" w:fill="E5F6F6"/>
            <w:vAlign w:val="center"/>
          </w:tcPr>
          <w:p w:rsidR="00930F2B" w:rsidRPr="00437F95" w:rsidRDefault="0076531C" w:rsidP="00AA6E7C">
            <w:pPr>
              <w:spacing w:after="0" w:line="240" w:lineRule="auto"/>
              <w:jc w:val="right"/>
              <w:rPr>
                <w:rFonts w:asciiTheme="minorHAnsi" w:hAnsiTheme="minorHAnsi" w:cstheme="minorHAnsi"/>
                <w:b/>
                <w:color w:val="000000"/>
                <w:sz w:val="20"/>
                <w:szCs w:val="20"/>
                <w:lang w:eastAsia="en-AU"/>
              </w:rPr>
            </w:pPr>
            <w:r>
              <w:rPr>
                <w:rFonts w:asciiTheme="minorHAnsi" w:hAnsiTheme="minorHAnsi" w:cstheme="minorHAnsi"/>
                <w:b/>
                <w:color w:val="000000"/>
                <w:sz w:val="20"/>
                <w:szCs w:val="20"/>
                <w:lang w:eastAsia="en-AU"/>
              </w:rPr>
              <w:t>2</w:t>
            </w:r>
          </w:p>
        </w:tc>
      </w:tr>
    </w:tbl>
    <w:p w:rsidR="00930F2B" w:rsidRDefault="00930F2B" w:rsidP="00930F2B">
      <w:pPr>
        <w:spacing w:after="0" w:line="240" w:lineRule="auto"/>
        <w:rPr>
          <w:rFonts w:ascii="Arial" w:eastAsiaTheme="minorHAnsi" w:hAnsi="Arial" w:cstheme="minorBidi"/>
          <w:sz w:val="22"/>
          <w:szCs w:val="22"/>
        </w:rPr>
      </w:pPr>
    </w:p>
    <w:p w:rsidR="00930F2B" w:rsidRDefault="00930F2B" w:rsidP="00930F2B">
      <w:pPr>
        <w:spacing w:after="0" w:line="240" w:lineRule="auto"/>
        <w:rPr>
          <w:rFonts w:ascii="Arial" w:eastAsiaTheme="minorHAnsi" w:hAnsi="Arial" w:cstheme="minorBidi"/>
          <w:sz w:val="22"/>
          <w:szCs w:val="22"/>
        </w:rPr>
      </w:pPr>
      <w:r>
        <w:rPr>
          <w:rFonts w:ascii="Arial" w:eastAsiaTheme="minorHAnsi" w:hAnsi="Arial" w:cstheme="minorBidi"/>
          <w:sz w:val="22"/>
          <w:szCs w:val="22"/>
        </w:rPr>
        <w:br w:type="page"/>
      </w:r>
    </w:p>
    <w:p w:rsidR="008A0962" w:rsidRPr="00930F2B" w:rsidRDefault="00EC4BD1" w:rsidP="008C4455">
      <w:pPr>
        <w:pStyle w:val="H1"/>
        <w:spacing w:after="240"/>
        <w:rPr>
          <w:sz w:val="40"/>
          <w:szCs w:val="40"/>
        </w:rPr>
      </w:pPr>
      <w:bookmarkStart w:id="31" w:name="_Toc467075184"/>
      <w:r w:rsidRPr="00930F2B">
        <w:rPr>
          <w:sz w:val="40"/>
          <w:szCs w:val="40"/>
        </w:rPr>
        <w:lastRenderedPageBreak/>
        <w:t>Glossary</w:t>
      </w:r>
      <w:bookmarkEnd w:id="31"/>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889"/>
        <w:gridCol w:w="4191"/>
        <w:gridCol w:w="3492"/>
      </w:tblGrid>
      <w:tr w:rsidR="00193B5A" w:rsidRPr="001F2B9C" w:rsidTr="001138F2">
        <w:trPr>
          <w:trHeight w:val="439"/>
          <w:tblHeader/>
          <w:jc w:val="center"/>
        </w:trPr>
        <w:tc>
          <w:tcPr>
            <w:tcW w:w="987" w:type="pct"/>
            <w:tcBorders>
              <w:bottom w:val="single" w:sz="4" w:space="0" w:color="auto"/>
            </w:tcBorders>
            <w:shd w:val="clear" w:color="auto" w:fill="004855" w:themeFill="accent1"/>
            <w:vAlign w:val="center"/>
          </w:tcPr>
          <w:p w:rsidR="00193B5A" w:rsidRPr="00193B5A" w:rsidRDefault="00193B5A" w:rsidP="00E949B0">
            <w:pPr>
              <w:tabs>
                <w:tab w:val="left" w:pos="284"/>
                <w:tab w:val="left" w:pos="14742"/>
              </w:tabs>
              <w:spacing w:after="0"/>
              <w:jc w:val="center"/>
              <w:rPr>
                <w:rFonts w:asciiTheme="minorHAnsi" w:hAnsiTheme="minorHAnsi" w:cstheme="minorHAnsi"/>
                <w:b/>
                <w:color w:val="FFFFFF" w:themeColor="background2"/>
                <w:sz w:val="22"/>
                <w:szCs w:val="20"/>
              </w:rPr>
            </w:pPr>
            <w:r w:rsidRPr="00193B5A">
              <w:rPr>
                <w:rFonts w:asciiTheme="minorHAnsi" w:hAnsiTheme="minorHAnsi" w:cstheme="minorHAnsi"/>
                <w:b/>
                <w:color w:val="FFFFFF" w:themeColor="background2"/>
                <w:sz w:val="22"/>
                <w:szCs w:val="20"/>
              </w:rPr>
              <w:t>Measure</w:t>
            </w:r>
            <w:r w:rsidR="00866C93">
              <w:rPr>
                <w:rFonts w:asciiTheme="minorHAnsi" w:hAnsiTheme="minorHAnsi" w:cstheme="minorHAnsi"/>
                <w:b/>
                <w:color w:val="FFFFFF" w:themeColor="background2"/>
                <w:sz w:val="22"/>
                <w:szCs w:val="20"/>
              </w:rPr>
              <w:t>/Term</w:t>
            </w:r>
          </w:p>
        </w:tc>
        <w:tc>
          <w:tcPr>
            <w:tcW w:w="2189" w:type="pct"/>
            <w:tcBorders>
              <w:bottom w:val="single" w:sz="4" w:space="0" w:color="auto"/>
            </w:tcBorders>
            <w:shd w:val="clear" w:color="auto" w:fill="004855" w:themeFill="accent1"/>
            <w:vAlign w:val="center"/>
          </w:tcPr>
          <w:p w:rsidR="00193B5A" w:rsidRPr="00193B5A" w:rsidRDefault="00193B5A">
            <w:pPr>
              <w:tabs>
                <w:tab w:val="left" w:pos="284"/>
                <w:tab w:val="left" w:pos="14742"/>
              </w:tabs>
              <w:spacing w:after="0"/>
              <w:jc w:val="center"/>
              <w:rPr>
                <w:rFonts w:asciiTheme="minorHAnsi" w:hAnsiTheme="minorHAnsi" w:cstheme="minorHAnsi"/>
                <w:b/>
                <w:color w:val="FFFFFF" w:themeColor="background2"/>
                <w:sz w:val="22"/>
                <w:szCs w:val="20"/>
              </w:rPr>
            </w:pPr>
            <w:r w:rsidRPr="00193B5A">
              <w:rPr>
                <w:rFonts w:asciiTheme="minorHAnsi" w:hAnsiTheme="minorHAnsi" w:cstheme="minorHAnsi"/>
                <w:b/>
                <w:color w:val="FFFFFF" w:themeColor="background2"/>
                <w:sz w:val="22"/>
                <w:szCs w:val="20"/>
              </w:rPr>
              <w:t>Data elements</w:t>
            </w:r>
            <w:r w:rsidR="00866C93">
              <w:rPr>
                <w:rFonts w:asciiTheme="minorHAnsi" w:hAnsiTheme="minorHAnsi" w:cstheme="minorHAnsi"/>
                <w:b/>
                <w:color w:val="FFFFFF" w:themeColor="background2"/>
                <w:sz w:val="22"/>
                <w:szCs w:val="20"/>
              </w:rPr>
              <w:t>/explanation</w:t>
            </w:r>
            <w:r w:rsidRPr="00193B5A">
              <w:rPr>
                <w:rFonts w:asciiTheme="minorHAnsi" w:hAnsiTheme="minorHAnsi" w:cstheme="minorHAnsi"/>
                <w:b/>
                <w:color w:val="FFFFFF" w:themeColor="background2"/>
                <w:sz w:val="22"/>
                <w:szCs w:val="20"/>
              </w:rPr>
              <w:t xml:space="preserve"> </w:t>
            </w:r>
          </w:p>
        </w:tc>
        <w:tc>
          <w:tcPr>
            <w:tcW w:w="1824" w:type="pct"/>
            <w:tcBorders>
              <w:bottom w:val="single" w:sz="4" w:space="0" w:color="auto"/>
            </w:tcBorders>
            <w:shd w:val="clear" w:color="auto" w:fill="004855" w:themeFill="accent1"/>
            <w:vAlign w:val="center"/>
          </w:tcPr>
          <w:p w:rsidR="00193B5A" w:rsidRPr="00193B5A" w:rsidRDefault="00193B5A" w:rsidP="00E949B0">
            <w:pPr>
              <w:tabs>
                <w:tab w:val="left" w:pos="284"/>
                <w:tab w:val="left" w:pos="14742"/>
              </w:tabs>
              <w:spacing w:after="0"/>
              <w:jc w:val="center"/>
              <w:rPr>
                <w:rFonts w:asciiTheme="minorHAnsi" w:hAnsiTheme="minorHAnsi" w:cstheme="minorHAnsi"/>
                <w:b/>
                <w:color w:val="FFFFFF" w:themeColor="background2"/>
                <w:sz w:val="22"/>
                <w:szCs w:val="20"/>
              </w:rPr>
            </w:pPr>
            <w:r w:rsidRPr="00193B5A">
              <w:rPr>
                <w:rFonts w:asciiTheme="minorHAnsi" w:hAnsiTheme="minorHAnsi" w:cstheme="minorHAnsi"/>
                <w:b/>
                <w:color w:val="FFFFFF" w:themeColor="background2"/>
                <w:sz w:val="22"/>
                <w:szCs w:val="20"/>
              </w:rPr>
              <w:t>Calculation</w:t>
            </w:r>
          </w:p>
        </w:tc>
      </w:tr>
      <w:tr w:rsidR="002D0A5B" w:rsidRPr="001F2B9C" w:rsidTr="006B0360">
        <w:trPr>
          <w:jc w:val="center"/>
        </w:trPr>
        <w:tc>
          <w:tcPr>
            <w:tcW w:w="987" w:type="pct"/>
            <w:tcBorders>
              <w:top w:val="single" w:sz="4" w:space="0" w:color="auto"/>
              <w:left w:val="single" w:sz="4" w:space="0" w:color="auto"/>
              <w:bottom w:val="single" w:sz="4" w:space="0" w:color="auto"/>
              <w:right w:val="single" w:sz="4" w:space="0" w:color="auto"/>
            </w:tcBorders>
          </w:tcPr>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b/>
                <w:i/>
                <w:sz w:val="20"/>
                <w:szCs w:val="20"/>
              </w:rPr>
              <w:t>Asset replacement</w:t>
            </w:r>
            <w:r w:rsidRPr="001F2B9C">
              <w:rPr>
                <w:rFonts w:asciiTheme="minorHAnsi" w:hAnsiTheme="minorHAnsi" w:cstheme="minorHAnsi"/>
                <w:sz w:val="20"/>
                <w:szCs w:val="20"/>
              </w:rPr>
              <w:t xml:space="preserve"> </w:t>
            </w:r>
            <w:r w:rsidRPr="001F2B9C">
              <w:rPr>
                <w:rFonts w:asciiTheme="minorHAnsi" w:hAnsiTheme="minorHAnsi" w:cstheme="minorHAnsi"/>
                <w:b/>
                <w:i/>
                <w:sz w:val="20"/>
                <w:szCs w:val="20"/>
              </w:rPr>
              <w:t>ratio</w:t>
            </w:r>
          </w:p>
        </w:tc>
        <w:tc>
          <w:tcPr>
            <w:tcW w:w="2189" w:type="pct"/>
            <w:tcBorders>
              <w:top w:val="single" w:sz="4" w:space="0" w:color="auto"/>
              <w:left w:val="single" w:sz="4" w:space="0" w:color="auto"/>
              <w:bottom w:val="single" w:sz="4" w:space="0" w:color="auto"/>
              <w:right w:val="single" w:sz="4" w:space="0" w:color="auto"/>
            </w:tcBorders>
          </w:tcPr>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COPPE = Cash Outflows for property, plant &amp; equipment</w:t>
            </w:r>
          </w:p>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Depn = Depreciation</w:t>
            </w:r>
          </w:p>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n = current year figure</w:t>
            </w:r>
          </w:p>
        </w:tc>
        <w:tc>
          <w:tcPr>
            <w:tcW w:w="1824" w:type="pct"/>
            <w:tcBorders>
              <w:top w:val="single" w:sz="4" w:space="0" w:color="auto"/>
              <w:left w:val="single" w:sz="4" w:space="0" w:color="auto"/>
              <w:bottom w:val="single" w:sz="4" w:space="0" w:color="auto"/>
              <w:right w:val="single" w:sz="4" w:space="0" w:color="auto"/>
            </w:tcBorders>
          </w:tcPr>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Asset replacement ratio</w:t>
            </w:r>
          </w:p>
          <w:p w:rsidR="002D0A5B" w:rsidRPr="001F2B9C" w:rsidRDefault="002D0A5B" w:rsidP="006B0360">
            <w:pPr>
              <w:tabs>
                <w:tab w:val="left" w:pos="284"/>
                <w:tab w:val="left" w:pos="14742"/>
              </w:tabs>
              <w:rPr>
                <w:rFonts w:asciiTheme="minorHAnsi" w:hAnsiTheme="minorHAnsi" w:cstheme="minorHAnsi"/>
                <w:sz w:val="20"/>
                <w:szCs w:val="20"/>
              </w:rPr>
            </w:pPr>
            <m:oMathPara>
              <m:oMath>
                <m:r>
                  <m:rPr>
                    <m:sty m:val="p"/>
                  </m:rPr>
                  <w:rPr>
                    <w:rFonts w:ascii="Cambria Math" w:hAnsi="Cambria Math" w:cstheme="minorHAnsi"/>
                    <w:sz w:val="16"/>
                    <w:szCs w:val="16"/>
                  </w:rPr>
                  <m:t>=</m:t>
                </m:r>
                <m:f>
                  <m:fPr>
                    <m:ctrlPr>
                      <w:rPr>
                        <w:rFonts w:ascii="Cambria Math" w:hAnsi="Cambria Math" w:cstheme="minorHAnsi"/>
                        <w:sz w:val="16"/>
                        <w:szCs w:val="16"/>
                      </w:rPr>
                    </m:ctrlPr>
                  </m:fPr>
                  <m:num>
                    <m:d>
                      <m:dPr>
                        <m:ctrlPr>
                          <w:rPr>
                            <w:rFonts w:ascii="Cambria Math" w:hAnsi="Cambria Math" w:cstheme="minorHAnsi"/>
                            <w:i/>
                            <w:sz w:val="16"/>
                            <w:szCs w:val="16"/>
                          </w:rPr>
                        </m:ctrlPr>
                      </m:dPr>
                      <m:e>
                        <m:f>
                          <m:fPr>
                            <m:ctrlPr>
                              <w:rPr>
                                <w:rFonts w:ascii="Cambria Math" w:hAnsi="Cambria Math" w:cstheme="minorHAnsi"/>
                                <w:i/>
                                <w:sz w:val="16"/>
                                <w:szCs w:val="16"/>
                              </w:rPr>
                            </m:ctrlPr>
                          </m:fPr>
                          <m:num>
                            <m:sSub>
                              <m:sSubPr>
                                <m:ctrlPr>
                                  <w:rPr>
                                    <w:rFonts w:ascii="Cambria Math" w:hAnsi="Cambria Math" w:cstheme="minorHAnsi"/>
                                    <w:i/>
                                    <w:sz w:val="16"/>
                                    <w:szCs w:val="16"/>
                                  </w:rPr>
                                </m:ctrlPr>
                              </m:sSubPr>
                              <m:e>
                                <m:r>
                                  <w:rPr>
                                    <w:rFonts w:ascii="Cambria Math" w:hAnsi="Cambria Math" w:cstheme="minorHAnsi"/>
                                    <w:sz w:val="16"/>
                                    <w:szCs w:val="16"/>
                                  </w:rPr>
                                  <m:t>COPPE</m:t>
                                </m:r>
                              </m:e>
                              <m:sub>
                                <m:r>
                                  <w:rPr>
                                    <w:rFonts w:ascii="Cambria Math" w:hAnsi="Cambria Math" w:cstheme="minorHAnsi"/>
                                    <w:sz w:val="16"/>
                                    <w:szCs w:val="16"/>
                                  </w:rPr>
                                  <m:t>n</m:t>
                                </m:r>
                              </m:sub>
                            </m:sSub>
                          </m:num>
                          <m:den>
                            <m:sSub>
                              <m:sSubPr>
                                <m:ctrlPr>
                                  <w:rPr>
                                    <w:rFonts w:ascii="Cambria Math" w:hAnsi="Cambria Math" w:cstheme="minorHAnsi"/>
                                    <w:i/>
                                    <w:sz w:val="16"/>
                                    <w:szCs w:val="16"/>
                                  </w:rPr>
                                </m:ctrlPr>
                              </m:sSubPr>
                              <m:e>
                                <m:r>
                                  <w:rPr>
                                    <w:rFonts w:ascii="Cambria Math" w:hAnsi="Cambria Math" w:cstheme="minorHAnsi"/>
                                    <w:sz w:val="16"/>
                                    <w:szCs w:val="16"/>
                                  </w:rPr>
                                  <m:t>Depn</m:t>
                                </m:r>
                              </m:e>
                              <m:sub>
                                <m:r>
                                  <w:rPr>
                                    <w:rFonts w:ascii="Cambria Math" w:hAnsi="Cambria Math" w:cstheme="minorHAnsi"/>
                                    <w:sz w:val="16"/>
                                    <w:szCs w:val="16"/>
                                  </w:rPr>
                                  <m:t>n</m:t>
                                </m:r>
                              </m:sub>
                            </m:sSub>
                          </m:den>
                        </m:f>
                      </m:e>
                    </m:d>
                    <m:r>
                      <w:rPr>
                        <w:rFonts w:ascii="Cambria Math" w:hAnsi="Cambria Math" w:cstheme="minorHAnsi"/>
                        <w:sz w:val="16"/>
                        <w:szCs w:val="16"/>
                      </w:rPr>
                      <m:t xml:space="preserve">+ </m:t>
                    </m:r>
                    <m:d>
                      <m:dPr>
                        <m:ctrlPr>
                          <w:rPr>
                            <w:rFonts w:ascii="Cambria Math" w:hAnsi="Cambria Math" w:cstheme="minorHAnsi"/>
                            <w:i/>
                            <w:sz w:val="16"/>
                            <w:szCs w:val="16"/>
                          </w:rPr>
                        </m:ctrlPr>
                      </m:dPr>
                      <m:e>
                        <m:f>
                          <m:fPr>
                            <m:ctrlPr>
                              <w:rPr>
                                <w:rFonts w:ascii="Cambria Math" w:hAnsi="Cambria Math" w:cstheme="minorHAnsi"/>
                                <w:i/>
                                <w:sz w:val="16"/>
                                <w:szCs w:val="16"/>
                              </w:rPr>
                            </m:ctrlPr>
                          </m:fPr>
                          <m:num>
                            <m:sSub>
                              <m:sSubPr>
                                <m:ctrlPr>
                                  <w:rPr>
                                    <w:rFonts w:ascii="Cambria Math" w:hAnsi="Cambria Math" w:cstheme="minorHAnsi"/>
                                    <w:i/>
                                    <w:sz w:val="16"/>
                                    <w:szCs w:val="16"/>
                                  </w:rPr>
                                </m:ctrlPr>
                              </m:sSubPr>
                              <m:e>
                                <m:r>
                                  <w:rPr>
                                    <w:rFonts w:ascii="Cambria Math" w:hAnsi="Cambria Math" w:cstheme="minorHAnsi"/>
                                    <w:sz w:val="16"/>
                                    <w:szCs w:val="16"/>
                                  </w:rPr>
                                  <m:t>COPPE</m:t>
                                </m:r>
                              </m:e>
                              <m:sub>
                                <m:r>
                                  <w:rPr>
                                    <w:rFonts w:ascii="Cambria Math" w:hAnsi="Cambria Math" w:cstheme="minorHAnsi"/>
                                    <w:sz w:val="16"/>
                                    <w:szCs w:val="16"/>
                                  </w:rPr>
                                  <m:t>n-1</m:t>
                                </m:r>
                              </m:sub>
                            </m:sSub>
                          </m:num>
                          <m:den>
                            <m:sSub>
                              <m:sSubPr>
                                <m:ctrlPr>
                                  <w:rPr>
                                    <w:rFonts w:ascii="Cambria Math" w:hAnsi="Cambria Math" w:cstheme="minorHAnsi"/>
                                    <w:i/>
                                    <w:sz w:val="16"/>
                                    <w:szCs w:val="16"/>
                                  </w:rPr>
                                </m:ctrlPr>
                              </m:sSubPr>
                              <m:e>
                                <m:r>
                                  <w:rPr>
                                    <w:rFonts w:ascii="Cambria Math" w:hAnsi="Cambria Math" w:cstheme="minorHAnsi"/>
                                    <w:sz w:val="16"/>
                                    <w:szCs w:val="16"/>
                                  </w:rPr>
                                  <m:t>Depn</m:t>
                                </m:r>
                              </m:e>
                              <m:sub>
                                <m:r>
                                  <w:rPr>
                                    <w:rFonts w:ascii="Cambria Math" w:hAnsi="Cambria Math" w:cstheme="minorHAnsi"/>
                                    <w:sz w:val="16"/>
                                    <w:szCs w:val="16"/>
                                  </w:rPr>
                                  <m:t>n-1</m:t>
                                </m:r>
                              </m:sub>
                            </m:sSub>
                          </m:den>
                        </m:f>
                      </m:e>
                    </m:d>
                    <m:r>
                      <w:rPr>
                        <w:rFonts w:ascii="Cambria Math" w:hAnsi="Cambria Math" w:cstheme="minorHAnsi"/>
                        <w:sz w:val="16"/>
                        <w:szCs w:val="16"/>
                      </w:rPr>
                      <m:t xml:space="preserve"> + </m:t>
                    </m:r>
                    <m:d>
                      <m:dPr>
                        <m:ctrlPr>
                          <w:rPr>
                            <w:rFonts w:ascii="Cambria Math" w:hAnsi="Cambria Math" w:cstheme="minorHAnsi"/>
                            <w:i/>
                            <w:sz w:val="16"/>
                            <w:szCs w:val="16"/>
                          </w:rPr>
                        </m:ctrlPr>
                      </m:dPr>
                      <m:e>
                        <m:f>
                          <m:fPr>
                            <m:ctrlPr>
                              <w:rPr>
                                <w:rFonts w:ascii="Cambria Math" w:hAnsi="Cambria Math" w:cstheme="minorHAnsi"/>
                                <w:i/>
                                <w:sz w:val="16"/>
                                <w:szCs w:val="16"/>
                              </w:rPr>
                            </m:ctrlPr>
                          </m:fPr>
                          <m:num>
                            <m:sSub>
                              <m:sSubPr>
                                <m:ctrlPr>
                                  <w:rPr>
                                    <w:rFonts w:ascii="Cambria Math" w:hAnsi="Cambria Math" w:cstheme="minorHAnsi"/>
                                    <w:i/>
                                    <w:sz w:val="16"/>
                                    <w:szCs w:val="16"/>
                                  </w:rPr>
                                </m:ctrlPr>
                              </m:sSubPr>
                              <m:e>
                                <m:r>
                                  <w:rPr>
                                    <w:rFonts w:ascii="Cambria Math" w:hAnsi="Cambria Math" w:cstheme="minorHAnsi"/>
                                    <w:sz w:val="16"/>
                                    <w:szCs w:val="16"/>
                                  </w:rPr>
                                  <m:t>COPPE</m:t>
                                </m:r>
                              </m:e>
                              <m:sub>
                                <m:r>
                                  <w:rPr>
                                    <w:rFonts w:ascii="Cambria Math" w:hAnsi="Cambria Math" w:cstheme="minorHAnsi"/>
                                    <w:sz w:val="16"/>
                                    <w:szCs w:val="16"/>
                                  </w:rPr>
                                  <m:t>n-2</m:t>
                                </m:r>
                              </m:sub>
                            </m:sSub>
                          </m:num>
                          <m:den>
                            <m:sSub>
                              <m:sSubPr>
                                <m:ctrlPr>
                                  <w:rPr>
                                    <w:rFonts w:ascii="Cambria Math" w:hAnsi="Cambria Math" w:cstheme="minorHAnsi"/>
                                    <w:i/>
                                    <w:sz w:val="16"/>
                                    <w:szCs w:val="16"/>
                                  </w:rPr>
                                </m:ctrlPr>
                              </m:sSubPr>
                              <m:e>
                                <m:r>
                                  <w:rPr>
                                    <w:rFonts w:ascii="Cambria Math" w:hAnsi="Cambria Math" w:cstheme="minorHAnsi"/>
                                    <w:sz w:val="16"/>
                                    <w:szCs w:val="16"/>
                                  </w:rPr>
                                  <m:t>Depn</m:t>
                                </m:r>
                              </m:e>
                              <m:sub>
                                <m:r>
                                  <w:rPr>
                                    <w:rFonts w:ascii="Cambria Math" w:hAnsi="Cambria Math" w:cstheme="minorHAnsi"/>
                                    <w:sz w:val="16"/>
                                    <w:szCs w:val="16"/>
                                  </w:rPr>
                                  <m:t>n-2</m:t>
                                </m:r>
                              </m:sub>
                            </m:sSub>
                          </m:den>
                        </m:f>
                      </m:e>
                    </m:d>
                  </m:num>
                  <m:den>
                    <m:r>
                      <w:rPr>
                        <w:rFonts w:ascii="Cambria Math" w:hAnsi="Cambria Math" w:cstheme="minorHAnsi"/>
                        <w:sz w:val="16"/>
                        <w:szCs w:val="16"/>
                      </w:rPr>
                      <m:t>3</m:t>
                    </m:r>
                  </m:den>
                </m:f>
              </m:oMath>
            </m:oMathPara>
          </w:p>
        </w:tc>
      </w:tr>
      <w:tr w:rsidR="002D0A5B" w:rsidRPr="001F2B9C" w:rsidTr="006B0360">
        <w:trPr>
          <w:trHeight w:val="1378"/>
          <w:jc w:val="center"/>
        </w:trPr>
        <w:tc>
          <w:tcPr>
            <w:tcW w:w="987" w:type="pct"/>
            <w:tcBorders>
              <w:top w:val="single" w:sz="4" w:space="0" w:color="auto"/>
              <w:left w:val="single" w:sz="4" w:space="0" w:color="auto"/>
              <w:bottom w:val="single" w:sz="4" w:space="0" w:color="auto"/>
              <w:right w:val="single" w:sz="4" w:space="0" w:color="auto"/>
            </w:tcBorders>
          </w:tcPr>
          <w:p w:rsidR="002D0A5B" w:rsidRPr="00AC59EA" w:rsidRDefault="002D0A5B" w:rsidP="006B0360">
            <w:pPr>
              <w:tabs>
                <w:tab w:val="left" w:pos="284"/>
                <w:tab w:val="left" w:pos="14742"/>
              </w:tabs>
              <w:rPr>
                <w:rFonts w:asciiTheme="minorHAnsi" w:hAnsiTheme="minorHAnsi" w:cstheme="minorHAnsi"/>
                <w:b/>
                <w:i/>
                <w:sz w:val="20"/>
                <w:szCs w:val="20"/>
              </w:rPr>
            </w:pPr>
            <w:r w:rsidRPr="00AC59EA">
              <w:rPr>
                <w:rFonts w:asciiTheme="minorHAnsi" w:hAnsiTheme="minorHAnsi" w:cstheme="minorHAnsi"/>
                <w:b/>
                <w:i/>
                <w:sz w:val="20"/>
                <w:szCs w:val="20"/>
              </w:rPr>
              <w:t>EBITDA margin</w:t>
            </w:r>
          </w:p>
        </w:tc>
        <w:tc>
          <w:tcPr>
            <w:tcW w:w="2189" w:type="pct"/>
            <w:tcBorders>
              <w:top w:val="single" w:sz="4" w:space="0" w:color="auto"/>
              <w:left w:val="single" w:sz="4" w:space="0" w:color="auto"/>
              <w:bottom w:val="single" w:sz="4" w:space="0" w:color="auto"/>
              <w:right w:val="single" w:sz="4" w:space="0" w:color="auto"/>
            </w:tcBorders>
          </w:tcPr>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EBITDA = Earnings before Interest, Tax, Depreciation and Amortisation</w:t>
            </w:r>
          </w:p>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xml:space="preserve">AR = Adjusted Revenue </w:t>
            </w:r>
          </w:p>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Adjusted Revenue is total revenue excluding capital grants and abnormal or non-recurring items.</w:t>
            </w:r>
          </w:p>
        </w:tc>
        <w:tc>
          <w:tcPr>
            <w:tcW w:w="1824" w:type="pct"/>
            <w:tcBorders>
              <w:top w:val="single" w:sz="4" w:space="0" w:color="auto"/>
              <w:left w:val="single" w:sz="4" w:space="0" w:color="auto"/>
              <w:bottom w:val="single" w:sz="4" w:space="0" w:color="auto"/>
              <w:right w:val="single" w:sz="4" w:space="0" w:color="auto"/>
            </w:tcBorders>
          </w:tcPr>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xml:space="preserve">EBITDA margin </w:t>
            </w:r>
            <w:r>
              <w:rPr>
                <w:rFonts w:asciiTheme="minorHAnsi" w:hAnsiTheme="minorHAnsi" w:cstheme="minorHAnsi"/>
                <w:sz w:val="20"/>
                <w:szCs w:val="20"/>
              </w:rPr>
              <w:t>(%)</w:t>
            </w:r>
          </w:p>
          <w:p w:rsidR="002D0A5B" w:rsidRPr="001F2B9C" w:rsidRDefault="002D0A5B"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EBITDA / AR</w:t>
            </w:r>
            <w:r>
              <w:rPr>
                <w:rFonts w:asciiTheme="minorHAnsi" w:hAnsiTheme="minorHAnsi" w:cstheme="minorHAnsi"/>
                <w:sz w:val="20"/>
                <w:szCs w:val="20"/>
              </w:rPr>
              <w:t xml:space="preserve"> x 100</w:t>
            </w:r>
          </w:p>
        </w:tc>
      </w:tr>
      <w:tr w:rsidR="00866C93" w:rsidRPr="001F2B9C" w:rsidTr="00B87631">
        <w:trPr>
          <w:trHeight w:val="1378"/>
          <w:jc w:val="center"/>
        </w:trPr>
        <w:tc>
          <w:tcPr>
            <w:tcW w:w="987" w:type="pct"/>
            <w:tcBorders>
              <w:top w:val="single" w:sz="4" w:space="0" w:color="auto"/>
              <w:left w:val="single" w:sz="4" w:space="0" w:color="auto"/>
              <w:bottom w:val="single" w:sz="4" w:space="0" w:color="auto"/>
              <w:right w:val="single" w:sz="4" w:space="0" w:color="auto"/>
            </w:tcBorders>
          </w:tcPr>
          <w:p w:rsidR="00866C93" w:rsidRPr="001F2B9C" w:rsidRDefault="00866C93" w:rsidP="00B87631">
            <w:pPr>
              <w:tabs>
                <w:tab w:val="left" w:pos="284"/>
                <w:tab w:val="left" w:pos="14742"/>
              </w:tabs>
              <w:rPr>
                <w:rFonts w:asciiTheme="minorHAnsi" w:hAnsiTheme="minorHAnsi" w:cstheme="minorHAnsi"/>
                <w:sz w:val="20"/>
                <w:szCs w:val="20"/>
              </w:rPr>
            </w:pPr>
            <w:r w:rsidRPr="001F2B9C">
              <w:rPr>
                <w:rFonts w:asciiTheme="minorHAnsi" w:hAnsiTheme="minorHAnsi" w:cstheme="minorHAnsi"/>
                <w:b/>
                <w:i/>
                <w:sz w:val="20"/>
                <w:szCs w:val="20"/>
              </w:rPr>
              <w:t>Employee Benefits Ratio</w:t>
            </w:r>
          </w:p>
        </w:tc>
        <w:tc>
          <w:tcPr>
            <w:tcW w:w="2189" w:type="pct"/>
            <w:tcBorders>
              <w:top w:val="single" w:sz="4" w:space="0" w:color="auto"/>
              <w:left w:val="single" w:sz="4" w:space="0" w:color="auto"/>
              <w:bottom w:val="single" w:sz="4" w:space="0" w:color="auto"/>
              <w:right w:val="single" w:sz="4" w:space="0" w:color="auto"/>
            </w:tcBorders>
          </w:tcPr>
          <w:p w:rsidR="00866C93" w:rsidRPr="001F2B9C" w:rsidRDefault="00866C93" w:rsidP="00B87631">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xml:space="preserve">TEBE = Total Employee benefits expense </w:t>
            </w:r>
          </w:p>
          <w:p w:rsidR="00866C93" w:rsidRPr="001F2B9C" w:rsidRDefault="00866C93" w:rsidP="00B87631">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AR = Adjusted Revenue</w:t>
            </w:r>
          </w:p>
          <w:p w:rsidR="00866C93" w:rsidRPr="001F2B9C" w:rsidRDefault="00866C93" w:rsidP="00B87631">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Adjusted Revenue is total revenue excluding capital grants and abnormal or non-recurring items.</w:t>
            </w:r>
          </w:p>
        </w:tc>
        <w:tc>
          <w:tcPr>
            <w:tcW w:w="1824" w:type="pct"/>
            <w:tcBorders>
              <w:top w:val="single" w:sz="4" w:space="0" w:color="auto"/>
              <w:left w:val="single" w:sz="4" w:space="0" w:color="auto"/>
              <w:bottom w:val="single" w:sz="4" w:space="0" w:color="auto"/>
              <w:right w:val="single" w:sz="4" w:space="0" w:color="auto"/>
            </w:tcBorders>
          </w:tcPr>
          <w:p w:rsidR="00866C93" w:rsidRPr="001F2B9C" w:rsidRDefault="00866C93" w:rsidP="00B87631">
            <w:pPr>
              <w:tabs>
                <w:tab w:val="left" w:pos="284"/>
                <w:tab w:val="left" w:pos="14742"/>
              </w:tabs>
              <w:rPr>
                <w:rFonts w:asciiTheme="minorHAnsi" w:hAnsiTheme="minorHAnsi" w:cstheme="minorHAnsi"/>
                <w:sz w:val="20"/>
                <w:szCs w:val="20"/>
                <w:u w:val="single"/>
              </w:rPr>
            </w:pPr>
            <w:r w:rsidRPr="001F2B9C">
              <w:rPr>
                <w:rFonts w:asciiTheme="minorHAnsi" w:hAnsiTheme="minorHAnsi" w:cstheme="minorHAnsi"/>
                <w:sz w:val="20"/>
                <w:szCs w:val="20"/>
              </w:rPr>
              <w:t>Employee benefits ratio</w:t>
            </w:r>
            <w:r w:rsidRPr="00203892">
              <w:rPr>
                <w:rFonts w:asciiTheme="minorHAnsi" w:hAnsiTheme="minorHAnsi" w:cstheme="minorHAnsi"/>
                <w:sz w:val="20"/>
                <w:szCs w:val="20"/>
              </w:rPr>
              <w:t xml:space="preserve"> (%)</w:t>
            </w:r>
          </w:p>
          <w:p w:rsidR="00866C93" w:rsidRPr="001F2B9C" w:rsidRDefault="00866C93" w:rsidP="00B87631">
            <w:pPr>
              <w:tabs>
                <w:tab w:val="left" w:pos="284"/>
                <w:tab w:val="left" w:pos="14742"/>
              </w:tabs>
              <w:rPr>
                <w:rFonts w:asciiTheme="minorHAnsi" w:hAnsiTheme="minorHAnsi" w:cstheme="minorHAnsi"/>
                <w:sz w:val="20"/>
                <w:szCs w:val="20"/>
                <w:u w:val="single"/>
              </w:rPr>
            </w:pPr>
            <w:r w:rsidRPr="001F2B9C">
              <w:rPr>
                <w:rFonts w:asciiTheme="minorHAnsi" w:hAnsiTheme="minorHAnsi" w:cstheme="minorHAnsi"/>
                <w:sz w:val="20"/>
                <w:szCs w:val="20"/>
              </w:rPr>
              <w:t>= TEBE / AR x 100</w:t>
            </w:r>
          </w:p>
          <w:p w:rsidR="00866C93" w:rsidRPr="001F2B9C" w:rsidRDefault="00866C93" w:rsidP="00B87631">
            <w:pPr>
              <w:tabs>
                <w:tab w:val="left" w:pos="284"/>
                <w:tab w:val="left" w:pos="14742"/>
              </w:tabs>
              <w:rPr>
                <w:rFonts w:asciiTheme="minorHAnsi" w:hAnsiTheme="minorHAnsi" w:cstheme="minorHAnsi"/>
                <w:sz w:val="20"/>
                <w:szCs w:val="20"/>
              </w:rPr>
            </w:pPr>
          </w:p>
          <w:p w:rsidR="00866C93" w:rsidRPr="001F2B9C" w:rsidRDefault="00866C93" w:rsidP="00B87631">
            <w:pPr>
              <w:tabs>
                <w:tab w:val="left" w:pos="284"/>
                <w:tab w:val="left" w:pos="14742"/>
              </w:tabs>
              <w:rPr>
                <w:rFonts w:asciiTheme="minorHAnsi" w:hAnsiTheme="minorHAnsi" w:cstheme="minorHAnsi"/>
                <w:sz w:val="20"/>
                <w:szCs w:val="20"/>
              </w:rPr>
            </w:pPr>
          </w:p>
        </w:tc>
      </w:tr>
      <w:tr w:rsidR="00866C93" w:rsidRPr="001F2B9C" w:rsidTr="009538E0">
        <w:trPr>
          <w:trHeight w:val="1378"/>
          <w:jc w:val="center"/>
        </w:trPr>
        <w:tc>
          <w:tcPr>
            <w:tcW w:w="987" w:type="pct"/>
            <w:tcBorders>
              <w:top w:val="single" w:sz="4" w:space="0" w:color="auto"/>
              <w:left w:val="single" w:sz="4" w:space="0" w:color="auto"/>
              <w:bottom w:val="single" w:sz="4" w:space="0" w:color="auto"/>
              <w:right w:val="single" w:sz="4" w:space="0" w:color="auto"/>
            </w:tcBorders>
          </w:tcPr>
          <w:p w:rsidR="00866C93" w:rsidRPr="001F2B9C" w:rsidRDefault="00866C93" w:rsidP="006B0360">
            <w:pPr>
              <w:tabs>
                <w:tab w:val="left" w:pos="284"/>
                <w:tab w:val="left" w:pos="14742"/>
              </w:tabs>
              <w:rPr>
                <w:rFonts w:asciiTheme="minorHAnsi" w:hAnsiTheme="minorHAnsi" w:cstheme="minorHAnsi"/>
                <w:b/>
                <w:i/>
                <w:sz w:val="20"/>
                <w:szCs w:val="20"/>
              </w:rPr>
            </w:pPr>
            <w:r>
              <w:rPr>
                <w:rFonts w:asciiTheme="minorHAnsi" w:hAnsiTheme="minorHAnsi" w:cstheme="minorHAnsi"/>
                <w:b/>
                <w:i/>
                <w:sz w:val="20"/>
                <w:szCs w:val="20"/>
              </w:rPr>
              <w:t>Equivalent Full Time Student Load (EFTSL)</w:t>
            </w:r>
          </w:p>
        </w:tc>
        <w:tc>
          <w:tcPr>
            <w:tcW w:w="2189" w:type="pct"/>
            <w:tcBorders>
              <w:top w:val="single" w:sz="4" w:space="0" w:color="auto"/>
              <w:left w:val="single" w:sz="4" w:space="0" w:color="auto"/>
              <w:bottom w:val="single" w:sz="4" w:space="0" w:color="auto"/>
              <w:right w:val="single" w:sz="4" w:space="0" w:color="auto"/>
            </w:tcBorders>
          </w:tcPr>
          <w:p w:rsidR="00866C93" w:rsidRPr="001F2B9C" w:rsidRDefault="00866C93" w:rsidP="006B0360">
            <w:pPr>
              <w:tabs>
                <w:tab w:val="left" w:pos="284"/>
                <w:tab w:val="left" w:pos="14742"/>
              </w:tabs>
              <w:rPr>
                <w:rFonts w:asciiTheme="minorHAnsi" w:hAnsiTheme="minorHAnsi" w:cstheme="minorHAnsi"/>
                <w:sz w:val="20"/>
                <w:szCs w:val="20"/>
              </w:rPr>
            </w:pPr>
            <w:r w:rsidRPr="00E003FB">
              <w:rPr>
                <w:rFonts w:asciiTheme="minorHAnsi" w:eastAsiaTheme="minorHAnsi" w:hAnsiTheme="minorHAnsi" w:cstheme="minorHAnsi"/>
                <w:sz w:val="20"/>
                <w:szCs w:val="20"/>
              </w:rPr>
              <w:t xml:space="preserve">EFTSL is a measure of the study load for a year of a student undertaking a course of study on a full-time basis. Total EFTSL for a full-time student in a course in a given year will typically be 1.0. </w:t>
            </w:r>
            <w:r>
              <w:rPr>
                <w:rFonts w:asciiTheme="minorHAnsi" w:eastAsiaTheme="minorHAnsi" w:hAnsiTheme="minorHAnsi" w:cstheme="minorHAnsi"/>
                <w:sz w:val="20"/>
                <w:szCs w:val="20"/>
              </w:rPr>
              <w:t>A student studying part-time in a given year will typically be 0.5 depending on the number of subjects taken. However, i</w:t>
            </w:r>
            <w:r w:rsidRPr="00E003FB">
              <w:rPr>
                <w:rFonts w:asciiTheme="minorHAnsi" w:eastAsiaTheme="minorHAnsi" w:hAnsiTheme="minorHAnsi" w:cstheme="minorHAnsi"/>
                <w:sz w:val="20"/>
                <w:szCs w:val="20"/>
              </w:rPr>
              <w:t>n some cases, a student may be undertaking a number of units in a given year that is over a full-time load. In these cases, the EFTSL may be above 1.0.</w:t>
            </w:r>
          </w:p>
        </w:tc>
        <w:tc>
          <w:tcPr>
            <w:tcW w:w="1824" w:type="pct"/>
            <w:tcBorders>
              <w:top w:val="single" w:sz="4" w:space="0" w:color="auto"/>
              <w:left w:val="single" w:sz="4" w:space="0" w:color="auto"/>
              <w:bottom w:val="single" w:sz="4" w:space="0" w:color="auto"/>
              <w:right w:val="single" w:sz="4" w:space="0" w:color="auto"/>
            </w:tcBorders>
            <w:shd w:val="clear" w:color="auto" w:fill="D9D9D9" w:themeFill="background2" w:themeFillShade="D9"/>
          </w:tcPr>
          <w:p w:rsidR="00866C93" w:rsidRPr="001F2B9C" w:rsidRDefault="00866C93" w:rsidP="006B0360">
            <w:pPr>
              <w:tabs>
                <w:tab w:val="left" w:pos="284"/>
                <w:tab w:val="left" w:pos="14742"/>
              </w:tabs>
              <w:rPr>
                <w:rFonts w:asciiTheme="minorHAnsi" w:hAnsiTheme="minorHAnsi" w:cstheme="minorHAnsi"/>
                <w:sz w:val="20"/>
                <w:szCs w:val="20"/>
              </w:rPr>
            </w:pPr>
          </w:p>
        </w:tc>
      </w:tr>
      <w:tr w:rsidR="007E0F2A" w:rsidRPr="001F2B9C" w:rsidTr="006B0360">
        <w:trPr>
          <w:trHeight w:val="1378"/>
          <w:jc w:val="center"/>
        </w:trPr>
        <w:tc>
          <w:tcPr>
            <w:tcW w:w="987" w:type="pct"/>
            <w:tcBorders>
              <w:top w:val="single" w:sz="4" w:space="0" w:color="auto"/>
              <w:left w:val="single" w:sz="4" w:space="0" w:color="auto"/>
              <w:bottom w:val="single" w:sz="4" w:space="0" w:color="auto"/>
              <w:right w:val="single" w:sz="4" w:space="0" w:color="auto"/>
            </w:tcBorders>
          </w:tcPr>
          <w:p w:rsidR="007E0F2A" w:rsidRPr="003C4B98" w:rsidRDefault="007E0F2A" w:rsidP="006B0360">
            <w:pPr>
              <w:tabs>
                <w:tab w:val="left" w:pos="284"/>
                <w:tab w:val="left" w:pos="14742"/>
              </w:tabs>
              <w:rPr>
                <w:rFonts w:asciiTheme="minorHAnsi" w:hAnsiTheme="minorHAnsi" w:cstheme="minorHAnsi"/>
                <w:b/>
                <w:i/>
                <w:sz w:val="20"/>
                <w:szCs w:val="20"/>
              </w:rPr>
            </w:pPr>
            <w:r>
              <w:rPr>
                <w:rFonts w:asciiTheme="minorHAnsi" w:hAnsiTheme="minorHAnsi" w:cstheme="minorHAnsi"/>
                <w:b/>
                <w:i/>
                <w:sz w:val="20"/>
                <w:szCs w:val="20"/>
              </w:rPr>
              <w:t>Largest revenue source</w:t>
            </w:r>
          </w:p>
        </w:tc>
        <w:tc>
          <w:tcPr>
            <w:tcW w:w="2189" w:type="pct"/>
            <w:tcBorders>
              <w:top w:val="single" w:sz="4" w:space="0" w:color="auto"/>
              <w:left w:val="single" w:sz="4" w:space="0" w:color="auto"/>
              <w:bottom w:val="single" w:sz="4" w:space="0" w:color="auto"/>
              <w:right w:val="single" w:sz="4" w:space="0" w:color="auto"/>
            </w:tcBorders>
          </w:tcPr>
          <w:p w:rsidR="007E0F2A" w:rsidRPr="001F2B9C" w:rsidRDefault="007E0F2A" w:rsidP="007E0F2A">
            <w:pPr>
              <w:tabs>
                <w:tab w:val="left" w:pos="284"/>
                <w:tab w:val="left" w:pos="14742"/>
              </w:tabs>
              <w:spacing w:after="120" w:line="200" w:lineRule="atLeast"/>
              <w:rPr>
                <w:rFonts w:asciiTheme="minorHAnsi" w:hAnsiTheme="minorHAnsi" w:cstheme="minorHAnsi"/>
                <w:sz w:val="20"/>
                <w:szCs w:val="20"/>
              </w:rPr>
            </w:pPr>
            <w:r>
              <w:rPr>
                <w:rFonts w:asciiTheme="minorHAnsi" w:hAnsiTheme="minorHAnsi" w:cstheme="minorHAnsi"/>
                <w:sz w:val="20"/>
                <w:szCs w:val="20"/>
              </w:rPr>
              <w:t>TEQSA has identified eight broad revenue sources and revenue is allocated into these categories</w:t>
            </w:r>
            <w:r w:rsidRPr="001F2B9C">
              <w:rPr>
                <w:rFonts w:asciiTheme="minorHAnsi" w:hAnsiTheme="minorHAnsi" w:cstheme="minorHAnsi"/>
                <w:sz w:val="20"/>
                <w:szCs w:val="20"/>
              </w:rPr>
              <w:t>:</w:t>
            </w:r>
          </w:p>
          <w:p w:rsidR="007E0F2A" w:rsidRPr="004A548D" w:rsidRDefault="007E0F2A" w:rsidP="007E0F2A">
            <w:pPr>
              <w:tabs>
                <w:tab w:val="left" w:pos="284"/>
                <w:tab w:val="left" w:pos="14742"/>
              </w:tabs>
              <w:spacing w:before="120" w:after="120" w:line="200" w:lineRule="atLeast"/>
              <w:rPr>
                <w:rFonts w:asciiTheme="minorHAnsi" w:hAnsiTheme="minorHAnsi" w:cstheme="minorHAnsi"/>
                <w:b/>
                <w:sz w:val="20"/>
                <w:szCs w:val="20"/>
              </w:rPr>
            </w:pPr>
            <w:r w:rsidRPr="004A548D">
              <w:rPr>
                <w:rFonts w:asciiTheme="minorHAnsi" w:hAnsiTheme="minorHAnsi" w:cstheme="minorHAnsi"/>
                <w:b/>
                <w:sz w:val="20"/>
                <w:szCs w:val="20"/>
              </w:rPr>
              <w:t>Government grants and programs</w:t>
            </w:r>
            <w:r w:rsidRPr="004A548D">
              <w:rPr>
                <w:rFonts w:asciiTheme="minorHAnsi" w:hAnsiTheme="minorHAnsi" w:cstheme="minorHAnsi"/>
                <w:sz w:val="20"/>
                <w:szCs w:val="20"/>
              </w:rPr>
              <w:t xml:space="preserve">: Revenue from Commonwealth, State or Local government sources (excludes Capital and infrastructure grants) </w:t>
            </w:r>
          </w:p>
          <w:p w:rsidR="007E0F2A" w:rsidRPr="001F2B9C" w:rsidRDefault="007E0F2A" w:rsidP="007E0F2A">
            <w:pPr>
              <w:tabs>
                <w:tab w:val="left" w:pos="284"/>
                <w:tab w:val="left" w:pos="14742"/>
              </w:tabs>
              <w:spacing w:after="120" w:line="200" w:lineRule="atLeast"/>
              <w:rPr>
                <w:rFonts w:asciiTheme="minorHAnsi" w:hAnsiTheme="minorHAnsi" w:cstheme="minorHAnsi"/>
                <w:sz w:val="20"/>
                <w:szCs w:val="20"/>
              </w:rPr>
            </w:pPr>
            <w:r w:rsidRPr="004A548D">
              <w:rPr>
                <w:rFonts w:asciiTheme="minorHAnsi" w:hAnsiTheme="minorHAnsi" w:cstheme="minorHAnsi"/>
                <w:b/>
                <w:sz w:val="20"/>
                <w:szCs w:val="20"/>
              </w:rPr>
              <w:t>Higher education – domestic students</w:t>
            </w:r>
            <w:r w:rsidRPr="004A548D">
              <w:rPr>
                <w:rFonts w:asciiTheme="minorHAnsi" w:hAnsiTheme="minorHAnsi" w:cstheme="minorHAnsi"/>
                <w:sz w:val="20"/>
                <w:szCs w:val="20"/>
              </w:rPr>
              <w:t>: Revenue earned by the provider from the delivery of its own higher education courses to domestic students. This includes HECS</w:t>
            </w:r>
            <w:r>
              <w:rPr>
                <w:rFonts w:asciiTheme="minorHAnsi" w:hAnsiTheme="minorHAnsi" w:cstheme="minorHAnsi"/>
                <w:sz w:val="20"/>
                <w:szCs w:val="20"/>
              </w:rPr>
              <w:t>-</w:t>
            </w:r>
            <w:r w:rsidRPr="004A548D">
              <w:rPr>
                <w:rFonts w:asciiTheme="minorHAnsi" w:hAnsiTheme="minorHAnsi" w:cstheme="minorHAnsi"/>
                <w:sz w:val="20"/>
                <w:szCs w:val="20"/>
              </w:rPr>
              <w:t>HELP, FEE-HELP and full</w:t>
            </w:r>
            <w:r>
              <w:rPr>
                <w:rFonts w:asciiTheme="minorHAnsi" w:hAnsiTheme="minorHAnsi" w:cstheme="minorHAnsi"/>
                <w:sz w:val="20"/>
                <w:szCs w:val="20"/>
              </w:rPr>
              <w:t>-</w:t>
            </w:r>
            <w:r w:rsidRPr="004A548D">
              <w:rPr>
                <w:rFonts w:asciiTheme="minorHAnsi" w:hAnsiTheme="minorHAnsi" w:cstheme="minorHAnsi"/>
                <w:sz w:val="20"/>
                <w:szCs w:val="20"/>
              </w:rPr>
              <w:t>fee paying student revenue.</w:t>
            </w:r>
          </w:p>
          <w:p w:rsidR="007E0F2A" w:rsidRPr="001F2B9C" w:rsidRDefault="007E0F2A" w:rsidP="007E0F2A">
            <w:pPr>
              <w:tabs>
                <w:tab w:val="left" w:pos="284"/>
                <w:tab w:val="left" w:pos="14742"/>
              </w:tabs>
              <w:spacing w:after="120" w:line="200" w:lineRule="atLeast"/>
              <w:rPr>
                <w:rFonts w:asciiTheme="minorHAnsi" w:hAnsiTheme="minorHAnsi" w:cstheme="minorHAnsi"/>
                <w:sz w:val="20"/>
                <w:szCs w:val="20"/>
              </w:rPr>
            </w:pPr>
            <w:r w:rsidRPr="001F2B9C">
              <w:rPr>
                <w:rFonts w:asciiTheme="minorHAnsi" w:hAnsiTheme="minorHAnsi" w:cstheme="minorHAnsi"/>
                <w:b/>
                <w:sz w:val="20"/>
                <w:szCs w:val="20"/>
              </w:rPr>
              <w:t xml:space="preserve">Higher education – </w:t>
            </w:r>
            <w:r>
              <w:rPr>
                <w:rFonts w:asciiTheme="minorHAnsi" w:hAnsiTheme="minorHAnsi" w:cstheme="minorHAnsi"/>
                <w:b/>
                <w:sz w:val="20"/>
                <w:szCs w:val="20"/>
              </w:rPr>
              <w:t>i</w:t>
            </w:r>
            <w:r w:rsidRPr="001F2B9C">
              <w:rPr>
                <w:rFonts w:asciiTheme="minorHAnsi" w:hAnsiTheme="minorHAnsi" w:cstheme="minorHAnsi"/>
                <w:b/>
                <w:sz w:val="20"/>
                <w:szCs w:val="20"/>
              </w:rPr>
              <w:t>nternational</w:t>
            </w:r>
            <w:r>
              <w:rPr>
                <w:rFonts w:asciiTheme="minorHAnsi" w:hAnsiTheme="minorHAnsi" w:cstheme="minorHAnsi"/>
                <w:b/>
                <w:sz w:val="20"/>
                <w:szCs w:val="20"/>
              </w:rPr>
              <w:t xml:space="preserve"> </w:t>
            </w:r>
            <w:r>
              <w:rPr>
                <w:rFonts w:asciiTheme="minorHAnsi" w:hAnsiTheme="minorHAnsi" w:cstheme="minorHAnsi"/>
                <w:b/>
                <w:sz w:val="20"/>
                <w:szCs w:val="20"/>
              </w:rPr>
              <w:lastRenderedPageBreak/>
              <w:t>students</w:t>
            </w:r>
            <w:r w:rsidRPr="001F2B9C">
              <w:rPr>
                <w:rFonts w:asciiTheme="minorHAnsi" w:hAnsiTheme="minorHAnsi" w:cstheme="minorHAnsi"/>
                <w:sz w:val="20"/>
                <w:szCs w:val="20"/>
              </w:rPr>
              <w:t>: Revenue earned by the provider from the delivery of its own higher education courses to international students (onshore and offshore).</w:t>
            </w:r>
          </w:p>
          <w:p w:rsidR="007E0F2A" w:rsidRPr="001F2B9C" w:rsidRDefault="007E0F2A" w:rsidP="007E0F2A">
            <w:pPr>
              <w:tabs>
                <w:tab w:val="left" w:pos="284"/>
                <w:tab w:val="left" w:pos="14742"/>
              </w:tabs>
              <w:spacing w:after="120" w:line="200" w:lineRule="atLeast"/>
              <w:rPr>
                <w:rFonts w:asciiTheme="minorHAnsi" w:hAnsiTheme="minorHAnsi" w:cstheme="minorHAnsi"/>
                <w:sz w:val="20"/>
                <w:szCs w:val="20"/>
              </w:rPr>
            </w:pPr>
            <w:r w:rsidRPr="001F2B9C">
              <w:rPr>
                <w:rFonts w:asciiTheme="minorHAnsi" w:hAnsiTheme="minorHAnsi" w:cstheme="minorHAnsi"/>
                <w:b/>
                <w:sz w:val="20"/>
                <w:szCs w:val="20"/>
              </w:rPr>
              <w:t xml:space="preserve">Higher education – </w:t>
            </w:r>
            <w:r>
              <w:rPr>
                <w:rFonts w:asciiTheme="minorHAnsi" w:hAnsiTheme="minorHAnsi" w:cstheme="minorHAnsi"/>
                <w:b/>
                <w:sz w:val="20"/>
                <w:szCs w:val="20"/>
              </w:rPr>
              <w:t>t</w:t>
            </w:r>
            <w:r w:rsidRPr="001F2B9C">
              <w:rPr>
                <w:rFonts w:asciiTheme="minorHAnsi" w:hAnsiTheme="minorHAnsi" w:cstheme="minorHAnsi"/>
                <w:b/>
                <w:sz w:val="20"/>
                <w:szCs w:val="20"/>
              </w:rPr>
              <w:t xml:space="preserve">hird </w:t>
            </w:r>
            <w:r>
              <w:rPr>
                <w:rFonts w:asciiTheme="minorHAnsi" w:hAnsiTheme="minorHAnsi" w:cstheme="minorHAnsi"/>
                <w:b/>
                <w:sz w:val="20"/>
                <w:szCs w:val="20"/>
              </w:rPr>
              <w:t>p</w:t>
            </w:r>
            <w:r w:rsidRPr="001F2B9C">
              <w:rPr>
                <w:rFonts w:asciiTheme="minorHAnsi" w:hAnsiTheme="minorHAnsi" w:cstheme="minorHAnsi"/>
                <w:b/>
                <w:sz w:val="20"/>
                <w:szCs w:val="20"/>
              </w:rPr>
              <w:t xml:space="preserve">arty </w:t>
            </w:r>
            <w:r>
              <w:rPr>
                <w:rFonts w:asciiTheme="minorHAnsi" w:hAnsiTheme="minorHAnsi" w:cstheme="minorHAnsi"/>
                <w:b/>
                <w:sz w:val="20"/>
                <w:szCs w:val="20"/>
              </w:rPr>
              <w:t>d</w:t>
            </w:r>
            <w:r w:rsidRPr="001F2B9C">
              <w:rPr>
                <w:rFonts w:asciiTheme="minorHAnsi" w:hAnsiTheme="minorHAnsi" w:cstheme="minorHAnsi"/>
                <w:b/>
                <w:sz w:val="20"/>
                <w:szCs w:val="20"/>
              </w:rPr>
              <w:t>elivery</w:t>
            </w:r>
            <w:r w:rsidRPr="001F2B9C">
              <w:rPr>
                <w:rFonts w:asciiTheme="minorHAnsi" w:hAnsiTheme="minorHAnsi" w:cstheme="minorHAnsi"/>
                <w:sz w:val="20"/>
                <w:szCs w:val="20"/>
              </w:rPr>
              <w:t>: Revenue earned by the provider from the delivery of another provider’s higher education courses.</w:t>
            </w:r>
          </w:p>
          <w:p w:rsidR="007E0F2A" w:rsidRPr="001F2B9C" w:rsidRDefault="007E0F2A" w:rsidP="007E0F2A">
            <w:pPr>
              <w:tabs>
                <w:tab w:val="left" w:pos="284"/>
                <w:tab w:val="left" w:pos="14742"/>
              </w:tabs>
              <w:spacing w:after="120" w:line="200" w:lineRule="atLeast"/>
              <w:rPr>
                <w:rFonts w:asciiTheme="minorHAnsi" w:hAnsiTheme="minorHAnsi" w:cstheme="minorHAnsi"/>
                <w:sz w:val="20"/>
                <w:szCs w:val="20"/>
              </w:rPr>
            </w:pPr>
            <w:r w:rsidRPr="00810E6F">
              <w:rPr>
                <w:rFonts w:asciiTheme="minorHAnsi" w:hAnsiTheme="minorHAnsi" w:cstheme="minorHAnsi"/>
                <w:b/>
                <w:sz w:val="20"/>
                <w:szCs w:val="20"/>
              </w:rPr>
              <w:t>Non-higher education – domestic students</w:t>
            </w:r>
            <w:r w:rsidRPr="00810E6F">
              <w:rPr>
                <w:rFonts w:asciiTheme="minorHAnsi" w:hAnsiTheme="minorHAnsi" w:cstheme="minorHAnsi"/>
                <w:sz w:val="20"/>
                <w:szCs w:val="20"/>
              </w:rPr>
              <w:t>: Revenue earned by the provider from the delivery of its own non-higher education courses (such as VET) to domestic students.</w:t>
            </w:r>
          </w:p>
          <w:p w:rsidR="007E0F2A" w:rsidRPr="001F2B9C" w:rsidRDefault="007E0F2A" w:rsidP="007E0F2A">
            <w:pPr>
              <w:tabs>
                <w:tab w:val="left" w:pos="284"/>
                <w:tab w:val="left" w:pos="14742"/>
              </w:tabs>
              <w:spacing w:after="120" w:line="200" w:lineRule="atLeast"/>
              <w:rPr>
                <w:rFonts w:asciiTheme="minorHAnsi" w:hAnsiTheme="minorHAnsi" w:cstheme="minorHAnsi"/>
                <w:sz w:val="20"/>
                <w:szCs w:val="20"/>
              </w:rPr>
            </w:pPr>
            <w:r w:rsidRPr="001F2B9C">
              <w:rPr>
                <w:rFonts w:asciiTheme="minorHAnsi" w:hAnsiTheme="minorHAnsi" w:cstheme="minorHAnsi"/>
                <w:b/>
                <w:sz w:val="20"/>
                <w:szCs w:val="20"/>
              </w:rPr>
              <w:t>Non-</w:t>
            </w:r>
            <w:r>
              <w:rPr>
                <w:rFonts w:asciiTheme="minorHAnsi" w:hAnsiTheme="minorHAnsi" w:cstheme="minorHAnsi"/>
                <w:b/>
                <w:sz w:val="20"/>
                <w:szCs w:val="20"/>
              </w:rPr>
              <w:t>h</w:t>
            </w:r>
            <w:r w:rsidRPr="001F2B9C">
              <w:rPr>
                <w:rFonts w:asciiTheme="minorHAnsi" w:hAnsiTheme="minorHAnsi" w:cstheme="minorHAnsi"/>
                <w:b/>
                <w:sz w:val="20"/>
                <w:szCs w:val="20"/>
              </w:rPr>
              <w:t xml:space="preserve">igher </w:t>
            </w:r>
            <w:r>
              <w:rPr>
                <w:rFonts w:asciiTheme="minorHAnsi" w:hAnsiTheme="minorHAnsi" w:cstheme="minorHAnsi"/>
                <w:b/>
                <w:sz w:val="20"/>
                <w:szCs w:val="20"/>
              </w:rPr>
              <w:t>education – i</w:t>
            </w:r>
            <w:r w:rsidRPr="001F2B9C">
              <w:rPr>
                <w:rFonts w:asciiTheme="minorHAnsi" w:hAnsiTheme="minorHAnsi" w:cstheme="minorHAnsi"/>
                <w:b/>
                <w:sz w:val="20"/>
                <w:szCs w:val="20"/>
              </w:rPr>
              <w:t>nternational</w:t>
            </w:r>
            <w:r>
              <w:rPr>
                <w:rFonts w:asciiTheme="minorHAnsi" w:hAnsiTheme="minorHAnsi" w:cstheme="minorHAnsi"/>
                <w:b/>
                <w:sz w:val="20"/>
                <w:szCs w:val="20"/>
              </w:rPr>
              <w:t xml:space="preserve"> students</w:t>
            </w:r>
            <w:r w:rsidRPr="001F2B9C">
              <w:rPr>
                <w:rFonts w:asciiTheme="minorHAnsi" w:hAnsiTheme="minorHAnsi" w:cstheme="minorHAnsi"/>
                <w:sz w:val="20"/>
                <w:szCs w:val="20"/>
              </w:rPr>
              <w:t>: Revenue earned by the provider from the delivery of its own non-higher education courses (such as VET or ELICOS) to international students.</w:t>
            </w:r>
          </w:p>
          <w:p w:rsidR="007E0F2A" w:rsidRPr="001F2B9C" w:rsidRDefault="007E0F2A" w:rsidP="007E0F2A">
            <w:pPr>
              <w:tabs>
                <w:tab w:val="left" w:pos="284"/>
                <w:tab w:val="left" w:pos="14742"/>
              </w:tabs>
              <w:spacing w:after="120" w:line="200" w:lineRule="atLeast"/>
              <w:rPr>
                <w:rFonts w:asciiTheme="minorHAnsi" w:hAnsiTheme="minorHAnsi" w:cstheme="minorHAnsi"/>
                <w:sz w:val="20"/>
                <w:szCs w:val="20"/>
              </w:rPr>
            </w:pPr>
            <w:r w:rsidRPr="001F2B9C">
              <w:rPr>
                <w:rFonts w:asciiTheme="minorHAnsi" w:hAnsiTheme="minorHAnsi" w:cstheme="minorHAnsi"/>
                <w:b/>
                <w:sz w:val="20"/>
                <w:szCs w:val="20"/>
              </w:rPr>
              <w:t>Donations</w:t>
            </w:r>
            <w:r w:rsidRPr="001F2B9C">
              <w:rPr>
                <w:rFonts w:asciiTheme="minorHAnsi" w:hAnsiTheme="minorHAnsi" w:cstheme="minorHAnsi"/>
                <w:sz w:val="20"/>
                <w:szCs w:val="20"/>
              </w:rPr>
              <w:t xml:space="preserve">: Revenue </w:t>
            </w:r>
            <w:r>
              <w:rPr>
                <w:rFonts w:asciiTheme="minorHAnsi" w:hAnsiTheme="minorHAnsi" w:cstheme="minorHAnsi"/>
                <w:sz w:val="20"/>
                <w:szCs w:val="20"/>
              </w:rPr>
              <w:t xml:space="preserve">received </w:t>
            </w:r>
            <w:r w:rsidRPr="001F2B9C">
              <w:rPr>
                <w:rFonts w:asciiTheme="minorHAnsi" w:hAnsiTheme="minorHAnsi" w:cstheme="minorHAnsi"/>
                <w:sz w:val="20"/>
                <w:szCs w:val="20"/>
              </w:rPr>
              <w:t>from donations and bequests made to the provider.</w:t>
            </w:r>
          </w:p>
          <w:p w:rsidR="007E0F2A" w:rsidRPr="001F2B9C" w:rsidRDefault="007E0F2A" w:rsidP="007E0F2A">
            <w:pPr>
              <w:tabs>
                <w:tab w:val="left" w:pos="284"/>
                <w:tab w:val="left" w:pos="14742"/>
              </w:tabs>
              <w:rPr>
                <w:rFonts w:asciiTheme="minorHAnsi" w:hAnsiTheme="minorHAnsi" w:cstheme="minorHAnsi"/>
                <w:sz w:val="20"/>
                <w:szCs w:val="20"/>
              </w:rPr>
            </w:pPr>
            <w:r w:rsidRPr="001F2B9C">
              <w:rPr>
                <w:rFonts w:asciiTheme="minorHAnsi" w:hAnsiTheme="minorHAnsi" w:cstheme="minorHAnsi"/>
                <w:b/>
                <w:sz w:val="20"/>
                <w:szCs w:val="20"/>
              </w:rPr>
              <w:t>Other</w:t>
            </w:r>
            <w:r w:rsidRPr="001F2B9C">
              <w:rPr>
                <w:rFonts w:asciiTheme="minorHAnsi" w:hAnsiTheme="minorHAnsi" w:cstheme="minorHAnsi"/>
                <w:sz w:val="20"/>
                <w:szCs w:val="20"/>
              </w:rPr>
              <w:t>: Other revenue earned by the provider such as non-education related commercial activities or investment income.</w:t>
            </w:r>
          </w:p>
        </w:tc>
        <w:tc>
          <w:tcPr>
            <w:tcW w:w="1824" w:type="pct"/>
            <w:tcBorders>
              <w:top w:val="single" w:sz="4" w:space="0" w:color="auto"/>
              <w:left w:val="single" w:sz="4" w:space="0" w:color="auto"/>
              <w:bottom w:val="single" w:sz="4" w:space="0" w:color="auto"/>
              <w:right w:val="single" w:sz="4" w:space="0" w:color="auto"/>
            </w:tcBorders>
          </w:tcPr>
          <w:p w:rsidR="007E0F2A" w:rsidRPr="001F2B9C" w:rsidRDefault="007E0F2A" w:rsidP="006B0360">
            <w:pPr>
              <w:tabs>
                <w:tab w:val="left" w:pos="284"/>
                <w:tab w:val="left" w:pos="14742"/>
              </w:tabs>
              <w:rPr>
                <w:rFonts w:asciiTheme="minorHAnsi" w:hAnsiTheme="minorHAnsi" w:cstheme="minorHAnsi"/>
                <w:sz w:val="20"/>
                <w:szCs w:val="20"/>
              </w:rPr>
            </w:pPr>
          </w:p>
        </w:tc>
      </w:tr>
      <w:tr w:rsidR="00866C93" w:rsidRPr="001F2B9C" w:rsidTr="006B0360">
        <w:trPr>
          <w:trHeight w:val="1378"/>
          <w:jc w:val="center"/>
        </w:trPr>
        <w:tc>
          <w:tcPr>
            <w:tcW w:w="987" w:type="pct"/>
            <w:tcBorders>
              <w:top w:val="single" w:sz="4" w:space="0" w:color="auto"/>
              <w:left w:val="single" w:sz="4" w:space="0" w:color="auto"/>
              <w:bottom w:val="single" w:sz="4" w:space="0" w:color="auto"/>
              <w:right w:val="single" w:sz="4" w:space="0" w:color="auto"/>
            </w:tcBorders>
          </w:tcPr>
          <w:p w:rsidR="00866C93" w:rsidRPr="001F2B9C" w:rsidRDefault="00866C93" w:rsidP="006B0360">
            <w:pPr>
              <w:tabs>
                <w:tab w:val="left" w:pos="284"/>
                <w:tab w:val="left" w:pos="14742"/>
              </w:tabs>
              <w:rPr>
                <w:rFonts w:asciiTheme="minorHAnsi" w:hAnsiTheme="minorHAnsi" w:cstheme="minorHAnsi"/>
                <w:sz w:val="20"/>
                <w:szCs w:val="20"/>
              </w:rPr>
            </w:pPr>
            <w:r w:rsidRPr="003C4B98">
              <w:rPr>
                <w:rFonts w:asciiTheme="minorHAnsi" w:hAnsiTheme="minorHAnsi" w:cstheme="minorHAnsi"/>
                <w:b/>
                <w:i/>
                <w:sz w:val="20"/>
                <w:szCs w:val="20"/>
              </w:rPr>
              <w:lastRenderedPageBreak/>
              <w:t>Liquidity (i.e. current ratio)</w:t>
            </w:r>
          </w:p>
        </w:tc>
        <w:tc>
          <w:tcPr>
            <w:tcW w:w="2189" w:type="pct"/>
            <w:tcBorders>
              <w:top w:val="single" w:sz="4" w:space="0" w:color="auto"/>
              <w:left w:val="single" w:sz="4" w:space="0" w:color="auto"/>
              <w:bottom w:val="single" w:sz="4" w:space="0" w:color="auto"/>
              <w:right w:val="single" w:sz="4" w:space="0" w:color="auto"/>
            </w:tcBorders>
          </w:tcPr>
          <w:p w:rsidR="00866C93" w:rsidRPr="001F2B9C" w:rsidRDefault="00866C93"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CA = Current Assets (Excluding related party loans/receivables)</w:t>
            </w:r>
          </w:p>
          <w:p w:rsidR="00866C93" w:rsidRPr="001F2B9C" w:rsidRDefault="00866C93"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CL = Current Liabilities (Excluding related party loans/payables)</w:t>
            </w:r>
          </w:p>
        </w:tc>
        <w:tc>
          <w:tcPr>
            <w:tcW w:w="1824" w:type="pct"/>
            <w:tcBorders>
              <w:top w:val="single" w:sz="4" w:space="0" w:color="auto"/>
              <w:left w:val="single" w:sz="4" w:space="0" w:color="auto"/>
              <w:bottom w:val="single" w:sz="4" w:space="0" w:color="auto"/>
              <w:right w:val="single" w:sz="4" w:space="0" w:color="auto"/>
            </w:tcBorders>
          </w:tcPr>
          <w:p w:rsidR="00866C93" w:rsidRPr="001F2B9C" w:rsidRDefault="00866C93"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xml:space="preserve">Liquidity </w:t>
            </w:r>
          </w:p>
          <w:p w:rsidR="00866C93" w:rsidRPr="001F2B9C" w:rsidRDefault="00866C93" w:rsidP="006B0360">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CA / CL</w:t>
            </w:r>
          </w:p>
        </w:tc>
      </w:tr>
      <w:tr w:rsidR="00866C93" w:rsidRPr="001F2B9C" w:rsidTr="009538E0">
        <w:trPr>
          <w:trHeight w:val="1378"/>
          <w:jc w:val="center"/>
        </w:trPr>
        <w:tc>
          <w:tcPr>
            <w:tcW w:w="987" w:type="pct"/>
            <w:tcBorders>
              <w:top w:val="single" w:sz="4" w:space="0" w:color="auto"/>
              <w:left w:val="single" w:sz="4" w:space="0" w:color="auto"/>
              <w:bottom w:val="single" w:sz="4" w:space="0" w:color="auto"/>
              <w:right w:val="single" w:sz="4" w:space="0" w:color="auto"/>
            </w:tcBorders>
          </w:tcPr>
          <w:p w:rsidR="00866C93" w:rsidRPr="001F2B9C" w:rsidRDefault="00866C93" w:rsidP="00327E49">
            <w:pPr>
              <w:tabs>
                <w:tab w:val="left" w:pos="284"/>
                <w:tab w:val="left" w:pos="14742"/>
              </w:tabs>
              <w:rPr>
                <w:rFonts w:asciiTheme="minorHAnsi" w:hAnsiTheme="minorHAnsi" w:cstheme="minorHAnsi"/>
                <w:b/>
                <w:i/>
                <w:sz w:val="20"/>
                <w:szCs w:val="20"/>
              </w:rPr>
            </w:pPr>
            <w:r w:rsidRPr="001F2B9C">
              <w:rPr>
                <w:rFonts w:asciiTheme="minorHAnsi" w:hAnsiTheme="minorHAnsi" w:cstheme="minorHAnsi"/>
                <w:b/>
                <w:i/>
                <w:sz w:val="20"/>
                <w:szCs w:val="20"/>
              </w:rPr>
              <w:t>Net profit/surplus margin (i.e. Operating margin %)</w:t>
            </w:r>
          </w:p>
        </w:tc>
        <w:tc>
          <w:tcPr>
            <w:tcW w:w="2189" w:type="pct"/>
            <w:tcBorders>
              <w:top w:val="single" w:sz="4" w:space="0" w:color="auto"/>
              <w:left w:val="single" w:sz="4" w:space="0" w:color="auto"/>
              <w:bottom w:val="single" w:sz="4" w:space="0" w:color="auto"/>
              <w:right w:val="single" w:sz="4" w:space="0" w:color="auto"/>
            </w:tcBorders>
          </w:tcPr>
          <w:p w:rsidR="00866C93" w:rsidRPr="001F2B9C" w:rsidRDefault="00866C93" w:rsidP="00327E49">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xml:space="preserve">NR = Net Result </w:t>
            </w:r>
          </w:p>
          <w:p w:rsidR="00866C93" w:rsidRPr="001F2B9C" w:rsidRDefault="00866C93" w:rsidP="00327E49">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Net Result (Profit/Loss or Surplus/Deficit) excludes abnormal or non-recurring items. This may include items such as asset revaluations or significant restructuring costs.</w:t>
            </w:r>
          </w:p>
          <w:p w:rsidR="00866C93" w:rsidRPr="001F2B9C" w:rsidRDefault="00866C93" w:rsidP="005545EC">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AR = Adjusted Revenue</w:t>
            </w:r>
          </w:p>
          <w:p w:rsidR="00866C93" w:rsidRPr="001F2B9C" w:rsidRDefault="00866C93" w:rsidP="00327E49">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Adjusted Revenue is total revenue excluding capital grants and abnormal or non-recurring items.</w:t>
            </w:r>
          </w:p>
        </w:tc>
        <w:tc>
          <w:tcPr>
            <w:tcW w:w="1824" w:type="pct"/>
            <w:tcBorders>
              <w:top w:val="single" w:sz="4" w:space="0" w:color="auto"/>
              <w:left w:val="single" w:sz="4" w:space="0" w:color="auto"/>
              <w:bottom w:val="single" w:sz="4" w:space="0" w:color="auto"/>
              <w:right w:val="single" w:sz="4" w:space="0" w:color="auto"/>
            </w:tcBorders>
          </w:tcPr>
          <w:p w:rsidR="00866C93" w:rsidRPr="001F2B9C" w:rsidRDefault="00866C93" w:rsidP="00327E49">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Net profit/surplus margin</w:t>
            </w:r>
            <w:r>
              <w:rPr>
                <w:rFonts w:asciiTheme="minorHAnsi" w:hAnsiTheme="minorHAnsi" w:cstheme="minorHAnsi"/>
                <w:sz w:val="20"/>
                <w:szCs w:val="20"/>
              </w:rPr>
              <w:t xml:space="preserve"> (%</w:t>
            </w:r>
            <w:r w:rsidRPr="001F2B9C">
              <w:rPr>
                <w:rFonts w:asciiTheme="minorHAnsi" w:hAnsiTheme="minorHAnsi" w:cstheme="minorHAnsi"/>
                <w:sz w:val="20"/>
                <w:szCs w:val="20"/>
              </w:rPr>
              <w:t xml:space="preserve"> </w:t>
            </w:r>
            <w:r>
              <w:rPr>
                <w:rFonts w:asciiTheme="minorHAnsi" w:hAnsiTheme="minorHAnsi" w:cstheme="minorHAnsi"/>
                <w:sz w:val="20"/>
                <w:szCs w:val="20"/>
              </w:rPr>
              <w:t>)</w:t>
            </w:r>
          </w:p>
          <w:p w:rsidR="00866C93" w:rsidRPr="001F2B9C" w:rsidRDefault="00866C93" w:rsidP="00327E49">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NR / AR x 100</w:t>
            </w:r>
          </w:p>
        </w:tc>
      </w:tr>
      <w:tr w:rsidR="00866C93" w:rsidRPr="001F2B9C" w:rsidTr="001138F2">
        <w:trPr>
          <w:trHeight w:val="1378"/>
          <w:jc w:val="center"/>
        </w:trPr>
        <w:tc>
          <w:tcPr>
            <w:tcW w:w="987" w:type="pct"/>
            <w:tcBorders>
              <w:top w:val="single" w:sz="4" w:space="0" w:color="auto"/>
              <w:left w:val="single" w:sz="4" w:space="0" w:color="auto"/>
              <w:bottom w:val="single" w:sz="4" w:space="0" w:color="auto"/>
              <w:right w:val="single" w:sz="4" w:space="0" w:color="auto"/>
            </w:tcBorders>
          </w:tcPr>
          <w:p w:rsidR="00866C93" w:rsidRPr="001F2B9C" w:rsidRDefault="00866C93" w:rsidP="00585A74">
            <w:pPr>
              <w:tabs>
                <w:tab w:val="left" w:pos="284"/>
                <w:tab w:val="left" w:pos="14742"/>
              </w:tabs>
              <w:rPr>
                <w:rFonts w:asciiTheme="minorHAnsi" w:hAnsiTheme="minorHAnsi" w:cstheme="minorHAnsi"/>
                <w:b/>
                <w:sz w:val="20"/>
                <w:szCs w:val="20"/>
              </w:rPr>
            </w:pPr>
            <w:r w:rsidRPr="001F2B9C">
              <w:rPr>
                <w:rFonts w:asciiTheme="minorHAnsi" w:hAnsiTheme="minorHAnsi" w:cstheme="minorHAnsi"/>
                <w:b/>
                <w:i/>
                <w:sz w:val="20"/>
                <w:szCs w:val="20"/>
              </w:rPr>
              <w:t xml:space="preserve">Revenue Concentration </w:t>
            </w:r>
          </w:p>
        </w:tc>
        <w:tc>
          <w:tcPr>
            <w:tcW w:w="2189" w:type="pct"/>
            <w:tcBorders>
              <w:top w:val="single" w:sz="4" w:space="0" w:color="auto"/>
              <w:left w:val="single" w:sz="4" w:space="0" w:color="auto"/>
              <w:bottom w:val="single" w:sz="4" w:space="0" w:color="auto"/>
              <w:right w:val="single" w:sz="4" w:space="0" w:color="auto"/>
            </w:tcBorders>
          </w:tcPr>
          <w:p w:rsidR="00866C93" w:rsidRPr="001F2B9C" w:rsidRDefault="00866C93" w:rsidP="0095537D">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LRS = Largest Revenue Source</w:t>
            </w:r>
            <w:r w:rsidR="007E0F2A">
              <w:rPr>
                <w:rFonts w:asciiTheme="minorHAnsi" w:hAnsiTheme="minorHAnsi" w:cstheme="minorHAnsi"/>
                <w:sz w:val="20"/>
                <w:szCs w:val="20"/>
              </w:rPr>
              <w:t xml:space="preserve"> (see above)</w:t>
            </w:r>
          </w:p>
          <w:p w:rsidR="00866C93" w:rsidRPr="001F2B9C" w:rsidRDefault="00866C93" w:rsidP="00E003FB">
            <w:pPr>
              <w:tabs>
                <w:tab w:val="left" w:pos="284"/>
                <w:tab w:val="left" w:pos="14742"/>
              </w:tabs>
              <w:spacing w:after="120" w:line="200" w:lineRule="atLeast"/>
              <w:rPr>
                <w:rFonts w:asciiTheme="minorHAnsi" w:hAnsiTheme="minorHAnsi" w:cstheme="minorHAnsi"/>
                <w:sz w:val="20"/>
                <w:szCs w:val="20"/>
              </w:rPr>
            </w:pPr>
            <w:r w:rsidRPr="001F2B9C">
              <w:rPr>
                <w:rFonts w:asciiTheme="minorHAnsi" w:hAnsiTheme="minorHAnsi" w:cstheme="minorHAnsi"/>
                <w:sz w:val="20"/>
                <w:szCs w:val="20"/>
              </w:rPr>
              <w:t>AR = Adjusted Revenue</w:t>
            </w:r>
          </w:p>
          <w:p w:rsidR="00866C93" w:rsidRDefault="00866C93" w:rsidP="00E003FB">
            <w:pPr>
              <w:tabs>
                <w:tab w:val="left" w:pos="284"/>
                <w:tab w:val="left" w:pos="14742"/>
              </w:tabs>
              <w:spacing w:after="120" w:line="200" w:lineRule="atLeast"/>
              <w:rPr>
                <w:rFonts w:asciiTheme="minorHAnsi" w:hAnsiTheme="minorHAnsi" w:cstheme="minorHAnsi"/>
                <w:sz w:val="20"/>
                <w:szCs w:val="20"/>
              </w:rPr>
            </w:pPr>
            <w:r w:rsidRPr="001F2B9C">
              <w:rPr>
                <w:rFonts w:asciiTheme="minorHAnsi" w:hAnsiTheme="minorHAnsi" w:cstheme="minorHAnsi"/>
                <w:sz w:val="20"/>
                <w:szCs w:val="20"/>
              </w:rPr>
              <w:t>Adjusted Revenue is total revenue excluding capital grants and abnormal or non-recurring items.</w:t>
            </w:r>
          </w:p>
          <w:p w:rsidR="00866C93" w:rsidRPr="001F2B9C" w:rsidRDefault="00866C93" w:rsidP="00E003FB">
            <w:pPr>
              <w:tabs>
                <w:tab w:val="left" w:pos="284"/>
                <w:tab w:val="left" w:pos="14742"/>
              </w:tabs>
              <w:spacing w:after="120" w:line="200" w:lineRule="atLeast"/>
              <w:rPr>
                <w:rFonts w:asciiTheme="minorHAnsi" w:hAnsiTheme="minorHAnsi" w:cstheme="minorHAnsi"/>
                <w:sz w:val="20"/>
                <w:szCs w:val="20"/>
              </w:rPr>
            </w:pPr>
          </w:p>
        </w:tc>
        <w:tc>
          <w:tcPr>
            <w:tcW w:w="1824" w:type="pct"/>
            <w:tcBorders>
              <w:top w:val="single" w:sz="4" w:space="0" w:color="auto"/>
              <w:left w:val="single" w:sz="4" w:space="0" w:color="auto"/>
              <w:bottom w:val="single" w:sz="4" w:space="0" w:color="auto"/>
              <w:right w:val="single" w:sz="4" w:space="0" w:color="auto"/>
            </w:tcBorders>
          </w:tcPr>
          <w:p w:rsidR="00866C93" w:rsidRPr="001F2B9C" w:rsidRDefault="007E0F2A" w:rsidP="00327E49">
            <w:pPr>
              <w:tabs>
                <w:tab w:val="left" w:pos="284"/>
                <w:tab w:val="left" w:pos="14742"/>
              </w:tabs>
              <w:rPr>
                <w:rFonts w:asciiTheme="minorHAnsi" w:hAnsiTheme="minorHAnsi" w:cstheme="minorHAnsi"/>
                <w:sz w:val="20"/>
                <w:szCs w:val="20"/>
              </w:rPr>
            </w:pPr>
            <w:r>
              <w:rPr>
                <w:rFonts w:asciiTheme="minorHAnsi" w:hAnsiTheme="minorHAnsi" w:cstheme="minorHAnsi"/>
                <w:sz w:val="20"/>
                <w:szCs w:val="20"/>
              </w:rPr>
              <w:t xml:space="preserve">Revenue concentration </w:t>
            </w:r>
            <w:r w:rsidR="00866C93">
              <w:rPr>
                <w:rFonts w:asciiTheme="minorHAnsi" w:hAnsiTheme="minorHAnsi" w:cstheme="minorHAnsi"/>
                <w:sz w:val="20"/>
                <w:szCs w:val="20"/>
              </w:rPr>
              <w:t>(</w:t>
            </w:r>
            <w:r w:rsidR="00866C93" w:rsidRPr="001F2B9C">
              <w:rPr>
                <w:rFonts w:asciiTheme="minorHAnsi" w:hAnsiTheme="minorHAnsi" w:cstheme="minorHAnsi"/>
                <w:sz w:val="20"/>
                <w:szCs w:val="20"/>
              </w:rPr>
              <w:t>%</w:t>
            </w:r>
            <w:r w:rsidR="00866C93">
              <w:rPr>
                <w:rFonts w:asciiTheme="minorHAnsi" w:hAnsiTheme="minorHAnsi" w:cstheme="minorHAnsi"/>
                <w:sz w:val="20"/>
                <w:szCs w:val="20"/>
              </w:rPr>
              <w:t>)</w:t>
            </w:r>
          </w:p>
          <w:p w:rsidR="00866C93" w:rsidRPr="001F2B9C" w:rsidRDefault="00866C93" w:rsidP="00327E49">
            <w:pPr>
              <w:tabs>
                <w:tab w:val="left" w:pos="284"/>
                <w:tab w:val="left" w:pos="14742"/>
              </w:tabs>
              <w:rPr>
                <w:rFonts w:asciiTheme="minorHAnsi" w:hAnsiTheme="minorHAnsi" w:cstheme="minorHAnsi"/>
                <w:sz w:val="20"/>
                <w:szCs w:val="20"/>
              </w:rPr>
            </w:pPr>
            <w:r w:rsidRPr="001F2B9C">
              <w:rPr>
                <w:rFonts w:asciiTheme="minorHAnsi" w:hAnsiTheme="minorHAnsi" w:cstheme="minorHAnsi"/>
                <w:sz w:val="20"/>
                <w:szCs w:val="20"/>
              </w:rPr>
              <w:t>= LRS / AR x 100</w:t>
            </w:r>
          </w:p>
          <w:p w:rsidR="00866C93" w:rsidRPr="001F2B9C" w:rsidRDefault="00866C93" w:rsidP="00327E49">
            <w:pPr>
              <w:tabs>
                <w:tab w:val="left" w:pos="284"/>
                <w:tab w:val="left" w:pos="14742"/>
              </w:tabs>
              <w:rPr>
                <w:rFonts w:ascii="Cambria Math" w:hAnsi="Cambria Math" w:cstheme="minorHAnsi"/>
                <w:sz w:val="20"/>
                <w:szCs w:val="20"/>
                <w:u w:val="single"/>
                <w:oMath/>
              </w:rPr>
            </w:pPr>
          </w:p>
        </w:tc>
      </w:tr>
    </w:tbl>
    <w:p w:rsidR="00B53E50" w:rsidRDefault="00B53E50" w:rsidP="00B53E50">
      <w:pPr>
        <w:spacing w:after="0" w:line="240" w:lineRule="auto"/>
        <w:jc w:val="center"/>
        <w:rPr>
          <w:rFonts w:ascii="Arial" w:eastAsiaTheme="minorHAnsi" w:hAnsi="Arial" w:cstheme="minorBidi"/>
          <w:sz w:val="22"/>
          <w:szCs w:val="22"/>
        </w:rPr>
      </w:pPr>
      <w:r>
        <w:rPr>
          <w:rFonts w:ascii="Arial" w:eastAsiaTheme="minorHAnsi" w:hAnsi="Arial" w:cstheme="minorBidi"/>
          <w:sz w:val="22"/>
          <w:szCs w:val="22"/>
        </w:rPr>
        <w:lastRenderedPageBreak/>
        <w:t xml:space="preserve">                                                                 </w:t>
      </w: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Default="00B53E50" w:rsidP="00B53E50">
      <w:pPr>
        <w:spacing w:after="0" w:line="240" w:lineRule="auto"/>
        <w:jc w:val="center"/>
        <w:rPr>
          <w:rFonts w:ascii="Arial" w:eastAsiaTheme="minorHAnsi" w:hAnsi="Arial" w:cstheme="minorBidi"/>
          <w:sz w:val="22"/>
          <w:szCs w:val="22"/>
        </w:rPr>
      </w:pPr>
    </w:p>
    <w:p w:rsidR="00B53E50" w:rsidRPr="000B3959" w:rsidRDefault="00B53E50" w:rsidP="00B53E50">
      <w:pPr>
        <w:spacing w:after="0" w:line="240" w:lineRule="auto"/>
        <w:jc w:val="center"/>
        <w:rPr>
          <w:rFonts w:asciiTheme="minorHAnsi" w:hAnsiTheme="minorHAnsi" w:cstheme="minorHAnsi"/>
          <w:caps/>
        </w:rPr>
      </w:pPr>
      <w:r w:rsidRPr="000B3959">
        <w:rPr>
          <w:rFonts w:asciiTheme="minorHAnsi" w:hAnsiTheme="minorHAnsi" w:cstheme="minorHAnsi"/>
          <w:caps/>
          <w:color w:val="407680" w:themeColor="accent2"/>
        </w:rPr>
        <w:t>This page has been intentionally left blank</w:t>
      </w:r>
      <w:r w:rsidRPr="000B3959">
        <w:rPr>
          <w:rFonts w:asciiTheme="minorHAnsi" w:hAnsiTheme="minorHAnsi" w:cstheme="minorHAnsi"/>
          <w:caps/>
        </w:rPr>
        <w:t xml:space="preserve"> </w:t>
      </w:r>
      <w:r w:rsidRPr="000B3959">
        <w:rPr>
          <w:rFonts w:asciiTheme="minorHAnsi" w:hAnsiTheme="minorHAnsi" w:cstheme="minorHAnsi"/>
          <w:caps/>
        </w:rPr>
        <w:br w:type="page"/>
      </w:r>
    </w:p>
    <w:p w:rsidR="005E12EE" w:rsidRDefault="005E12EE">
      <w:pPr>
        <w:spacing w:after="0" w:line="240" w:lineRule="auto"/>
        <w:rPr>
          <w:rFonts w:ascii="Arial" w:eastAsiaTheme="minorHAnsi" w:hAnsi="Arial" w:cstheme="minorBidi"/>
          <w:sz w:val="22"/>
          <w:szCs w:val="22"/>
        </w:rPr>
      </w:pPr>
    </w:p>
    <w:p w:rsidR="005E12EE" w:rsidRDefault="005E12EE" w:rsidP="00EC4BD1">
      <w:pPr>
        <w:rPr>
          <w:rFonts w:ascii="Arial" w:eastAsiaTheme="minorHAnsi" w:hAnsi="Arial" w:cstheme="minorBidi"/>
          <w:sz w:val="22"/>
          <w:szCs w:val="22"/>
        </w:rPr>
      </w:pPr>
      <w:r>
        <w:rPr>
          <w:noProof/>
          <w:lang w:eastAsia="en-AU"/>
        </w:rPr>
        <w:drawing>
          <wp:anchor distT="0" distB="0" distL="114300" distR="114300" simplePos="0" relativeHeight="251653632" behindDoc="1" locked="0" layoutInCell="1" allowOverlap="1" wp14:anchorId="084EF850" wp14:editId="5898D5E0">
            <wp:simplePos x="0" y="0"/>
            <wp:positionH relativeFrom="column">
              <wp:posOffset>-863600</wp:posOffset>
            </wp:positionH>
            <wp:positionV relativeFrom="paragraph">
              <wp:posOffset>-716915</wp:posOffset>
            </wp:positionV>
            <wp:extent cx="7694016" cy="10789920"/>
            <wp:effectExtent l="0" t="0" r="0" b="0"/>
            <wp:wrapNone/>
            <wp:docPr id="293" name="Picture 293" descr="\\FSTEQ1\Groups\Corporate\Communications\Publication Support\Design\PRINT\Key Finanacial Metrics report 2016\September\KFM_Sept2016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EQ1\Groups\Corporate\Communications\Publication Support\Design\PRINT\Key Finanacial Metrics report 2016\September\KFM_Sept2016_v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94930" cy="107912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5EC" w:rsidRDefault="005545EC" w:rsidP="00EC4BD1">
      <w:pPr>
        <w:rPr>
          <w:rFonts w:ascii="Arial" w:eastAsiaTheme="minorHAnsi" w:hAnsi="Arial" w:cstheme="minorBidi"/>
          <w:sz w:val="22"/>
          <w:szCs w:val="22"/>
        </w:rPr>
      </w:pPr>
    </w:p>
    <w:sectPr w:rsidR="005545EC" w:rsidSect="00A91876">
      <w:type w:val="continuous"/>
      <w:pgSz w:w="11906" w:h="16838"/>
      <w:pgMar w:top="1103" w:right="1274" w:bottom="1276"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847" w:rsidRDefault="00BD3847" w:rsidP="00696C14">
      <w:pPr>
        <w:spacing w:after="0" w:line="240" w:lineRule="auto"/>
      </w:pPr>
      <w:r>
        <w:separator/>
      </w:r>
    </w:p>
  </w:endnote>
  <w:endnote w:type="continuationSeparator" w:id="0">
    <w:p w:rsidR="00BD3847" w:rsidRDefault="00BD3847" w:rsidP="00696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NeueLT Std Lt">
    <w:altName w:val="HelveticaNeueLT Std Lt"/>
    <w:panose1 w:val="020B0403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917268"/>
      <w:docPartObj>
        <w:docPartGallery w:val="Page Numbers (Bottom of Page)"/>
        <w:docPartUnique/>
      </w:docPartObj>
    </w:sdtPr>
    <w:sdtEndPr>
      <w:rPr>
        <w:b/>
        <w:noProof/>
        <w:color w:val="00A6AA" w:themeColor="background1"/>
        <w:sz w:val="16"/>
      </w:rPr>
    </w:sdtEndPr>
    <w:sdtContent>
      <w:p w:rsidR="00BD3847" w:rsidRDefault="00BD3847" w:rsidP="00D96839">
        <w:pPr>
          <w:pStyle w:val="Footer"/>
          <w:tabs>
            <w:tab w:val="clear" w:pos="4513"/>
            <w:tab w:val="clear" w:pos="9026"/>
            <w:tab w:val="right" w:pos="9356"/>
          </w:tabs>
        </w:pPr>
        <w:r>
          <w:rPr>
            <w:noProof/>
            <w:lang w:eastAsia="en-AU"/>
          </w:rPr>
          <mc:AlternateContent>
            <mc:Choice Requires="wps">
              <w:drawing>
                <wp:anchor distT="0" distB="0" distL="114300" distR="114300" simplePos="0" relativeHeight="251657728" behindDoc="0" locked="0" layoutInCell="1" allowOverlap="1" wp14:anchorId="4405FDFD" wp14:editId="34EDBE95">
                  <wp:simplePos x="0" y="0"/>
                  <wp:positionH relativeFrom="column">
                    <wp:posOffset>-1905</wp:posOffset>
                  </wp:positionH>
                  <wp:positionV relativeFrom="paragraph">
                    <wp:posOffset>187487</wp:posOffset>
                  </wp:positionV>
                  <wp:extent cx="5932967" cy="0"/>
                  <wp:effectExtent l="0" t="0" r="10795" b="19050"/>
                  <wp:wrapNone/>
                  <wp:docPr id="473" name="Straight Connector 473"/>
                  <wp:cNvGraphicFramePr/>
                  <a:graphic xmlns:a="http://schemas.openxmlformats.org/drawingml/2006/main">
                    <a:graphicData uri="http://schemas.microsoft.com/office/word/2010/wordprocessingShape">
                      <wps:wsp>
                        <wps:cNvCnPr/>
                        <wps:spPr>
                          <a:xfrm>
                            <a:off x="0" y="0"/>
                            <a:ext cx="593296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851E6" id="Straight Connector 473"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5pt,14.75pt" to="46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" strokecolor="#00a6aa [3212]"/>
              </w:pict>
            </mc:Fallback>
          </mc:AlternateContent>
        </w:r>
        <w:r>
          <w:br/>
        </w:r>
      </w:p>
      <w:p w:rsidR="00BD3847" w:rsidRPr="001C73C3" w:rsidRDefault="00BD3847" w:rsidP="001C73C3">
        <w:pPr>
          <w:pStyle w:val="Footer"/>
          <w:tabs>
            <w:tab w:val="right" w:pos="9356"/>
          </w:tabs>
          <w:jc w:val="right"/>
          <w:rPr>
            <w:b/>
            <w:noProof/>
            <w:color w:val="00A6AA" w:themeColor="background1"/>
            <w:sz w:val="16"/>
          </w:rPr>
        </w:pPr>
        <w:r w:rsidRPr="005A2BF1">
          <w:rPr>
            <w:color w:val="00A6AA" w:themeColor="background1"/>
            <w:sz w:val="18"/>
          </w:rPr>
          <w:t>Key financial metrics on Australi</w:t>
        </w:r>
        <w:r>
          <w:rPr>
            <w:color w:val="00A6AA" w:themeColor="background1"/>
            <w:sz w:val="18"/>
          </w:rPr>
          <w:t xml:space="preserve">a’s higher education sector – December 2016    |   </w:t>
        </w:r>
        <w:r w:rsidRPr="00B00812">
          <w:rPr>
            <w:b/>
            <w:color w:val="00A6AA" w:themeColor="background1"/>
            <w:sz w:val="16"/>
          </w:rPr>
          <w:fldChar w:fldCharType="begin"/>
        </w:r>
        <w:r w:rsidRPr="00B00812">
          <w:rPr>
            <w:b/>
            <w:color w:val="00A6AA" w:themeColor="background1"/>
            <w:sz w:val="16"/>
          </w:rPr>
          <w:instrText xml:space="preserve"> PAGE   \* MERGEFORMAT </w:instrText>
        </w:r>
        <w:r w:rsidRPr="00B00812">
          <w:rPr>
            <w:b/>
            <w:color w:val="00A6AA" w:themeColor="background1"/>
            <w:sz w:val="16"/>
          </w:rPr>
          <w:fldChar w:fldCharType="separate"/>
        </w:r>
        <w:r w:rsidR="00EB6487">
          <w:rPr>
            <w:b/>
            <w:noProof/>
            <w:color w:val="00A6AA" w:themeColor="background1"/>
            <w:sz w:val="16"/>
          </w:rPr>
          <w:t>2</w:t>
        </w:r>
        <w:r w:rsidRPr="00B00812">
          <w:rPr>
            <w:b/>
            <w:noProof/>
            <w:color w:val="00A6AA" w:themeColor="background1"/>
            <w:sz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94005"/>
      <w:docPartObj>
        <w:docPartGallery w:val="Page Numbers (Bottom of Page)"/>
        <w:docPartUnique/>
      </w:docPartObj>
    </w:sdtPr>
    <w:sdtEndPr>
      <w:rPr>
        <w:b/>
        <w:noProof/>
        <w:color w:val="00A6AA" w:themeColor="background1"/>
        <w:sz w:val="16"/>
      </w:rPr>
    </w:sdtEndPr>
    <w:sdtContent>
      <w:p w:rsidR="00BD3847" w:rsidRDefault="00BD3847" w:rsidP="00C9229C">
        <w:pPr>
          <w:pStyle w:val="Footer"/>
          <w:tabs>
            <w:tab w:val="clear" w:pos="4513"/>
            <w:tab w:val="clear" w:pos="9026"/>
            <w:tab w:val="right" w:pos="9356"/>
          </w:tabs>
        </w:pPr>
        <w:r>
          <w:rPr>
            <w:noProof/>
            <w:lang w:eastAsia="en-AU"/>
          </w:rPr>
          <mc:AlternateContent>
            <mc:Choice Requires="wps">
              <w:drawing>
                <wp:anchor distT="0" distB="0" distL="114300" distR="114300" simplePos="0" relativeHeight="251656704" behindDoc="0" locked="0" layoutInCell="1" allowOverlap="1" wp14:anchorId="00FA2B9D" wp14:editId="1867D146">
                  <wp:simplePos x="0" y="0"/>
                  <wp:positionH relativeFrom="column">
                    <wp:posOffset>-1905</wp:posOffset>
                  </wp:positionH>
                  <wp:positionV relativeFrom="paragraph">
                    <wp:posOffset>187487</wp:posOffset>
                  </wp:positionV>
                  <wp:extent cx="5932967" cy="0"/>
                  <wp:effectExtent l="0" t="0" r="10795" b="19050"/>
                  <wp:wrapNone/>
                  <wp:docPr id="14" name="Straight Connector 14"/>
                  <wp:cNvGraphicFramePr/>
                  <a:graphic xmlns:a="http://schemas.openxmlformats.org/drawingml/2006/main">
                    <a:graphicData uri="http://schemas.microsoft.com/office/word/2010/wordprocessingShape">
                      <wps:wsp>
                        <wps:cNvCnPr/>
                        <wps:spPr>
                          <a:xfrm>
                            <a:off x="0" y="0"/>
                            <a:ext cx="593296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22438" id="Straight Connector 1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5pt,14.75pt" to="46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" strokecolor="#00a6aa [3212]"/>
              </w:pict>
            </mc:Fallback>
          </mc:AlternateContent>
        </w:r>
        <w:r>
          <w:br/>
        </w:r>
      </w:p>
      <w:p w:rsidR="00BD3847" w:rsidRPr="00C9229C" w:rsidRDefault="00BD3847" w:rsidP="00C9229C">
        <w:pPr>
          <w:pStyle w:val="Footer"/>
          <w:tabs>
            <w:tab w:val="right" w:pos="9356"/>
          </w:tabs>
          <w:jc w:val="right"/>
          <w:rPr>
            <w:b/>
            <w:noProof/>
            <w:color w:val="00A6AA" w:themeColor="background1"/>
            <w:sz w:val="16"/>
          </w:rPr>
        </w:pPr>
        <w:r w:rsidRPr="005A2BF1">
          <w:rPr>
            <w:color w:val="00A6AA" w:themeColor="background1"/>
            <w:sz w:val="18"/>
          </w:rPr>
          <w:t>Key financial metrics on Australi</w:t>
        </w:r>
        <w:r>
          <w:rPr>
            <w:color w:val="00A6AA" w:themeColor="background1"/>
            <w:sz w:val="18"/>
          </w:rPr>
          <w:t xml:space="preserve">a’s higher education sector – December 2016    |   </w:t>
        </w:r>
        <w:r w:rsidRPr="00B00812">
          <w:rPr>
            <w:b/>
            <w:color w:val="00A6AA" w:themeColor="background1"/>
            <w:sz w:val="16"/>
          </w:rPr>
          <w:fldChar w:fldCharType="begin"/>
        </w:r>
        <w:r w:rsidRPr="00B00812">
          <w:rPr>
            <w:b/>
            <w:color w:val="00A6AA" w:themeColor="background1"/>
            <w:sz w:val="16"/>
          </w:rPr>
          <w:instrText xml:space="preserve"> PAGE   \* MERGEFORMAT </w:instrText>
        </w:r>
        <w:r w:rsidRPr="00B00812">
          <w:rPr>
            <w:b/>
            <w:color w:val="00A6AA" w:themeColor="background1"/>
            <w:sz w:val="16"/>
          </w:rPr>
          <w:fldChar w:fldCharType="separate"/>
        </w:r>
        <w:r w:rsidR="00EB6487">
          <w:rPr>
            <w:b/>
            <w:noProof/>
            <w:color w:val="00A6AA" w:themeColor="background1"/>
            <w:sz w:val="16"/>
          </w:rPr>
          <w:t>1</w:t>
        </w:r>
        <w:r w:rsidRPr="00B00812">
          <w:rPr>
            <w:b/>
            <w:noProof/>
            <w:color w:val="00A6AA" w:themeColor="background1"/>
            <w:sz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847" w:rsidRDefault="00BD3847" w:rsidP="00696C14">
      <w:pPr>
        <w:spacing w:after="0" w:line="240" w:lineRule="auto"/>
      </w:pPr>
      <w:r>
        <w:separator/>
      </w:r>
    </w:p>
  </w:footnote>
  <w:footnote w:type="continuationSeparator" w:id="0">
    <w:p w:rsidR="00BD3847" w:rsidRDefault="00BD3847" w:rsidP="00696C14">
      <w:pPr>
        <w:spacing w:after="0" w:line="240" w:lineRule="auto"/>
      </w:pPr>
      <w:r>
        <w:continuationSeparator/>
      </w:r>
    </w:p>
  </w:footnote>
  <w:footnote w:id="1">
    <w:p w:rsidR="00BD3847" w:rsidRDefault="00BD3847" w:rsidP="00263A09">
      <w:pPr>
        <w:spacing w:after="0" w:line="240" w:lineRule="auto"/>
      </w:pPr>
      <w:r w:rsidRPr="00927704">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sidRPr="00927704">
        <w:rPr>
          <w:rFonts w:asciiTheme="minorHAnsi" w:hAnsiTheme="minorHAnsi" w:cstheme="minorHAnsi"/>
          <w:sz w:val="16"/>
          <w:szCs w:val="16"/>
        </w:rPr>
        <w:t>TEQSA acknowledge</w:t>
      </w:r>
      <w:r>
        <w:rPr>
          <w:rFonts w:asciiTheme="minorHAnsi" w:hAnsiTheme="minorHAnsi" w:cstheme="minorHAnsi"/>
          <w:sz w:val="16"/>
          <w:szCs w:val="16"/>
        </w:rPr>
        <w:t>s that</w:t>
      </w:r>
      <w:r w:rsidRPr="00927704">
        <w:rPr>
          <w:rFonts w:asciiTheme="minorHAnsi" w:hAnsiTheme="minorHAnsi" w:cstheme="minorHAnsi"/>
          <w:sz w:val="16"/>
          <w:szCs w:val="16"/>
        </w:rPr>
        <w:t xml:space="preserve"> factors </w:t>
      </w:r>
      <w:r>
        <w:rPr>
          <w:rFonts w:asciiTheme="minorHAnsi" w:hAnsiTheme="minorHAnsi" w:cstheme="minorHAnsi"/>
          <w:sz w:val="16"/>
          <w:szCs w:val="16"/>
        </w:rPr>
        <w:t>such as</w:t>
      </w:r>
      <w:r w:rsidRPr="00927704">
        <w:rPr>
          <w:rFonts w:asciiTheme="minorHAnsi" w:hAnsiTheme="minorHAnsi" w:cstheme="minorHAnsi"/>
          <w:sz w:val="16"/>
          <w:szCs w:val="16"/>
        </w:rPr>
        <w:t xml:space="preserve"> accounting </w:t>
      </w:r>
      <w:r>
        <w:rPr>
          <w:rFonts w:asciiTheme="minorHAnsi" w:hAnsiTheme="minorHAnsi" w:cstheme="minorHAnsi"/>
          <w:sz w:val="16"/>
          <w:szCs w:val="16"/>
        </w:rPr>
        <w:t>policies</w:t>
      </w:r>
      <w:r w:rsidRPr="00927704">
        <w:rPr>
          <w:rFonts w:asciiTheme="minorHAnsi" w:hAnsiTheme="minorHAnsi" w:cstheme="minorHAnsi"/>
          <w:sz w:val="16"/>
          <w:szCs w:val="16"/>
        </w:rPr>
        <w:t xml:space="preserve">, taxation </w:t>
      </w:r>
      <w:r>
        <w:rPr>
          <w:rFonts w:asciiTheme="minorHAnsi" w:hAnsiTheme="minorHAnsi" w:cstheme="minorHAnsi"/>
          <w:sz w:val="16"/>
          <w:szCs w:val="16"/>
        </w:rPr>
        <w:t>treatments and structures</w:t>
      </w:r>
      <w:r w:rsidRPr="00927704">
        <w:rPr>
          <w:rFonts w:asciiTheme="minorHAnsi" w:hAnsiTheme="minorHAnsi" w:cstheme="minorHAnsi"/>
          <w:sz w:val="16"/>
          <w:szCs w:val="16"/>
        </w:rPr>
        <w:t xml:space="preserve">, </w:t>
      </w:r>
      <w:r>
        <w:rPr>
          <w:rFonts w:asciiTheme="minorHAnsi" w:hAnsiTheme="minorHAnsi" w:cstheme="minorHAnsi"/>
          <w:sz w:val="16"/>
          <w:szCs w:val="16"/>
        </w:rPr>
        <w:t xml:space="preserve">legal entity type, </w:t>
      </w:r>
      <w:r w:rsidRPr="00927704">
        <w:rPr>
          <w:rFonts w:asciiTheme="minorHAnsi" w:hAnsiTheme="minorHAnsi" w:cstheme="minorHAnsi"/>
          <w:sz w:val="16"/>
          <w:szCs w:val="16"/>
        </w:rPr>
        <w:t>ownership structure</w:t>
      </w:r>
      <w:r>
        <w:rPr>
          <w:rFonts w:asciiTheme="minorHAnsi" w:hAnsiTheme="minorHAnsi" w:cstheme="minorHAnsi"/>
          <w:sz w:val="16"/>
          <w:szCs w:val="16"/>
        </w:rPr>
        <w:t>s</w:t>
      </w:r>
      <w:r w:rsidRPr="00927704">
        <w:rPr>
          <w:rFonts w:asciiTheme="minorHAnsi" w:hAnsiTheme="minorHAnsi" w:cstheme="minorHAnsi"/>
          <w:sz w:val="16"/>
          <w:szCs w:val="16"/>
        </w:rPr>
        <w:t xml:space="preserve"> and so forth may result in differences when comparing</w:t>
      </w:r>
      <w:r>
        <w:rPr>
          <w:rFonts w:asciiTheme="minorHAnsi" w:hAnsiTheme="minorHAnsi" w:cstheme="minorHAnsi"/>
          <w:sz w:val="16"/>
          <w:szCs w:val="16"/>
        </w:rPr>
        <w:t xml:space="preserve"> the performance of </w:t>
      </w:r>
      <w:r w:rsidRPr="00927704">
        <w:rPr>
          <w:rFonts w:asciiTheme="minorHAnsi" w:hAnsiTheme="minorHAnsi" w:cstheme="minorHAnsi"/>
          <w:sz w:val="16"/>
          <w:szCs w:val="16"/>
        </w:rPr>
        <w:t>providers</w:t>
      </w:r>
      <w:r>
        <w:rPr>
          <w:rFonts w:asciiTheme="minorHAnsi" w:hAnsiTheme="minorHAnsi" w:cstheme="minorHAnsi"/>
          <w:sz w:val="16"/>
          <w:szCs w:val="16"/>
        </w:rPr>
        <w:t xml:space="preserve"> however</w:t>
      </w:r>
      <w:r w:rsidRPr="00927704">
        <w:rPr>
          <w:rFonts w:asciiTheme="minorHAnsi" w:hAnsiTheme="minorHAnsi" w:cstheme="minorHAnsi"/>
          <w:sz w:val="16"/>
          <w:szCs w:val="16"/>
        </w:rPr>
        <w:t xml:space="preserve"> </w:t>
      </w:r>
      <w:r>
        <w:rPr>
          <w:rFonts w:asciiTheme="minorHAnsi" w:hAnsiTheme="minorHAnsi" w:cstheme="minorHAnsi"/>
          <w:sz w:val="16"/>
          <w:szCs w:val="16"/>
        </w:rPr>
        <w:t>this</w:t>
      </w:r>
      <w:r w:rsidRPr="00927704">
        <w:rPr>
          <w:rFonts w:asciiTheme="minorHAnsi" w:hAnsiTheme="minorHAnsi" w:cstheme="minorHAnsi"/>
          <w:sz w:val="16"/>
          <w:szCs w:val="16"/>
        </w:rPr>
        <w:t xml:space="preserve"> does not </w:t>
      </w:r>
      <w:r>
        <w:rPr>
          <w:rFonts w:asciiTheme="minorHAnsi" w:hAnsiTheme="minorHAnsi" w:cstheme="minorHAnsi"/>
          <w:sz w:val="16"/>
          <w:szCs w:val="16"/>
        </w:rPr>
        <w:t>pose</w:t>
      </w:r>
      <w:r w:rsidRPr="00927704">
        <w:rPr>
          <w:rFonts w:asciiTheme="minorHAnsi" w:hAnsiTheme="minorHAnsi" w:cstheme="minorHAnsi"/>
          <w:sz w:val="16"/>
          <w:szCs w:val="16"/>
        </w:rPr>
        <w:t xml:space="preserve"> an impediment when assessing the provider on a stand-alone basis</w:t>
      </w:r>
      <w:r>
        <w:rPr>
          <w:rFonts w:asciiTheme="minorHAnsi" w:hAnsiTheme="minorHAnsi" w:cstheme="minorHAnsi"/>
          <w:sz w:val="16"/>
          <w:szCs w:val="16"/>
        </w:rPr>
        <w:t xml:space="preserve"> which this report aims to do</w:t>
      </w:r>
      <w:r w:rsidRPr="00927704">
        <w:rPr>
          <w:rFonts w:asciiTheme="minorHAnsi" w:hAnsiTheme="minorHAnsi" w:cstheme="minorHAnsi"/>
          <w:sz w:val="16"/>
          <w:szCs w:val="16"/>
        </w:rPr>
        <w:t>.</w:t>
      </w:r>
    </w:p>
  </w:footnote>
  <w:footnote w:id="2">
    <w:p w:rsidR="00BD3847" w:rsidRPr="00930E64" w:rsidRDefault="00BD3847" w:rsidP="0072068B">
      <w:pPr>
        <w:pStyle w:val="FootnoteText"/>
        <w:rPr>
          <w:rFonts w:asciiTheme="minorHAnsi" w:hAnsiTheme="minorHAnsi" w:cstheme="minorHAnsi"/>
          <w:sz w:val="16"/>
          <w:szCs w:val="16"/>
        </w:rPr>
      </w:pPr>
      <w:r w:rsidRPr="00930E64">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R</w:t>
      </w:r>
      <w:r w:rsidRPr="00930E64">
        <w:rPr>
          <w:rFonts w:asciiTheme="minorHAnsi" w:hAnsiTheme="minorHAnsi" w:cstheme="minorHAnsi"/>
          <w:sz w:val="16"/>
          <w:szCs w:val="16"/>
        </w:rPr>
        <w:t>efers to TEQSA’s data collection year. Financial data relates to a provider's most recent financial year as at the time of the</w:t>
      </w:r>
      <w:r>
        <w:rPr>
          <w:rFonts w:asciiTheme="minorHAnsi" w:hAnsiTheme="minorHAnsi" w:cstheme="minorHAnsi"/>
          <w:sz w:val="16"/>
          <w:szCs w:val="16"/>
        </w:rPr>
        <w:t xml:space="preserve"> </w:t>
      </w:r>
      <w:r w:rsidRPr="00930E64">
        <w:rPr>
          <w:rFonts w:asciiTheme="minorHAnsi" w:hAnsiTheme="minorHAnsi" w:cstheme="minorHAnsi"/>
          <w:sz w:val="16"/>
          <w:szCs w:val="16"/>
        </w:rPr>
        <w:t xml:space="preserve">collection. Data used throughout this report relates to providers that reported data in the </w:t>
      </w:r>
      <w:r>
        <w:rPr>
          <w:rFonts w:asciiTheme="minorHAnsi" w:hAnsiTheme="minorHAnsi" w:cstheme="minorHAnsi"/>
          <w:sz w:val="16"/>
          <w:szCs w:val="16"/>
        </w:rPr>
        <w:t>collection</w:t>
      </w:r>
      <w:r w:rsidRPr="00930E64">
        <w:rPr>
          <w:rFonts w:asciiTheme="minorHAnsi" w:hAnsiTheme="minorHAnsi" w:cstheme="minorHAnsi"/>
          <w:sz w:val="16"/>
          <w:szCs w:val="16"/>
        </w:rPr>
        <w:t xml:space="preserve"> and had an assessment completed by TEQSA.   </w:t>
      </w:r>
    </w:p>
  </w:footnote>
  <w:footnote w:id="3">
    <w:p w:rsidR="00BD3847" w:rsidRPr="007C28F5" w:rsidRDefault="00BD3847">
      <w:pPr>
        <w:pStyle w:val="FootnoteText"/>
        <w:rPr>
          <w:rFonts w:asciiTheme="minorHAnsi" w:hAnsiTheme="minorHAnsi" w:cstheme="minorHAnsi"/>
          <w:sz w:val="16"/>
          <w:szCs w:val="16"/>
        </w:rPr>
      </w:pPr>
      <w:r w:rsidRPr="007C28F5">
        <w:rPr>
          <w:rStyle w:val="FootnoteReference"/>
          <w:rFonts w:asciiTheme="minorHAnsi" w:hAnsiTheme="minorHAnsi" w:cstheme="minorHAnsi"/>
          <w:sz w:val="16"/>
          <w:szCs w:val="16"/>
        </w:rPr>
        <w:footnoteRef/>
      </w:r>
      <w:r w:rsidRPr="007C28F5">
        <w:rPr>
          <w:rFonts w:asciiTheme="minorHAnsi" w:hAnsiTheme="minorHAnsi" w:cstheme="minorHAnsi"/>
          <w:sz w:val="16"/>
          <w:szCs w:val="16"/>
        </w:rPr>
        <w:t xml:space="preserve"> </w:t>
      </w:r>
      <w:r>
        <w:rPr>
          <w:rFonts w:asciiTheme="minorHAnsi" w:hAnsiTheme="minorHAnsi" w:cstheme="minorHAnsi"/>
          <w:sz w:val="16"/>
          <w:szCs w:val="16"/>
        </w:rPr>
        <w:t>This is r</w:t>
      </w:r>
      <w:r w:rsidRPr="007C28F5">
        <w:rPr>
          <w:rFonts w:asciiTheme="minorHAnsi" w:hAnsiTheme="minorHAnsi" w:cstheme="minorHAnsi"/>
          <w:sz w:val="16"/>
          <w:szCs w:val="16"/>
        </w:rPr>
        <w:t xml:space="preserve">evenue earned </w:t>
      </w:r>
      <w:r>
        <w:rPr>
          <w:rFonts w:asciiTheme="minorHAnsi" w:hAnsiTheme="minorHAnsi" w:cstheme="minorHAnsi"/>
          <w:sz w:val="16"/>
          <w:szCs w:val="16"/>
        </w:rPr>
        <w:t>by HEPs from the</w:t>
      </w:r>
      <w:r w:rsidRPr="007C28F5">
        <w:rPr>
          <w:rFonts w:asciiTheme="minorHAnsi" w:hAnsiTheme="minorHAnsi" w:cstheme="minorHAnsi"/>
          <w:sz w:val="16"/>
          <w:szCs w:val="16"/>
        </w:rPr>
        <w:t xml:space="preserve"> delivery of VET</w:t>
      </w:r>
      <w:r>
        <w:rPr>
          <w:rFonts w:asciiTheme="minorHAnsi" w:hAnsiTheme="minorHAnsi" w:cstheme="minorHAnsi"/>
          <w:sz w:val="16"/>
          <w:szCs w:val="16"/>
        </w:rPr>
        <w:t xml:space="preserve"> courses. The majority of this relates to TAFE NSW which is a registered HEP.</w:t>
      </w:r>
    </w:p>
  </w:footnote>
  <w:footnote w:id="4">
    <w:p w:rsidR="00BD3847" w:rsidRPr="00930E64" w:rsidRDefault="00BD3847" w:rsidP="0072068B">
      <w:pPr>
        <w:pStyle w:val="FootnoteText"/>
        <w:rPr>
          <w:rFonts w:asciiTheme="minorHAnsi" w:hAnsiTheme="minorHAnsi" w:cstheme="minorHAnsi"/>
          <w:sz w:val="16"/>
          <w:szCs w:val="16"/>
          <w:lang w:val="en-US"/>
        </w:rPr>
      </w:pPr>
      <w:r w:rsidRPr="00930E64">
        <w:rPr>
          <w:rStyle w:val="FootnoteReference"/>
          <w:rFonts w:asciiTheme="minorHAnsi" w:hAnsiTheme="minorHAnsi" w:cstheme="minorHAnsi"/>
          <w:sz w:val="16"/>
          <w:szCs w:val="16"/>
        </w:rPr>
        <w:footnoteRef/>
      </w:r>
      <w:r w:rsidRPr="00930E64">
        <w:rPr>
          <w:rFonts w:asciiTheme="minorHAnsi" w:hAnsiTheme="minorHAnsi" w:cstheme="minorHAnsi"/>
          <w:sz w:val="16"/>
          <w:szCs w:val="16"/>
        </w:rPr>
        <w:t xml:space="preserve"> </w:t>
      </w:r>
      <w:r w:rsidRPr="00930E64">
        <w:rPr>
          <w:rFonts w:asciiTheme="minorHAnsi" w:hAnsiTheme="minorHAnsi" w:cstheme="minorHAnsi"/>
          <w:sz w:val="16"/>
          <w:szCs w:val="16"/>
          <w:lang w:val="en-US"/>
        </w:rPr>
        <w:t>Excluding capital gran</w:t>
      </w:r>
      <w:r>
        <w:rPr>
          <w:rFonts w:asciiTheme="minorHAnsi" w:hAnsiTheme="minorHAnsi" w:cstheme="minorHAnsi"/>
          <w:sz w:val="16"/>
          <w:szCs w:val="16"/>
          <w:lang w:val="en-US"/>
        </w:rPr>
        <w:t>ts and once-off/abnormal items</w:t>
      </w:r>
      <w:r w:rsidRPr="00930E64">
        <w:rPr>
          <w:rFonts w:asciiTheme="minorHAnsi" w:hAnsiTheme="minorHAnsi" w:cstheme="minorHAnsi"/>
          <w:sz w:val="16"/>
          <w:szCs w:val="16"/>
          <w:lang w:val="en-US"/>
        </w:rPr>
        <w:t>.</w:t>
      </w:r>
    </w:p>
  </w:footnote>
  <w:footnote w:id="5">
    <w:p w:rsidR="00BD3847" w:rsidRPr="00930E64" w:rsidRDefault="00BD3847" w:rsidP="0072068B">
      <w:pPr>
        <w:pStyle w:val="FootnoteText"/>
        <w:rPr>
          <w:rFonts w:asciiTheme="minorHAnsi" w:hAnsiTheme="minorHAnsi" w:cstheme="minorHAnsi"/>
          <w:sz w:val="16"/>
          <w:szCs w:val="16"/>
        </w:rPr>
      </w:pPr>
      <w:r w:rsidRPr="00930E64">
        <w:rPr>
          <w:rStyle w:val="FootnoteReference"/>
          <w:rFonts w:asciiTheme="minorHAnsi" w:hAnsiTheme="minorHAnsi" w:cstheme="minorHAnsi"/>
          <w:sz w:val="16"/>
          <w:szCs w:val="16"/>
        </w:rPr>
        <w:footnoteRef/>
      </w:r>
      <w:r w:rsidRPr="00930E64">
        <w:rPr>
          <w:rFonts w:asciiTheme="minorHAnsi" w:hAnsiTheme="minorHAnsi" w:cstheme="minorHAnsi"/>
          <w:sz w:val="16"/>
          <w:szCs w:val="16"/>
        </w:rPr>
        <w:t xml:space="preserve"> </w:t>
      </w:r>
      <w:r>
        <w:rPr>
          <w:rFonts w:asciiTheme="minorHAnsi" w:hAnsiTheme="minorHAnsi" w:cstheme="minorHAnsi"/>
          <w:sz w:val="16"/>
          <w:szCs w:val="16"/>
        </w:rPr>
        <w:t xml:space="preserve">2015 </w:t>
      </w:r>
      <w:r w:rsidRPr="008466EE">
        <w:rPr>
          <w:rFonts w:asciiTheme="minorHAnsi" w:hAnsiTheme="minorHAnsi" w:cstheme="minorHAnsi"/>
          <w:sz w:val="16"/>
          <w:szCs w:val="16"/>
        </w:rPr>
        <w:t>Sector Earnings Before Interest, Taxes, Depreciation and Amortisation (EBITDA</w:t>
      </w:r>
      <w:r w:rsidRPr="00C86061">
        <w:rPr>
          <w:rFonts w:asciiTheme="minorHAnsi" w:hAnsiTheme="minorHAnsi" w:cstheme="minorHAnsi"/>
          <w:sz w:val="16"/>
          <w:szCs w:val="16"/>
        </w:rPr>
        <w:t>)</w:t>
      </w:r>
      <w:r w:rsidRPr="007E7688">
        <w:rPr>
          <w:rFonts w:asciiTheme="minorHAnsi" w:hAnsiTheme="minorHAnsi" w:cstheme="minorHAnsi"/>
          <w:sz w:val="16"/>
          <w:szCs w:val="16"/>
        </w:rPr>
        <w:t xml:space="preserve"> = </w:t>
      </w:r>
      <w:r>
        <w:rPr>
          <w:rFonts w:asciiTheme="minorHAnsi" w:hAnsiTheme="minorHAnsi" w:cstheme="minorHAnsi"/>
          <w:sz w:val="16"/>
          <w:szCs w:val="16"/>
        </w:rPr>
        <w:t xml:space="preserve">$4.022 billion (2014: </w:t>
      </w:r>
      <w:r w:rsidRPr="007E7688">
        <w:rPr>
          <w:rFonts w:asciiTheme="minorHAnsi" w:hAnsiTheme="minorHAnsi" w:cstheme="minorHAnsi"/>
          <w:sz w:val="16"/>
          <w:szCs w:val="16"/>
        </w:rPr>
        <w:t>$3.6</w:t>
      </w:r>
      <w:r w:rsidRPr="009C5B1A">
        <w:rPr>
          <w:rFonts w:asciiTheme="minorHAnsi" w:hAnsiTheme="minorHAnsi" w:cstheme="minorHAnsi"/>
          <w:sz w:val="16"/>
          <w:szCs w:val="16"/>
        </w:rPr>
        <w:t>65 billion</w:t>
      </w:r>
      <w:r>
        <w:rPr>
          <w:rFonts w:asciiTheme="minorHAnsi" w:hAnsiTheme="minorHAnsi" w:cstheme="minorHAnsi"/>
          <w:sz w:val="16"/>
          <w:szCs w:val="16"/>
        </w:rPr>
        <w:t>).</w:t>
      </w:r>
    </w:p>
  </w:footnote>
  <w:footnote w:id="6">
    <w:p w:rsidR="00BD3847" w:rsidRPr="00A52AC6" w:rsidRDefault="00BD3847" w:rsidP="0072068B">
      <w:pPr>
        <w:pStyle w:val="FootnoteText"/>
        <w:rPr>
          <w:rFonts w:asciiTheme="minorHAnsi" w:hAnsiTheme="minorHAnsi" w:cstheme="minorHAnsi"/>
          <w:sz w:val="16"/>
          <w:szCs w:val="16"/>
        </w:rPr>
      </w:pPr>
      <w:r w:rsidRPr="00930E64">
        <w:rPr>
          <w:rStyle w:val="FootnoteReference"/>
          <w:rFonts w:asciiTheme="minorHAnsi" w:hAnsiTheme="minorHAnsi" w:cstheme="minorHAnsi"/>
          <w:sz w:val="16"/>
          <w:szCs w:val="16"/>
        </w:rPr>
        <w:footnoteRef/>
      </w:r>
      <w:r w:rsidRPr="00930E64">
        <w:rPr>
          <w:rFonts w:asciiTheme="minorHAnsi" w:hAnsiTheme="minorHAnsi" w:cstheme="minorHAnsi"/>
          <w:sz w:val="16"/>
          <w:szCs w:val="16"/>
        </w:rPr>
        <w:t xml:space="preserve"> </w:t>
      </w:r>
      <w:r>
        <w:rPr>
          <w:rFonts w:asciiTheme="minorHAnsi" w:hAnsiTheme="minorHAnsi" w:cstheme="minorHAnsi"/>
          <w:sz w:val="16"/>
          <w:szCs w:val="16"/>
        </w:rPr>
        <w:t>Adjusted for r</w:t>
      </w:r>
      <w:r w:rsidRPr="00930E64">
        <w:rPr>
          <w:rFonts w:asciiTheme="minorHAnsi" w:hAnsiTheme="minorHAnsi" w:cstheme="minorHAnsi"/>
          <w:sz w:val="16"/>
          <w:szCs w:val="16"/>
        </w:rPr>
        <w:t>elated party assets and/or liabilities</w:t>
      </w:r>
      <w:r>
        <w:rPr>
          <w:rFonts w:asciiTheme="minorHAnsi" w:hAnsiTheme="minorHAnsi" w:cstheme="minorHAnsi"/>
          <w:sz w:val="16"/>
          <w:szCs w:val="16"/>
        </w:rPr>
        <w:t xml:space="preserve"> which</w:t>
      </w:r>
      <w:r w:rsidRPr="00930E64">
        <w:rPr>
          <w:rFonts w:asciiTheme="minorHAnsi" w:hAnsiTheme="minorHAnsi" w:cstheme="minorHAnsi"/>
          <w:sz w:val="16"/>
          <w:szCs w:val="16"/>
        </w:rPr>
        <w:t xml:space="preserve"> have been removed.</w:t>
      </w:r>
    </w:p>
  </w:footnote>
  <w:footnote w:id="7">
    <w:p w:rsidR="00BD3847" w:rsidRDefault="00BD3847" w:rsidP="00350BA0">
      <w:pPr>
        <w:pStyle w:val="FootnoteText"/>
      </w:pPr>
      <w:r>
        <w:rPr>
          <w:rStyle w:val="FootnoteReference"/>
        </w:rPr>
        <w:footnoteRef/>
      </w:r>
      <w:r>
        <w:t xml:space="preserve"> </w:t>
      </w:r>
      <w:r w:rsidRPr="003D5F3C">
        <w:rPr>
          <w:rFonts w:ascii="Arial" w:hAnsi="Arial" w:cs="Arial"/>
          <w:sz w:val="16"/>
          <w:szCs w:val="16"/>
        </w:rPr>
        <w:t>All universities are not-for-profit except</w:t>
      </w:r>
      <w:r w:rsidRPr="003D5F3C">
        <w:rPr>
          <w:rFonts w:asciiTheme="minorHAnsi" w:hAnsiTheme="minorHAnsi" w:cstheme="minorHAnsi"/>
          <w:sz w:val="16"/>
          <w:szCs w:val="16"/>
        </w:rPr>
        <w:t xml:space="preserve"> for Torrens University Australia, which is a for-profit subsidiary of Laureate International</w:t>
      </w:r>
    </w:p>
  </w:footnote>
  <w:footnote w:id="8">
    <w:p w:rsidR="00BD3847" w:rsidRDefault="00BD3847" w:rsidP="001C5522">
      <w:pPr>
        <w:pStyle w:val="FootnoteText"/>
      </w:pPr>
      <w:r>
        <w:rPr>
          <w:rStyle w:val="FootnoteReference"/>
        </w:rPr>
        <w:footnoteRef/>
      </w:r>
      <w:r>
        <w:t xml:space="preserve"> </w:t>
      </w:r>
      <w:r>
        <w:rPr>
          <w:rFonts w:asciiTheme="minorHAnsi" w:hAnsiTheme="minorHAnsi" w:cstheme="minorHAnsi"/>
          <w:sz w:val="16"/>
          <w:szCs w:val="22"/>
          <w:lang w:val="en-US"/>
        </w:rPr>
        <w:t>Excludes</w:t>
      </w:r>
      <w:r w:rsidRPr="006F7CD4">
        <w:rPr>
          <w:rFonts w:asciiTheme="minorHAnsi" w:hAnsiTheme="minorHAnsi" w:cstheme="minorHAnsi"/>
          <w:sz w:val="16"/>
          <w:szCs w:val="22"/>
          <w:lang w:val="en-US"/>
        </w:rPr>
        <w:t xml:space="preserve"> providers who as of 12 August 2016 ha</w:t>
      </w:r>
      <w:r>
        <w:rPr>
          <w:rFonts w:asciiTheme="minorHAnsi" w:hAnsiTheme="minorHAnsi" w:cstheme="minorHAnsi"/>
          <w:sz w:val="16"/>
          <w:szCs w:val="22"/>
          <w:lang w:val="en-US"/>
        </w:rPr>
        <w:t>d</w:t>
      </w:r>
      <w:r w:rsidRPr="006F7CD4">
        <w:rPr>
          <w:rFonts w:asciiTheme="minorHAnsi" w:hAnsiTheme="minorHAnsi" w:cstheme="minorHAnsi"/>
          <w:sz w:val="16"/>
          <w:szCs w:val="22"/>
          <w:lang w:val="en-US"/>
        </w:rPr>
        <w:t xml:space="preserve"> been deregistered or withdrawn their registration.</w:t>
      </w:r>
    </w:p>
  </w:footnote>
  <w:footnote w:id="9">
    <w:p w:rsidR="00BD3847" w:rsidRPr="002E2C70" w:rsidRDefault="00BD3847" w:rsidP="008A27CC">
      <w:pPr>
        <w:pStyle w:val="FootnoteText"/>
        <w:rPr>
          <w:rFonts w:asciiTheme="minorHAnsi" w:hAnsiTheme="minorHAnsi" w:cstheme="minorHAnsi"/>
          <w:sz w:val="16"/>
          <w:szCs w:val="16"/>
        </w:rPr>
      </w:pPr>
      <w:r w:rsidRPr="002E2C70">
        <w:rPr>
          <w:rStyle w:val="FootnoteReference"/>
          <w:rFonts w:asciiTheme="minorHAnsi" w:hAnsiTheme="minorHAnsi" w:cstheme="minorHAnsi"/>
          <w:sz w:val="16"/>
          <w:szCs w:val="16"/>
        </w:rPr>
        <w:footnoteRef/>
      </w:r>
      <w:r w:rsidRPr="002E2C70">
        <w:rPr>
          <w:rFonts w:asciiTheme="minorHAnsi" w:hAnsiTheme="minorHAnsi" w:cstheme="minorHAnsi"/>
          <w:sz w:val="16"/>
          <w:szCs w:val="16"/>
        </w:rPr>
        <w:t xml:space="preserve"> Any one-off or abnormal revenue or expense items and capital grants have been exclud</w:t>
      </w:r>
      <w:r>
        <w:rPr>
          <w:rFonts w:asciiTheme="minorHAnsi" w:hAnsiTheme="minorHAnsi" w:cstheme="minorHAnsi"/>
          <w:sz w:val="16"/>
          <w:szCs w:val="16"/>
        </w:rPr>
        <w:t>ed in calculating the profit</w:t>
      </w:r>
      <w:r w:rsidR="007744F0">
        <w:rPr>
          <w:rFonts w:asciiTheme="minorHAnsi" w:hAnsiTheme="minorHAnsi" w:cstheme="minorHAnsi"/>
          <w:sz w:val="16"/>
          <w:szCs w:val="16"/>
        </w:rPr>
        <w:t>/surplus and EBITDA</w:t>
      </w:r>
      <w:r w:rsidRPr="002E2C70">
        <w:rPr>
          <w:rFonts w:asciiTheme="minorHAnsi" w:hAnsiTheme="minorHAnsi" w:cstheme="minorHAnsi"/>
          <w:sz w:val="16"/>
          <w:szCs w:val="16"/>
        </w:rPr>
        <w:t xml:space="preserve"> margin.</w:t>
      </w:r>
    </w:p>
  </w:footnote>
  <w:footnote w:id="10">
    <w:p w:rsidR="00BD3847" w:rsidRPr="00930E64" w:rsidRDefault="00BD3847" w:rsidP="00920FF9">
      <w:pPr>
        <w:pStyle w:val="FootnoteText"/>
        <w:rPr>
          <w:rFonts w:asciiTheme="minorHAnsi" w:hAnsiTheme="minorHAnsi" w:cstheme="minorHAnsi"/>
          <w:sz w:val="16"/>
          <w:szCs w:val="16"/>
        </w:rPr>
      </w:pPr>
      <w:r w:rsidRPr="00930E64">
        <w:rPr>
          <w:rStyle w:val="FootnoteReference"/>
          <w:rFonts w:asciiTheme="minorHAnsi" w:hAnsiTheme="minorHAnsi" w:cstheme="minorHAnsi"/>
          <w:sz w:val="16"/>
          <w:szCs w:val="16"/>
        </w:rPr>
        <w:footnoteRef/>
      </w:r>
      <w:r w:rsidRPr="00930E64">
        <w:rPr>
          <w:rFonts w:asciiTheme="minorHAnsi" w:hAnsiTheme="minorHAnsi" w:cstheme="minorHAnsi"/>
          <w:sz w:val="16"/>
          <w:szCs w:val="16"/>
        </w:rPr>
        <w:t xml:space="preserve"> </w:t>
      </w:r>
      <w:r w:rsidRPr="00C86061">
        <w:rPr>
          <w:rFonts w:asciiTheme="minorHAnsi" w:hAnsiTheme="minorHAnsi" w:cstheme="minorHAnsi"/>
          <w:sz w:val="16"/>
          <w:szCs w:val="16"/>
        </w:rPr>
        <w:t>Adjusted revenue excludes one-off or abnormal revenue and capital grants.</w:t>
      </w:r>
    </w:p>
  </w:footnote>
  <w:footnote w:id="11">
    <w:p w:rsidR="00BD3847" w:rsidRPr="00C37B5E" w:rsidRDefault="00BD3847" w:rsidP="00C86061">
      <w:pPr>
        <w:pStyle w:val="FootnoteText"/>
        <w:rPr>
          <w:sz w:val="16"/>
          <w:szCs w:val="16"/>
        </w:rPr>
      </w:pPr>
      <w:r w:rsidRPr="00F96B20">
        <w:rPr>
          <w:rStyle w:val="FootnoteReference"/>
          <w:rFonts w:asciiTheme="minorHAnsi" w:hAnsiTheme="minorHAnsi" w:cstheme="minorHAnsi"/>
          <w:sz w:val="16"/>
          <w:szCs w:val="16"/>
        </w:rPr>
        <w:footnoteRef/>
      </w:r>
      <w:r w:rsidRPr="00F96B20">
        <w:rPr>
          <w:rFonts w:asciiTheme="minorHAnsi" w:hAnsiTheme="minorHAnsi" w:cstheme="minorHAnsi"/>
          <w:sz w:val="16"/>
          <w:szCs w:val="16"/>
        </w:rPr>
        <w:t xml:space="preserve"> </w:t>
      </w:r>
      <w:r>
        <w:rPr>
          <w:rFonts w:asciiTheme="minorHAnsi" w:hAnsiTheme="minorHAnsi" w:cstheme="minorHAnsi"/>
          <w:sz w:val="16"/>
          <w:szCs w:val="16"/>
        </w:rPr>
        <w:t>Asset replace</w:t>
      </w:r>
      <w:r w:rsidRPr="00F96B20">
        <w:rPr>
          <w:rFonts w:asciiTheme="minorHAnsi" w:hAnsiTheme="minorHAnsi" w:cstheme="minorHAnsi"/>
          <w:sz w:val="16"/>
          <w:szCs w:val="16"/>
        </w:rPr>
        <w:t xml:space="preserve">ment is measured </w:t>
      </w:r>
      <w:r>
        <w:rPr>
          <w:rFonts w:asciiTheme="minorHAnsi" w:hAnsiTheme="minorHAnsi" w:cstheme="minorHAnsi"/>
          <w:sz w:val="16"/>
          <w:szCs w:val="16"/>
        </w:rPr>
        <w:t>over a three</w:t>
      </w:r>
      <w:r w:rsidRPr="00F96B20">
        <w:rPr>
          <w:rFonts w:asciiTheme="minorHAnsi" w:hAnsiTheme="minorHAnsi" w:cstheme="minorHAnsi"/>
          <w:sz w:val="16"/>
          <w:szCs w:val="16"/>
        </w:rPr>
        <w:t xml:space="preserve">-year trailing </w:t>
      </w:r>
      <w:r>
        <w:rPr>
          <w:rFonts w:asciiTheme="minorHAnsi" w:hAnsiTheme="minorHAnsi" w:cstheme="minorHAnsi"/>
          <w:sz w:val="16"/>
          <w:szCs w:val="16"/>
        </w:rPr>
        <w:t>period</w:t>
      </w:r>
      <w:r w:rsidRPr="00F96B20">
        <w:rPr>
          <w:rFonts w:asciiTheme="minorHAnsi" w:hAnsiTheme="minorHAnsi" w:cstheme="minorHAnsi"/>
          <w:sz w:val="16"/>
          <w:szCs w:val="16"/>
        </w:rPr>
        <w:t xml:space="preserve"> </w:t>
      </w:r>
      <w:r>
        <w:rPr>
          <w:rFonts w:asciiTheme="minorHAnsi" w:hAnsiTheme="minorHAnsi" w:cstheme="minorHAnsi"/>
          <w:sz w:val="16"/>
          <w:szCs w:val="16"/>
        </w:rPr>
        <w:t>and</w:t>
      </w:r>
      <w:r w:rsidRPr="00F96B20">
        <w:rPr>
          <w:rFonts w:asciiTheme="minorHAnsi" w:hAnsiTheme="minorHAnsi" w:cstheme="minorHAnsi"/>
          <w:sz w:val="16"/>
          <w:szCs w:val="16"/>
        </w:rPr>
        <w:t xml:space="preserve"> is calc</w:t>
      </w:r>
      <w:r>
        <w:rPr>
          <w:rFonts w:asciiTheme="minorHAnsi" w:hAnsiTheme="minorHAnsi" w:cstheme="minorHAnsi"/>
          <w:sz w:val="16"/>
          <w:szCs w:val="16"/>
        </w:rPr>
        <w:t xml:space="preserve">ulated by taking the average </w:t>
      </w:r>
      <w:r w:rsidRPr="00F96B20">
        <w:rPr>
          <w:rFonts w:asciiTheme="minorHAnsi" w:hAnsiTheme="minorHAnsi" w:cstheme="minorHAnsi"/>
          <w:sz w:val="16"/>
          <w:szCs w:val="16"/>
        </w:rPr>
        <w:t>asset</w:t>
      </w:r>
      <w:r>
        <w:rPr>
          <w:rFonts w:asciiTheme="minorHAnsi" w:hAnsiTheme="minorHAnsi" w:cstheme="minorHAnsi"/>
          <w:sz w:val="16"/>
          <w:szCs w:val="16"/>
        </w:rPr>
        <w:t xml:space="preserve"> replacement ratio for the three</w:t>
      </w:r>
      <w:r w:rsidRPr="00C37B5E">
        <w:rPr>
          <w:rFonts w:asciiTheme="minorHAnsi" w:hAnsiTheme="minorHAnsi" w:cstheme="minorHAnsi"/>
          <w:sz w:val="16"/>
          <w:szCs w:val="16"/>
        </w:rPr>
        <w:t xml:space="preserve"> most recent </w:t>
      </w:r>
      <w:r>
        <w:rPr>
          <w:rFonts w:asciiTheme="minorHAnsi" w:hAnsiTheme="minorHAnsi" w:cstheme="minorHAnsi"/>
          <w:sz w:val="16"/>
          <w:szCs w:val="16"/>
        </w:rPr>
        <w:t xml:space="preserve">reporting </w:t>
      </w:r>
      <w:r w:rsidRPr="00C37B5E">
        <w:rPr>
          <w:rFonts w:asciiTheme="minorHAnsi" w:hAnsiTheme="minorHAnsi" w:cstheme="minorHAnsi"/>
          <w:sz w:val="16"/>
          <w:szCs w:val="16"/>
        </w:rPr>
        <w:t>years. This method reflects that capital expenditure decision</w:t>
      </w:r>
      <w:r>
        <w:rPr>
          <w:rFonts w:asciiTheme="minorHAnsi" w:hAnsiTheme="minorHAnsi" w:cstheme="minorHAnsi"/>
          <w:sz w:val="16"/>
          <w:szCs w:val="16"/>
        </w:rPr>
        <w:t>s</w:t>
      </w:r>
      <w:r w:rsidRPr="00C37B5E">
        <w:rPr>
          <w:rFonts w:asciiTheme="minorHAnsi" w:hAnsiTheme="minorHAnsi" w:cstheme="minorHAnsi"/>
          <w:sz w:val="16"/>
          <w:szCs w:val="16"/>
        </w:rPr>
        <w:t xml:space="preserve"> </w:t>
      </w:r>
      <w:r>
        <w:rPr>
          <w:rFonts w:asciiTheme="minorHAnsi" w:hAnsiTheme="minorHAnsi" w:cstheme="minorHAnsi"/>
          <w:sz w:val="16"/>
          <w:szCs w:val="16"/>
        </w:rPr>
        <w:t xml:space="preserve">are </w:t>
      </w:r>
      <w:r w:rsidRPr="00C37B5E">
        <w:rPr>
          <w:rFonts w:asciiTheme="minorHAnsi" w:hAnsiTheme="minorHAnsi" w:cstheme="minorHAnsi"/>
          <w:sz w:val="16"/>
          <w:szCs w:val="16"/>
        </w:rPr>
        <w:t xml:space="preserve">typically </w:t>
      </w:r>
      <w:r>
        <w:rPr>
          <w:rFonts w:asciiTheme="minorHAnsi" w:hAnsiTheme="minorHAnsi" w:cstheme="minorHAnsi"/>
          <w:sz w:val="16"/>
          <w:szCs w:val="16"/>
        </w:rPr>
        <w:t xml:space="preserve">made over a </w:t>
      </w:r>
      <w:r w:rsidRPr="00C37B5E">
        <w:rPr>
          <w:rFonts w:asciiTheme="minorHAnsi" w:hAnsiTheme="minorHAnsi" w:cstheme="minorHAnsi"/>
          <w:sz w:val="16"/>
          <w:szCs w:val="16"/>
        </w:rPr>
        <w:t>medium</w:t>
      </w:r>
      <w:r>
        <w:rPr>
          <w:rFonts w:asciiTheme="minorHAnsi" w:hAnsiTheme="minorHAnsi" w:cstheme="minorHAnsi"/>
          <w:sz w:val="16"/>
          <w:szCs w:val="16"/>
        </w:rPr>
        <w:t>-</w:t>
      </w:r>
      <w:r w:rsidRPr="00C37B5E">
        <w:rPr>
          <w:rFonts w:asciiTheme="minorHAnsi" w:hAnsiTheme="minorHAnsi" w:cstheme="minorHAnsi"/>
          <w:sz w:val="16"/>
          <w:szCs w:val="16"/>
        </w:rPr>
        <w:t xml:space="preserve"> to long</w:t>
      </w:r>
      <w:r>
        <w:rPr>
          <w:rFonts w:asciiTheme="minorHAnsi" w:hAnsiTheme="minorHAnsi" w:cstheme="minorHAnsi"/>
          <w:sz w:val="16"/>
          <w:szCs w:val="16"/>
        </w:rPr>
        <w:t>-</w:t>
      </w:r>
      <w:r w:rsidRPr="00C37B5E">
        <w:rPr>
          <w:rFonts w:asciiTheme="minorHAnsi" w:hAnsiTheme="minorHAnsi" w:cstheme="minorHAnsi"/>
          <w:sz w:val="16"/>
          <w:szCs w:val="16"/>
        </w:rPr>
        <w:t>term</w:t>
      </w:r>
      <w:r>
        <w:rPr>
          <w:rFonts w:asciiTheme="minorHAnsi" w:hAnsiTheme="minorHAnsi" w:cstheme="minorHAnsi"/>
          <w:sz w:val="16"/>
          <w:szCs w:val="16"/>
        </w:rPr>
        <w:t xml:space="preserve"> period</w:t>
      </w:r>
      <w:r w:rsidRPr="00C37B5E">
        <w:rPr>
          <w:rFonts w:asciiTheme="minorHAnsi" w:hAnsiTheme="minorHAnsi" w:cstheme="minorHAnsi"/>
          <w:sz w:val="16"/>
          <w:szCs w:val="16"/>
        </w:rPr>
        <w:t>.</w:t>
      </w:r>
    </w:p>
  </w:footnote>
  <w:footnote w:id="12">
    <w:p w:rsidR="00BD3847" w:rsidRPr="00633A67" w:rsidRDefault="00BD3847" w:rsidP="009413D0">
      <w:pPr>
        <w:pStyle w:val="FootnoteText"/>
        <w:rPr>
          <w:rFonts w:asciiTheme="minorHAnsi" w:hAnsiTheme="minorHAnsi" w:cstheme="minorHAnsi"/>
          <w:sz w:val="16"/>
          <w:szCs w:val="16"/>
        </w:rPr>
      </w:pPr>
      <w:r w:rsidRPr="00633A67">
        <w:rPr>
          <w:rStyle w:val="FootnoteReference"/>
          <w:rFonts w:asciiTheme="minorHAnsi" w:hAnsiTheme="minorHAnsi" w:cstheme="minorHAnsi"/>
          <w:sz w:val="16"/>
          <w:szCs w:val="16"/>
        </w:rPr>
        <w:footnoteRef/>
      </w:r>
      <w:r w:rsidRPr="00633A67">
        <w:rPr>
          <w:rFonts w:asciiTheme="minorHAnsi" w:hAnsiTheme="minorHAnsi" w:cstheme="minorHAnsi"/>
          <w:sz w:val="16"/>
          <w:szCs w:val="16"/>
        </w:rPr>
        <w:t xml:space="preserve"> </w:t>
      </w:r>
      <w:r>
        <w:rPr>
          <w:rFonts w:asciiTheme="minorHAnsi" w:hAnsiTheme="minorHAnsi" w:cstheme="minorHAnsi"/>
          <w:sz w:val="16"/>
          <w:szCs w:val="16"/>
        </w:rPr>
        <w:t xml:space="preserve">Current assets divided by current liabilities excluding </w:t>
      </w:r>
      <w:r w:rsidRPr="00633A67">
        <w:rPr>
          <w:rFonts w:asciiTheme="minorHAnsi" w:hAnsiTheme="minorHAnsi" w:cstheme="minorHAnsi"/>
          <w:sz w:val="16"/>
          <w:szCs w:val="16"/>
        </w:rPr>
        <w:t>Rela</w:t>
      </w:r>
      <w:r>
        <w:rPr>
          <w:rFonts w:asciiTheme="minorHAnsi" w:hAnsiTheme="minorHAnsi" w:cstheme="minorHAnsi"/>
          <w:sz w:val="16"/>
          <w:szCs w:val="16"/>
        </w:rPr>
        <w:t>ted P</w:t>
      </w:r>
      <w:r w:rsidRPr="00633A67">
        <w:rPr>
          <w:rFonts w:asciiTheme="minorHAnsi" w:hAnsiTheme="minorHAnsi" w:cstheme="minorHAnsi"/>
          <w:sz w:val="16"/>
          <w:szCs w:val="16"/>
        </w:rPr>
        <w:t>arty</w:t>
      </w:r>
      <w:r>
        <w:rPr>
          <w:rFonts w:asciiTheme="minorHAnsi" w:hAnsiTheme="minorHAnsi" w:cstheme="minorHAnsi"/>
          <w:sz w:val="16"/>
          <w:szCs w:val="16"/>
        </w:rPr>
        <w:t xml:space="preserve"> </w:t>
      </w:r>
      <w:r w:rsidRPr="00633A67">
        <w:rPr>
          <w:rFonts w:asciiTheme="minorHAnsi" w:hAnsiTheme="minorHAnsi" w:cstheme="minorHAnsi"/>
          <w:sz w:val="16"/>
          <w:szCs w:val="16"/>
        </w:rPr>
        <w:t>receivables and pa</w:t>
      </w:r>
      <w:r>
        <w:rPr>
          <w:rFonts w:asciiTheme="minorHAnsi" w:hAnsiTheme="minorHAnsi" w:cstheme="minorHAnsi"/>
          <w:sz w:val="16"/>
          <w:szCs w:val="16"/>
        </w:rPr>
        <w:t>yables (refer to Australian Accounting Standards Board definition).</w:t>
      </w:r>
    </w:p>
  </w:footnote>
  <w:footnote w:id="13">
    <w:p w:rsidR="00BD3847" w:rsidRPr="00D10A9B" w:rsidRDefault="00BD3847" w:rsidP="00D95D5A">
      <w:pPr>
        <w:pStyle w:val="FootnoteText"/>
        <w:rPr>
          <w:rFonts w:asciiTheme="minorHAnsi" w:hAnsiTheme="minorHAnsi" w:cstheme="minorHAnsi"/>
          <w:sz w:val="16"/>
          <w:szCs w:val="16"/>
        </w:rPr>
      </w:pPr>
      <w:r w:rsidRPr="00D10A9B">
        <w:rPr>
          <w:rStyle w:val="FootnoteReference"/>
          <w:rFonts w:asciiTheme="minorHAnsi" w:hAnsiTheme="minorHAnsi" w:cstheme="minorHAnsi"/>
          <w:sz w:val="16"/>
          <w:szCs w:val="16"/>
        </w:rPr>
        <w:footnoteRef/>
      </w:r>
      <w:r w:rsidRPr="00D10A9B">
        <w:rPr>
          <w:rFonts w:asciiTheme="minorHAnsi" w:hAnsiTheme="minorHAnsi" w:cstheme="minorHAnsi"/>
          <w:sz w:val="16"/>
          <w:szCs w:val="16"/>
        </w:rPr>
        <w:t xml:space="preserve"> Student data relates to 2014.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47" w:rsidRPr="00EC51B3" w:rsidRDefault="00BD3847" w:rsidP="00BA77F1">
    <w:pPr>
      <w:pStyle w:val="Header"/>
      <w:jc w:val="center"/>
      <w:rPr>
        <w:rFonts w:ascii="Arial" w:hAnsi="Arial" w:cs="Arial"/>
        <w:b/>
        <w:color w:val="FF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47" w:rsidRDefault="00BD3847" w:rsidP="00BA77F1">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3B5C"/>
    <w:multiLevelType w:val="hybridMultilevel"/>
    <w:tmpl w:val="E1AC1EA4"/>
    <w:lvl w:ilvl="0" w:tplc="53CAE64C">
      <w:start w:val="1"/>
      <w:numFmt w:val="bullet"/>
      <w:lvlText w:val=""/>
      <w:lvlJc w:val="left"/>
      <w:pPr>
        <w:ind w:left="644" w:hanging="360"/>
      </w:pPr>
      <w:rPr>
        <w:rFonts w:ascii="Webdings" w:hAnsi="Webdings" w:hint="default"/>
        <w:color w:val="004855"/>
        <w:sz w:val="22"/>
        <w:szCs w:val="22"/>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015B3679"/>
    <w:multiLevelType w:val="hybridMultilevel"/>
    <w:tmpl w:val="F33AA24A"/>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D71CD7"/>
    <w:multiLevelType w:val="hybridMultilevel"/>
    <w:tmpl w:val="56544698"/>
    <w:lvl w:ilvl="0" w:tplc="53CAE64C">
      <w:start w:val="1"/>
      <w:numFmt w:val="bullet"/>
      <w:lvlText w:val=""/>
      <w:lvlJc w:val="left"/>
      <w:pPr>
        <w:ind w:left="360" w:hanging="360"/>
      </w:pPr>
      <w:rPr>
        <w:rFonts w:ascii="Webdings" w:hAnsi="Webdings" w:hint="default"/>
        <w:color w:val="004855"/>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CF65E1"/>
    <w:multiLevelType w:val="multilevel"/>
    <w:tmpl w:val="A938571C"/>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15A2E56"/>
    <w:multiLevelType w:val="hybridMultilevel"/>
    <w:tmpl w:val="3A9CDA22"/>
    <w:lvl w:ilvl="0" w:tplc="F50EB21A">
      <w:start w:val="1"/>
      <w:numFmt w:val="bullet"/>
      <w:pStyle w:val="BulletsL2"/>
      <w:lvlText w:val="4"/>
      <w:lvlJc w:val="left"/>
      <w:pPr>
        <w:ind w:left="1146" w:hanging="360"/>
      </w:pPr>
      <w:rPr>
        <w:rFonts w:ascii="Webdings" w:hAnsi="Webdings" w:hint="default"/>
        <w:color w:val="00A6AA"/>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2831200D"/>
    <w:multiLevelType w:val="hybridMultilevel"/>
    <w:tmpl w:val="B7523480"/>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9933F2"/>
    <w:multiLevelType w:val="hybridMultilevel"/>
    <w:tmpl w:val="713A5236"/>
    <w:lvl w:ilvl="0" w:tplc="3B56C256">
      <w:start w:val="1"/>
      <w:numFmt w:val="decimal"/>
      <w:pStyle w:val="11"/>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9A5F49"/>
    <w:multiLevelType w:val="hybridMultilevel"/>
    <w:tmpl w:val="965481EC"/>
    <w:lvl w:ilvl="0" w:tplc="53CAE64C">
      <w:start w:val="1"/>
      <w:numFmt w:val="bullet"/>
      <w:lvlText w:val=""/>
      <w:lvlJc w:val="left"/>
      <w:pPr>
        <w:ind w:left="720" w:hanging="360"/>
      </w:pPr>
      <w:rPr>
        <w:rFonts w:ascii="Webdings" w:hAnsi="Webdings" w:hint="default"/>
        <w:color w:val="004855"/>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285C60"/>
    <w:multiLevelType w:val="hybridMultilevel"/>
    <w:tmpl w:val="B54A4A04"/>
    <w:lvl w:ilvl="0" w:tplc="DB329036">
      <w:start w:val="1"/>
      <w:numFmt w:val="decimal"/>
      <w:pStyle w:val="51"/>
      <w:lvlText w:val="5.%1"/>
      <w:lvlJc w:val="left"/>
      <w:pPr>
        <w:ind w:left="1077" w:hanging="360"/>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 w15:restartNumberingAfterBreak="0">
    <w:nsid w:val="2E733D91"/>
    <w:multiLevelType w:val="hybridMultilevel"/>
    <w:tmpl w:val="5C44F81C"/>
    <w:lvl w:ilvl="0" w:tplc="53CAE64C">
      <w:start w:val="1"/>
      <w:numFmt w:val="bullet"/>
      <w:lvlText w:val=""/>
      <w:lvlJc w:val="left"/>
      <w:pPr>
        <w:ind w:left="360" w:hanging="360"/>
      </w:pPr>
      <w:rPr>
        <w:rFonts w:ascii="Webdings" w:hAnsi="Webdings" w:hint="default"/>
        <w:color w:val="004855"/>
        <w:sz w:val="22"/>
        <w:szCs w:val="22"/>
      </w:rPr>
    </w:lvl>
    <w:lvl w:ilvl="1" w:tplc="53CAE64C">
      <w:start w:val="1"/>
      <w:numFmt w:val="bullet"/>
      <w:lvlText w:val=""/>
      <w:lvlJc w:val="left"/>
      <w:pPr>
        <w:ind w:left="1080" w:hanging="360"/>
      </w:pPr>
      <w:rPr>
        <w:rFonts w:ascii="Webdings" w:hAnsi="Webdings" w:hint="default"/>
        <w:color w:val="004855"/>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33B2462"/>
    <w:multiLevelType w:val="hybridMultilevel"/>
    <w:tmpl w:val="01A6BBE2"/>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0A4B1C"/>
    <w:multiLevelType w:val="hybridMultilevel"/>
    <w:tmpl w:val="475E706C"/>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2F208ED"/>
    <w:multiLevelType w:val="hybridMultilevel"/>
    <w:tmpl w:val="3FC62356"/>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8F63FCE"/>
    <w:multiLevelType w:val="hybridMultilevel"/>
    <w:tmpl w:val="42648944"/>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0446B7"/>
    <w:multiLevelType w:val="hybridMultilevel"/>
    <w:tmpl w:val="3410CE4E"/>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0A87F56"/>
    <w:multiLevelType w:val="hybridMultilevel"/>
    <w:tmpl w:val="E5CC57D4"/>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D4D2295"/>
    <w:multiLevelType w:val="hybridMultilevel"/>
    <w:tmpl w:val="EB9E95F6"/>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F016461"/>
    <w:multiLevelType w:val="hybridMultilevel"/>
    <w:tmpl w:val="49024580"/>
    <w:lvl w:ilvl="0" w:tplc="53CAE64C">
      <w:start w:val="1"/>
      <w:numFmt w:val="bullet"/>
      <w:lvlText w:val=""/>
      <w:lvlJc w:val="left"/>
      <w:pPr>
        <w:ind w:left="720" w:hanging="360"/>
      </w:pPr>
      <w:rPr>
        <w:rFonts w:ascii="Webdings" w:hAnsi="Webdings" w:hint="default"/>
        <w:color w:val="004855"/>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C00DE6"/>
    <w:multiLevelType w:val="hybridMultilevel"/>
    <w:tmpl w:val="AD18E6A6"/>
    <w:lvl w:ilvl="0" w:tplc="53CAE64C">
      <w:start w:val="1"/>
      <w:numFmt w:val="bullet"/>
      <w:lvlText w:val=""/>
      <w:lvlJc w:val="left"/>
      <w:pPr>
        <w:ind w:left="360" w:hanging="360"/>
      </w:pPr>
      <w:rPr>
        <w:rFonts w:ascii="Webdings" w:hAnsi="Webdings" w:hint="default"/>
        <w:color w:val="004855"/>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27567FD"/>
    <w:multiLevelType w:val="hybridMultilevel"/>
    <w:tmpl w:val="5B6E0BA8"/>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5D02E94"/>
    <w:multiLevelType w:val="hybridMultilevel"/>
    <w:tmpl w:val="C86ED8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81C34E6"/>
    <w:multiLevelType w:val="hybridMultilevel"/>
    <w:tmpl w:val="546E5830"/>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BD1F96"/>
    <w:multiLevelType w:val="hybridMultilevel"/>
    <w:tmpl w:val="C73A75CC"/>
    <w:lvl w:ilvl="0" w:tplc="8AAA3596">
      <w:start w:val="1"/>
      <w:numFmt w:val="decimal"/>
      <w:pStyle w:val="41"/>
      <w:lvlText w:val="4.%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3" w15:restartNumberingAfterBreak="0">
    <w:nsid w:val="73361EE7"/>
    <w:multiLevelType w:val="hybridMultilevel"/>
    <w:tmpl w:val="54526762"/>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3FA1766"/>
    <w:multiLevelType w:val="hybridMultilevel"/>
    <w:tmpl w:val="EC7286C4"/>
    <w:lvl w:ilvl="0" w:tplc="833C2DB4">
      <w:start w:val="1"/>
      <w:numFmt w:val="decimal"/>
      <w:pStyle w:val="21"/>
      <w:lvlText w:val="2.%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5" w15:restartNumberingAfterBreak="0">
    <w:nsid w:val="77FC4485"/>
    <w:multiLevelType w:val="hybridMultilevel"/>
    <w:tmpl w:val="EC6CA346"/>
    <w:lvl w:ilvl="0" w:tplc="53CAE64C">
      <w:start w:val="1"/>
      <w:numFmt w:val="bullet"/>
      <w:lvlText w:val=""/>
      <w:lvlJc w:val="left"/>
      <w:pPr>
        <w:ind w:left="360" w:hanging="360"/>
      </w:pPr>
      <w:rPr>
        <w:rFonts w:ascii="Webdings" w:hAnsi="Webdings" w:hint="default"/>
        <w:color w:val="004855"/>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97D09F4"/>
    <w:multiLevelType w:val="hybridMultilevel"/>
    <w:tmpl w:val="F88EFEB0"/>
    <w:lvl w:ilvl="0" w:tplc="53CAE64C">
      <w:start w:val="1"/>
      <w:numFmt w:val="bullet"/>
      <w:lvlText w:val=""/>
      <w:lvlJc w:val="left"/>
      <w:pPr>
        <w:ind w:left="360" w:hanging="360"/>
      </w:pPr>
      <w:rPr>
        <w:rFonts w:ascii="Webdings" w:hAnsi="Webdings" w:hint="default"/>
        <w:color w:val="004855"/>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532020"/>
    <w:multiLevelType w:val="hybridMultilevel"/>
    <w:tmpl w:val="9D50824C"/>
    <w:lvl w:ilvl="0" w:tplc="10421952">
      <w:start w:val="1"/>
      <w:numFmt w:val="decimal"/>
      <w:pStyle w:val="31"/>
      <w:lvlText w:val="3.%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6"/>
  </w:num>
  <w:num w:numId="2">
    <w:abstractNumId w:val="24"/>
  </w:num>
  <w:num w:numId="3">
    <w:abstractNumId w:val="27"/>
  </w:num>
  <w:num w:numId="4">
    <w:abstractNumId w:val="22"/>
  </w:num>
  <w:num w:numId="5">
    <w:abstractNumId w:val="8"/>
  </w:num>
  <w:num w:numId="6">
    <w:abstractNumId w:val="0"/>
  </w:num>
  <w:num w:numId="7">
    <w:abstractNumId w:val="13"/>
  </w:num>
  <w:num w:numId="8">
    <w:abstractNumId w:val="3"/>
  </w:num>
  <w:num w:numId="9">
    <w:abstractNumId w:val="4"/>
  </w:num>
  <w:num w:numId="10">
    <w:abstractNumId w:val="20"/>
  </w:num>
  <w:num w:numId="11">
    <w:abstractNumId w:val="18"/>
  </w:num>
  <w:num w:numId="12">
    <w:abstractNumId w:val="25"/>
  </w:num>
  <w:num w:numId="13">
    <w:abstractNumId w:val="2"/>
  </w:num>
  <w:num w:numId="14">
    <w:abstractNumId w:val="26"/>
  </w:num>
  <w:num w:numId="15">
    <w:abstractNumId w:val="14"/>
  </w:num>
  <w:num w:numId="16">
    <w:abstractNumId w:val="5"/>
  </w:num>
  <w:num w:numId="17">
    <w:abstractNumId w:val="19"/>
  </w:num>
  <w:num w:numId="18">
    <w:abstractNumId w:val="15"/>
  </w:num>
  <w:num w:numId="19">
    <w:abstractNumId w:val="12"/>
  </w:num>
  <w:num w:numId="20">
    <w:abstractNumId w:val="10"/>
  </w:num>
  <w:num w:numId="21">
    <w:abstractNumId w:val="16"/>
  </w:num>
  <w:num w:numId="22">
    <w:abstractNumId w:val="21"/>
  </w:num>
  <w:num w:numId="23">
    <w:abstractNumId w:val="1"/>
  </w:num>
  <w:num w:numId="24">
    <w:abstractNumId w:val="23"/>
  </w:num>
  <w:num w:numId="25">
    <w:abstractNumId w:val="9"/>
  </w:num>
  <w:num w:numId="26">
    <w:abstractNumId w:val="11"/>
  </w:num>
  <w:num w:numId="27">
    <w:abstractNumId w:val="7"/>
  </w:num>
  <w:num w:numId="28">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8E4"/>
    <w:rsid w:val="000001DA"/>
    <w:rsid w:val="0000111C"/>
    <w:rsid w:val="00001831"/>
    <w:rsid w:val="00003B35"/>
    <w:rsid w:val="00004A13"/>
    <w:rsid w:val="0000594E"/>
    <w:rsid w:val="00005968"/>
    <w:rsid w:val="00005A1C"/>
    <w:rsid w:val="0000649F"/>
    <w:rsid w:val="00011650"/>
    <w:rsid w:val="00014C4C"/>
    <w:rsid w:val="000161DB"/>
    <w:rsid w:val="00017E4B"/>
    <w:rsid w:val="00020E4D"/>
    <w:rsid w:val="00022FF8"/>
    <w:rsid w:val="00023ABA"/>
    <w:rsid w:val="0002421F"/>
    <w:rsid w:val="00025675"/>
    <w:rsid w:val="00026F8D"/>
    <w:rsid w:val="0003051D"/>
    <w:rsid w:val="00030D9D"/>
    <w:rsid w:val="00030FF8"/>
    <w:rsid w:val="000318F3"/>
    <w:rsid w:val="0003234D"/>
    <w:rsid w:val="00033163"/>
    <w:rsid w:val="00033182"/>
    <w:rsid w:val="00035392"/>
    <w:rsid w:val="000354B1"/>
    <w:rsid w:val="000365C3"/>
    <w:rsid w:val="00036EA8"/>
    <w:rsid w:val="00037A96"/>
    <w:rsid w:val="00037B4B"/>
    <w:rsid w:val="00040D33"/>
    <w:rsid w:val="00041739"/>
    <w:rsid w:val="0004182E"/>
    <w:rsid w:val="00045892"/>
    <w:rsid w:val="00045B6B"/>
    <w:rsid w:val="0004658B"/>
    <w:rsid w:val="000465D0"/>
    <w:rsid w:val="000477BA"/>
    <w:rsid w:val="00051D8D"/>
    <w:rsid w:val="00052F0B"/>
    <w:rsid w:val="000531F6"/>
    <w:rsid w:val="00053612"/>
    <w:rsid w:val="000550D4"/>
    <w:rsid w:val="0005672A"/>
    <w:rsid w:val="00056B35"/>
    <w:rsid w:val="000620F8"/>
    <w:rsid w:val="000625C3"/>
    <w:rsid w:val="00063CBD"/>
    <w:rsid w:val="00065F7F"/>
    <w:rsid w:val="0006699D"/>
    <w:rsid w:val="00071D31"/>
    <w:rsid w:val="00071EE6"/>
    <w:rsid w:val="0007294C"/>
    <w:rsid w:val="000740A4"/>
    <w:rsid w:val="00077765"/>
    <w:rsid w:val="000779C9"/>
    <w:rsid w:val="00077E9A"/>
    <w:rsid w:val="00082E51"/>
    <w:rsid w:val="00082E66"/>
    <w:rsid w:val="000872D0"/>
    <w:rsid w:val="00090132"/>
    <w:rsid w:val="00091923"/>
    <w:rsid w:val="00091CFA"/>
    <w:rsid w:val="0009217B"/>
    <w:rsid w:val="00092922"/>
    <w:rsid w:val="000935F4"/>
    <w:rsid w:val="000938A0"/>
    <w:rsid w:val="00094730"/>
    <w:rsid w:val="000964C1"/>
    <w:rsid w:val="0009665B"/>
    <w:rsid w:val="000A0B9A"/>
    <w:rsid w:val="000A141A"/>
    <w:rsid w:val="000A1878"/>
    <w:rsid w:val="000A1C18"/>
    <w:rsid w:val="000A2140"/>
    <w:rsid w:val="000A2DB2"/>
    <w:rsid w:val="000A31EF"/>
    <w:rsid w:val="000A3D0F"/>
    <w:rsid w:val="000A40FE"/>
    <w:rsid w:val="000A4105"/>
    <w:rsid w:val="000A41CA"/>
    <w:rsid w:val="000A49F0"/>
    <w:rsid w:val="000A610A"/>
    <w:rsid w:val="000A6430"/>
    <w:rsid w:val="000A7CF4"/>
    <w:rsid w:val="000B07C2"/>
    <w:rsid w:val="000B274C"/>
    <w:rsid w:val="000B3959"/>
    <w:rsid w:val="000B7E76"/>
    <w:rsid w:val="000C045C"/>
    <w:rsid w:val="000C0694"/>
    <w:rsid w:val="000C1C36"/>
    <w:rsid w:val="000C2859"/>
    <w:rsid w:val="000C4D62"/>
    <w:rsid w:val="000C69AB"/>
    <w:rsid w:val="000C7753"/>
    <w:rsid w:val="000D1456"/>
    <w:rsid w:val="000D36FD"/>
    <w:rsid w:val="000D7B18"/>
    <w:rsid w:val="000E0E35"/>
    <w:rsid w:val="000E3B22"/>
    <w:rsid w:val="000E6545"/>
    <w:rsid w:val="000E7088"/>
    <w:rsid w:val="000E762A"/>
    <w:rsid w:val="000E7BD1"/>
    <w:rsid w:val="000F0370"/>
    <w:rsid w:val="000F03CB"/>
    <w:rsid w:val="000F1F1A"/>
    <w:rsid w:val="000F298B"/>
    <w:rsid w:val="000F2FE1"/>
    <w:rsid w:val="000F5618"/>
    <w:rsid w:val="000F5665"/>
    <w:rsid w:val="000F6089"/>
    <w:rsid w:val="000F73FF"/>
    <w:rsid w:val="0010089C"/>
    <w:rsid w:val="00100D8C"/>
    <w:rsid w:val="001011C1"/>
    <w:rsid w:val="001028AD"/>
    <w:rsid w:val="00102FE9"/>
    <w:rsid w:val="0010308D"/>
    <w:rsid w:val="0010414D"/>
    <w:rsid w:val="00104D67"/>
    <w:rsid w:val="001057AB"/>
    <w:rsid w:val="00112140"/>
    <w:rsid w:val="001138F2"/>
    <w:rsid w:val="00113B80"/>
    <w:rsid w:val="00113C2F"/>
    <w:rsid w:val="00114B17"/>
    <w:rsid w:val="00114B3A"/>
    <w:rsid w:val="00114F16"/>
    <w:rsid w:val="001156F3"/>
    <w:rsid w:val="00115D0A"/>
    <w:rsid w:val="00116603"/>
    <w:rsid w:val="001176F4"/>
    <w:rsid w:val="001179AA"/>
    <w:rsid w:val="00117F7D"/>
    <w:rsid w:val="00120163"/>
    <w:rsid w:val="0012042E"/>
    <w:rsid w:val="001234DD"/>
    <w:rsid w:val="00123767"/>
    <w:rsid w:val="00123947"/>
    <w:rsid w:val="00127249"/>
    <w:rsid w:val="00130AB7"/>
    <w:rsid w:val="001329D5"/>
    <w:rsid w:val="001354B0"/>
    <w:rsid w:val="001359EC"/>
    <w:rsid w:val="00136B9B"/>
    <w:rsid w:val="00136B9E"/>
    <w:rsid w:val="00137F0D"/>
    <w:rsid w:val="001409FD"/>
    <w:rsid w:val="00141143"/>
    <w:rsid w:val="001419CC"/>
    <w:rsid w:val="00143DD3"/>
    <w:rsid w:val="00143E14"/>
    <w:rsid w:val="00152600"/>
    <w:rsid w:val="00153CC4"/>
    <w:rsid w:val="00155F98"/>
    <w:rsid w:val="001567F7"/>
    <w:rsid w:val="00160DEB"/>
    <w:rsid w:val="001617DA"/>
    <w:rsid w:val="001636EF"/>
    <w:rsid w:val="001648C2"/>
    <w:rsid w:val="00164F7D"/>
    <w:rsid w:val="00165989"/>
    <w:rsid w:val="00165E98"/>
    <w:rsid w:val="00166A78"/>
    <w:rsid w:val="00170E4D"/>
    <w:rsid w:val="0017119E"/>
    <w:rsid w:val="0017214A"/>
    <w:rsid w:val="00172B3E"/>
    <w:rsid w:val="00173E4D"/>
    <w:rsid w:val="001759DB"/>
    <w:rsid w:val="00181D5A"/>
    <w:rsid w:val="00182459"/>
    <w:rsid w:val="00185D36"/>
    <w:rsid w:val="001867B2"/>
    <w:rsid w:val="0019042F"/>
    <w:rsid w:val="00190736"/>
    <w:rsid w:val="00191374"/>
    <w:rsid w:val="001919A5"/>
    <w:rsid w:val="00191DD9"/>
    <w:rsid w:val="00192AAC"/>
    <w:rsid w:val="00193538"/>
    <w:rsid w:val="001938DA"/>
    <w:rsid w:val="00193941"/>
    <w:rsid w:val="00193A6E"/>
    <w:rsid w:val="00193B5A"/>
    <w:rsid w:val="00195139"/>
    <w:rsid w:val="00195560"/>
    <w:rsid w:val="00196766"/>
    <w:rsid w:val="001970AD"/>
    <w:rsid w:val="001972AC"/>
    <w:rsid w:val="001A1700"/>
    <w:rsid w:val="001A19BB"/>
    <w:rsid w:val="001A2E14"/>
    <w:rsid w:val="001A40D5"/>
    <w:rsid w:val="001A5D42"/>
    <w:rsid w:val="001A60FB"/>
    <w:rsid w:val="001A7879"/>
    <w:rsid w:val="001B0EAB"/>
    <w:rsid w:val="001B39EA"/>
    <w:rsid w:val="001B3A4A"/>
    <w:rsid w:val="001B440D"/>
    <w:rsid w:val="001B5A6C"/>
    <w:rsid w:val="001B5F01"/>
    <w:rsid w:val="001B7DFA"/>
    <w:rsid w:val="001C0170"/>
    <w:rsid w:val="001C16B8"/>
    <w:rsid w:val="001C1EAA"/>
    <w:rsid w:val="001C4A05"/>
    <w:rsid w:val="001C4FCA"/>
    <w:rsid w:val="001C5522"/>
    <w:rsid w:val="001C5C85"/>
    <w:rsid w:val="001C6B2D"/>
    <w:rsid w:val="001C73C3"/>
    <w:rsid w:val="001C73F9"/>
    <w:rsid w:val="001D2FEE"/>
    <w:rsid w:val="001D3F84"/>
    <w:rsid w:val="001E07B8"/>
    <w:rsid w:val="001E278B"/>
    <w:rsid w:val="001E2D43"/>
    <w:rsid w:val="001E4580"/>
    <w:rsid w:val="001E5EE5"/>
    <w:rsid w:val="001E6BDE"/>
    <w:rsid w:val="001E7784"/>
    <w:rsid w:val="001F10A6"/>
    <w:rsid w:val="001F2B9C"/>
    <w:rsid w:val="001F2C35"/>
    <w:rsid w:val="001F2DC6"/>
    <w:rsid w:val="001F2FA0"/>
    <w:rsid w:val="001F3B0C"/>
    <w:rsid w:val="001F4482"/>
    <w:rsid w:val="001F53DC"/>
    <w:rsid w:val="001F6F13"/>
    <w:rsid w:val="002009F6"/>
    <w:rsid w:val="00202E71"/>
    <w:rsid w:val="00203892"/>
    <w:rsid w:val="00203E01"/>
    <w:rsid w:val="0020462E"/>
    <w:rsid w:val="002056DB"/>
    <w:rsid w:val="00206E3E"/>
    <w:rsid w:val="00211471"/>
    <w:rsid w:val="00211D57"/>
    <w:rsid w:val="00212574"/>
    <w:rsid w:val="002138A2"/>
    <w:rsid w:val="00213F91"/>
    <w:rsid w:val="002141E1"/>
    <w:rsid w:val="00215090"/>
    <w:rsid w:val="002157F9"/>
    <w:rsid w:val="00216694"/>
    <w:rsid w:val="00221BCD"/>
    <w:rsid w:val="0022236D"/>
    <w:rsid w:val="00222490"/>
    <w:rsid w:val="00224793"/>
    <w:rsid w:val="00226849"/>
    <w:rsid w:val="0022792A"/>
    <w:rsid w:val="00233F23"/>
    <w:rsid w:val="00241468"/>
    <w:rsid w:val="00242EC3"/>
    <w:rsid w:val="0024315D"/>
    <w:rsid w:val="0024327E"/>
    <w:rsid w:val="002437E9"/>
    <w:rsid w:val="002441FD"/>
    <w:rsid w:val="00244D47"/>
    <w:rsid w:val="00246181"/>
    <w:rsid w:val="0024743A"/>
    <w:rsid w:val="00247CED"/>
    <w:rsid w:val="00251C81"/>
    <w:rsid w:val="00252521"/>
    <w:rsid w:val="00252BBF"/>
    <w:rsid w:val="0025377A"/>
    <w:rsid w:val="002557E1"/>
    <w:rsid w:val="00261684"/>
    <w:rsid w:val="00261B6F"/>
    <w:rsid w:val="00261FAA"/>
    <w:rsid w:val="0026210F"/>
    <w:rsid w:val="00262334"/>
    <w:rsid w:val="00263A09"/>
    <w:rsid w:val="00265F8F"/>
    <w:rsid w:val="00266FE0"/>
    <w:rsid w:val="002675EC"/>
    <w:rsid w:val="00267970"/>
    <w:rsid w:val="002705E2"/>
    <w:rsid w:val="00270AF2"/>
    <w:rsid w:val="002717F2"/>
    <w:rsid w:val="00271B25"/>
    <w:rsid w:val="00272672"/>
    <w:rsid w:val="0027613E"/>
    <w:rsid w:val="00276596"/>
    <w:rsid w:val="00276B3E"/>
    <w:rsid w:val="00277D9F"/>
    <w:rsid w:val="00280889"/>
    <w:rsid w:val="00281130"/>
    <w:rsid w:val="00282A79"/>
    <w:rsid w:val="00284FA3"/>
    <w:rsid w:val="002857DB"/>
    <w:rsid w:val="00285EBE"/>
    <w:rsid w:val="00286E15"/>
    <w:rsid w:val="00286F70"/>
    <w:rsid w:val="0028702E"/>
    <w:rsid w:val="00287679"/>
    <w:rsid w:val="0028776F"/>
    <w:rsid w:val="00291989"/>
    <w:rsid w:val="002922C1"/>
    <w:rsid w:val="00293B0D"/>
    <w:rsid w:val="00296D08"/>
    <w:rsid w:val="002A07FF"/>
    <w:rsid w:val="002A36C0"/>
    <w:rsid w:val="002A6F27"/>
    <w:rsid w:val="002B0685"/>
    <w:rsid w:val="002B0FC4"/>
    <w:rsid w:val="002B3F04"/>
    <w:rsid w:val="002B4A67"/>
    <w:rsid w:val="002B6517"/>
    <w:rsid w:val="002B667C"/>
    <w:rsid w:val="002C02F9"/>
    <w:rsid w:val="002C1DF4"/>
    <w:rsid w:val="002C69DA"/>
    <w:rsid w:val="002C6A5F"/>
    <w:rsid w:val="002C6A7C"/>
    <w:rsid w:val="002C70D2"/>
    <w:rsid w:val="002C7B12"/>
    <w:rsid w:val="002D0247"/>
    <w:rsid w:val="002D0A5B"/>
    <w:rsid w:val="002D3168"/>
    <w:rsid w:val="002D48DD"/>
    <w:rsid w:val="002D497C"/>
    <w:rsid w:val="002D4F32"/>
    <w:rsid w:val="002E0956"/>
    <w:rsid w:val="002E26F8"/>
    <w:rsid w:val="002E2C70"/>
    <w:rsid w:val="002E2F76"/>
    <w:rsid w:val="002E57C5"/>
    <w:rsid w:val="002E6F34"/>
    <w:rsid w:val="002F003D"/>
    <w:rsid w:val="002F097D"/>
    <w:rsid w:val="002F3969"/>
    <w:rsid w:val="002F4BD9"/>
    <w:rsid w:val="002F4DCD"/>
    <w:rsid w:val="002F66CC"/>
    <w:rsid w:val="002F7652"/>
    <w:rsid w:val="00303A3B"/>
    <w:rsid w:val="00306C91"/>
    <w:rsid w:val="00310349"/>
    <w:rsid w:val="003104FC"/>
    <w:rsid w:val="003116AA"/>
    <w:rsid w:val="00311C48"/>
    <w:rsid w:val="00313459"/>
    <w:rsid w:val="00313C5E"/>
    <w:rsid w:val="0031407E"/>
    <w:rsid w:val="00314BC5"/>
    <w:rsid w:val="00315EAB"/>
    <w:rsid w:val="0031662F"/>
    <w:rsid w:val="003219F8"/>
    <w:rsid w:val="003228FC"/>
    <w:rsid w:val="00327595"/>
    <w:rsid w:val="00327B87"/>
    <w:rsid w:val="00327E49"/>
    <w:rsid w:val="00330743"/>
    <w:rsid w:val="00333F1F"/>
    <w:rsid w:val="00334639"/>
    <w:rsid w:val="00334DDA"/>
    <w:rsid w:val="00337E9F"/>
    <w:rsid w:val="00341A5E"/>
    <w:rsid w:val="00342DA2"/>
    <w:rsid w:val="003440F6"/>
    <w:rsid w:val="00344667"/>
    <w:rsid w:val="00344780"/>
    <w:rsid w:val="0034503F"/>
    <w:rsid w:val="003450E9"/>
    <w:rsid w:val="00346510"/>
    <w:rsid w:val="00346D90"/>
    <w:rsid w:val="00350BA0"/>
    <w:rsid w:val="0035150A"/>
    <w:rsid w:val="00352356"/>
    <w:rsid w:val="003525A1"/>
    <w:rsid w:val="00353F0C"/>
    <w:rsid w:val="0035566C"/>
    <w:rsid w:val="00356611"/>
    <w:rsid w:val="00360F40"/>
    <w:rsid w:val="00361FFD"/>
    <w:rsid w:val="00362D35"/>
    <w:rsid w:val="00363771"/>
    <w:rsid w:val="00363F10"/>
    <w:rsid w:val="00364588"/>
    <w:rsid w:val="003646EF"/>
    <w:rsid w:val="003653F7"/>
    <w:rsid w:val="00366A96"/>
    <w:rsid w:val="00366FFD"/>
    <w:rsid w:val="003709BC"/>
    <w:rsid w:val="00370E89"/>
    <w:rsid w:val="00371501"/>
    <w:rsid w:val="00373B63"/>
    <w:rsid w:val="0037457A"/>
    <w:rsid w:val="003765E7"/>
    <w:rsid w:val="00380C9E"/>
    <w:rsid w:val="00383165"/>
    <w:rsid w:val="0038479E"/>
    <w:rsid w:val="0038496C"/>
    <w:rsid w:val="00385376"/>
    <w:rsid w:val="00385D13"/>
    <w:rsid w:val="00386804"/>
    <w:rsid w:val="0038789A"/>
    <w:rsid w:val="00391242"/>
    <w:rsid w:val="0039137F"/>
    <w:rsid w:val="00392F41"/>
    <w:rsid w:val="00394EED"/>
    <w:rsid w:val="003974AE"/>
    <w:rsid w:val="003A000A"/>
    <w:rsid w:val="003A12A9"/>
    <w:rsid w:val="003A4548"/>
    <w:rsid w:val="003A47CC"/>
    <w:rsid w:val="003A5DDC"/>
    <w:rsid w:val="003A66D6"/>
    <w:rsid w:val="003A7857"/>
    <w:rsid w:val="003B040B"/>
    <w:rsid w:val="003B0E5E"/>
    <w:rsid w:val="003B2219"/>
    <w:rsid w:val="003B2468"/>
    <w:rsid w:val="003B4F5F"/>
    <w:rsid w:val="003B6D8C"/>
    <w:rsid w:val="003B790C"/>
    <w:rsid w:val="003C14A2"/>
    <w:rsid w:val="003C278D"/>
    <w:rsid w:val="003C2873"/>
    <w:rsid w:val="003C44DD"/>
    <w:rsid w:val="003C4B98"/>
    <w:rsid w:val="003C65B3"/>
    <w:rsid w:val="003C6CC9"/>
    <w:rsid w:val="003C7AF2"/>
    <w:rsid w:val="003D0482"/>
    <w:rsid w:val="003D0BE0"/>
    <w:rsid w:val="003D0CCA"/>
    <w:rsid w:val="003D489A"/>
    <w:rsid w:val="003D5F3C"/>
    <w:rsid w:val="003E0230"/>
    <w:rsid w:val="003E1F89"/>
    <w:rsid w:val="003E2C2A"/>
    <w:rsid w:val="003E576F"/>
    <w:rsid w:val="003E5CA0"/>
    <w:rsid w:val="003E7739"/>
    <w:rsid w:val="003F0A67"/>
    <w:rsid w:val="003F3C50"/>
    <w:rsid w:val="003F5477"/>
    <w:rsid w:val="003F5F4D"/>
    <w:rsid w:val="004000C1"/>
    <w:rsid w:val="00400BF7"/>
    <w:rsid w:val="00401987"/>
    <w:rsid w:val="00404696"/>
    <w:rsid w:val="004052EF"/>
    <w:rsid w:val="00405797"/>
    <w:rsid w:val="00406E37"/>
    <w:rsid w:val="004076C0"/>
    <w:rsid w:val="00407C83"/>
    <w:rsid w:val="00407CDD"/>
    <w:rsid w:val="004130E8"/>
    <w:rsid w:val="00414859"/>
    <w:rsid w:val="0042282F"/>
    <w:rsid w:val="00423ECC"/>
    <w:rsid w:val="00425600"/>
    <w:rsid w:val="00425E13"/>
    <w:rsid w:val="00427D91"/>
    <w:rsid w:val="00430DE1"/>
    <w:rsid w:val="004314A0"/>
    <w:rsid w:val="00434F82"/>
    <w:rsid w:val="00437F95"/>
    <w:rsid w:val="00441230"/>
    <w:rsid w:val="0044509A"/>
    <w:rsid w:val="0044567A"/>
    <w:rsid w:val="004457A0"/>
    <w:rsid w:val="00445C6C"/>
    <w:rsid w:val="00446F9F"/>
    <w:rsid w:val="00450DAD"/>
    <w:rsid w:val="004518F5"/>
    <w:rsid w:val="00452500"/>
    <w:rsid w:val="00453D41"/>
    <w:rsid w:val="00456661"/>
    <w:rsid w:val="00457AC4"/>
    <w:rsid w:val="00460799"/>
    <w:rsid w:val="00461F3E"/>
    <w:rsid w:val="00462C9C"/>
    <w:rsid w:val="00463E2F"/>
    <w:rsid w:val="00463F1C"/>
    <w:rsid w:val="0046452D"/>
    <w:rsid w:val="00464E2B"/>
    <w:rsid w:val="0046599A"/>
    <w:rsid w:val="00466F66"/>
    <w:rsid w:val="004674C6"/>
    <w:rsid w:val="00471112"/>
    <w:rsid w:val="00472D08"/>
    <w:rsid w:val="00472DC6"/>
    <w:rsid w:val="00472EE7"/>
    <w:rsid w:val="00473922"/>
    <w:rsid w:val="00473E4B"/>
    <w:rsid w:val="00473FA6"/>
    <w:rsid w:val="00474A76"/>
    <w:rsid w:val="004774F1"/>
    <w:rsid w:val="004849BB"/>
    <w:rsid w:val="00484A70"/>
    <w:rsid w:val="00485166"/>
    <w:rsid w:val="004870A6"/>
    <w:rsid w:val="004875B1"/>
    <w:rsid w:val="00487C65"/>
    <w:rsid w:val="00494DB4"/>
    <w:rsid w:val="0049513E"/>
    <w:rsid w:val="004953E6"/>
    <w:rsid w:val="00496386"/>
    <w:rsid w:val="0049683B"/>
    <w:rsid w:val="004A0256"/>
    <w:rsid w:val="004A08D3"/>
    <w:rsid w:val="004A2227"/>
    <w:rsid w:val="004A548D"/>
    <w:rsid w:val="004A654C"/>
    <w:rsid w:val="004B0560"/>
    <w:rsid w:val="004B2593"/>
    <w:rsid w:val="004B5576"/>
    <w:rsid w:val="004B749E"/>
    <w:rsid w:val="004B775C"/>
    <w:rsid w:val="004C0C52"/>
    <w:rsid w:val="004C0D50"/>
    <w:rsid w:val="004C0DEE"/>
    <w:rsid w:val="004C1A9D"/>
    <w:rsid w:val="004C2813"/>
    <w:rsid w:val="004C282B"/>
    <w:rsid w:val="004C3445"/>
    <w:rsid w:val="004C3CE1"/>
    <w:rsid w:val="004C58EF"/>
    <w:rsid w:val="004C6F68"/>
    <w:rsid w:val="004D06FF"/>
    <w:rsid w:val="004D11FE"/>
    <w:rsid w:val="004D15C1"/>
    <w:rsid w:val="004D2758"/>
    <w:rsid w:val="004D29C8"/>
    <w:rsid w:val="004D3B0C"/>
    <w:rsid w:val="004D4A5D"/>
    <w:rsid w:val="004D7427"/>
    <w:rsid w:val="004E0A0D"/>
    <w:rsid w:val="004E4B5E"/>
    <w:rsid w:val="004E52A4"/>
    <w:rsid w:val="004E6886"/>
    <w:rsid w:val="004E7F3D"/>
    <w:rsid w:val="004F111D"/>
    <w:rsid w:val="004F37BB"/>
    <w:rsid w:val="004F6BCA"/>
    <w:rsid w:val="004F78B0"/>
    <w:rsid w:val="00501B87"/>
    <w:rsid w:val="00502100"/>
    <w:rsid w:val="0050593B"/>
    <w:rsid w:val="00507271"/>
    <w:rsid w:val="00510221"/>
    <w:rsid w:val="00510635"/>
    <w:rsid w:val="00510A8D"/>
    <w:rsid w:val="00510E89"/>
    <w:rsid w:val="00512028"/>
    <w:rsid w:val="00513C67"/>
    <w:rsid w:val="00516566"/>
    <w:rsid w:val="00516A00"/>
    <w:rsid w:val="00516CFE"/>
    <w:rsid w:val="00516FF6"/>
    <w:rsid w:val="0052099B"/>
    <w:rsid w:val="005214AF"/>
    <w:rsid w:val="005223F0"/>
    <w:rsid w:val="00525466"/>
    <w:rsid w:val="005258B9"/>
    <w:rsid w:val="00525ECC"/>
    <w:rsid w:val="00526C0D"/>
    <w:rsid w:val="005272BD"/>
    <w:rsid w:val="00527CC4"/>
    <w:rsid w:val="00530746"/>
    <w:rsid w:val="00530F7D"/>
    <w:rsid w:val="005312E4"/>
    <w:rsid w:val="005314AB"/>
    <w:rsid w:val="00532325"/>
    <w:rsid w:val="005328FB"/>
    <w:rsid w:val="00534457"/>
    <w:rsid w:val="00535183"/>
    <w:rsid w:val="00540A7B"/>
    <w:rsid w:val="00541656"/>
    <w:rsid w:val="00541B85"/>
    <w:rsid w:val="00542176"/>
    <w:rsid w:val="005471FD"/>
    <w:rsid w:val="005526BB"/>
    <w:rsid w:val="00552C24"/>
    <w:rsid w:val="00552E46"/>
    <w:rsid w:val="00553889"/>
    <w:rsid w:val="005545EC"/>
    <w:rsid w:val="0055628E"/>
    <w:rsid w:val="00557120"/>
    <w:rsid w:val="00557372"/>
    <w:rsid w:val="005608EA"/>
    <w:rsid w:val="00560A96"/>
    <w:rsid w:val="00562DF1"/>
    <w:rsid w:val="005657EB"/>
    <w:rsid w:val="00566D2E"/>
    <w:rsid w:val="00570772"/>
    <w:rsid w:val="005715E6"/>
    <w:rsid w:val="005763E2"/>
    <w:rsid w:val="00577EBA"/>
    <w:rsid w:val="005805FC"/>
    <w:rsid w:val="005820AC"/>
    <w:rsid w:val="00582B92"/>
    <w:rsid w:val="00583CFE"/>
    <w:rsid w:val="005847E1"/>
    <w:rsid w:val="00584B5D"/>
    <w:rsid w:val="00585A36"/>
    <w:rsid w:val="00585A74"/>
    <w:rsid w:val="00590243"/>
    <w:rsid w:val="00590FAB"/>
    <w:rsid w:val="00593598"/>
    <w:rsid w:val="005949CE"/>
    <w:rsid w:val="0059585D"/>
    <w:rsid w:val="00595B32"/>
    <w:rsid w:val="0059716E"/>
    <w:rsid w:val="005A1644"/>
    <w:rsid w:val="005A1A63"/>
    <w:rsid w:val="005A220D"/>
    <w:rsid w:val="005A261C"/>
    <w:rsid w:val="005A43D3"/>
    <w:rsid w:val="005A46F1"/>
    <w:rsid w:val="005A7343"/>
    <w:rsid w:val="005B2131"/>
    <w:rsid w:val="005B3156"/>
    <w:rsid w:val="005B3E9C"/>
    <w:rsid w:val="005B50A2"/>
    <w:rsid w:val="005B5E9B"/>
    <w:rsid w:val="005B72F5"/>
    <w:rsid w:val="005C0D5F"/>
    <w:rsid w:val="005C1349"/>
    <w:rsid w:val="005C15FE"/>
    <w:rsid w:val="005C1950"/>
    <w:rsid w:val="005C332B"/>
    <w:rsid w:val="005C4497"/>
    <w:rsid w:val="005C4E0E"/>
    <w:rsid w:val="005C5FEC"/>
    <w:rsid w:val="005C6830"/>
    <w:rsid w:val="005D0E6F"/>
    <w:rsid w:val="005D0E96"/>
    <w:rsid w:val="005D4A05"/>
    <w:rsid w:val="005D4A16"/>
    <w:rsid w:val="005D593C"/>
    <w:rsid w:val="005D5A56"/>
    <w:rsid w:val="005D5E8C"/>
    <w:rsid w:val="005D695F"/>
    <w:rsid w:val="005D6E32"/>
    <w:rsid w:val="005D7486"/>
    <w:rsid w:val="005D74BE"/>
    <w:rsid w:val="005E0D0A"/>
    <w:rsid w:val="005E12EE"/>
    <w:rsid w:val="005E13B0"/>
    <w:rsid w:val="005E2384"/>
    <w:rsid w:val="005E52F5"/>
    <w:rsid w:val="005E5445"/>
    <w:rsid w:val="005E5FC5"/>
    <w:rsid w:val="005E7491"/>
    <w:rsid w:val="005E7F7E"/>
    <w:rsid w:val="005F01B0"/>
    <w:rsid w:val="005F02DC"/>
    <w:rsid w:val="005F22EB"/>
    <w:rsid w:val="005F5021"/>
    <w:rsid w:val="005F5380"/>
    <w:rsid w:val="005F61C6"/>
    <w:rsid w:val="005F65D6"/>
    <w:rsid w:val="005F664E"/>
    <w:rsid w:val="0060032E"/>
    <w:rsid w:val="006003E9"/>
    <w:rsid w:val="006028C7"/>
    <w:rsid w:val="00602E9E"/>
    <w:rsid w:val="00603247"/>
    <w:rsid w:val="0060328D"/>
    <w:rsid w:val="0060359B"/>
    <w:rsid w:val="00605D3D"/>
    <w:rsid w:val="00607AFB"/>
    <w:rsid w:val="00610559"/>
    <w:rsid w:val="006107C6"/>
    <w:rsid w:val="00611961"/>
    <w:rsid w:val="00611D1C"/>
    <w:rsid w:val="0061246A"/>
    <w:rsid w:val="00614850"/>
    <w:rsid w:val="006156D6"/>
    <w:rsid w:val="00616E4E"/>
    <w:rsid w:val="00621661"/>
    <w:rsid w:val="006218AF"/>
    <w:rsid w:val="00621F74"/>
    <w:rsid w:val="006256EB"/>
    <w:rsid w:val="006261FA"/>
    <w:rsid w:val="00627B3A"/>
    <w:rsid w:val="006305C6"/>
    <w:rsid w:val="00631726"/>
    <w:rsid w:val="00633A67"/>
    <w:rsid w:val="00636CB1"/>
    <w:rsid w:val="006405E2"/>
    <w:rsid w:val="00640A13"/>
    <w:rsid w:val="00640AC7"/>
    <w:rsid w:val="0064326F"/>
    <w:rsid w:val="00643441"/>
    <w:rsid w:val="00644575"/>
    <w:rsid w:val="00644CE0"/>
    <w:rsid w:val="00645DFE"/>
    <w:rsid w:val="00646B4F"/>
    <w:rsid w:val="00646F96"/>
    <w:rsid w:val="0065445F"/>
    <w:rsid w:val="006545FB"/>
    <w:rsid w:val="00660B45"/>
    <w:rsid w:val="0066222E"/>
    <w:rsid w:val="006622BB"/>
    <w:rsid w:val="006629AE"/>
    <w:rsid w:val="00665D86"/>
    <w:rsid w:val="0066717D"/>
    <w:rsid w:val="00670A76"/>
    <w:rsid w:val="006711DD"/>
    <w:rsid w:val="00671298"/>
    <w:rsid w:val="006716BD"/>
    <w:rsid w:val="00674C0E"/>
    <w:rsid w:val="00675F21"/>
    <w:rsid w:val="006761B4"/>
    <w:rsid w:val="006803CE"/>
    <w:rsid w:val="00680593"/>
    <w:rsid w:val="00681570"/>
    <w:rsid w:val="0068172D"/>
    <w:rsid w:val="00681EEB"/>
    <w:rsid w:val="00682734"/>
    <w:rsid w:val="00690669"/>
    <w:rsid w:val="0069303C"/>
    <w:rsid w:val="00695BD8"/>
    <w:rsid w:val="006960B0"/>
    <w:rsid w:val="00696770"/>
    <w:rsid w:val="00696C14"/>
    <w:rsid w:val="00696C89"/>
    <w:rsid w:val="00697296"/>
    <w:rsid w:val="00697BCF"/>
    <w:rsid w:val="00697F8A"/>
    <w:rsid w:val="006A10A6"/>
    <w:rsid w:val="006A17B4"/>
    <w:rsid w:val="006A1DE9"/>
    <w:rsid w:val="006A391F"/>
    <w:rsid w:val="006A4D96"/>
    <w:rsid w:val="006A6C2F"/>
    <w:rsid w:val="006A71A4"/>
    <w:rsid w:val="006B0360"/>
    <w:rsid w:val="006B29C9"/>
    <w:rsid w:val="006B2B1B"/>
    <w:rsid w:val="006B3D04"/>
    <w:rsid w:val="006B4482"/>
    <w:rsid w:val="006B582A"/>
    <w:rsid w:val="006C111C"/>
    <w:rsid w:val="006C14E5"/>
    <w:rsid w:val="006C25D7"/>
    <w:rsid w:val="006C43D6"/>
    <w:rsid w:val="006C4591"/>
    <w:rsid w:val="006C4F26"/>
    <w:rsid w:val="006D1D0C"/>
    <w:rsid w:val="006D2C4A"/>
    <w:rsid w:val="006D3E8E"/>
    <w:rsid w:val="006D404F"/>
    <w:rsid w:val="006D5BC0"/>
    <w:rsid w:val="006D6FB8"/>
    <w:rsid w:val="006E05D1"/>
    <w:rsid w:val="006E165C"/>
    <w:rsid w:val="006E1A0B"/>
    <w:rsid w:val="006E2B17"/>
    <w:rsid w:val="006E358D"/>
    <w:rsid w:val="006E39C7"/>
    <w:rsid w:val="006E498E"/>
    <w:rsid w:val="006E4FEC"/>
    <w:rsid w:val="006E55B9"/>
    <w:rsid w:val="006E623F"/>
    <w:rsid w:val="006E6C26"/>
    <w:rsid w:val="006E6FAE"/>
    <w:rsid w:val="006E77BE"/>
    <w:rsid w:val="006F2509"/>
    <w:rsid w:val="006F2BC9"/>
    <w:rsid w:val="006F3015"/>
    <w:rsid w:val="006F3DCA"/>
    <w:rsid w:val="006F59FC"/>
    <w:rsid w:val="006F7CD4"/>
    <w:rsid w:val="0070094F"/>
    <w:rsid w:val="00700E15"/>
    <w:rsid w:val="0070194A"/>
    <w:rsid w:val="00702761"/>
    <w:rsid w:val="00703053"/>
    <w:rsid w:val="00705269"/>
    <w:rsid w:val="00707466"/>
    <w:rsid w:val="007079F7"/>
    <w:rsid w:val="00711709"/>
    <w:rsid w:val="00712337"/>
    <w:rsid w:val="00713386"/>
    <w:rsid w:val="00713C4B"/>
    <w:rsid w:val="0072068B"/>
    <w:rsid w:val="00720C99"/>
    <w:rsid w:val="0072105A"/>
    <w:rsid w:val="007210FA"/>
    <w:rsid w:val="007238CF"/>
    <w:rsid w:val="00724BC9"/>
    <w:rsid w:val="0072535D"/>
    <w:rsid w:val="007256D2"/>
    <w:rsid w:val="00727EDD"/>
    <w:rsid w:val="00730564"/>
    <w:rsid w:val="007306EA"/>
    <w:rsid w:val="00730E05"/>
    <w:rsid w:val="00731CAC"/>
    <w:rsid w:val="00732948"/>
    <w:rsid w:val="00733BE6"/>
    <w:rsid w:val="007344DC"/>
    <w:rsid w:val="00735B0D"/>
    <w:rsid w:val="00735B3E"/>
    <w:rsid w:val="00735F31"/>
    <w:rsid w:val="0073719C"/>
    <w:rsid w:val="00737ED5"/>
    <w:rsid w:val="007425F2"/>
    <w:rsid w:val="007443B7"/>
    <w:rsid w:val="00746ADB"/>
    <w:rsid w:val="00746D43"/>
    <w:rsid w:val="00747324"/>
    <w:rsid w:val="0074734F"/>
    <w:rsid w:val="00751128"/>
    <w:rsid w:val="007513FD"/>
    <w:rsid w:val="00751C59"/>
    <w:rsid w:val="0075412D"/>
    <w:rsid w:val="007551CA"/>
    <w:rsid w:val="00755A8F"/>
    <w:rsid w:val="0075665F"/>
    <w:rsid w:val="007571C1"/>
    <w:rsid w:val="00761AE8"/>
    <w:rsid w:val="007630CF"/>
    <w:rsid w:val="007632FA"/>
    <w:rsid w:val="00763D0B"/>
    <w:rsid w:val="00764BBB"/>
    <w:rsid w:val="0076531C"/>
    <w:rsid w:val="007653F7"/>
    <w:rsid w:val="00765F91"/>
    <w:rsid w:val="0076647A"/>
    <w:rsid w:val="007669A8"/>
    <w:rsid w:val="00767EAB"/>
    <w:rsid w:val="00770B13"/>
    <w:rsid w:val="00770CC0"/>
    <w:rsid w:val="00771E6C"/>
    <w:rsid w:val="00772952"/>
    <w:rsid w:val="007744F0"/>
    <w:rsid w:val="00774CF8"/>
    <w:rsid w:val="00774FAC"/>
    <w:rsid w:val="007753E8"/>
    <w:rsid w:val="00775C92"/>
    <w:rsid w:val="0077669C"/>
    <w:rsid w:val="007823DA"/>
    <w:rsid w:val="007846AA"/>
    <w:rsid w:val="00784967"/>
    <w:rsid w:val="0078520D"/>
    <w:rsid w:val="007867D6"/>
    <w:rsid w:val="00791C2E"/>
    <w:rsid w:val="007935CC"/>
    <w:rsid w:val="007935E0"/>
    <w:rsid w:val="00795A30"/>
    <w:rsid w:val="00795D12"/>
    <w:rsid w:val="00795FE2"/>
    <w:rsid w:val="0079613C"/>
    <w:rsid w:val="00796C21"/>
    <w:rsid w:val="007970F2"/>
    <w:rsid w:val="00797118"/>
    <w:rsid w:val="00797BC0"/>
    <w:rsid w:val="007A10E7"/>
    <w:rsid w:val="007A14E4"/>
    <w:rsid w:val="007A1603"/>
    <w:rsid w:val="007A1725"/>
    <w:rsid w:val="007A2324"/>
    <w:rsid w:val="007A3B21"/>
    <w:rsid w:val="007B20D7"/>
    <w:rsid w:val="007B28F6"/>
    <w:rsid w:val="007B4075"/>
    <w:rsid w:val="007B4C69"/>
    <w:rsid w:val="007B5AEB"/>
    <w:rsid w:val="007B7A2F"/>
    <w:rsid w:val="007C1623"/>
    <w:rsid w:val="007C28F5"/>
    <w:rsid w:val="007C2CEF"/>
    <w:rsid w:val="007C430A"/>
    <w:rsid w:val="007D04F6"/>
    <w:rsid w:val="007D0E20"/>
    <w:rsid w:val="007D115B"/>
    <w:rsid w:val="007D1AC2"/>
    <w:rsid w:val="007D26D6"/>
    <w:rsid w:val="007D29DA"/>
    <w:rsid w:val="007D3601"/>
    <w:rsid w:val="007D43D7"/>
    <w:rsid w:val="007D5D87"/>
    <w:rsid w:val="007D7CBB"/>
    <w:rsid w:val="007D7CCC"/>
    <w:rsid w:val="007E0F2A"/>
    <w:rsid w:val="007E3EF2"/>
    <w:rsid w:val="007E4FF7"/>
    <w:rsid w:val="007E5247"/>
    <w:rsid w:val="007E70CA"/>
    <w:rsid w:val="007E7688"/>
    <w:rsid w:val="007E7BD1"/>
    <w:rsid w:val="007E7BFC"/>
    <w:rsid w:val="007F09A1"/>
    <w:rsid w:val="007F0A7C"/>
    <w:rsid w:val="007F6545"/>
    <w:rsid w:val="007F7B24"/>
    <w:rsid w:val="008004DD"/>
    <w:rsid w:val="00803619"/>
    <w:rsid w:val="008040DA"/>
    <w:rsid w:val="008045A8"/>
    <w:rsid w:val="008047B9"/>
    <w:rsid w:val="00810124"/>
    <w:rsid w:val="00810393"/>
    <w:rsid w:val="00810E6F"/>
    <w:rsid w:val="00813A01"/>
    <w:rsid w:val="0081467E"/>
    <w:rsid w:val="00814721"/>
    <w:rsid w:val="00816838"/>
    <w:rsid w:val="0081750E"/>
    <w:rsid w:val="00817AFC"/>
    <w:rsid w:val="00817B88"/>
    <w:rsid w:val="00820791"/>
    <w:rsid w:val="0082087D"/>
    <w:rsid w:val="008208AE"/>
    <w:rsid w:val="00824205"/>
    <w:rsid w:val="008249DC"/>
    <w:rsid w:val="00830479"/>
    <w:rsid w:val="00832A5D"/>
    <w:rsid w:val="008332C2"/>
    <w:rsid w:val="008350D0"/>
    <w:rsid w:val="00835491"/>
    <w:rsid w:val="008359BA"/>
    <w:rsid w:val="00835EB7"/>
    <w:rsid w:val="00836516"/>
    <w:rsid w:val="00836B54"/>
    <w:rsid w:val="00836C53"/>
    <w:rsid w:val="0083727F"/>
    <w:rsid w:val="008410D8"/>
    <w:rsid w:val="008439DD"/>
    <w:rsid w:val="00845672"/>
    <w:rsid w:val="008466EE"/>
    <w:rsid w:val="00846EA9"/>
    <w:rsid w:val="008500B9"/>
    <w:rsid w:val="00850742"/>
    <w:rsid w:val="00854C35"/>
    <w:rsid w:val="00855293"/>
    <w:rsid w:val="008555DE"/>
    <w:rsid w:val="00860953"/>
    <w:rsid w:val="00861A13"/>
    <w:rsid w:val="00861AF4"/>
    <w:rsid w:val="00861F0B"/>
    <w:rsid w:val="00862A5E"/>
    <w:rsid w:val="00862BE5"/>
    <w:rsid w:val="0086315B"/>
    <w:rsid w:val="00864AB8"/>
    <w:rsid w:val="0086683C"/>
    <w:rsid w:val="00866998"/>
    <w:rsid w:val="00866C93"/>
    <w:rsid w:val="00873224"/>
    <w:rsid w:val="00874715"/>
    <w:rsid w:val="00874770"/>
    <w:rsid w:val="0087760F"/>
    <w:rsid w:val="00877F0B"/>
    <w:rsid w:val="008809DA"/>
    <w:rsid w:val="00883666"/>
    <w:rsid w:val="00883A4B"/>
    <w:rsid w:val="00885CE1"/>
    <w:rsid w:val="00886188"/>
    <w:rsid w:val="00886F95"/>
    <w:rsid w:val="00887033"/>
    <w:rsid w:val="0088749F"/>
    <w:rsid w:val="0088761A"/>
    <w:rsid w:val="0089015D"/>
    <w:rsid w:val="008924AE"/>
    <w:rsid w:val="00895BC3"/>
    <w:rsid w:val="00896308"/>
    <w:rsid w:val="00897908"/>
    <w:rsid w:val="008A0962"/>
    <w:rsid w:val="008A27CC"/>
    <w:rsid w:val="008A42C4"/>
    <w:rsid w:val="008A4B96"/>
    <w:rsid w:val="008A6A4A"/>
    <w:rsid w:val="008B5AFE"/>
    <w:rsid w:val="008B6560"/>
    <w:rsid w:val="008B6EB4"/>
    <w:rsid w:val="008B6F95"/>
    <w:rsid w:val="008B72ED"/>
    <w:rsid w:val="008C0D4B"/>
    <w:rsid w:val="008C24D1"/>
    <w:rsid w:val="008C2915"/>
    <w:rsid w:val="008C384C"/>
    <w:rsid w:val="008C3A9F"/>
    <w:rsid w:val="008C3F45"/>
    <w:rsid w:val="008C4455"/>
    <w:rsid w:val="008C57B2"/>
    <w:rsid w:val="008C707D"/>
    <w:rsid w:val="008D01E7"/>
    <w:rsid w:val="008D0343"/>
    <w:rsid w:val="008D1305"/>
    <w:rsid w:val="008D28F8"/>
    <w:rsid w:val="008D474A"/>
    <w:rsid w:val="008D4EDB"/>
    <w:rsid w:val="008D6DB0"/>
    <w:rsid w:val="008D7B58"/>
    <w:rsid w:val="008D7C81"/>
    <w:rsid w:val="008E1483"/>
    <w:rsid w:val="008E14A4"/>
    <w:rsid w:val="008E1F9D"/>
    <w:rsid w:val="008E2812"/>
    <w:rsid w:val="008E29C1"/>
    <w:rsid w:val="008E2E2F"/>
    <w:rsid w:val="008E36D4"/>
    <w:rsid w:val="008E4D3B"/>
    <w:rsid w:val="008E66F5"/>
    <w:rsid w:val="008F26E2"/>
    <w:rsid w:val="008F3528"/>
    <w:rsid w:val="008F437A"/>
    <w:rsid w:val="008F57CF"/>
    <w:rsid w:val="008F5C3F"/>
    <w:rsid w:val="008F6516"/>
    <w:rsid w:val="008F6F8E"/>
    <w:rsid w:val="008F7F6D"/>
    <w:rsid w:val="009001EB"/>
    <w:rsid w:val="00901CE8"/>
    <w:rsid w:val="0090276D"/>
    <w:rsid w:val="009028AB"/>
    <w:rsid w:val="00904E14"/>
    <w:rsid w:val="009058BD"/>
    <w:rsid w:val="00905D69"/>
    <w:rsid w:val="00905F61"/>
    <w:rsid w:val="00906E99"/>
    <w:rsid w:val="0091467A"/>
    <w:rsid w:val="00915A75"/>
    <w:rsid w:val="00915E35"/>
    <w:rsid w:val="00916F86"/>
    <w:rsid w:val="00920C90"/>
    <w:rsid w:val="00920FF9"/>
    <w:rsid w:val="00921292"/>
    <w:rsid w:val="009229D5"/>
    <w:rsid w:val="009249EB"/>
    <w:rsid w:val="00927704"/>
    <w:rsid w:val="00930AA4"/>
    <w:rsid w:val="00930E64"/>
    <w:rsid w:val="00930F2B"/>
    <w:rsid w:val="00934538"/>
    <w:rsid w:val="009371C0"/>
    <w:rsid w:val="00940B20"/>
    <w:rsid w:val="009413D0"/>
    <w:rsid w:val="00942CB2"/>
    <w:rsid w:val="00943DA9"/>
    <w:rsid w:val="00946255"/>
    <w:rsid w:val="009464DC"/>
    <w:rsid w:val="00947452"/>
    <w:rsid w:val="00951971"/>
    <w:rsid w:val="00951BD0"/>
    <w:rsid w:val="00952D7C"/>
    <w:rsid w:val="009537F7"/>
    <w:rsid w:val="009538E0"/>
    <w:rsid w:val="0095535B"/>
    <w:rsid w:val="0095537D"/>
    <w:rsid w:val="0095630C"/>
    <w:rsid w:val="00957133"/>
    <w:rsid w:val="009578A9"/>
    <w:rsid w:val="0096138A"/>
    <w:rsid w:val="00961F1F"/>
    <w:rsid w:val="00964AC3"/>
    <w:rsid w:val="00966660"/>
    <w:rsid w:val="00967BD8"/>
    <w:rsid w:val="00974841"/>
    <w:rsid w:val="00974FDE"/>
    <w:rsid w:val="00976222"/>
    <w:rsid w:val="0097754F"/>
    <w:rsid w:val="00980AB0"/>
    <w:rsid w:val="009837B5"/>
    <w:rsid w:val="00983D14"/>
    <w:rsid w:val="00991991"/>
    <w:rsid w:val="00991BD1"/>
    <w:rsid w:val="00991F88"/>
    <w:rsid w:val="0099586D"/>
    <w:rsid w:val="00996192"/>
    <w:rsid w:val="00996DF8"/>
    <w:rsid w:val="009A03D0"/>
    <w:rsid w:val="009A2718"/>
    <w:rsid w:val="009A2772"/>
    <w:rsid w:val="009A31D2"/>
    <w:rsid w:val="009A37CA"/>
    <w:rsid w:val="009B06B4"/>
    <w:rsid w:val="009B2433"/>
    <w:rsid w:val="009B28C6"/>
    <w:rsid w:val="009B2946"/>
    <w:rsid w:val="009B4856"/>
    <w:rsid w:val="009B596D"/>
    <w:rsid w:val="009B5EB9"/>
    <w:rsid w:val="009B6D10"/>
    <w:rsid w:val="009B7858"/>
    <w:rsid w:val="009C0968"/>
    <w:rsid w:val="009C31F7"/>
    <w:rsid w:val="009C36E9"/>
    <w:rsid w:val="009C36F2"/>
    <w:rsid w:val="009C3B00"/>
    <w:rsid w:val="009C3BB7"/>
    <w:rsid w:val="009C4A56"/>
    <w:rsid w:val="009C4D6C"/>
    <w:rsid w:val="009C51B0"/>
    <w:rsid w:val="009C5B1A"/>
    <w:rsid w:val="009C74B1"/>
    <w:rsid w:val="009D1096"/>
    <w:rsid w:val="009D476A"/>
    <w:rsid w:val="009D52AE"/>
    <w:rsid w:val="009D5F89"/>
    <w:rsid w:val="009D6C1D"/>
    <w:rsid w:val="009D6F25"/>
    <w:rsid w:val="009D6FE2"/>
    <w:rsid w:val="009D7929"/>
    <w:rsid w:val="009D7E13"/>
    <w:rsid w:val="009E0009"/>
    <w:rsid w:val="009E0454"/>
    <w:rsid w:val="009E11A2"/>
    <w:rsid w:val="009E176E"/>
    <w:rsid w:val="009E1DDA"/>
    <w:rsid w:val="009E22F4"/>
    <w:rsid w:val="009E30C2"/>
    <w:rsid w:val="009E4DAD"/>
    <w:rsid w:val="009E5433"/>
    <w:rsid w:val="009F1B97"/>
    <w:rsid w:val="009F24BF"/>
    <w:rsid w:val="009F386F"/>
    <w:rsid w:val="009F3AB0"/>
    <w:rsid w:val="00A02129"/>
    <w:rsid w:val="00A022A4"/>
    <w:rsid w:val="00A0617F"/>
    <w:rsid w:val="00A06E87"/>
    <w:rsid w:val="00A07683"/>
    <w:rsid w:val="00A10520"/>
    <w:rsid w:val="00A10599"/>
    <w:rsid w:val="00A1063F"/>
    <w:rsid w:val="00A10E8D"/>
    <w:rsid w:val="00A13B24"/>
    <w:rsid w:val="00A15882"/>
    <w:rsid w:val="00A15E0A"/>
    <w:rsid w:val="00A15F2B"/>
    <w:rsid w:val="00A16228"/>
    <w:rsid w:val="00A1671B"/>
    <w:rsid w:val="00A21076"/>
    <w:rsid w:val="00A21D9F"/>
    <w:rsid w:val="00A22504"/>
    <w:rsid w:val="00A232FB"/>
    <w:rsid w:val="00A23968"/>
    <w:rsid w:val="00A240A6"/>
    <w:rsid w:val="00A24D60"/>
    <w:rsid w:val="00A25566"/>
    <w:rsid w:val="00A255D9"/>
    <w:rsid w:val="00A25C52"/>
    <w:rsid w:val="00A31374"/>
    <w:rsid w:val="00A31E1F"/>
    <w:rsid w:val="00A32B63"/>
    <w:rsid w:val="00A33F1F"/>
    <w:rsid w:val="00A3551B"/>
    <w:rsid w:val="00A36CAA"/>
    <w:rsid w:val="00A36CAF"/>
    <w:rsid w:val="00A37A2D"/>
    <w:rsid w:val="00A44C12"/>
    <w:rsid w:val="00A44C9D"/>
    <w:rsid w:val="00A451D7"/>
    <w:rsid w:val="00A457C8"/>
    <w:rsid w:val="00A45EDE"/>
    <w:rsid w:val="00A47CC7"/>
    <w:rsid w:val="00A47DE1"/>
    <w:rsid w:val="00A50843"/>
    <w:rsid w:val="00A52AC6"/>
    <w:rsid w:val="00A53586"/>
    <w:rsid w:val="00A55438"/>
    <w:rsid w:val="00A571E9"/>
    <w:rsid w:val="00A61237"/>
    <w:rsid w:val="00A63A8D"/>
    <w:rsid w:val="00A642DC"/>
    <w:rsid w:val="00A646A1"/>
    <w:rsid w:val="00A67E61"/>
    <w:rsid w:val="00A70145"/>
    <w:rsid w:val="00A701B1"/>
    <w:rsid w:val="00A7115A"/>
    <w:rsid w:val="00A727CA"/>
    <w:rsid w:val="00A72939"/>
    <w:rsid w:val="00A74AE5"/>
    <w:rsid w:val="00A806B4"/>
    <w:rsid w:val="00A81EBD"/>
    <w:rsid w:val="00A82A97"/>
    <w:rsid w:val="00A83B31"/>
    <w:rsid w:val="00A8413E"/>
    <w:rsid w:val="00A8459B"/>
    <w:rsid w:val="00A85786"/>
    <w:rsid w:val="00A85C78"/>
    <w:rsid w:val="00A86EBB"/>
    <w:rsid w:val="00A87D37"/>
    <w:rsid w:val="00A909C7"/>
    <w:rsid w:val="00A91876"/>
    <w:rsid w:val="00A92519"/>
    <w:rsid w:val="00A92B8F"/>
    <w:rsid w:val="00A92E8C"/>
    <w:rsid w:val="00A93E4C"/>
    <w:rsid w:val="00A94917"/>
    <w:rsid w:val="00A96802"/>
    <w:rsid w:val="00A972F2"/>
    <w:rsid w:val="00AA0737"/>
    <w:rsid w:val="00AA123E"/>
    <w:rsid w:val="00AA1656"/>
    <w:rsid w:val="00AA457E"/>
    <w:rsid w:val="00AA4DA0"/>
    <w:rsid w:val="00AA5378"/>
    <w:rsid w:val="00AA6E7C"/>
    <w:rsid w:val="00AA741E"/>
    <w:rsid w:val="00AB0AB9"/>
    <w:rsid w:val="00AB1076"/>
    <w:rsid w:val="00AB340E"/>
    <w:rsid w:val="00AB3832"/>
    <w:rsid w:val="00AB40C7"/>
    <w:rsid w:val="00AB5DC5"/>
    <w:rsid w:val="00AB62D8"/>
    <w:rsid w:val="00AC01BA"/>
    <w:rsid w:val="00AC05A4"/>
    <w:rsid w:val="00AC102F"/>
    <w:rsid w:val="00AC2945"/>
    <w:rsid w:val="00AC2B4A"/>
    <w:rsid w:val="00AC5677"/>
    <w:rsid w:val="00AC59EA"/>
    <w:rsid w:val="00AC610D"/>
    <w:rsid w:val="00AC67FE"/>
    <w:rsid w:val="00AD09D0"/>
    <w:rsid w:val="00AD0FF0"/>
    <w:rsid w:val="00AD1CB2"/>
    <w:rsid w:val="00AD4325"/>
    <w:rsid w:val="00AD46F1"/>
    <w:rsid w:val="00AD52C0"/>
    <w:rsid w:val="00AE146D"/>
    <w:rsid w:val="00AE2ED2"/>
    <w:rsid w:val="00AE31AD"/>
    <w:rsid w:val="00AE3418"/>
    <w:rsid w:val="00AE39E9"/>
    <w:rsid w:val="00AE3B03"/>
    <w:rsid w:val="00AE4B89"/>
    <w:rsid w:val="00AE4E48"/>
    <w:rsid w:val="00AE57AF"/>
    <w:rsid w:val="00AE7985"/>
    <w:rsid w:val="00AF2BCE"/>
    <w:rsid w:val="00AF31E9"/>
    <w:rsid w:val="00AF48CB"/>
    <w:rsid w:val="00AF4C57"/>
    <w:rsid w:val="00AF57BD"/>
    <w:rsid w:val="00AF5839"/>
    <w:rsid w:val="00AF61CE"/>
    <w:rsid w:val="00AF6296"/>
    <w:rsid w:val="00AF7EF8"/>
    <w:rsid w:val="00B00DA1"/>
    <w:rsid w:val="00B00FC7"/>
    <w:rsid w:val="00B01430"/>
    <w:rsid w:val="00B01B9A"/>
    <w:rsid w:val="00B046BD"/>
    <w:rsid w:val="00B066D3"/>
    <w:rsid w:val="00B06D78"/>
    <w:rsid w:val="00B10227"/>
    <w:rsid w:val="00B10232"/>
    <w:rsid w:val="00B102C9"/>
    <w:rsid w:val="00B12533"/>
    <w:rsid w:val="00B15391"/>
    <w:rsid w:val="00B15B08"/>
    <w:rsid w:val="00B15FBD"/>
    <w:rsid w:val="00B1678C"/>
    <w:rsid w:val="00B1720D"/>
    <w:rsid w:val="00B247EC"/>
    <w:rsid w:val="00B24857"/>
    <w:rsid w:val="00B2557B"/>
    <w:rsid w:val="00B26132"/>
    <w:rsid w:val="00B267A9"/>
    <w:rsid w:val="00B32F27"/>
    <w:rsid w:val="00B34739"/>
    <w:rsid w:val="00B36673"/>
    <w:rsid w:val="00B3678F"/>
    <w:rsid w:val="00B36CDE"/>
    <w:rsid w:val="00B374DD"/>
    <w:rsid w:val="00B37FB3"/>
    <w:rsid w:val="00B4082E"/>
    <w:rsid w:val="00B40D39"/>
    <w:rsid w:val="00B415E8"/>
    <w:rsid w:val="00B4191C"/>
    <w:rsid w:val="00B45CA5"/>
    <w:rsid w:val="00B45D2C"/>
    <w:rsid w:val="00B4645A"/>
    <w:rsid w:val="00B46A68"/>
    <w:rsid w:val="00B503E8"/>
    <w:rsid w:val="00B50BAC"/>
    <w:rsid w:val="00B50F9D"/>
    <w:rsid w:val="00B518AF"/>
    <w:rsid w:val="00B51CDD"/>
    <w:rsid w:val="00B53E50"/>
    <w:rsid w:val="00B56E6B"/>
    <w:rsid w:val="00B577A3"/>
    <w:rsid w:val="00B578E4"/>
    <w:rsid w:val="00B5799D"/>
    <w:rsid w:val="00B57A35"/>
    <w:rsid w:val="00B60C6F"/>
    <w:rsid w:val="00B61148"/>
    <w:rsid w:val="00B61A12"/>
    <w:rsid w:val="00B61C76"/>
    <w:rsid w:val="00B6201C"/>
    <w:rsid w:val="00B62B41"/>
    <w:rsid w:val="00B62C0A"/>
    <w:rsid w:val="00B6321E"/>
    <w:rsid w:val="00B63472"/>
    <w:rsid w:val="00B63615"/>
    <w:rsid w:val="00B64744"/>
    <w:rsid w:val="00B6686F"/>
    <w:rsid w:val="00B67337"/>
    <w:rsid w:val="00B674EA"/>
    <w:rsid w:val="00B67851"/>
    <w:rsid w:val="00B678C8"/>
    <w:rsid w:val="00B700E8"/>
    <w:rsid w:val="00B72014"/>
    <w:rsid w:val="00B74065"/>
    <w:rsid w:val="00B74A7E"/>
    <w:rsid w:val="00B779F0"/>
    <w:rsid w:val="00B8154E"/>
    <w:rsid w:val="00B818C8"/>
    <w:rsid w:val="00B81E6A"/>
    <w:rsid w:val="00B8252A"/>
    <w:rsid w:val="00B840F2"/>
    <w:rsid w:val="00B86F73"/>
    <w:rsid w:val="00B87631"/>
    <w:rsid w:val="00B8785D"/>
    <w:rsid w:val="00B902AC"/>
    <w:rsid w:val="00B905E6"/>
    <w:rsid w:val="00B91776"/>
    <w:rsid w:val="00B92866"/>
    <w:rsid w:val="00B92B29"/>
    <w:rsid w:val="00B93A37"/>
    <w:rsid w:val="00B93A78"/>
    <w:rsid w:val="00B95872"/>
    <w:rsid w:val="00BA1073"/>
    <w:rsid w:val="00BA3A8F"/>
    <w:rsid w:val="00BA4C0E"/>
    <w:rsid w:val="00BA58E7"/>
    <w:rsid w:val="00BA607A"/>
    <w:rsid w:val="00BA77F1"/>
    <w:rsid w:val="00BB1928"/>
    <w:rsid w:val="00BC05D3"/>
    <w:rsid w:val="00BC09FB"/>
    <w:rsid w:val="00BC0A7F"/>
    <w:rsid w:val="00BC2738"/>
    <w:rsid w:val="00BC3A21"/>
    <w:rsid w:val="00BC5015"/>
    <w:rsid w:val="00BC609F"/>
    <w:rsid w:val="00BD0B86"/>
    <w:rsid w:val="00BD1378"/>
    <w:rsid w:val="00BD1A9B"/>
    <w:rsid w:val="00BD21A6"/>
    <w:rsid w:val="00BD3847"/>
    <w:rsid w:val="00BD3991"/>
    <w:rsid w:val="00BD5C55"/>
    <w:rsid w:val="00BE01BC"/>
    <w:rsid w:val="00BE25A7"/>
    <w:rsid w:val="00BE2D31"/>
    <w:rsid w:val="00BE355E"/>
    <w:rsid w:val="00BF19F0"/>
    <w:rsid w:val="00BF278E"/>
    <w:rsid w:val="00BF2F97"/>
    <w:rsid w:val="00BF43F5"/>
    <w:rsid w:val="00BF4954"/>
    <w:rsid w:val="00BF497C"/>
    <w:rsid w:val="00BF57CF"/>
    <w:rsid w:val="00BF5D5D"/>
    <w:rsid w:val="00BF68DB"/>
    <w:rsid w:val="00C02DC4"/>
    <w:rsid w:val="00C035FE"/>
    <w:rsid w:val="00C03865"/>
    <w:rsid w:val="00C047AB"/>
    <w:rsid w:val="00C07B68"/>
    <w:rsid w:val="00C12363"/>
    <w:rsid w:val="00C13673"/>
    <w:rsid w:val="00C13C26"/>
    <w:rsid w:val="00C144AE"/>
    <w:rsid w:val="00C145BD"/>
    <w:rsid w:val="00C14F45"/>
    <w:rsid w:val="00C16956"/>
    <w:rsid w:val="00C17D91"/>
    <w:rsid w:val="00C20825"/>
    <w:rsid w:val="00C2223D"/>
    <w:rsid w:val="00C222AE"/>
    <w:rsid w:val="00C22587"/>
    <w:rsid w:val="00C23E91"/>
    <w:rsid w:val="00C245B7"/>
    <w:rsid w:val="00C26221"/>
    <w:rsid w:val="00C265A4"/>
    <w:rsid w:val="00C26AA5"/>
    <w:rsid w:val="00C26B03"/>
    <w:rsid w:val="00C30313"/>
    <w:rsid w:val="00C305C9"/>
    <w:rsid w:val="00C3283E"/>
    <w:rsid w:val="00C33274"/>
    <w:rsid w:val="00C333F5"/>
    <w:rsid w:val="00C36B70"/>
    <w:rsid w:val="00C37B5E"/>
    <w:rsid w:val="00C41E7A"/>
    <w:rsid w:val="00C44144"/>
    <w:rsid w:val="00C45040"/>
    <w:rsid w:val="00C45FE6"/>
    <w:rsid w:val="00C47193"/>
    <w:rsid w:val="00C475E2"/>
    <w:rsid w:val="00C50A10"/>
    <w:rsid w:val="00C55B83"/>
    <w:rsid w:val="00C5641E"/>
    <w:rsid w:val="00C56833"/>
    <w:rsid w:val="00C61EEA"/>
    <w:rsid w:val="00C62F57"/>
    <w:rsid w:val="00C65E0B"/>
    <w:rsid w:val="00C70A7B"/>
    <w:rsid w:val="00C7367C"/>
    <w:rsid w:val="00C740D5"/>
    <w:rsid w:val="00C75007"/>
    <w:rsid w:val="00C75546"/>
    <w:rsid w:val="00C76748"/>
    <w:rsid w:val="00C81622"/>
    <w:rsid w:val="00C82485"/>
    <w:rsid w:val="00C855A0"/>
    <w:rsid w:val="00C86061"/>
    <w:rsid w:val="00C90270"/>
    <w:rsid w:val="00C90D67"/>
    <w:rsid w:val="00C9229C"/>
    <w:rsid w:val="00C926F6"/>
    <w:rsid w:val="00C93B4C"/>
    <w:rsid w:val="00C9593C"/>
    <w:rsid w:val="00C96CAE"/>
    <w:rsid w:val="00CA13B2"/>
    <w:rsid w:val="00CA2AFE"/>
    <w:rsid w:val="00CA2B29"/>
    <w:rsid w:val="00CA3254"/>
    <w:rsid w:val="00CA4040"/>
    <w:rsid w:val="00CA4781"/>
    <w:rsid w:val="00CB1912"/>
    <w:rsid w:val="00CB24FD"/>
    <w:rsid w:val="00CB4CB5"/>
    <w:rsid w:val="00CB53C3"/>
    <w:rsid w:val="00CB63B1"/>
    <w:rsid w:val="00CC1563"/>
    <w:rsid w:val="00CC2B62"/>
    <w:rsid w:val="00CC4194"/>
    <w:rsid w:val="00CC505F"/>
    <w:rsid w:val="00CC525F"/>
    <w:rsid w:val="00CD07D2"/>
    <w:rsid w:val="00CD0B1D"/>
    <w:rsid w:val="00CD14A5"/>
    <w:rsid w:val="00CD6313"/>
    <w:rsid w:val="00CE1B43"/>
    <w:rsid w:val="00CE1CF0"/>
    <w:rsid w:val="00CE3273"/>
    <w:rsid w:val="00CE45C5"/>
    <w:rsid w:val="00CE5341"/>
    <w:rsid w:val="00CE5F2A"/>
    <w:rsid w:val="00CE6A02"/>
    <w:rsid w:val="00CE73C7"/>
    <w:rsid w:val="00CE7E06"/>
    <w:rsid w:val="00CF10CC"/>
    <w:rsid w:val="00CF3AFD"/>
    <w:rsid w:val="00CF3E1F"/>
    <w:rsid w:val="00CF4F77"/>
    <w:rsid w:val="00CF646A"/>
    <w:rsid w:val="00CF7A0F"/>
    <w:rsid w:val="00D0012B"/>
    <w:rsid w:val="00D00DA8"/>
    <w:rsid w:val="00D00FE5"/>
    <w:rsid w:val="00D031AE"/>
    <w:rsid w:val="00D04403"/>
    <w:rsid w:val="00D045D7"/>
    <w:rsid w:val="00D06CAD"/>
    <w:rsid w:val="00D07C34"/>
    <w:rsid w:val="00D106EB"/>
    <w:rsid w:val="00D10A9B"/>
    <w:rsid w:val="00D10E1F"/>
    <w:rsid w:val="00D12AE3"/>
    <w:rsid w:val="00D13CD3"/>
    <w:rsid w:val="00D13E57"/>
    <w:rsid w:val="00D15A5A"/>
    <w:rsid w:val="00D16AA9"/>
    <w:rsid w:val="00D16F6F"/>
    <w:rsid w:val="00D17D8D"/>
    <w:rsid w:val="00D20625"/>
    <w:rsid w:val="00D20676"/>
    <w:rsid w:val="00D2078C"/>
    <w:rsid w:val="00D20AEA"/>
    <w:rsid w:val="00D2103D"/>
    <w:rsid w:val="00D238AA"/>
    <w:rsid w:val="00D244F0"/>
    <w:rsid w:val="00D2551B"/>
    <w:rsid w:val="00D25C3B"/>
    <w:rsid w:val="00D25F05"/>
    <w:rsid w:val="00D3098C"/>
    <w:rsid w:val="00D3267F"/>
    <w:rsid w:val="00D32BD2"/>
    <w:rsid w:val="00D35F5B"/>
    <w:rsid w:val="00D3695F"/>
    <w:rsid w:val="00D40916"/>
    <w:rsid w:val="00D40D25"/>
    <w:rsid w:val="00D41FF7"/>
    <w:rsid w:val="00D4361A"/>
    <w:rsid w:val="00D449DC"/>
    <w:rsid w:val="00D44CD9"/>
    <w:rsid w:val="00D453C7"/>
    <w:rsid w:val="00D454F5"/>
    <w:rsid w:val="00D45969"/>
    <w:rsid w:val="00D47814"/>
    <w:rsid w:val="00D47B42"/>
    <w:rsid w:val="00D50420"/>
    <w:rsid w:val="00D52A6D"/>
    <w:rsid w:val="00D54798"/>
    <w:rsid w:val="00D554EE"/>
    <w:rsid w:val="00D5650F"/>
    <w:rsid w:val="00D56DA0"/>
    <w:rsid w:val="00D57951"/>
    <w:rsid w:val="00D62AA3"/>
    <w:rsid w:val="00D63694"/>
    <w:rsid w:val="00D64AAB"/>
    <w:rsid w:val="00D64F56"/>
    <w:rsid w:val="00D66DF3"/>
    <w:rsid w:val="00D7092A"/>
    <w:rsid w:val="00D70CC0"/>
    <w:rsid w:val="00D7367C"/>
    <w:rsid w:val="00D73C76"/>
    <w:rsid w:val="00D7429B"/>
    <w:rsid w:val="00D756DF"/>
    <w:rsid w:val="00D7751E"/>
    <w:rsid w:val="00D8131F"/>
    <w:rsid w:val="00D82116"/>
    <w:rsid w:val="00D844AA"/>
    <w:rsid w:val="00D8684C"/>
    <w:rsid w:val="00D90ED3"/>
    <w:rsid w:val="00D91F27"/>
    <w:rsid w:val="00D923AA"/>
    <w:rsid w:val="00D9267A"/>
    <w:rsid w:val="00D95D5A"/>
    <w:rsid w:val="00D96373"/>
    <w:rsid w:val="00D96839"/>
    <w:rsid w:val="00DA095B"/>
    <w:rsid w:val="00DA3FFB"/>
    <w:rsid w:val="00DA455E"/>
    <w:rsid w:val="00DA6DE6"/>
    <w:rsid w:val="00DB0E6F"/>
    <w:rsid w:val="00DB1A2C"/>
    <w:rsid w:val="00DB3611"/>
    <w:rsid w:val="00DB5B26"/>
    <w:rsid w:val="00DB6A0A"/>
    <w:rsid w:val="00DC0964"/>
    <w:rsid w:val="00DC0997"/>
    <w:rsid w:val="00DC0A8B"/>
    <w:rsid w:val="00DC0DC5"/>
    <w:rsid w:val="00DC28B1"/>
    <w:rsid w:val="00DC2A87"/>
    <w:rsid w:val="00DC453D"/>
    <w:rsid w:val="00DC5E04"/>
    <w:rsid w:val="00DC5FE6"/>
    <w:rsid w:val="00DC6756"/>
    <w:rsid w:val="00DC6F68"/>
    <w:rsid w:val="00DC711F"/>
    <w:rsid w:val="00DC749D"/>
    <w:rsid w:val="00DC783C"/>
    <w:rsid w:val="00DD17A8"/>
    <w:rsid w:val="00DD1B61"/>
    <w:rsid w:val="00DD1C21"/>
    <w:rsid w:val="00DD29A1"/>
    <w:rsid w:val="00DD2C23"/>
    <w:rsid w:val="00DD4820"/>
    <w:rsid w:val="00DD5E10"/>
    <w:rsid w:val="00DD6370"/>
    <w:rsid w:val="00DD71C0"/>
    <w:rsid w:val="00DE080C"/>
    <w:rsid w:val="00DE138F"/>
    <w:rsid w:val="00DE2F04"/>
    <w:rsid w:val="00DE4B4B"/>
    <w:rsid w:val="00DF1153"/>
    <w:rsid w:val="00E003FB"/>
    <w:rsid w:val="00E02648"/>
    <w:rsid w:val="00E0267B"/>
    <w:rsid w:val="00E04853"/>
    <w:rsid w:val="00E055B2"/>
    <w:rsid w:val="00E05E70"/>
    <w:rsid w:val="00E06905"/>
    <w:rsid w:val="00E07794"/>
    <w:rsid w:val="00E10B70"/>
    <w:rsid w:val="00E128BF"/>
    <w:rsid w:val="00E1398E"/>
    <w:rsid w:val="00E13E1C"/>
    <w:rsid w:val="00E14733"/>
    <w:rsid w:val="00E14CEA"/>
    <w:rsid w:val="00E15DD9"/>
    <w:rsid w:val="00E171C3"/>
    <w:rsid w:val="00E2097A"/>
    <w:rsid w:val="00E23353"/>
    <w:rsid w:val="00E238D4"/>
    <w:rsid w:val="00E23F9A"/>
    <w:rsid w:val="00E25C57"/>
    <w:rsid w:val="00E2659D"/>
    <w:rsid w:val="00E270DD"/>
    <w:rsid w:val="00E278DE"/>
    <w:rsid w:val="00E30440"/>
    <w:rsid w:val="00E30CD2"/>
    <w:rsid w:val="00E31728"/>
    <w:rsid w:val="00E31FF9"/>
    <w:rsid w:val="00E34B4E"/>
    <w:rsid w:val="00E37C63"/>
    <w:rsid w:val="00E413F2"/>
    <w:rsid w:val="00E4437D"/>
    <w:rsid w:val="00E450D1"/>
    <w:rsid w:val="00E453FC"/>
    <w:rsid w:val="00E46455"/>
    <w:rsid w:val="00E511D5"/>
    <w:rsid w:val="00E5350B"/>
    <w:rsid w:val="00E55184"/>
    <w:rsid w:val="00E55D24"/>
    <w:rsid w:val="00E614D3"/>
    <w:rsid w:val="00E62ECF"/>
    <w:rsid w:val="00E631D0"/>
    <w:rsid w:val="00E6343F"/>
    <w:rsid w:val="00E645A0"/>
    <w:rsid w:val="00E64C76"/>
    <w:rsid w:val="00E65946"/>
    <w:rsid w:val="00E65C75"/>
    <w:rsid w:val="00E66C5B"/>
    <w:rsid w:val="00E70DFC"/>
    <w:rsid w:val="00E71D41"/>
    <w:rsid w:val="00E7205E"/>
    <w:rsid w:val="00E734CB"/>
    <w:rsid w:val="00E73EEB"/>
    <w:rsid w:val="00E74714"/>
    <w:rsid w:val="00E75C47"/>
    <w:rsid w:val="00E76AD5"/>
    <w:rsid w:val="00E776CA"/>
    <w:rsid w:val="00E77C28"/>
    <w:rsid w:val="00E84854"/>
    <w:rsid w:val="00E86228"/>
    <w:rsid w:val="00E86F52"/>
    <w:rsid w:val="00E8740C"/>
    <w:rsid w:val="00E87627"/>
    <w:rsid w:val="00E904EB"/>
    <w:rsid w:val="00E90630"/>
    <w:rsid w:val="00E90C4A"/>
    <w:rsid w:val="00E9192F"/>
    <w:rsid w:val="00E91ED0"/>
    <w:rsid w:val="00E926EB"/>
    <w:rsid w:val="00E92B6A"/>
    <w:rsid w:val="00E92F64"/>
    <w:rsid w:val="00E94412"/>
    <w:rsid w:val="00E949B0"/>
    <w:rsid w:val="00E94E9B"/>
    <w:rsid w:val="00E971A1"/>
    <w:rsid w:val="00E97809"/>
    <w:rsid w:val="00E97FAE"/>
    <w:rsid w:val="00EA005A"/>
    <w:rsid w:val="00EA050D"/>
    <w:rsid w:val="00EA1487"/>
    <w:rsid w:val="00EA2412"/>
    <w:rsid w:val="00EA2851"/>
    <w:rsid w:val="00EB17E4"/>
    <w:rsid w:val="00EB1EB7"/>
    <w:rsid w:val="00EB3C79"/>
    <w:rsid w:val="00EB4949"/>
    <w:rsid w:val="00EB6487"/>
    <w:rsid w:val="00EB6E4B"/>
    <w:rsid w:val="00EB7A3E"/>
    <w:rsid w:val="00EC0F19"/>
    <w:rsid w:val="00EC1BE1"/>
    <w:rsid w:val="00EC4BD1"/>
    <w:rsid w:val="00EC51B3"/>
    <w:rsid w:val="00EC72D4"/>
    <w:rsid w:val="00ED0345"/>
    <w:rsid w:val="00ED0709"/>
    <w:rsid w:val="00ED2361"/>
    <w:rsid w:val="00ED315A"/>
    <w:rsid w:val="00ED3FCC"/>
    <w:rsid w:val="00ED519F"/>
    <w:rsid w:val="00ED58C3"/>
    <w:rsid w:val="00ED5A37"/>
    <w:rsid w:val="00ED7C65"/>
    <w:rsid w:val="00EE04C7"/>
    <w:rsid w:val="00EE3AF0"/>
    <w:rsid w:val="00EE5307"/>
    <w:rsid w:val="00EE6280"/>
    <w:rsid w:val="00EE6D00"/>
    <w:rsid w:val="00EE7AEB"/>
    <w:rsid w:val="00EE7DCE"/>
    <w:rsid w:val="00EF102B"/>
    <w:rsid w:val="00EF10D1"/>
    <w:rsid w:val="00EF27EB"/>
    <w:rsid w:val="00EF343F"/>
    <w:rsid w:val="00EF5126"/>
    <w:rsid w:val="00EF547D"/>
    <w:rsid w:val="00EF68D8"/>
    <w:rsid w:val="00EF7275"/>
    <w:rsid w:val="00F0135F"/>
    <w:rsid w:val="00F01E07"/>
    <w:rsid w:val="00F01F16"/>
    <w:rsid w:val="00F02047"/>
    <w:rsid w:val="00F02150"/>
    <w:rsid w:val="00F03D98"/>
    <w:rsid w:val="00F068DA"/>
    <w:rsid w:val="00F06BED"/>
    <w:rsid w:val="00F1088D"/>
    <w:rsid w:val="00F10AA7"/>
    <w:rsid w:val="00F12F78"/>
    <w:rsid w:val="00F14521"/>
    <w:rsid w:val="00F1536A"/>
    <w:rsid w:val="00F17BEE"/>
    <w:rsid w:val="00F21973"/>
    <w:rsid w:val="00F22670"/>
    <w:rsid w:val="00F2452E"/>
    <w:rsid w:val="00F247F3"/>
    <w:rsid w:val="00F24915"/>
    <w:rsid w:val="00F2568B"/>
    <w:rsid w:val="00F271A4"/>
    <w:rsid w:val="00F27D89"/>
    <w:rsid w:val="00F32849"/>
    <w:rsid w:val="00F340DD"/>
    <w:rsid w:val="00F34CCC"/>
    <w:rsid w:val="00F35848"/>
    <w:rsid w:val="00F35EF2"/>
    <w:rsid w:val="00F37B6E"/>
    <w:rsid w:val="00F40374"/>
    <w:rsid w:val="00F4048C"/>
    <w:rsid w:val="00F40DE5"/>
    <w:rsid w:val="00F413E4"/>
    <w:rsid w:val="00F41B82"/>
    <w:rsid w:val="00F41BC5"/>
    <w:rsid w:val="00F42378"/>
    <w:rsid w:val="00F4766D"/>
    <w:rsid w:val="00F5065D"/>
    <w:rsid w:val="00F506EC"/>
    <w:rsid w:val="00F51E6E"/>
    <w:rsid w:val="00F5228A"/>
    <w:rsid w:val="00F55ACF"/>
    <w:rsid w:val="00F55C6A"/>
    <w:rsid w:val="00F572E6"/>
    <w:rsid w:val="00F575A7"/>
    <w:rsid w:val="00F602E6"/>
    <w:rsid w:val="00F60CF4"/>
    <w:rsid w:val="00F645DE"/>
    <w:rsid w:val="00F65980"/>
    <w:rsid w:val="00F7155A"/>
    <w:rsid w:val="00F71A29"/>
    <w:rsid w:val="00F7324D"/>
    <w:rsid w:val="00F7523B"/>
    <w:rsid w:val="00F75314"/>
    <w:rsid w:val="00F75474"/>
    <w:rsid w:val="00F766EA"/>
    <w:rsid w:val="00F77DBE"/>
    <w:rsid w:val="00F81C87"/>
    <w:rsid w:val="00F832E8"/>
    <w:rsid w:val="00F83793"/>
    <w:rsid w:val="00F83D3A"/>
    <w:rsid w:val="00F8471F"/>
    <w:rsid w:val="00F84BD8"/>
    <w:rsid w:val="00F851C2"/>
    <w:rsid w:val="00F8637E"/>
    <w:rsid w:val="00F87B96"/>
    <w:rsid w:val="00F91CAE"/>
    <w:rsid w:val="00F96B20"/>
    <w:rsid w:val="00F97180"/>
    <w:rsid w:val="00F9779D"/>
    <w:rsid w:val="00F97A90"/>
    <w:rsid w:val="00FA04D6"/>
    <w:rsid w:val="00FA1E1F"/>
    <w:rsid w:val="00FA240D"/>
    <w:rsid w:val="00FA2915"/>
    <w:rsid w:val="00FA3EA8"/>
    <w:rsid w:val="00FA42F5"/>
    <w:rsid w:val="00FA4575"/>
    <w:rsid w:val="00FA6B80"/>
    <w:rsid w:val="00FA75DF"/>
    <w:rsid w:val="00FB19A7"/>
    <w:rsid w:val="00FB2BF3"/>
    <w:rsid w:val="00FB66C9"/>
    <w:rsid w:val="00FB759C"/>
    <w:rsid w:val="00FC0126"/>
    <w:rsid w:val="00FC0FAC"/>
    <w:rsid w:val="00FC15BF"/>
    <w:rsid w:val="00FC2070"/>
    <w:rsid w:val="00FC2778"/>
    <w:rsid w:val="00FC2F1C"/>
    <w:rsid w:val="00FC35A1"/>
    <w:rsid w:val="00FC366C"/>
    <w:rsid w:val="00FC4B52"/>
    <w:rsid w:val="00FC4BC5"/>
    <w:rsid w:val="00FC7F1C"/>
    <w:rsid w:val="00FD01CE"/>
    <w:rsid w:val="00FD2C02"/>
    <w:rsid w:val="00FD4FFA"/>
    <w:rsid w:val="00FD58D3"/>
    <w:rsid w:val="00FD5E20"/>
    <w:rsid w:val="00FD6A87"/>
    <w:rsid w:val="00FE1081"/>
    <w:rsid w:val="00FE4491"/>
    <w:rsid w:val="00FE4805"/>
    <w:rsid w:val="00FE60FE"/>
    <w:rsid w:val="00FE6146"/>
    <w:rsid w:val="00FE773B"/>
    <w:rsid w:val="00FE77FF"/>
    <w:rsid w:val="00FE7DA1"/>
    <w:rsid w:val="00FF052C"/>
    <w:rsid w:val="00FF2F26"/>
    <w:rsid w:val="00FF5958"/>
    <w:rsid w:val="00FF77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6EFD9EE-8F7F-4462-B13F-4725D9FC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8A2"/>
    <w:pPr>
      <w:spacing w:after="150" w:line="300" w:lineRule="atLeast"/>
    </w:pPr>
    <w:rPr>
      <w:rFonts w:ascii="Calibri" w:hAnsi="Calibri"/>
      <w:sz w:val="24"/>
      <w:szCs w:val="24"/>
    </w:rPr>
  </w:style>
  <w:style w:type="paragraph" w:styleId="Heading1">
    <w:name w:val="heading 1"/>
    <w:basedOn w:val="Normal"/>
    <w:next w:val="Normal"/>
    <w:link w:val="Heading1Char"/>
    <w:uiPriority w:val="9"/>
    <w:rsid w:val="002138A2"/>
    <w:pPr>
      <w:keepNext/>
      <w:keepLines/>
      <w:spacing w:before="480"/>
      <w:outlineLvl w:val="0"/>
    </w:pPr>
    <w:rPr>
      <w:rFonts w:asciiTheme="majorHAnsi" w:eastAsiaTheme="majorEastAsia" w:hAnsiTheme="majorHAnsi" w:cstheme="majorBidi"/>
      <w:b/>
      <w:bCs/>
      <w:color w:val="00353F" w:themeColor="accent1" w:themeShade="BF"/>
      <w:sz w:val="28"/>
      <w:szCs w:val="28"/>
    </w:rPr>
  </w:style>
  <w:style w:type="paragraph" w:styleId="Heading2">
    <w:name w:val="heading 2"/>
    <w:aliases w:val="TEQSA H2"/>
    <w:basedOn w:val="Normal"/>
    <w:link w:val="Heading2Char"/>
    <w:qFormat/>
    <w:rsid w:val="002138A2"/>
    <w:pPr>
      <w:suppressAutoHyphens/>
      <w:autoSpaceDE w:val="0"/>
      <w:autoSpaceDN w:val="0"/>
      <w:adjustRightInd w:val="0"/>
      <w:spacing w:before="480" w:after="40" w:line="240" w:lineRule="atLeast"/>
      <w:textAlignment w:val="center"/>
      <w:outlineLvl w:val="1"/>
    </w:pPr>
    <w:rPr>
      <w:rFonts w:eastAsiaTheme="majorEastAsia" w:cs="Garamond"/>
      <w:b/>
      <w:bCs/>
      <w:caps/>
      <w:color w:val="00808E"/>
      <w:sz w:val="30"/>
      <w:szCs w:val="36"/>
      <w:lang w:val="en-GB"/>
    </w:rPr>
  </w:style>
  <w:style w:type="paragraph" w:styleId="Heading3">
    <w:name w:val="heading 3"/>
    <w:aliases w:val="TEQSA H3"/>
    <w:basedOn w:val="Normal"/>
    <w:link w:val="Heading3Char"/>
    <w:qFormat/>
    <w:rsid w:val="002138A2"/>
    <w:pPr>
      <w:suppressAutoHyphens/>
      <w:autoSpaceDE w:val="0"/>
      <w:autoSpaceDN w:val="0"/>
      <w:adjustRightInd w:val="0"/>
      <w:spacing w:before="320" w:after="40" w:line="360" w:lineRule="atLeast"/>
      <w:textAlignment w:val="center"/>
      <w:outlineLvl w:val="2"/>
    </w:pPr>
    <w:rPr>
      <w:rFonts w:cs="Arial Narrow"/>
      <w:b/>
      <w:bCs/>
      <w:caps/>
      <w:color w:val="00808E"/>
      <w:sz w:val="26"/>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QSAPullquote">
    <w:name w:val="TEQSA_Pull quote"/>
    <w:basedOn w:val="Normal"/>
    <w:qFormat/>
    <w:rsid w:val="002138A2"/>
    <w:pPr>
      <w:suppressAutoHyphens/>
      <w:autoSpaceDE w:val="0"/>
      <w:autoSpaceDN w:val="0"/>
      <w:adjustRightInd w:val="0"/>
      <w:spacing w:line="280" w:lineRule="atLeast"/>
      <w:textAlignment w:val="center"/>
    </w:pPr>
    <w:rPr>
      <w:rFonts w:cs="Garamond"/>
      <w:i/>
      <w:color w:val="00808E"/>
      <w:sz w:val="22"/>
      <w:szCs w:val="22"/>
      <w:lang w:val="en-GB"/>
    </w:rPr>
  </w:style>
  <w:style w:type="paragraph" w:customStyle="1" w:styleId="TEQSAH1">
    <w:name w:val="TEQSA H1"/>
    <w:basedOn w:val="Heading1"/>
    <w:qFormat/>
    <w:rsid w:val="002138A2"/>
    <w:pPr>
      <w:keepNext w:val="0"/>
      <w:keepLines w:val="0"/>
      <w:suppressAutoHyphens/>
      <w:autoSpaceDE w:val="0"/>
      <w:autoSpaceDN w:val="0"/>
      <w:adjustRightInd w:val="0"/>
      <w:spacing w:before="0" w:after="113" w:line="240" w:lineRule="auto"/>
      <w:textAlignment w:val="center"/>
    </w:pPr>
    <w:rPr>
      <w:rFonts w:ascii="Calibri" w:eastAsia="Times New Roman" w:hAnsi="Calibri" w:cs="Garamond"/>
      <w:b w:val="0"/>
      <w:bCs w:val="0"/>
      <w:caps/>
      <w:color w:val="233741"/>
      <w:sz w:val="40"/>
      <w:szCs w:val="40"/>
      <w:lang w:val="en-GB"/>
    </w:rPr>
  </w:style>
  <w:style w:type="character" w:customStyle="1" w:styleId="Heading1Char">
    <w:name w:val="Heading 1 Char"/>
    <w:basedOn w:val="DefaultParagraphFont"/>
    <w:link w:val="Heading1"/>
    <w:uiPriority w:val="9"/>
    <w:rsid w:val="002138A2"/>
    <w:rPr>
      <w:rFonts w:asciiTheme="majorHAnsi" w:eastAsiaTheme="majorEastAsia" w:hAnsiTheme="majorHAnsi" w:cstheme="majorBidi"/>
      <w:b/>
      <w:bCs/>
      <w:color w:val="00353F" w:themeColor="accent1" w:themeShade="BF"/>
      <w:sz w:val="28"/>
      <w:szCs w:val="28"/>
    </w:rPr>
  </w:style>
  <w:style w:type="paragraph" w:customStyle="1" w:styleId="TEQSAMAINNOLINE">
    <w:name w:val="TEQSA MAIN NO LINE"/>
    <w:basedOn w:val="Heading1"/>
    <w:qFormat/>
    <w:rsid w:val="002138A2"/>
    <w:pPr>
      <w:keepNext w:val="0"/>
      <w:keepLines w:val="0"/>
      <w:suppressAutoHyphens/>
      <w:autoSpaceDE w:val="0"/>
      <w:autoSpaceDN w:val="0"/>
      <w:adjustRightInd w:val="0"/>
      <w:spacing w:before="0" w:after="113" w:line="240" w:lineRule="auto"/>
      <w:textAlignment w:val="center"/>
    </w:pPr>
    <w:rPr>
      <w:rFonts w:ascii="Calibri" w:eastAsia="Times New Roman" w:hAnsi="Calibri" w:cs="Garamond"/>
      <w:b w:val="0"/>
      <w:bCs w:val="0"/>
      <w:caps/>
      <w:color w:val="233741"/>
      <w:sz w:val="90"/>
      <w:szCs w:val="90"/>
      <w:lang w:val="en-GB"/>
    </w:rPr>
  </w:style>
  <w:style w:type="paragraph" w:customStyle="1" w:styleId="11">
    <w:name w:val="1.1"/>
    <w:basedOn w:val="Normal"/>
    <w:qFormat/>
    <w:rsid w:val="002138A2"/>
    <w:pPr>
      <w:numPr>
        <w:numId w:val="1"/>
      </w:numPr>
      <w:tabs>
        <w:tab w:val="left" w:pos="851"/>
      </w:tabs>
      <w:spacing w:after="0" w:line="240" w:lineRule="auto"/>
    </w:pPr>
    <w:rPr>
      <w:rFonts w:ascii="Arial" w:hAnsi="Arial"/>
      <w:sz w:val="22"/>
      <w:szCs w:val="22"/>
    </w:rPr>
  </w:style>
  <w:style w:type="paragraph" w:customStyle="1" w:styleId="21">
    <w:name w:val="2.1"/>
    <w:basedOn w:val="11"/>
    <w:qFormat/>
    <w:rsid w:val="002138A2"/>
    <w:pPr>
      <w:numPr>
        <w:numId w:val="2"/>
      </w:numPr>
    </w:pPr>
  </w:style>
  <w:style w:type="paragraph" w:customStyle="1" w:styleId="31">
    <w:name w:val="3.1"/>
    <w:basedOn w:val="11"/>
    <w:qFormat/>
    <w:rsid w:val="002138A2"/>
    <w:pPr>
      <w:numPr>
        <w:numId w:val="3"/>
      </w:numPr>
    </w:pPr>
  </w:style>
  <w:style w:type="paragraph" w:customStyle="1" w:styleId="41">
    <w:name w:val="4.1"/>
    <w:basedOn w:val="11"/>
    <w:qFormat/>
    <w:rsid w:val="002138A2"/>
    <w:pPr>
      <w:numPr>
        <w:numId w:val="4"/>
      </w:numPr>
    </w:pPr>
  </w:style>
  <w:style w:type="paragraph" w:customStyle="1" w:styleId="51">
    <w:name w:val="5.1"/>
    <w:basedOn w:val="41"/>
    <w:qFormat/>
    <w:rsid w:val="002138A2"/>
    <w:pPr>
      <w:numPr>
        <w:numId w:val="5"/>
      </w:numPr>
    </w:pPr>
  </w:style>
  <w:style w:type="paragraph" w:customStyle="1" w:styleId="NameDate">
    <w:name w:val="Name &amp; Date"/>
    <w:basedOn w:val="Normal"/>
    <w:link w:val="NameDateChar"/>
    <w:qFormat/>
    <w:rsid w:val="002138A2"/>
    <w:pPr>
      <w:spacing w:before="40" w:after="160" w:line="276" w:lineRule="auto"/>
    </w:pPr>
    <w:rPr>
      <w:rFonts w:ascii="Arial" w:eastAsiaTheme="minorHAnsi" w:hAnsi="Arial" w:cstheme="minorBidi"/>
      <w:b/>
      <w:color w:val="121A1D" w:themeColor="accent5" w:themeShade="1A"/>
      <w:sz w:val="32"/>
      <w:szCs w:val="22"/>
    </w:rPr>
  </w:style>
  <w:style w:type="character" w:customStyle="1" w:styleId="NameDateChar">
    <w:name w:val="Name &amp; Date Char"/>
    <w:basedOn w:val="DefaultParagraphFont"/>
    <w:link w:val="NameDate"/>
    <w:rsid w:val="002138A2"/>
    <w:rPr>
      <w:rFonts w:ascii="Arial" w:eastAsiaTheme="minorHAnsi" w:hAnsi="Arial" w:cstheme="minorBidi"/>
      <w:b/>
      <w:color w:val="121A1D" w:themeColor="accent5" w:themeShade="1A"/>
      <w:sz w:val="32"/>
      <w:szCs w:val="22"/>
    </w:rPr>
  </w:style>
  <w:style w:type="paragraph" w:customStyle="1" w:styleId="H2">
    <w:name w:val="H2"/>
    <w:basedOn w:val="Heading2"/>
    <w:link w:val="H2Char"/>
    <w:qFormat/>
    <w:rsid w:val="005214AF"/>
    <w:pPr>
      <w:spacing w:before="240"/>
    </w:pPr>
    <w:rPr>
      <w:rFonts w:asciiTheme="majorHAnsi" w:eastAsiaTheme="minorHAnsi" w:hAnsiTheme="majorHAnsi"/>
      <w:caps w:val="0"/>
      <w:color w:val="00A6AA" w:themeColor="background1"/>
      <w:sz w:val="32"/>
      <w:szCs w:val="32"/>
    </w:rPr>
  </w:style>
  <w:style w:type="character" w:customStyle="1" w:styleId="H2Char">
    <w:name w:val="H2 Char"/>
    <w:basedOn w:val="SubtitleChar"/>
    <w:link w:val="H2"/>
    <w:rsid w:val="005214AF"/>
    <w:rPr>
      <w:rFonts w:asciiTheme="majorHAnsi" w:eastAsiaTheme="minorHAnsi" w:hAnsiTheme="majorHAnsi" w:cs="Garamond"/>
      <w:b/>
      <w:bCs/>
      <w:color w:val="00A6AA" w:themeColor="background1"/>
      <w:sz w:val="32"/>
      <w:szCs w:val="32"/>
      <w:lang w:val="en-GB"/>
    </w:rPr>
  </w:style>
  <w:style w:type="character" w:customStyle="1" w:styleId="Heading2Char">
    <w:name w:val="Heading 2 Char"/>
    <w:aliases w:val="TEQSA H2 Char"/>
    <w:basedOn w:val="DefaultParagraphFont"/>
    <w:link w:val="Heading2"/>
    <w:rsid w:val="002138A2"/>
    <w:rPr>
      <w:rFonts w:ascii="Calibri" w:eastAsiaTheme="majorEastAsia" w:hAnsi="Calibri" w:cs="Garamond"/>
      <w:b/>
      <w:bCs/>
      <w:caps/>
      <w:color w:val="00808E"/>
      <w:sz w:val="30"/>
      <w:szCs w:val="36"/>
      <w:lang w:val="en-GB"/>
    </w:rPr>
  </w:style>
  <w:style w:type="paragraph" w:customStyle="1" w:styleId="BulletsL1">
    <w:name w:val="Bullets L1"/>
    <w:basedOn w:val="ListParagraph"/>
    <w:link w:val="BulletsL1Char"/>
    <w:qFormat/>
    <w:rsid w:val="002138A2"/>
    <w:pPr>
      <w:spacing w:before="40" w:after="120" w:line="280" w:lineRule="exact"/>
      <w:ind w:left="426" w:hanging="426"/>
      <w:contextualSpacing w:val="0"/>
    </w:pPr>
    <w:rPr>
      <w:rFonts w:ascii="Arial" w:eastAsiaTheme="minorHAnsi" w:hAnsi="Arial" w:cstheme="minorBidi"/>
      <w:sz w:val="22"/>
      <w:szCs w:val="22"/>
      <w:lang w:val="en-US"/>
    </w:rPr>
  </w:style>
  <w:style w:type="character" w:customStyle="1" w:styleId="BulletsL1Char">
    <w:name w:val="Bullets L1 Char"/>
    <w:basedOn w:val="ListParagraphChar"/>
    <w:link w:val="BulletsL1"/>
    <w:rsid w:val="002138A2"/>
    <w:rPr>
      <w:rFonts w:ascii="Arial" w:eastAsiaTheme="minorHAnsi" w:hAnsi="Arial" w:cstheme="minorBidi"/>
      <w:sz w:val="22"/>
      <w:szCs w:val="22"/>
      <w:lang w:val="en-US"/>
    </w:rPr>
  </w:style>
  <w:style w:type="paragraph" w:styleId="ListParagraph">
    <w:name w:val="List Paragraph"/>
    <w:basedOn w:val="Normal"/>
    <w:link w:val="ListParagraphChar"/>
    <w:uiPriority w:val="34"/>
    <w:qFormat/>
    <w:rsid w:val="002138A2"/>
    <w:pPr>
      <w:ind w:left="720"/>
      <w:contextualSpacing/>
    </w:pPr>
  </w:style>
  <w:style w:type="paragraph" w:customStyle="1" w:styleId="H3">
    <w:name w:val="H3"/>
    <w:basedOn w:val="H2"/>
    <w:link w:val="H3Char"/>
    <w:qFormat/>
    <w:rsid w:val="002138A2"/>
    <w:pPr>
      <w:spacing w:before="120" w:after="120"/>
    </w:pPr>
    <w:rPr>
      <w:rFonts w:asciiTheme="minorHAnsi" w:hAnsiTheme="minorHAnsi" w:cstheme="minorHAnsi"/>
      <w:color w:val="407680" w:themeColor="accent2"/>
      <w:sz w:val="26"/>
      <w:szCs w:val="26"/>
    </w:rPr>
  </w:style>
  <w:style w:type="character" w:customStyle="1" w:styleId="H3Char">
    <w:name w:val="H3 Char"/>
    <w:basedOn w:val="H2Char"/>
    <w:link w:val="H3"/>
    <w:rsid w:val="002138A2"/>
    <w:rPr>
      <w:rFonts w:asciiTheme="minorHAnsi" w:eastAsiaTheme="minorHAnsi" w:hAnsiTheme="minorHAnsi" w:cstheme="minorHAnsi"/>
      <w:b/>
      <w:bCs/>
      <w:color w:val="407680" w:themeColor="accent2"/>
      <w:sz w:val="26"/>
      <w:szCs w:val="26"/>
      <w:lang w:val="en-GB"/>
    </w:rPr>
  </w:style>
  <w:style w:type="paragraph" w:customStyle="1" w:styleId="TableHeadings">
    <w:name w:val="Table Headings"/>
    <w:basedOn w:val="Normal"/>
    <w:link w:val="TableHeadingsChar"/>
    <w:qFormat/>
    <w:rsid w:val="002138A2"/>
    <w:pPr>
      <w:spacing w:before="40" w:after="160" w:line="280" w:lineRule="exact"/>
      <w:jc w:val="center"/>
    </w:pPr>
    <w:rPr>
      <w:rFonts w:ascii="Arial" w:eastAsiaTheme="minorHAnsi" w:hAnsi="Arial" w:cstheme="minorBidi"/>
      <w:b/>
      <w:color w:val="FFFFFF" w:themeColor="background2"/>
      <w:sz w:val="22"/>
      <w:szCs w:val="22"/>
    </w:rPr>
  </w:style>
  <w:style w:type="character" w:customStyle="1" w:styleId="TableHeadingsChar">
    <w:name w:val="Table Headings Char"/>
    <w:basedOn w:val="DefaultParagraphFont"/>
    <w:link w:val="TableHeadings"/>
    <w:rsid w:val="002138A2"/>
    <w:rPr>
      <w:rFonts w:ascii="Arial" w:eastAsiaTheme="minorHAnsi" w:hAnsi="Arial" w:cstheme="minorBidi"/>
      <w:b/>
      <w:color w:val="FFFFFF" w:themeColor="background2"/>
      <w:sz w:val="22"/>
      <w:szCs w:val="22"/>
    </w:rPr>
  </w:style>
  <w:style w:type="character" w:customStyle="1" w:styleId="Heading3Char">
    <w:name w:val="Heading 3 Char"/>
    <w:aliases w:val="TEQSA H3 Char"/>
    <w:basedOn w:val="DefaultParagraphFont"/>
    <w:link w:val="Heading3"/>
    <w:rsid w:val="002138A2"/>
    <w:rPr>
      <w:rFonts w:ascii="Calibri" w:hAnsi="Calibri" w:cs="Arial Narrow"/>
      <w:b/>
      <w:bCs/>
      <w:caps/>
      <w:color w:val="00808E"/>
      <w:sz w:val="26"/>
      <w:szCs w:val="32"/>
      <w:lang w:val="en-GB"/>
    </w:rPr>
  </w:style>
  <w:style w:type="paragraph" w:styleId="TOC1">
    <w:name w:val="toc 1"/>
    <w:basedOn w:val="Normal"/>
    <w:next w:val="Normal"/>
    <w:autoRedefine/>
    <w:uiPriority w:val="39"/>
    <w:unhideWhenUsed/>
    <w:qFormat/>
    <w:rsid w:val="002138A2"/>
    <w:pPr>
      <w:spacing w:after="100" w:line="276" w:lineRule="auto"/>
    </w:pPr>
    <w:rPr>
      <w:rFonts w:asciiTheme="minorHAnsi" w:eastAsiaTheme="minorEastAsia" w:hAnsiTheme="minorHAnsi" w:cstheme="minorBidi"/>
      <w:sz w:val="22"/>
      <w:szCs w:val="22"/>
      <w:lang w:val="en-US" w:eastAsia="ja-JP"/>
    </w:rPr>
  </w:style>
  <w:style w:type="paragraph" w:styleId="TOC2">
    <w:name w:val="toc 2"/>
    <w:basedOn w:val="Normal"/>
    <w:next w:val="Normal"/>
    <w:autoRedefine/>
    <w:uiPriority w:val="39"/>
    <w:unhideWhenUsed/>
    <w:qFormat/>
    <w:rsid w:val="002138A2"/>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2138A2"/>
    <w:pPr>
      <w:spacing w:after="100" w:line="276" w:lineRule="auto"/>
      <w:ind w:left="440"/>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2138A2"/>
    <w:pPr>
      <w:spacing w:before="40" w:after="160" w:line="240" w:lineRule="auto"/>
    </w:pPr>
    <w:rPr>
      <w:rFonts w:asciiTheme="majorHAnsi" w:eastAsiaTheme="minorHAnsi" w:hAnsiTheme="majorHAnsi" w:cstheme="minorBidi"/>
      <w:b/>
      <w:color w:val="004855" w:themeColor="text1"/>
      <w:sz w:val="68"/>
      <w:szCs w:val="68"/>
    </w:rPr>
  </w:style>
  <w:style w:type="character" w:customStyle="1" w:styleId="TitleChar">
    <w:name w:val="Title Char"/>
    <w:basedOn w:val="DefaultParagraphFont"/>
    <w:link w:val="Title"/>
    <w:uiPriority w:val="10"/>
    <w:rsid w:val="002138A2"/>
    <w:rPr>
      <w:rFonts w:asciiTheme="majorHAnsi" w:eastAsiaTheme="minorHAnsi" w:hAnsiTheme="majorHAnsi" w:cstheme="minorBidi"/>
      <w:b/>
      <w:color w:val="004855" w:themeColor="text1"/>
      <w:sz w:val="68"/>
      <w:szCs w:val="68"/>
    </w:rPr>
  </w:style>
  <w:style w:type="paragraph" w:styleId="Subtitle">
    <w:name w:val="Subtitle"/>
    <w:basedOn w:val="Normal"/>
    <w:next w:val="Normal"/>
    <w:link w:val="SubtitleChar"/>
    <w:uiPriority w:val="11"/>
    <w:qFormat/>
    <w:rsid w:val="002138A2"/>
    <w:pPr>
      <w:spacing w:before="40" w:after="160" w:line="240" w:lineRule="auto"/>
    </w:pPr>
    <w:rPr>
      <w:rFonts w:asciiTheme="majorHAnsi" w:eastAsiaTheme="minorHAnsi" w:hAnsiTheme="majorHAnsi" w:cstheme="minorBidi"/>
      <w:color w:val="00A6AA" w:themeColor="background1"/>
      <w:sz w:val="56"/>
      <w:szCs w:val="68"/>
    </w:rPr>
  </w:style>
  <w:style w:type="character" w:customStyle="1" w:styleId="SubtitleChar">
    <w:name w:val="Subtitle Char"/>
    <w:basedOn w:val="DefaultParagraphFont"/>
    <w:link w:val="Subtitle"/>
    <w:uiPriority w:val="11"/>
    <w:rsid w:val="002138A2"/>
    <w:rPr>
      <w:rFonts w:asciiTheme="majorHAnsi" w:eastAsiaTheme="minorHAnsi" w:hAnsiTheme="majorHAnsi" w:cstheme="minorBidi"/>
      <w:color w:val="00A6AA" w:themeColor="background1"/>
      <w:sz w:val="56"/>
      <w:szCs w:val="68"/>
    </w:rPr>
  </w:style>
  <w:style w:type="character" w:customStyle="1" w:styleId="ListParagraphChar">
    <w:name w:val="List Paragraph Char"/>
    <w:basedOn w:val="DefaultParagraphFont"/>
    <w:link w:val="ListParagraph"/>
    <w:uiPriority w:val="34"/>
    <w:rsid w:val="002138A2"/>
    <w:rPr>
      <w:rFonts w:ascii="Calibri" w:hAnsi="Calibri"/>
      <w:sz w:val="24"/>
      <w:szCs w:val="24"/>
    </w:rPr>
  </w:style>
  <w:style w:type="paragraph" w:styleId="Quote">
    <w:name w:val="Quote"/>
    <w:basedOn w:val="Normal"/>
    <w:next w:val="Normal"/>
    <w:link w:val="QuoteChar"/>
    <w:uiPriority w:val="29"/>
    <w:qFormat/>
    <w:rsid w:val="002138A2"/>
    <w:pPr>
      <w:spacing w:before="40" w:after="160" w:line="280" w:lineRule="exact"/>
    </w:pPr>
    <w:rPr>
      <w:rFonts w:ascii="Arial" w:eastAsiaTheme="minorHAnsi" w:hAnsi="Arial" w:cstheme="minorBidi"/>
      <w:i/>
      <w:iCs/>
      <w:sz w:val="22"/>
      <w:szCs w:val="22"/>
    </w:rPr>
  </w:style>
  <w:style w:type="character" w:customStyle="1" w:styleId="QuoteChar">
    <w:name w:val="Quote Char"/>
    <w:basedOn w:val="DefaultParagraphFont"/>
    <w:link w:val="Quote"/>
    <w:uiPriority w:val="29"/>
    <w:rsid w:val="002138A2"/>
    <w:rPr>
      <w:rFonts w:ascii="Arial" w:eastAsiaTheme="minorHAnsi" w:hAnsi="Arial" w:cstheme="minorBidi"/>
      <w:i/>
      <w:iCs/>
      <w:sz w:val="22"/>
      <w:szCs w:val="22"/>
    </w:rPr>
  </w:style>
  <w:style w:type="character" w:styleId="SubtleEmphasis">
    <w:name w:val="Subtle Emphasis"/>
    <w:uiPriority w:val="65"/>
    <w:qFormat/>
    <w:rsid w:val="002138A2"/>
    <w:rPr>
      <w:smallCaps/>
      <w:dstrike w:val="0"/>
      <w:color w:val="00C7EB" w:themeColor="text1" w:themeTint="A5"/>
      <w:vertAlign w:val="baseline"/>
    </w:rPr>
  </w:style>
  <w:style w:type="character" w:styleId="IntenseEmphasis">
    <w:name w:val="Intense Emphasis"/>
    <w:basedOn w:val="DefaultParagraphFont"/>
    <w:uiPriority w:val="21"/>
    <w:qFormat/>
    <w:rsid w:val="002138A2"/>
    <w:rPr>
      <w:b/>
      <w:bCs/>
      <w:i/>
      <w:iCs/>
      <w:color w:val="004855" w:themeColor="accent1"/>
    </w:rPr>
  </w:style>
  <w:style w:type="paragraph" w:styleId="TOCHeading">
    <w:name w:val="TOC Heading"/>
    <w:basedOn w:val="Heading1"/>
    <w:next w:val="Normal"/>
    <w:uiPriority w:val="39"/>
    <w:unhideWhenUsed/>
    <w:qFormat/>
    <w:rsid w:val="002138A2"/>
    <w:pPr>
      <w:spacing w:after="0" w:line="276" w:lineRule="auto"/>
      <w:outlineLvl w:val="9"/>
    </w:pPr>
    <w:rPr>
      <w:lang w:val="en-US" w:eastAsia="ja-JP"/>
    </w:rPr>
  </w:style>
  <w:style w:type="paragraph" w:styleId="BalloonText">
    <w:name w:val="Balloon Text"/>
    <w:basedOn w:val="Normal"/>
    <w:link w:val="BalloonTextChar"/>
    <w:uiPriority w:val="99"/>
    <w:semiHidden/>
    <w:unhideWhenUsed/>
    <w:rsid w:val="00B57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8E4"/>
    <w:rPr>
      <w:rFonts w:ascii="Tahoma" w:hAnsi="Tahoma" w:cs="Tahoma"/>
      <w:sz w:val="16"/>
      <w:szCs w:val="16"/>
    </w:rPr>
  </w:style>
  <w:style w:type="paragraph" w:styleId="Header">
    <w:name w:val="header"/>
    <w:basedOn w:val="Normal"/>
    <w:link w:val="HeaderChar"/>
    <w:uiPriority w:val="99"/>
    <w:unhideWhenUsed/>
    <w:rsid w:val="00696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C14"/>
    <w:rPr>
      <w:rFonts w:ascii="Calibri" w:hAnsi="Calibri"/>
      <w:sz w:val="24"/>
      <w:szCs w:val="24"/>
    </w:rPr>
  </w:style>
  <w:style w:type="paragraph" w:styleId="Footer">
    <w:name w:val="footer"/>
    <w:basedOn w:val="Normal"/>
    <w:link w:val="FooterChar"/>
    <w:uiPriority w:val="99"/>
    <w:unhideWhenUsed/>
    <w:rsid w:val="00696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C14"/>
    <w:rPr>
      <w:rFonts w:ascii="Calibri" w:hAnsi="Calibri"/>
      <w:sz w:val="24"/>
      <w:szCs w:val="24"/>
    </w:rPr>
  </w:style>
  <w:style w:type="paragraph" w:styleId="FootnoteText">
    <w:name w:val="footnote text"/>
    <w:basedOn w:val="Normal"/>
    <w:link w:val="FootnoteTextChar"/>
    <w:uiPriority w:val="99"/>
    <w:unhideWhenUsed/>
    <w:rsid w:val="00AA741E"/>
    <w:pPr>
      <w:spacing w:after="0" w:line="240" w:lineRule="auto"/>
    </w:pPr>
    <w:rPr>
      <w:sz w:val="20"/>
      <w:szCs w:val="20"/>
    </w:rPr>
  </w:style>
  <w:style w:type="character" w:customStyle="1" w:styleId="FootnoteTextChar">
    <w:name w:val="Footnote Text Char"/>
    <w:basedOn w:val="DefaultParagraphFont"/>
    <w:link w:val="FootnoteText"/>
    <w:uiPriority w:val="99"/>
    <w:rsid w:val="00AA741E"/>
    <w:rPr>
      <w:rFonts w:ascii="Calibri" w:hAnsi="Calibri"/>
    </w:rPr>
  </w:style>
  <w:style w:type="character" w:styleId="FootnoteReference">
    <w:name w:val="footnote reference"/>
    <w:basedOn w:val="DefaultParagraphFont"/>
    <w:uiPriority w:val="99"/>
    <w:semiHidden/>
    <w:unhideWhenUsed/>
    <w:rsid w:val="00AA741E"/>
    <w:rPr>
      <w:vertAlign w:val="superscript"/>
    </w:rPr>
  </w:style>
  <w:style w:type="character" w:styleId="Hyperlink">
    <w:name w:val="Hyperlink"/>
    <w:basedOn w:val="DefaultParagraphFont"/>
    <w:uiPriority w:val="99"/>
    <w:unhideWhenUsed/>
    <w:rsid w:val="001F2B9C"/>
    <w:rPr>
      <w:color w:val="0000FF"/>
      <w:u w:val="single"/>
    </w:rPr>
  </w:style>
  <w:style w:type="paragraph" w:customStyle="1" w:styleId="Pa6">
    <w:name w:val="Pa6"/>
    <w:basedOn w:val="Normal"/>
    <w:next w:val="Normal"/>
    <w:uiPriority w:val="99"/>
    <w:rsid w:val="00671298"/>
    <w:pPr>
      <w:autoSpaceDE w:val="0"/>
      <w:autoSpaceDN w:val="0"/>
      <w:adjustRightInd w:val="0"/>
      <w:spacing w:after="0" w:line="321" w:lineRule="atLeast"/>
    </w:pPr>
    <w:rPr>
      <w:rFonts w:ascii="HelveticaNeueLT Std Lt" w:hAnsi="HelveticaNeueLT Std Lt"/>
    </w:rPr>
  </w:style>
  <w:style w:type="character" w:styleId="CommentReference">
    <w:name w:val="annotation reference"/>
    <w:basedOn w:val="DefaultParagraphFont"/>
    <w:uiPriority w:val="99"/>
    <w:semiHidden/>
    <w:unhideWhenUsed/>
    <w:rsid w:val="006545FB"/>
    <w:rPr>
      <w:sz w:val="16"/>
      <w:szCs w:val="16"/>
    </w:rPr>
  </w:style>
  <w:style w:type="paragraph" w:styleId="CommentText">
    <w:name w:val="annotation text"/>
    <w:basedOn w:val="Normal"/>
    <w:link w:val="CommentTextChar"/>
    <w:uiPriority w:val="99"/>
    <w:semiHidden/>
    <w:unhideWhenUsed/>
    <w:rsid w:val="006545FB"/>
    <w:pPr>
      <w:spacing w:line="240" w:lineRule="auto"/>
    </w:pPr>
    <w:rPr>
      <w:sz w:val="20"/>
      <w:szCs w:val="20"/>
    </w:rPr>
  </w:style>
  <w:style w:type="character" w:customStyle="1" w:styleId="CommentTextChar">
    <w:name w:val="Comment Text Char"/>
    <w:basedOn w:val="DefaultParagraphFont"/>
    <w:link w:val="CommentText"/>
    <w:uiPriority w:val="99"/>
    <w:semiHidden/>
    <w:rsid w:val="006545FB"/>
    <w:rPr>
      <w:rFonts w:ascii="Calibri" w:hAnsi="Calibri"/>
    </w:rPr>
  </w:style>
  <w:style w:type="paragraph" w:styleId="CommentSubject">
    <w:name w:val="annotation subject"/>
    <w:basedOn w:val="CommentText"/>
    <w:next w:val="CommentText"/>
    <w:link w:val="CommentSubjectChar"/>
    <w:uiPriority w:val="99"/>
    <w:semiHidden/>
    <w:unhideWhenUsed/>
    <w:rsid w:val="006545FB"/>
    <w:rPr>
      <w:b/>
      <w:bCs/>
    </w:rPr>
  </w:style>
  <w:style w:type="character" w:customStyle="1" w:styleId="CommentSubjectChar">
    <w:name w:val="Comment Subject Char"/>
    <w:basedOn w:val="CommentTextChar"/>
    <w:link w:val="CommentSubject"/>
    <w:uiPriority w:val="99"/>
    <w:semiHidden/>
    <w:rsid w:val="006545FB"/>
    <w:rPr>
      <w:rFonts w:ascii="Calibri" w:hAnsi="Calibri"/>
      <w:b/>
      <w:bCs/>
    </w:rPr>
  </w:style>
  <w:style w:type="character" w:customStyle="1" w:styleId="apple-converted-space">
    <w:name w:val="apple-converted-space"/>
    <w:basedOn w:val="DefaultParagraphFont"/>
    <w:rsid w:val="00BE355E"/>
  </w:style>
  <w:style w:type="paragraph" w:styleId="Revision">
    <w:name w:val="Revision"/>
    <w:hidden/>
    <w:uiPriority w:val="99"/>
    <w:semiHidden/>
    <w:rsid w:val="002F4BD9"/>
    <w:rPr>
      <w:rFonts w:ascii="Calibri" w:hAnsi="Calibri"/>
      <w:sz w:val="24"/>
      <w:szCs w:val="24"/>
    </w:rPr>
  </w:style>
  <w:style w:type="paragraph" w:customStyle="1" w:styleId="BulletsL2">
    <w:name w:val="Bullets L2"/>
    <w:basedOn w:val="BulletsL1"/>
    <w:link w:val="BulletsL2Char"/>
    <w:qFormat/>
    <w:rsid w:val="00585A36"/>
    <w:pPr>
      <w:numPr>
        <w:numId w:val="9"/>
      </w:numPr>
      <w:ind w:left="709"/>
    </w:pPr>
  </w:style>
  <w:style w:type="character" w:customStyle="1" w:styleId="BulletsL2Char">
    <w:name w:val="Bullets L2 Char"/>
    <w:basedOn w:val="BulletsL1Char"/>
    <w:link w:val="BulletsL2"/>
    <w:rsid w:val="00585A36"/>
    <w:rPr>
      <w:rFonts w:ascii="Arial" w:eastAsiaTheme="minorHAnsi" w:hAnsi="Arial" w:cstheme="minorBidi"/>
      <w:sz w:val="22"/>
      <w:szCs w:val="22"/>
      <w:lang w:val="en-US"/>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585A36"/>
    <w:rPr>
      <w:rFonts w:ascii="Arial" w:hAnsi="Arial" w:cs="Arial"/>
      <w:shd w:val="clear" w:color="auto" w:fill="FFFFFF"/>
    </w:rPr>
  </w:style>
  <w:style w:type="character" w:customStyle="1" w:styleId="MSGENFONTSTYLENAMETEMPLATEROLEMSGENFONTSTYLENAMEBYROLETEXT33">
    <w:name w:val="MSG_EN_FONT_STYLE_NAME_TEMPLATE_ROLE MSG_EN_FONT_STYLE_NAME_BY_ROLE_TEXT33"/>
    <w:basedOn w:val="MSGENFONTSTYLENAMETEMPLATEROLEMSGENFONTSTYLENAMEBYROLETEXT"/>
    <w:uiPriority w:val="99"/>
    <w:rsid w:val="00585A36"/>
    <w:rPr>
      <w:rFonts w:ascii="Arial" w:hAnsi="Arial" w:cs="Arial"/>
      <w:color w:val="3E3E40"/>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585A36"/>
    <w:pPr>
      <w:widowControl w:val="0"/>
      <w:shd w:val="clear" w:color="auto" w:fill="FFFFFF"/>
      <w:spacing w:after="0" w:line="240" w:lineRule="atLeast"/>
      <w:ind w:hanging="1120"/>
    </w:pPr>
    <w:rPr>
      <w:rFonts w:ascii="Arial" w:hAnsi="Arial" w:cs="Arial"/>
      <w:sz w:val="20"/>
      <w:szCs w:val="20"/>
    </w:rPr>
  </w:style>
  <w:style w:type="character" w:customStyle="1" w:styleId="MSGENFONTSTYLENAMETEMPLATEROLEMSGENFONTSTYLENAMEBYROLETEXT32">
    <w:name w:val="MSG_EN_FONT_STYLE_NAME_TEMPLATE_ROLE MSG_EN_FONT_STYLE_NAME_BY_ROLE_TEXT32"/>
    <w:basedOn w:val="MSGENFONTSTYLENAMETEMPLATEROLEMSGENFONTSTYLENAMEBYROLETEXT"/>
    <w:uiPriority w:val="99"/>
    <w:rsid w:val="00585A36"/>
    <w:rPr>
      <w:rFonts w:ascii="Arial" w:hAnsi="Arial" w:cs="Arial"/>
      <w:color w:val="3E3E40"/>
      <w:shd w:val="clear" w:color="auto" w:fill="FFFFFF"/>
    </w:rPr>
  </w:style>
  <w:style w:type="character" w:customStyle="1" w:styleId="MSGENFONTSTYLENAMETEMPLATEROLEMSGENFONTSTYLENAMEBYROLETEXT30">
    <w:name w:val="MSG_EN_FONT_STYLE_NAME_TEMPLATE_ROLE MSG_EN_FONT_STYLE_NAME_BY_ROLE_TEXT30"/>
    <w:basedOn w:val="MSGENFONTSTYLENAMETEMPLATEROLEMSGENFONTSTYLENAMEBYROLETEXT"/>
    <w:uiPriority w:val="99"/>
    <w:rsid w:val="00585A36"/>
    <w:rPr>
      <w:rFonts w:ascii="Arial" w:hAnsi="Arial" w:cs="Arial"/>
      <w:color w:val="3E3E40"/>
      <w:shd w:val="clear" w:color="auto" w:fill="FFFFFF"/>
    </w:rPr>
  </w:style>
  <w:style w:type="character" w:customStyle="1" w:styleId="MSGENFONTSTYLENAMETEMPLATEROLEMSGENFONTSTYLENAMEBYROLETEXTMSGENFONTSTYLEMODIFERITALIC3">
    <w:name w:val="MSG_EN_FONT_STYLE_NAME_TEMPLATE_ROLE MSG_EN_FONT_STYLE_NAME_BY_ROLE_TEXT + MSG_EN_FONT_STYLE_MODIFER_ITALIC3"/>
    <w:basedOn w:val="MSGENFONTSTYLENAMETEMPLATEROLEMSGENFONTSTYLENAMEBYROLETEXT"/>
    <w:uiPriority w:val="99"/>
    <w:rsid w:val="00585A36"/>
    <w:rPr>
      <w:rFonts w:ascii="Arial" w:hAnsi="Arial" w:cs="Arial"/>
      <w:i/>
      <w:iCs/>
      <w:color w:val="3E3E40"/>
      <w:shd w:val="clear" w:color="auto" w:fill="FFFFFF"/>
    </w:rPr>
  </w:style>
  <w:style w:type="paragraph" w:customStyle="1" w:styleId="Pa7">
    <w:name w:val="Pa7"/>
    <w:basedOn w:val="Normal"/>
    <w:next w:val="Normal"/>
    <w:uiPriority w:val="99"/>
    <w:rsid w:val="000740A4"/>
    <w:pPr>
      <w:autoSpaceDE w:val="0"/>
      <w:autoSpaceDN w:val="0"/>
      <w:adjustRightInd w:val="0"/>
      <w:spacing w:after="0" w:line="221" w:lineRule="atLeast"/>
    </w:pPr>
    <w:rPr>
      <w:rFonts w:ascii="HelveticaNeueLT Std Lt" w:hAnsi="HelveticaNeueLT Std Lt"/>
    </w:rPr>
  </w:style>
  <w:style w:type="table" w:styleId="TableGrid">
    <w:name w:val="Table Grid"/>
    <w:basedOn w:val="TableNormal"/>
    <w:uiPriority w:val="59"/>
    <w:rsid w:val="006E6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link w:val="H1Char"/>
    <w:qFormat/>
    <w:rsid w:val="005214AF"/>
    <w:pPr>
      <w:spacing w:after="0" w:line="240" w:lineRule="auto"/>
    </w:pPr>
    <w:rPr>
      <w:rFonts w:asciiTheme="majorHAnsi" w:eastAsiaTheme="majorEastAsia" w:hAnsiTheme="majorHAnsi" w:cstheme="majorBidi"/>
      <w:b/>
      <w:bCs/>
      <w:noProof/>
      <w:color w:val="00353F" w:themeColor="accent1" w:themeShade="BF"/>
      <w:sz w:val="44"/>
      <w:szCs w:val="44"/>
      <w:lang w:eastAsia="en-AU"/>
    </w:rPr>
  </w:style>
  <w:style w:type="paragraph" w:customStyle="1" w:styleId="Figureheading">
    <w:name w:val="Figure heading"/>
    <w:basedOn w:val="Normal"/>
    <w:link w:val="FigureheadingChar"/>
    <w:qFormat/>
    <w:rsid w:val="00C07B68"/>
    <w:rPr>
      <w:rFonts w:asciiTheme="minorHAnsi" w:hAnsiTheme="minorHAnsi" w:cstheme="minorHAnsi"/>
      <w:b/>
      <w:color w:val="004855" w:themeColor="text1"/>
      <w:sz w:val="22"/>
      <w:szCs w:val="22"/>
      <w:lang w:val="en-US"/>
    </w:rPr>
  </w:style>
  <w:style w:type="character" w:customStyle="1" w:styleId="H1Char">
    <w:name w:val="H1 Char"/>
    <w:basedOn w:val="DefaultParagraphFont"/>
    <w:link w:val="H1"/>
    <w:rsid w:val="005214AF"/>
    <w:rPr>
      <w:rFonts w:asciiTheme="majorHAnsi" w:eastAsiaTheme="majorEastAsia" w:hAnsiTheme="majorHAnsi" w:cstheme="majorBidi"/>
      <w:b/>
      <w:bCs/>
      <w:noProof/>
      <w:color w:val="00353F" w:themeColor="accent1" w:themeShade="BF"/>
      <w:sz w:val="44"/>
      <w:szCs w:val="44"/>
      <w:lang w:eastAsia="en-AU"/>
    </w:rPr>
  </w:style>
  <w:style w:type="character" w:customStyle="1" w:styleId="FigureheadingChar">
    <w:name w:val="Figure heading Char"/>
    <w:basedOn w:val="DefaultParagraphFont"/>
    <w:link w:val="Figureheading"/>
    <w:rsid w:val="00C07B68"/>
    <w:rPr>
      <w:rFonts w:asciiTheme="minorHAnsi" w:hAnsiTheme="minorHAnsi" w:cstheme="minorHAnsi"/>
      <w:b/>
      <w:color w:val="004855" w:themeColor="text1"/>
      <w:sz w:val="22"/>
      <w:szCs w:val="22"/>
      <w:lang w:val="en-US"/>
    </w:rPr>
  </w:style>
  <w:style w:type="paragraph" w:styleId="NormalWeb">
    <w:name w:val="Normal (Web)"/>
    <w:basedOn w:val="Normal"/>
    <w:uiPriority w:val="99"/>
    <w:semiHidden/>
    <w:unhideWhenUsed/>
    <w:rsid w:val="00730E05"/>
    <w:pPr>
      <w:spacing w:before="100" w:beforeAutospacing="1" w:after="100" w:afterAutospacing="1" w:line="240" w:lineRule="auto"/>
    </w:pPr>
    <w:rPr>
      <w:rFonts w:ascii="Times New Roman" w:eastAsiaTheme="minorEastAsia"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12728">
      <w:bodyDiv w:val="1"/>
      <w:marLeft w:val="0"/>
      <w:marRight w:val="0"/>
      <w:marTop w:val="0"/>
      <w:marBottom w:val="0"/>
      <w:divBdr>
        <w:top w:val="none" w:sz="0" w:space="0" w:color="auto"/>
        <w:left w:val="none" w:sz="0" w:space="0" w:color="auto"/>
        <w:bottom w:val="none" w:sz="0" w:space="0" w:color="auto"/>
        <w:right w:val="none" w:sz="0" w:space="0" w:color="auto"/>
      </w:divBdr>
    </w:div>
    <w:div w:id="168453288">
      <w:bodyDiv w:val="1"/>
      <w:marLeft w:val="0"/>
      <w:marRight w:val="0"/>
      <w:marTop w:val="0"/>
      <w:marBottom w:val="0"/>
      <w:divBdr>
        <w:top w:val="none" w:sz="0" w:space="0" w:color="auto"/>
        <w:left w:val="none" w:sz="0" w:space="0" w:color="auto"/>
        <w:bottom w:val="none" w:sz="0" w:space="0" w:color="auto"/>
        <w:right w:val="none" w:sz="0" w:space="0" w:color="auto"/>
      </w:divBdr>
    </w:div>
    <w:div w:id="538015532">
      <w:bodyDiv w:val="1"/>
      <w:marLeft w:val="0"/>
      <w:marRight w:val="0"/>
      <w:marTop w:val="0"/>
      <w:marBottom w:val="0"/>
      <w:divBdr>
        <w:top w:val="none" w:sz="0" w:space="0" w:color="auto"/>
        <w:left w:val="none" w:sz="0" w:space="0" w:color="auto"/>
        <w:bottom w:val="none" w:sz="0" w:space="0" w:color="auto"/>
        <w:right w:val="none" w:sz="0" w:space="0" w:color="auto"/>
      </w:divBdr>
    </w:div>
    <w:div w:id="645208977">
      <w:bodyDiv w:val="1"/>
      <w:marLeft w:val="0"/>
      <w:marRight w:val="0"/>
      <w:marTop w:val="0"/>
      <w:marBottom w:val="0"/>
      <w:divBdr>
        <w:top w:val="none" w:sz="0" w:space="0" w:color="auto"/>
        <w:left w:val="none" w:sz="0" w:space="0" w:color="auto"/>
        <w:bottom w:val="none" w:sz="0" w:space="0" w:color="auto"/>
        <w:right w:val="none" w:sz="0" w:space="0" w:color="auto"/>
      </w:divBdr>
      <w:divsChild>
        <w:div w:id="1153910870">
          <w:marLeft w:val="0"/>
          <w:marRight w:val="0"/>
          <w:marTop w:val="0"/>
          <w:marBottom w:val="0"/>
          <w:divBdr>
            <w:top w:val="none" w:sz="0" w:space="0" w:color="auto"/>
            <w:left w:val="none" w:sz="0" w:space="0" w:color="auto"/>
            <w:bottom w:val="none" w:sz="0" w:space="0" w:color="auto"/>
            <w:right w:val="none" w:sz="0" w:space="0" w:color="auto"/>
          </w:divBdr>
        </w:div>
      </w:divsChild>
    </w:div>
    <w:div w:id="875704217">
      <w:bodyDiv w:val="1"/>
      <w:marLeft w:val="0"/>
      <w:marRight w:val="0"/>
      <w:marTop w:val="0"/>
      <w:marBottom w:val="0"/>
      <w:divBdr>
        <w:top w:val="none" w:sz="0" w:space="0" w:color="auto"/>
        <w:left w:val="none" w:sz="0" w:space="0" w:color="auto"/>
        <w:bottom w:val="none" w:sz="0" w:space="0" w:color="auto"/>
        <w:right w:val="none" w:sz="0" w:space="0" w:color="auto"/>
      </w:divBdr>
    </w:div>
    <w:div w:id="909924592">
      <w:bodyDiv w:val="1"/>
      <w:marLeft w:val="0"/>
      <w:marRight w:val="0"/>
      <w:marTop w:val="0"/>
      <w:marBottom w:val="0"/>
      <w:divBdr>
        <w:top w:val="none" w:sz="0" w:space="0" w:color="auto"/>
        <w:left w:val="none" w:sz="0" w:space="0" w:color="auto"/>
        <w:bottom w:val="none" w:sz="0" w:space="0" w:color="auto"/>
        <w:right w:val="none" w:sz="0" w:space="0" w:color="auto"/>
      </w:divBdr>
    </w:div>
    <w:div w:id="1306424058">
      <w:bodyDiv w:val="1"/>
      <w:marLeft w:val="0"/>
      <w:marRight w:val="0"/>
      <w:marTop w:val="0"/>
      <w:marBottom w:val="0"/>
      <w:divBdr>
        <w:top w:val="none" w:sz="0" w:space="0" w:color="auto"/>
        <w:left w:val="none" w:sz="0" w:space="0" w:color="auto"/>
        <w:bottom w:val="none" w:sz="0" w:space="0" w:color="auto"/>
        <w:right w:val="none" w:sz="0" w:space="0" w:color="auto"/>
      </w:divBdr>
    </w:div>
    <w:div w:id="1353189759">
      <w:bodyDiv w:val="1"/>
      <w:marLeft w:val="0"/>
      <w:marRight w:val="0"/>
      <w:marTop w:val="0"/>
      <w:marBottom w:val="0"/>
      <w:divBdr>
        <w:top w:val="none" w:sz="0" w:space="0" w:color="auto"/>
        <w:left w:val="none" w:sz="0" w:space="0" w:color="auto"/>
        <w:bottom w:val="none" w:sz="0" w:space="0" w:color="auto"/>
        <w:right w:val="none" w:sz="0" w:space="0" w:color="auto"/>
      </w:divBdr>
    </w:div>
    <w:div w:id="1898734961">
      <w:bodyDiv w:val="1"/>
      <w:marLeft w:val="0"/>
      <w:marRight w:val="0"/>
      <w:marTop w:val="0"/>
      <w:marBottom w:val="0"/>
      <w:divBdr>
        <w:top w:val="none" w:sz="0" w:space="0" w:color="auto"/>
        <w:left w:val="none" w:sz="0" w:space="0" w:color="auto"/>
        <w:bottom w:val="none" w:sz="0" w:space="0" w:color="auto"/>
        <w:right w:val="none" w:sz="0" w:space="0" w:color="auto"/>
      </w:divBdr>
    </w:div>
    <w:div w:id="192584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3.xml"/><Relationship Id="rId42" Type="http://schemas.openxmlformats.org/officeDocument/2006/relationships/image" Target="media/image16.emf"/><Relationship Id="rId47" Type="http://schemas.openxmlformats.org/officeDocument/2006/relationships/image" Target="media/image19.png"/><Relationship Id="rId63" Type="http://schemas.openxmlformats.org/officeDocument/2006/relationships/image" Target="media/image35.emf"/><Relationship Id="rId68" Type="http://schemas.openxmlformats.org/officeDocument/2006/relationships/image" Target="media/image40.emf"/><Relationship Id="rId16" Type="http://schemas.openxmlformats.org/officeDocument/2006/relationships/hyperlink" Target="mailto:collections@teqsa.gov.au" TargetMode="External"/><Relationship Id="rId11" Type="http://schemas.openxmlformats.org/officeDocument/2006/relationships/hyperlink" Target="mailto:collections@teqsa.gov.au" TargetMode="External"/><Relationship Id="rId32" Type="http://schemas.openxmlformats.org/officeDocument/2006/relationships/image" Target="media/image10.emf"/><Relationship Id="rId37" Type="http://schemas.openxmlformats.org/officeDocument/2006/relationships/chart" Target="charts/chart12.xml"/><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image" Target="media/image46.emf"/><Relationship Id="rId79" Type="http://schemas.openxmlformats.org/officeDocument/2006/relationships/chart" Target="charts/chart16.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8.png"/><Relationship Id="rId35" Type="http://schemas.openxmlformats.org/officeDocument/2006/relationships/chart" Target="charts/chart11.xml"/><Relationship Id="rId43" Type="http://schemas.openxmlformats.org/officeDocument/2006/relationships/image" Target="media/image17.emf"/><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44.emf"/><Relationship Id="rId80"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chart" Target="charts/chart2.xml"/><Relationship Id="rId41" Type="http://schemas.openxmlformats.org/officeDocument/2006/relationships/image" Target="media/image15.emf"/><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image" Target="media/image12.emf"/><Relationship Id="rId49" Type="http://schemas.openxmlformats.org/officeDocument/2006/relationships/image" Target="media/image21.emf"/><Relationship Id="rId57" Type="http://schemas.openxmlformats.org/officeDocument/2006/relationships/image" Target="media/image29.emf"/><Relationship Id="rId10" Type="http://schemas.openxmlformats.org/officeDocument/2006/relationships/image" Target="media/image3.jpeg"/><Relationship Id="rId31" Type="http://schemas.openxmlformats.org/officeDocument/2006/relationships/image" Target="media/image9.emf"/><Relationship Id="rId44" Type="http://schemas.openxmlformats.org/officeDocument/2006/relationships/chart" Target="charts/chart14.xml"/><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14.emf"/><Relationship Id="rId34" Type="http://schemas.openxmlformats.org/officeDocument/2006/relationships/chart" Target="charts/chart10.xml"/><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6.png"/><Relationship Id="rId40" Type="http://schemas.openxmlformats.org/officeDocument/2006/relationships/chart" Target="charts/chart13.xml"/><Relationship Id="rId45" Type="http://schemas.openxmlformats.org/officeDocument/2006/relationships/chart" Target="charts/chart15.xml"/><Relationship Id="rId66" Type="http://schemas.openxmlformats.org/officeDocument/2006/relationships/image" Target="media/image38.emf"/></Relationships>
</file>

<file path=word/charts/_rels/chart1.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teq1\Groups\Regulatory%20Risk%20and%20Information\Financial%20Analysis%20and%20Assessment\Policy\Financial%20Risk%20Assessment\Financial%20Risk%20Assessment%202016\Post%20cycle%20analysis\Post%20cycle%20analysis%20201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19239204688449E-2"/>
          <c:y val="9.2592592592592587E-3"/>
          <c:w val="0.86704149138891884"/>
          <c:h val="0.60843406279900636"/>
        </c:manualLayout>
      </c:layout>
      <c:barChart>
        <c:barDir val="bar"/>
        <c:grouping val="percentStacked"/>
        <c:varyColors val="0"/>
        <c:ser>
          <c:idx val="0"/>
          <c:order val="0"/>
          <c:tx>
            <c:strRef>
              <c:f>'Rev breakdown v2'!$I$47</c:f>
              <c:strCache>
                <c:ptCount val="1"/>
                <c:pt idx="0">
                  <c:v>Government grants and programs</c:v>
                </c:pt>
              </c:strCache>
            </c:strRef>
          </c:tx>
          <c:spPr>
            <a:solidFill>
              <a:srgbClr val="0062AC"/>
            </a:solidFill>
          </c:spPr>
          <c:invertIfNegative val="0"/>
          <c:dLbls>
            <c:numFmt formatCode="0%" sourceLinked="0"/>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'Rev breakdown v2'!$J$46:$K$46</c:f>
              <c:numCache>
                <c:formatCode>General</c:formatCode>
                <c:ptCount val="2"/>
                <c:pt idx="0">
                  <c:v>2014</c:v>
                </c:pt>
                <c:pt idx="1">
                  <c:v>2015</c:v>
                </c:pt>
              </c:numCache>
            </c:numRef>
          </c:cat>
          <c:val>
            <c:numRef>
              <c:f>'Rev breakdown v2'!$J$47:$K$47</c:f>
              <c:numCache>
                <c:formatCode>0.0%</c:formatCode>
                <c:ptCount val="2"/>
                <c:pt idx="0">
                  <c:v>0.40397702676097202</c:v>
                </c:pt>
                <c:pt idx="1">
                  <c:v>0.41961763944321695</c:v>
                </c:pt>
              </c:numCache>
            </c:numRef>
          </c:val>
          <c:extLst>
            <c:ext xmlns:c16="http://schemas.microsoft.com/office/drawing/2014/chart" uri="{C3380CC4-5D6E-409C-BE32-E72D297353CC}">
              <c16:uniqueId val="{00000000-7BC0-46CD-AB27-9DA0349353C4}"/>
            </c:ext>
          </c:extLst>
        </c:ser>
        <c:ser>
          <c:idx val="1"/>
          <c:order val="1"/>
          <c:tx>
            <c:strRef>
              <c:f>'Rev breakdown v2'!$I$48</c:f>
              <c:strCache>
                <c:ptCount val="1"/>
                <c:pt idx="0">
                  <c:v>Higher education domestic students (including FEE-HELP, HECS-HELP, full-fee paying student revenue)</c:v>
                </c:pt>
              </c:strCache>
            </c:strRef>
          </c:tx>
          <c:spPr>
            <a:solidFill>
              <a:srgbClr val="A72932"/>
            </a:solidFill>
          </c:spPr>
          <c:invertIfNegative val="0"/>
          <c:dLbls>
            <c:numFmt formatCode="0%" sourceLinked="0"/>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'Rev breakdown v2'!$J$46:$K$46</c:f>
              <c:numCache>
                <c:formatCode>General</c:formatCode>
                <c:ptCount val="2"/>
                <c:pt idx="0">
                  <c:v>2014</c:v>
                </c:pt>
                <c:pt idx="1">
                  <c:v>2015</c:v>
                </c:pt>
              </c:numCache>
            </c:numRef>
          </c:cat>
          <c:val>
            <c:numRef>
              <c:f>'Rev breakdown v2'!$J$48:$K$48</c:f>
              <c:numCache>
                <c:formatCode>0.0%</c:formatCode>
                <c:ptCount val="2"/>
                <c:pt idx="0">
                  <c:v>0.21711242792826257</c:v>
                </c:pt>
                <c:pt idx="1">
                  <c:v>0.22293937827704385</c:v>
                </c:pt>
              </c:numCache>
            </c:numRef>
          </c:val>
          <c:extLst>
            <c:ext xmlns:c16="http://schemas.microsoft.com/office/drawing/2014/chart" uri="{C3380CC4-5D6E-409C-BE32-E72D297353CC}">
              <c16:uniqueId val="{00000001-7BC0-46CD-AB27-9DA0349353C4}"/>
            </c:ext>
          </c:extLst>
        </c:ser>
        <c:ser>
          <c:idx val="2"/>
          <c:order val="2"/>
          <c:tx>
            <c:strRef>
              <c:f>'Rev breakdown v2'!$I$49</c:f>
              <c:strCache>
                <c:ptCount val="1"/>
                <c:pt idx="0">
                  <c:v>Higher education international students</c:v>
                </c:pt>
              </c:strCache>
            </c:strRef>
          </c:tx>
          <c:spPr>
            <a:solidFill>
              <a:srgbClr val="92D050"/>
            </a:solidFill>
          </c:spPr>
          <c:invertIfNegative val="0"/>
          <c:dPt>
            <c:idx val="0"/>
            <c:invertIfNegative val="0"/>
            <c:bubble3D val="0"/>
            <c:spPr>
              <a:solidFill>
                <a:srgbClr val="70AC2E"/>
              </a:solidFill>
            </c:spPr>
            <c:extLst>
              <c:ext xmlns:c16="http://schemas.microsoft.com/office/drawing/2014/chart" uri="{C3380CC4-5D6E-409C-BE32-E72D297353CC}">
                <c16:uniqueId val="{00000003-7BC0-46CD-AB27-9DA0349353C4}"/>
              </c:ext>
            </c:extLst>
          </c:dPt>
          <c:dPt>
            <c:idx val="1"/>
            <c:invertIfNegative val="0"/>
            <c:bubble3D val="0"/>
            <c:spPr>
              <a:solidFill>
                <a:srgbClr val="70AC2E"/>
              </a:solidFill>
            </c:spPr>
            <c:extLst>
              <c:ext xmlns:c16="http://schemas.microsoft.com/office/drawing/2014/chart" uri="{C3380CC4-5D6E-409C-BE32-E72D297353CC}">
                <c16:uniqueId val="{00000005-7BC0-46CD-AB27-9DA0349353C4}"/>
              </c:ext>
            </c:extLst>
          </c:dPt>
          <c:dLbls>
            <c:numFmt formatCode="0%" sourceLinked="0"/>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'Rev breakdown v2'!$J$46:$K$46</c:f>
              <c:numCache>
                <c:formatCode>General</c:formatCode>
                <c:ptCount val="2"/>
                <c:pt idx="0">
                  <c:v>2014</c:v>
                </c:pt>
                <c:pt idx="1">
                  <c:v>2015</c:v>
                </c:pt>
              </c:numCache>
            </c:numRef>
          </c:cat>
          <c:val>
            <c:numRef>
              <c:f>'Rev breakdown v2'!$J$49:$K$49</c:f>
              <c:numCache>
                <c:formatCode>0.0%</c:formatCode>
                <c:ptCount val="2"/>
                <c:pt idx="0">
                  <c:v>0.14950530326543227</c:v>
                </c:pt>
                <c:pt idx="1">
                  <c:v>0.1599516867210736</c:v>
                </c:pt>
              </c:numCache>
            </c:numRef>
          </c:val>
          <c:extLst>
            <c:ext xmlns:c16="http://schemas.microsoft.com/office/drawing/2014/chart" uri="{C3380CC4-5D6E-409C-BE32-E72D297353CC}">
              <c16:uniqueId val="{00000006-7BC0-46CD-AB27-9DA0349353C4}"/>
            </c:ext>
          </c:extLst>
        </c:ser>
        <c:ser>
          <c:idx val="3"/>
          <c:order val="3"/>
          <c:tx>
            <c:strRef>
              <c:f>'Rev breakdown v2'!$I$50</c:f>
              <c:strCache>
                <c:ptCount val="1"/>
                <c:pt idx="0">
                  <c:v>Non-higher education (including VET, ELICOS, non-award)</c:v>
                </c:pt>
              </c:strCache>
            </c:strRef>
          </c:tx>
          <c:spPr>
            <a:solidFill>
              <a:srgbClr val="00B0F0"/>
            </a:solidFill>
          </c:spPr>
          <c:invertIfNegative val="0"/>
          <c:dLbls>
            <c:numFmt formatCode="0%" sourceLinked="0"/>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'Rev breakdown v2'!$J$46:$K$46</c:f>
              <c:numCache>
                <c:formatCode>General</c:formatCode>
                <c:ptCount val="2"/>
                <c:pt idx="0">
                  <c:v>2014</c:v>
                </c:pt>
                <c:pt idx="1">
                  <c:v>2015</c:v>
                </c:pt>
              </c:numCache>
            </c:numRef>
          </c:cat>
          <c:val>
            <c:numRef>
              <c:f>'Rev breakdown v2'!$J$50:$K$50</c:f>
              <c:numCache>
                <c:formatCode>0.0%</c:formatCode>
                <c:ptCount val="2"/>
                <c:pt idx="0">
                  <c:v>3.0313093914484245E-2</c:v>
                </c:pt>
                <c:pt idx="1">
                  <c:v>5.6073325700261224E-2</c:v>
                </c:pt>
              </c:numCache>
            </c:numRef>
          </c:val>
          <c:extLst>
            <c:ext xmlns:c16="http://schemas.microsoft.com/office/drawing/2014/chart" uri="{C3380CC4-5D6E-409C-BE32-E72D297353CC}">
              <c16:uniqueId val="{00000007-7BC0-46CD-AB27-9DA0349353C4}"/>
            </c:ext>
          </c:extLst>
        </c:ser>
        <c:ser>
          <c:idx val="4"/>
          <c:order val="4"/>
          <c:tx>
            <c:strRef>
              <c:f>'Rev breakdown v2'!$I$51</c:f>
              <c:strCache>
                <c:ptCount val="1"/>
                <c:pt idx="0">
                  <c:v>Other sources (including donations, HE third-party delivery, commercial activities)</c:v>
                </c:pt>
              </c:strCache>
            </c:strRef>
          </c:tx>
          <c:spPr>
            <a:solidFill>
              <a:srgbClr val="7030A0"/>
            </a:solidFill>
          </c:spPr>
          <c:invertIfNegative val="0"/>
          <c:dLbls>
            <c:numFmt formatCode="0%" sourceLinked="0"/>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'Rev breakdown v2'!$J$46:$K$46</c:f>
              <c:numCache>
                <c:formatCode>General</c:formatCode>
                <c:ptCount val="2"/>
                <c:pt idx="0">
                  <c:v>2014</c:v>
                </c:pt>
                <c:pt idx="1">
                  <c:v>2015</c:v>
                </c:pt>
              </c:numCache>
            </c:numRef>
          </c:cat>
          <c:val>
            <c:numRef>
              <c:f>'Rev breakdown v2'!$J$51:$K$51</c:f>
              <c:numCache>
                <c:formatCode>0.0%</c:formatCode>
                <c:ptCount val="2"/>
                <c:pt idx="0">
                  <c:v>0.19909214813084888</c:v>
                </c:pt>
                <c:pt idx="1">
                  <c:v>0.1414179698584043</c:v>
                </c:pt>
              </c:numCache>
            </c:numRef>
          </c:val>
          <c:extLst>
            <c:ext xmlns:c16="http://schemas.microsoft.com/office/drawing/2014/chart" uri="{C3380CC4-5D6E-409C-BE32-E72D297353CC}">
              <c16:uniqueId val="{00000008-7BC0-46CD-AB27-9DA0349353C4}"/>
            </c:ext>
          </c:extLst>
        </c:ser>
        <c:dLbls>
          <c:showLegendKey val="0"/>
          <c:showVal val="0"/>
          <c:showCatName val="0"/>
          <c:showSerName val="0"/>
          <c:showPercent val="0"/>
          <c:showBubbleSize val="0"/>
        </c:dLbls>
        <c:gapWidth val="35"/>
        <c:overlap val="100"/>
        <c:axId val="54247424"/>
        <c:axId val="54248960"/>
      </c:barChart>
      <c:catAx>
        <c:axId val="54247424"/>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en-US"/>
          </a:p>
        </c:txPr>
        <c:crossAx val="54248960"/>
        <c:crosses val="autoZero"/>
        <c:auto val="1"/>
        <c:lblAlgn val="ctr"/>
        <c:lblOffset val="100"/>
        <c:noMultiLvlLbl val="0"/>
      </c:catAx>
      <c:valAx>
        <c:axId val="54248960"/>
        <c:scaling>
          <c:orientation val="minMax"/>
        </c:scaling>
        <c:delete val="0"/>
        <c:axPos val="b"/>
        <c:majorGridlines/>
        <c:numFmt formatCode="0%" sourceLinked="1"/>
        <c:majorTickMark val="out"/>
        <c:minorTickMark val="none"/>
        <c:tickLblPos val="nextTo"/>
        <c:txPr>
          <a:bodyPr/>
          <a:lstStyle/>
          <a:p>
            <a:pPr>
              <a:defRPr>
                <a:solidFill>
                  <a:sysClr val="windowText" lastClr="000000"/>
                </a:solidFill>
              </a:defRPr>
            </a:pPr>
            <a:endParaRPr lang="en-US"/>
          </a:p>
        </c:txPr>
        <c:crossAx val="54247424"/>
        <c:crosses val="autoZero"/>
        <c:crossBetween val="between"/>
      </c:valAx>
      <c:spPr>
        <a:noFill/>
      </c:spPr>
    </c:plotArea>
    <c:legend>
      <c:legendPos val="b"/>
      <c:layout>
        <c:manualLayout>
          <c:xMode val="edge"/>
          <c:yMode val="edge"/>
          <c:x val="1.2359328371624781E-2"/>
          <c:y val="0.74551699556074003"/>
          <c:w val="0.9780590551181102"/>
          <c:h val="0.25448300443925992"/>
        </c:manualLayout>
      </c:layout>
      <c:overlay val="0"/>
      <c:txPr>
        <a:bodyPr/>
        <a:lstStyle/>
        <a:p>
          <a:pPr>
            <a:defRPr sz="900">
              <a:solidFill>
                <a:sysClr val="windowText" lastClr="000000"/>
              </a:solidFill>
            </a:defRPr>
          </a:pPr>
          <a:endParaRPr lang="en-US"/>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'Cycle4 med,Q,4 new groups'!$B$274</c:f>
              <c:strCache>
                <c:ptCount val="1"/>
                <c:pt idx="0">
                  <c:v>Universities</c:v>
                </c:pt>
              </c:strCache>
            </c:strRef>
          </c:tx>
          <c:spPr>
            <a:solidFill>
              <a:srgbClr val="7C2E2C"/>
            </a:solidFill>
          </c:spPr>
          <c:invertIfNegative val="0"/>
          <c:dLbls>
            <c:dLbl>
              <c:idx val="0"/>
              <c:layout/>
              <c:tx>
                <c:rich>
                  <a:bodyPr/>
                  <a:lstStyle/>
                  <a:p>
                    <a:r>
                      <a:rPr lang="en-AU">
                        <a:solidFill>
                          <a:schemeClr val="bg2"/>
                        </a:solidFill>
                      </a:rPr>
                      <a:t>60%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656-4018-93F4-6FA73981B660}"/>
                </c:ext>
              </c:extLst>
            </c:dLbl>
            <c:dLbl>
              <c:idx val="1"/>
              <c:layout/>
              <c:tx>
                <c:rich>
                  <a:bodyPr/>
                  <a:lstStyle/>
                  <a:p>
                    <a:r>
                      <a:rPr lang="en-AU">
                        <a:solidFill>
                          <a:schemeClr val="bg2"/>
                        </a:solidFill>
                      </a:rPr>
                      <a:t>37%</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656-4018-93F4-6FA73981B660}"/>
                </c:ext>
              </c:extLst>
            </c:dLbl>
            <c:dLbl>
              <c:idx val="2"/>
              <c:layout/>
              <c:tx>
                <c:rich>
                  <a:bodyPr/>
                  <a:lstStyle/>
                  <a:p>
                    <a:r>
                      <a:rPr lang="en-AU">
                        <a:solidFill>
                          <a:schemeClr val="bg2"/>
                        </a:solidFill>
                      </a:rPr>
                      <a:t>10%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656-4018-93F4-6FA73981B660}"/>
                </c:ext>
              </c:extLst>
            </c:dLbl>
            <c:dLbl>
              <c:idx val="3"/>
              <c:delete val="1"/>
              <c:extLst>
                <c:ext xmlns:c15="http://schemas.microsoft.com/office/drawing/2012/chart" uri="{CE6537A1-D6FC-4f65-9D91-7224C49458BB}"/>
                <c:ext xmlns:c16="http://schemas.microsoft.com/office/drawing/2014/chart" uri="{C3380CC4-5D6E-409C-BE32-E72D297353CC}">
                  <c16:uniqueId val="{00000003-3656-4018-93F4-6FA73981B66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groups'!$E$273:$H$273</c:f>
              <c:strCache>
                <c:ptCount val="4"/>
                <c:pt idx="0">
                  <c:v>Q1 : &lt;45.2%</c:v>
                </c:pt>
                <c:pt idx="1">
                  <c:v>Q2 : 45.2%&lt;56.6%</c:v>
                </c:pt>
                <c:pt idx="2">
                  <c:v>Q3 : 56.6%&lt;80.4%</c:v>
                </c:pt>
                <c:pt idx="3">
                  <c:v>Q4 : &gt;80.4%</c:v>
                </c:pt>
              </c:strCache>
            </c:strRef>
          </c:cat>
          <c:val>
            <c:numRef>
              <c:f>'Cycle4 med,Q,4 new groups'!$E$274:$H$274</c:f>
              <c:numCache>
                <c:formatCode>General</c:formatCode>
                <c:ptCount val="4"/>
                <c:pt idx="0">
                  <c:v>24</c:v>
                </c:pt>
                <c:pt idx="1">
                  <c:v>15</c:v>
                </c:pt>
                <c:pt idx="2">
                  <c:v>4</c:v>
                </c:pt>
                <c:pt idx="3">
                  <c:v>0</c:v>
                </c:pt>
              </c:numCache>
            </c:numRef>
          </c:val>
          <c:extLst>
            <c:ext xmlns:c16="http://schemas.microsoft.com/office/drawing/2014/chart" uri="{C3380CC4-5D6E-409C-BE32-E72D297353CC}">
              <c16:uniqueId val="{00000004-3656-4018-93F4-6FA73981B660}"/>
            </c:ext>
          </c:extLst>
        </c:ser>
        <c:ser>
          <c:idx val="1"/>
          <c:order val="1"/>
          <c:tx>
            <c:strRef>
              <c:f>'Cycle4 med,Q,4 new groups'!$B$275</c:f>
              <c:strCache>
                <c:ptCount val="1"/>
                <c:pt idx="0">
                  <c:v>For-Profit</c:v>
                </c:pt>
              </c:strCache>
            </c:strRef>
          </c:tx>
          <c:spPr>
            <a:solidFill>
              <a:srgbClr val="A4A000"/>
            </a:solidFill>
          </c:spPr>
          <c:invertIfNegative val="0"/>
          <c:dLbls>
            <c:dLbl>
              <c:idx val="0"/>
              <c:layout/>
              <c:tx>
                <c:rich>
                  <a:bodyPr/>
                  <a:lstStyle/>
                  <a:p>
                    <a:r>
                      <a:rPr lang="en-AU">
                        <a:solidFill>
                          <a:schemeClr val="bg2"/>
                        </a:solidFill>
                      </a:rPr>
                      <a:t>18%</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656-4018-93F4-6FA73981B660}"/>
                </c:ext>
              </c:extLst>
            </c:dLbl>
            <c:dLbl>
              <c:idx val="1"/>
              <c:layout/>
              <c:tx>
                <c:rich>
                  <a:bodyPr/>
                  <a:lstStyle/>
                  <a:p>
                    <a:r>
                      <a:rPr lang="en-AU">
                        <a:solidFill>
                          <a:schemeClr val="bg2"/>
                        </a:solidFill>
                      </a:rPr>
                      <a:t>34%</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656-4018-93F4-6FA73981B660}"/>
                </c:ext>
              </c:extLst>
            </c:dLbl>
            <c:dLbl>
              <c:idx val="2"/>
              <c:layout/>
              <c:tx>
                <c:rich>
                  <a:bodyPr/>
                  <a:lstStyle/>
                  <a:p>
                    <a:r>
                      <a:rPr lang="en-AU">
                        <a:solidFill>
                          <a:schemeClr val="bg2"/>
                        </a:solidFill>
                      </a:rPr>
                      <a:t>30%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656-4018-93F4-6FA73981B660}"/>
                </c:ext>
              </c:extLst>
            </c:dLbl>
            <c:dLbl>
              <c:idx val="3"/>
              <c:layout/>
              <c:tx>
                <c:rich>
                  <a:bodyPr/>
                  <a:lstStyle/>
                  <a:p>
                    <a:r>
                      <a:rPr lang="en-AU">
                        <a:solidFill>
                          <a:schemeClr val="bg2"/>
                        </a:solidFill>
                      </a:rPr>
                      <a:t>60%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656-4018-93F4-6FA73981B66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groups'!$E$273:$H$273</c:f>
              <c:strCache>
                <c:ptCount val="4"/>
                <c:pt idx="0">
                  <c:v>Q1 : &lt;45.2%</c:v>
                </c:pt>
                <c:pt idx="1">
                  <c:v>Q2 : 45.2%&lt;56.6%</c:v>
                </c:pt>
                <c:pt idx="2">
                  <c:v>Q3 : 56.6%&lt;80.4%</c:v>
                </c:pt>
                <c:pt idx="3">
                  <c:v>Q4 : &gt;80.4%</c:v>
                </c:pt>
              </c:strCache>
            </c:strRef>
          </c:cat>
          <c:val>
            <c:numRef>
              <c:f>'Cycle4 med,Q,4 new groups'!$E$275:$H$275</c:f>
              <c:numCache>
                <c:formatCode>General</c:formatCode>
                <c:ptCount val="4"/>
                <c:pt idx="0">
                  <c:v>7</c:v>
                </c:pt>
                <c:pt idx="1">
                  <c:v>14</c:v>
                </c:pt>
                <c:pt idx="2">
                  <c:v>12</c:v>
                </c:pt>
                <c:pt idx="3">
                  <c:v>24</c:v>
                </c:pt>
              </c:numCache>
            </c:numRef>
          </c:val>
          <c:extLst>
            <c:ext xmlns:c16="http://schemas.microsoft.com/office/drawing/2014/chart" uri="{C3380CC4-5D6E-409C-BE32-E72D297353CC}">
              <c16:uniqueId val="{00000009-3656-4018-93F4-6FA73981B660}"/>
            </c:ext>
          </c:extLst>
        </c:ser>
        <c:ser>
          <c:idx val="2"/>
          <c:order val="2"/>
          <c:tx>
            <c:strRef>
              <c:f>'Cycle4 med,Q,4 new groups'!$B$276</c:f>
              <c:strCache>
                <c:ptCount val="1"/>
                <c:pt idx="0">
                  <c:v>Not-For-Profit</c:v>
                </c:pt>
              </c:strCache>
            </c:strRef>
          </c:tx>
          <c:spPr>
            <a:solidFill>
              <a:srgbClr val="0062AC"/>
            </a:solidFill>
          </c:spPr>
          <c:invertIfNegative val="0"/>
          <c:dLbls>
            <c:dLbl>
              <c:idx val="0"/>
              <c:layout/>
              <c:tx>
                <c:rich>
                  <a:bodyPr/>
                  <a:lstStyle/>
                  <a:p>
                    <a:r>
                      <a:rPr lang="en-AU">
                        <a:solidFill>
                          <a:schemeClr val="bg2"/>
                        </a:solidFill>
                      </a:rPr>
                      <a:t>15%</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656-4018-93F4-6FA73981B660}"/>
                </c:ext>
              </c:extLst>
            </c:dLbl>
            <c:dLbl>
              <c:idx val="1"/>
              <c:layout/>
              <c:tx>
                <c:rich>
                  <a:bodyPr/>
                  <a:lstStyle/>
                  <a:p>
                    <a:r>
                      <a:rPr lang="en-AU">
                        <a:solidFill>
                          <a:schemeClr val="bg2"/>
                        </a:solidFill>
                      </a:rPr>
                      <a:t>29%</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656-4018-93F4-6FA73981B660}"/>
                </c:ext>
              </c:extLst>
            </c:dLbl>
            <c:dLbl>
              <c:idx val="2"/>
              <c:layout/>
              <c:tx>
                <c:rich>
                  <a:bodyPr/>
                  <a:lstStyle/>
                  <a:p>
                    <a:r>
                      <a:rPr lang="en-AU">
                        <a:solidFill>
                          <a:schemeClr val="bg2"/>
                        </a:solidFill>
                      </a:rPr>
                      <a:t>40%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656-4018-93F4-6FA73981B660}"/>
                </c:ext>
              </c:extLst>
            </c:dLbl>
            <c:dLbl>
              <c:idx val="3"/>
              <c:layout/>
              <c:tx>
                <c:rich>
                  <a:bodyPr/>
                  <a:lstStyle/>
                  <a:p>
                    <a:r>
                      <a:rPr lang="en-AU">
                        <a:solidFill>
                          <a:schemeClr val="bg2"/>
                        </a:solidFill>
                      </a:rPr>
                      <a:t>40%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656-4018-93F4-6FA73981B66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groups'!$E$273:$H$273</c:f>
              <c:strCache>
                <c:ptCount val="4"/>
                <c:pt idx="0">
                  <c:v>Q1 : &lt;45.2%</c:v>
                </c:pt>
                <c:pt idx="1">
                  <c:v>Q2 : 45.2%&lt;56.6%</c:v>
                </c:pt>
                <c:pt idx="2">
                  <c:v>Q3 : 56.6%&lt;80.4%</c:v>
                </c:pt>
                <c:pt idx="3">
                  <c:v>Q4 : &gt;80.4%</c:v>
                </c:pt>
              </c:strCache>
            </c:strRef>
          </c:cat>
          <c:val>
            <c:numRef>
              <c:f>'Cycle4 med,Q,4 new groups'!$E$276:$H$276</c:f>
              <c:numCache>
                <c:formatCode>General</c:formatCode>
                <c:ptCount val="4"/>
                <c:pt idx="0">
                  <c:v>6</c:v>
                </c:pt>
                <c:pt idx="1">
                  <c:v>12</c:v>
                </c:pt>
                <c:pt idx="2">
                  <c:v>16</c:v>
                </c:pt>
                <c:pt idx="3">
                  <c:v>16</c:v>
                </c:pt>
              </c:numCache>
            </c:numRef>
          </c:val>
          <c:extLst>
            <c:ext xmlns:c16="http://schemas.microsoft.com/office/drawing/2014/chart" uri="{C3380CC4-5D6E-409C-BE32-E72D297353CC}">
              <c16:uniqueId val="{0000000E-3656-4018-93F4-6FA73981B660}"/>
            </c:ext>
          </c:extLst>
        </c:ser>
        <c:ser>
          <c:idx val="3"/>
          <c:order val="3"/>
          <c:tx>
            <c:strRef>
              <c:f>'Cycle4 med,Q,4 new groups'!$B$277</c:f>
              <c:strCache>
                <c:ptCount val="1"/>
                <c:pt idx="0">
                  <c:v>TAFE</c:v>
                </c:pt>
              </c:strCache>
            </c:strRef>
          </c:tx>
          <c:spPr>
            <a:solidFill>
              <a:srgbClr val="FF66CC"/>
            </a:solidFill>
          </c:spPr>
          <c:invertIfNegative val="0"/>
          <c:dLbls>
            <c:dLbl>
              <c:idx val="0"/>
              <c:layout/>
              <c:tx>
                <c:rich>
                  <a:bodyPr/>
                  <a:lstStyle/>
                  <a:p>
                    <a:r>
                      <a:rPr lang="en-AU">
                        <a:solidFill>
                          <a:schemeClr val="bg2"/>
                        </a:solidFill>
                      </a:rPr>
                      <a:t>8%</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656-4018-93F4-6FA73981B660}"/>
                </c:ext>
              </c:extLst>
            </c:dLbl>
            <c:dLbl>
              <c:idx val="1"/>
              <c:delete val="1"/>
              <c:extLst>
                <c:ext xmlns:c15="http://schemas.microsoft.com/office/drawing/2012/chart" uri="{CE6537A1-D6FC-4f65-9D91-7224C49458BB}"/>
                <c:ext xmlns:c16="http://schemas.microsoft.com/office/drawing/2014/chart" uri="{C3380CC4-5D6E-409C-BE32-E72D297353CC}">
                  <c16:uniqueId val="{00000010-3656-4018-93F4-6FA73981B660}"/>
                </c:ext>
              </c:extLst>
            </c:dLbl>
            <c:dLbl>
              <c:idx val="2"/>
              <c:layout/>
              <c:tx>
                <c:rich>
                  <a:bodyPr/>
                  <a:lstStyle/>
                  <a:p>
                    <a:r>
                      <a:rPr lang="en-AU">
                        <a:solidFill>
                          <a:schemeClr val="bg2"/>
                        </a:solidFill>
                      </a:rPr>
                      <a:t>20%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656-4018-93F4-6FA73981B660}"/>
                </c:ext>
              </c:extLst>
            </c:dLbl>
            <c:dLbl>
              <c:idx val="3"/>
              <c:delete val="1"/>
              <c:extLst>
                <c:ext xmlns:c15="http://schemas.microsoft.com/office/drawing/2012/chart" uri="{CE6537A1-D6FC-4f65-9D91-7224C49458BB}"/>
                <c:ext xmlns:c16="http://schemas.microsoft.com/office/drawing/2014/chart" uri="{C3380CC4-5D6E-409C-BE32-E72D297353CC}">
                  <c16:uniqueId val="{00000012-3656-4018-93F4-6FA73981B66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groups'!$E$273:$H$273</c:f>
              <c:strCache>
                <c:ptCount val="4"/>
                <c:pt idx="0">
                  <c:v>Q1 : &lt;45.2%</c:v>
                </c:pt>
                <c:pt idx="1">
                  <c:v>Q2 : 45.2%&lt;56.6%</c:v>
                </c:pt>
                <c:pt idx="2">
                  <c:v>Q3 : 56.6%&lt;80.4%</c:v>
                </c:pt>
                <c:pt idx="3">
                  <c:v>Q4 : &gt;80.4%</c:v>
                </c:pt>
              </c:strCache>
            </c:strRef>
          </c:cat>
          <c:val>
            <c:numRef>
              <c:f>'Cycle4 med,Q,4 new groups'!$E$277:$H$277</c:f>
              <c:numCache>
                <c:formatCode>General</c:formatCode>
                <c:ptCount val="4"/>
                <c:pt idx="0">
                  <c:v>3</c:v>
                </c:pt>
                <c:pt idx="1">
                  <c:v>0</c:v>
                </c:pt>
                <c:pt idx="2">
                  <c:v>8</c:v>
                </c:pt>
                <c:pt idx="3">
                  <c:v>0</c:v>
                </c:pt>
              </c:numCache>
            </c:numRef>
          </c:val>
          <c:extLst>
            <c:ext xmlns:c16="http://schemas.microsoft.com/office/drawing/2014/chart" uri="{C3380CC4-5D6E-409C-BE32-E72D297353CC}">
              <c16:uniqueId val="{00000013-3656-4018-93F4-6FA73981B660}"/>
            </c:ext>
          </c:extLst>
        </c:ser>
        <c:dLbls>
          <c:showLegendKey val="0"/>
          <c:showVal val="0"/>
          <c:showCatName val="0"/>
          <c:showSerName val="0"/>
          <c:showPercent val="0"/>
          <c:showBubbleSize val="0"/>
        </c:dLbls>
        <c:gapWidth val="35"/>
        <c:overlap val="100"/>
        <c:axId val="92179072"/>
        <c:axId val="91947392"/>
      </c:barChart>
      <c:catAx>
        <c:axId val="92179072"/>
        <c:scaling>
          <c:orientation val="minMax"/>
        </c:scaling>
        <c:delete val="0"/>
        <c:axPos val="b"/>
        <c:numFmt formatCode="General" sourceLinked="0"/>
        <c:majorTickMark val="out"/>
        <c:minorTickMark val="none"/>
        <c:tickLblPos val="nextTo"/>
        <c:txPr>
          <a:bodyPr/>
          <a:lstStyle/>
          <a:p>
            <a:pPr>
              <a:defRPr sz="1000">
                <a:solidFill>
                  <a:sysClr val="windowText" lastClr="000000"/>
                </a:solidFill>
              </a:defRPr>
            </a:pPr>
            <a:endParaRPr lang="en-US"/>
          </a:p>
        </c:txPr>
        <c:crossAx val="91947392"/>
        <c:crosses val="autoZero"/>
        <c:auto val="1"/>
        <c:lblAlgn val="ctr"/>
        <c:lblOffset val="100"/>
        <c:noMultiLvlLbl val="0"/>
      </c:catAx>
      <c:valAx>
        <c:axId val="91947392"/>
        <c:scaling>
          <c:orientation val="minMax"/>
        </c:scaling>
        <c:delete val="0"/>
        <c:axPos val="l"/>
        <c:majorGridlines/>
        <c:numFmt formatCode="0%" sourceLinked="1"/>
        <c:majorTickMark val="out"/>
        <c:minorTickMark val="none"/>
        <c:tickLblPos val="nextTo"/>
        <c:txPr>
          <a:bodyPr/>
          <a:lstStyle/>
          <a:p>
            <a:pPr>
              <a:defRPr sz="1000">
                <a:solidFill>
                  <a:sysClr val="windowText" lastClr="000000"/>
                </a:solidFill>
              </a:defRPr>
            </a:pPr>
            <a:endParaRPr lang="en-US"/>
          </a:p>
        </c:txPr>
        <c:crossAx val="92179072"/>
        <c:crosses val="autoZero"/>
        <c:crossBetween val="between"/>
      </c:valAx>
      <c:spPr>
        <a:noFill/>
      </c:spPr>
    </c:plotArea>
    <c:legend>
      <c:legendPos val="b"/>
      <c:layout/>
      <c:overlay val="0"/>
      <c:txPr>
        <a:bodyPr/>
        <a:lstStyle/>
        <a:p>
          <a:pPr>
            <a:defRPr>
              <a:solidFill>
                <a:sysClr val="windowText" lastClr="000000"/>
              </a:solidFill>
            </a:defRPr>
          </a:pPr>
          <a:endParaRPr lang="en-US"/>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15447020171431E-2"/>
          <c:y val="4.0831477357089828E-2"/>
          <c:w val="0.87954352733880292"/>
          <c:h val="0.77069428125493222"/>
        </c:manualLayout>
      </c:layout>
      <c:barChart>
        <c:barDir val="col"/>
        <c:grouping val="percentStacked"/>
        <c:varyColors val="0"/>
        <c:ser>
          <c:idx val="0"/>
          <c:order val="0"/>
          <c:tx>
            <c:strRef>
              <c:f>'Cycle4 med,Q,4 new groups'!$E$273</c:f>
              <c:strCache>
                <c:ptCount val="1"/>
                <c:pt idx="0">
                  <c:v>Q1 : &lt;45.2%</c:v>
                </c:pt>
              </c:strCache>
            </c:strRef>
          </c:tx>
          <c:invertIfNegative val="0"/>
          <c:dLbls>
            <c:dLbl>
              <c:idx val="0"/>
              <c:layout/>
              <c:tx>
                <c:rich>
                  <a:bodyPr/>
                  <a:lstStyle/>
                  <a:p>
                    <a:r>
                      <a:rPr lang="en-AU">
                        <a:solidFill>
                          <a:schemeClr val="bg2"/>
                        </a:solidFill>
                      </a:rPr>
                      <a:t>56%</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B3-49D1-9930-F2B261E5CB50}"/>
                </c:ext>
              </c:extLst>
            </c:dLbl>
            <c:dLbl>
              <c:idx val="1"/>
              <c:layout/>
              <c:tx>
                <c:rich>
                  <a:bodyPr/>
                  <a:lstStyle/>
                  <a:p>
                    <a:r>
                      <a:rPr lang="en-AU">
                        <a:solidFill>
                          <a:schemeClr val="bg2"/>
                        </a:solidFill>
                      </a:rPr>
                      <a:t>12%</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DB3-49D1-9930-F2B261E5CB50}"/>
                </c:ext>
              </c:extLst>
            </c:dLbl>
            <c:dLbl>
              <c:idx val="2"/>
              <c:layout/>
              <c:tx>
                <c:rich>
                  <a:bodyPr/>
                  <a:lstStyle/>
                  <a:p>
                    <a:r>
                      <a:rPr lang="en-AU">
                        <a:solidFill>
                          <a:schemeClr val="bg2"/>
                        </a:solidFill>
                      </a:rPr>
                      <a:t>12%</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B3-49D1-9930-F2B261E5CB50}"/>
                </c:ext>
              </c:extLst>
            </c:dLbl>
            <c:dLbl>
              <c:idx val="3"/>
              <c:layout/>
              <c:tx>
                <c:rich>
                  <a:bodyPr/>
                  <a:lstStyle/>
                  <a:p>
                    <a:r>
                      <a:rPr lang="en-AU">
                        <a:solidFill>
                          <a:schemeClr val="bg2"/>
                        </a:solidFill>
                      </a:rPr>
                      <a:t>27%</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B3-49D1-9930-F2B261E5CB5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groups'!$B$274:$B$277</c:f>
              <c:strCache>
                <c:ptCount val="4"/>
                <c:pt idx="0">
                  <c:v>Universities</c:v>
                </c:pt>
                <c:pt idx="1">
                  <c:v>For-Profit</c:v>
                </c:pt>
                <c:pt idx="2">
                  <c:v>Not-For-Profit</c:v>
                </c:pt>
                <c:pt idx="3">
                  <c:v>TAFE</c:v>
                </c:pt>
              </c:strCache>
            </c:strRef>
          </c:cat>
          <c:val>
            <c:numRef>
              <c:f>'Cycle4 med,Q,4 new groups'!$E$274:$E$277</c:f>
              <c:numCache>
                <c:formatCode>General</c:formatCode>
                <c:ptCount val="4"/>
                <c:pt idx="0">
                  <c:v>24</c:v>
                </c:pt>
                <c:pt idx="1">
                  <c:v>7</c:v>
                </c:pt>
                <c:pt idx="2">
                  <c:v>6</c:v>
                </c:pt>
                <c:pt idx="3">
                  <c:v>3</c:v>
                </c:pt>
              </c:numCache>
            </c:numRef>
          </c:val>
          <c:extLst>
            <c:ext xmlns:c16="http://schemas.microsoft.com/office/drawing/2014/chart" uri="{C3380CC4-5D6E-409C-BE32-E72D297353CC}">
              <c16:uniqueId val="{00000004-9DB3-49D1-9930-F2B261E5CB50}"/>
            </c:ext>
          </c:extLst>
        </c:ser>
        <c:ser>
          <c:idx val="1"/>
          <c:order val="1"/>
          <c:tx>
            <c:strRef>
              <c:f>'Cycle4 med,Q,4 new groups'!$F$273</c:f>
              <c:strCache>
                <c:ptCount val="1"/>
                <c:pt idx="0">
                  <c:v>Q2 : 45.2%&lt;56.6%</c:v>
                </c:pt>
              </c:strCache>
            </c:strRef>
          </c:tx>
          <c:spPr>
            <a:solidFill>
              <a:schemeClr val="tx2">
                <a:lumMod val="75000"/>
              </a:schemeClr>
            </a:solidFill>
          </c:spPr>
          <c:invertIfNegative val="0"/>
          <c:dLbls>
            <c:dLbl>
              <c:idx val="0"/>
              <c:layout/>
              <c:tx>
                <c:rich>
                  <a:bodyPr/>
                  <a:lstStyle/>
                  <a:p>
                    <a:r>
                      <a:rPr lang="en-AU">
                        <a:solidFill>
                          <a:schemeClr val="bg2"/>
                        </a:solidFill>
                      </a:rPr>
                      <a:t>35%</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B3-49D1-9930-F2B261E5CB50}"/>
                </c:ext>
              </c:extLst>
            </c:dLbl>
            <c:dLbl>
              <c:idx val="1"/>
              <c:layout/>
              <c:tx>
                <c:rich>
                  <a:bodyPr/>
                  <a:lstStyle/>
                  <a:p>
                    <a:r>
                      <a:rPr lang="en-AU">
                        <a:solidFill>
                          <a:schemeClr val="bg2"/>
                        </a:solidFill>
                      </a:rPr>
                      <a:t>25%</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B3-49D1-9930-F2B261E5CB50}"/>
                </c:ext>
              </c:extLst>
            </c:dLbl>
            <c:dLbl>
              <c:idx val="2"/>
              <c:layout/>
              <c:tx>
                <c:rich>
                  <a:bodyPr/>
                  <a:lstStyle/>
                  <a:p>
                    <a:r>
                      <a:rPr lang="en-AU">
                        <a:solidFill>
                          <a:schemeClr val="bg2"/>
                        </a:solidFill>
                      </a:rPr>
                      <a:t>24%</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DB3-49D1-9930-F2B261E5CB50}"/>
                </c:ext>
              </c:extLst>
            </c:dLbl>
            <c:dLbl>
              <c:idx val="3"/>
              <c:delete val="1"/>
              <c:extLst>
                <c:ext xmlns:c15="http://schemas.microsoft.com/office/drawing/2012/chart" uri="{CE6537A1-D6FC-4f65-9D91-7224C49458BB}"/>
                <c:ext xmlns:c16="http://schemas.microsoft.com/office/drawing/2014/chart" uri="{C3380CC4-5D6E-409C-BE32-E72D297353CC}">
                  <c16:uniqueId val="{00000008-9DB3-49D1-9930-F2B261E5CB5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groups'!$B$274:$B$277</c:f>
              <c:strCache>
                <c:ptCount val="4"/>
                <c:pt idx="0">
                  <c:v>Universities</c:v>
                </c:pt>
                <c:pt idx="1">
                  <c:v>For-Profit</c:v>
                </c:pt>
                <c:pt idx="2">
                  <c:v>Not-For-Profit</c:v>
                </c:pt>
                <c:pt idx="3">
                  <c:v>TAFE</c:v>
                </c:pt>
              </c:strCache>
            </c:strRef>
          </c:cat>
          <c:val>
            <c:numRef>
              <c:f>'Cycle4 med,Q,4 new groups'!$F$274:$F$277</c:f>
              <c:numCache>
                <c:formatCode>General</c:formatCode>
                <c:ptCount val="4"/>
                <c:pt idx="0">
                  <c:v>15</c:v>
                </c:pt>
                <c:pt idx="1">
                  <c:v>14</c:v>
                </c:pt>
                <c:pt idx="2">
                  <c:v>12</c:v>
                </c:pt>
                <c:pt idx="3">
                  <c:v>0</c:v>
                </c:pt>
              </c:numCache>
            </c:numRef>
          </c:val>
          <c:extLst>
            <c:ext xmlns:c16="http://schemas.microsoft.com/office/drawing/2014/chart" uri="{C3380CC4-5D6E-409C-BE32-E72D297353CC}">
              <c16:uniqueId val="{00000009-9DB3-49D1-9930-F2B261E5CB50}"/>
            </c:ext>
          </c:extLst>
        </c:ser>
        <c:ser>
          <c:idx val="2"/>
          <c:order val="2"/>
          <c:tx>
            <c:strRef>
              <c:f>'Cycle4 med,Q,4 new groups'!$G$273</c:f>
              <c:strCache>
                <c:ptCount val="1"/>
                <c:pt idx="0">
                  <c:v>Q3 : 56.6%&lt;80.4%</c:v>
                </c:pt>
              </c:strCache>
            </c:strRef>
          </c:tx>
          <c:invertIfNegative val="0"/>
          <c:dLbls>
            <c:dLbl>
              <c:idx val="0"/>
              <c:layout/>
              <c:tx>
                <c:rich>
                  <a:bodyPr/>
                  <a:lstStyle/>
                  <a:p>
                    <a:r>
                      <a:rPr lang="en-AU">
                        <a:solidFill>
                          <a:schemeClr val="bg2"/>
                        </a:solidFill>
                      </a:rPr>
                      <a:t>9%</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DB3-49D1-9930-F2B261E5CB50}"/>
                </c:ext>
              </c:extLst>
            </c:dLbl>
            <c:dLbl>
              <c:idx val="1"/>
              <c:layout/>
              <c:tx>
                <c:rich>
                  <a:bodyPr/>
                  <a:lstStyle/>
                  <a:p>
                    <a:r>
                      <a:rPr lang="en-AU">
                        <a:solidFill>
                          <a:schemeClr val="bg2"/>
                        </a:solidFill>
                      </a:rPr>
                      <a:t>21%</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DB3-49D1-9930-F2B261E5CB50}"/>
                </c:ext>
              </c:extLst>
            </c:dLbl>
            <c:dLbl>
              <c:idx val="2"/>
              <c:layout/>
              <c:tx>
                <c:rich>
                  <a:bodyPr/>
                  <a:lstStyle/>
                  <a:p>
                    <a:r>
                      <a:rPr lang="en-AU">
                        <a:solidFill>
                          <a:schemeClr val="bg2"/>
                        </a:solidFill>
                      </a:rPr>
                      <a:t>32%</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DB3-49D1-9930-F2B261E5CB50}"/>
                </c:ext>
              </c:extLst>
            </c:dLbl>
            <c:dLbl>
              <c:idx val="3"/>
              <c:layout/>
              <c:tx>
                <c:rich>
                  <a:bodyPr/>
                  <a:lstStyle/>
                  <a:p>
                    <a:r>
                      <a:rPr lang="en-AU">
                        <a:solidFill>
                          <a:schemeClr val="bg2"/>
                        </a:solidFill>
                      </a:rPr>
                      <a:t>73%</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DB3-49D1-9930-F2B261E5CB5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groups'!$B$274:$B$277</c:f>
              <c:strCache>
                <c:ptCount val="4"/>
                <c:pt idx="0">
                  <c:v>Universities</c:v>
                </c:pt>
                <c:pt idx="1">
                  <c:v>For-Profit</c:v>
                </c:pt>
                <c:pt idx="2">
                  <c:v>Not-For-Profit</c:v>
                </c:pt>
                <c:pt idx="3">
                  <c:v>TAFE</c:v>
                </c:pt>
              </c:strCache>
            </c:strRef>
          </c:cat>
          <c:val>
            <c:numRef>
              <c:f>'Cycle4 med,Q,4 new groups'!$G$274:$G$277</c:f>
              <c:numCache>
                <c:formatCode>General</c:formatCode>
                <c:ptCount val="4"/>
                <c:pt idx="0">
                  <c:v>4</c:v>
                </c:pt>
                <c:pt idx="1">
                  <c:v>12</c:v>
                </c:pt>
                <c:pt idx="2">
                  <c:v>16</c:v>
                </c:pt>
                <c:pt idx="3">
                  <c:v>8</c:v>
                </c:pt>
              </c:numCache>
            </c:numRef>
          </c:val>
          <c:extLst>
            <c:ext xmlns:c16="http://schemas.microsoft.com/office/drawing/2014/chart" uri="{C3380CC4-5D6E-409C-BE32-E72D297353CC}">
              <c16:uniqueId val="{0000000E-9DB3-49D1-9930-F2B261E5CB50}"/>
            </c:ext>
          </c:extLst>
        </c:ser>
        <c:ser>
          <c:idx val="3"/>
          <c:order val="3"/>
          <c:tx>
            <c:strRef>
              <c:f>'Cycle4 med,Q,4 new groups'!$H$273</c:f>
              <c:strCache>
                <c:ptCount val="1"/>
                <c:pt idx="0">
                  <c:v>Q4 : &gt;80.4%</c:v>
                </c:pt>
              </c:strCache>
            </c:strRef>
          </c:tx>
          <c:spPr>
            <a:solidFill>
              <a:schemeClr val="tx2">
                <a:lumMod val="5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9DB3-49D1-9930-F2B261E5CB50}"/>
                </c:ext>
              </c:extLst>
            </c:dLbl>
            <c:dLbl>
              <c:idx val="1"/>
              <c:layout/>
              <c:tx>
                <c:rich>
                  <a:bodyPr/>
                  <a:lstStyle/>
                  <a:p>
                    <a:r>
                      <a:rPr lang="en-AU">
                        <a:solidFill>
                          <a:schemeClr val="bg2"/>
                        </a:solidFill>
                      </a:rPr>
                      <a:t>42%</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DB3-49D1-9930-F2B261E5CB50}"/>
                </c:ext>
              </c:extLst>
            </c:dLbl>
            <c:dLbl>
              <c:idx val="2"/>
              <c:layout/>
              <c:tx>
                <c:rich>
                  <a:bodyPr/>
                  <a:lstStyle/>
                  <a:p>
                    <a:r>
                      <a:rPr lang="en-AU">
                        <a:solidFill>
                          <a:schemeClr val="bg2"/>
                        </a:solidFill>
                      </a:rPr>
                      <a:t>32%</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DB3-49D1-9930-F2B261E5CB50}"/>
                </c:ext>
              </c:extLst>
            </c:dLbl>
            <c:dLbl>
              <c:idx val="3"/>
              <c:delete val="1"/>
              <c:extLst>
                <c:ext xmlns:c15="http://schemas.microsoft.com/office/drawing/2012/chart" uri="{CE6537A1-D6FC-4f65-9D91-7224C49458BB}"/>
                <c:ext xmlns:c16="http://schemas.microsoft.com/office/drawing/2014/chart" uri="{C3380CC4-5D6E-409C-BE32-E72D297353CC}">
                  <c16:uniqueId val="{00000012-9DB3-49D1-9930-F2B261E5CB50}"/>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groups'!$B$274:$B$277</c:f>
              <c:strCache>
                <c:ptCount val="4"/>
                <c:pt idx="0">
                  <c:v>Universities</c:v>
                </c:pt>
                <c:pt idx="1">
                  <c:v>For-Profit</c:v>
                </c:pt>
                <c:pt idx="2">
                  <c:v>Not-For-Profit</c:v>
                </c:pt>
                <c:pt idx="3">
                  <c:v>TAFE</c:v>
                </c:pt>
              </c:strCache>
            </c:strRef>
          </c:cat>
          <c:val>
            <c:numRef>
              <c:f>'Cycle4 med,Q,4 new groups'!$H$274:$H$277</c:f>
              <c:numCache>
                <c:formatCode>General</c:formatCode>
                <c:ptCount val="4"/>
                <c:pt idx="0">
                  <c:v>0</c:v>
                </c:pt>
                <c:pt idx="1">
                  <c:v>24</c:v>
                </c:pt>
                <c:pt idx="2">
                  <c:v>16</c:v>
                </c:pt>
                <c:pt idx="3">
                  <c:v>0</c:v>
                </c:pt>
              </c:numCache>
            </c:numRef>
          </c:val>
          <c:extLst>
            <c:ext xmlns:c16="http://schemas.microsoft.com/office/drawing/2014/chart" uri="{C3380CC4-5D6E-409C-BE32-E72D297353CC}">
              <c16:uniqueId val="{00000013-9DB3-49D1-9930-F2B261E5CB50}"/>
            </c:ext>
          </c:extLst>
        </c:ser>
        <c:dLbls>
          <c:showLegendKey val="0"/>
          <c:showVal val="0"/>
          <c:showCatName val="0"/>
          <c:showSerName val="0"/>
          <c:showPercent val="0"/>
          <c:showBubbleSize val="0"/>
        </c:dLbls>
        <c:gapWidth val="35"/>
        <c:overlap val="100"/>
        <c:axId val="92016640"/>
        <c:axId val="92018176"/>
      </c:barChart>
      <c:catAx>
        <c:axId val="92016640"/>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92018176"/>
        <c:crosses val="autoZero"/>
        <c:auto val="1"/>
        <c:lblAlgn val="ctr"/>
        <c:lblOffset val="100"/>
        <c:noMultiLvlLbl val="0"/>
      </c:catAx>
      <c:valAx>
        <c:axId val="92018176"/>
        <c:scaling>
          <c:orientation val="minMax"/>
        </c:scaling>
        <c:delete val="0"/>
        <c:axPos val="l"/>
        <c:majorGridlines/>
        <c:numFmt formatCode="0%" sourceLinked="1"/>
        <c:majorTickMark val="out"/>
        <c:minorTickMark val="none"/>
        <c:tickLblPos val="nextTo"/>
        <c:txPr>
          <a:bodyPr/>
          <a:lstStyle/>
          <a:p>
            <a:pPr>
              <a:defRPr>
                <a:solidFill>
                  <a:sysClr val="windowText" lastClr="000000"/>
                </a:solidFill>
              </a:defRPr>
            </a:pPr>
            <a:endParaRPr lang="en-US"/>
          </a:p>
        </c:txPr>
        <c:crossAx val="92016640"/>
        <c:crosses val="autoZero"/>
        <c:crossBetween val="between"/>
      </c:valAx>
      <c:spPr>
        <a:noFill/>
      </c:spPr>
    </c:plotArea>
    <c:legend>
      <c:legendPos val="b"/>
      <c:layout>
        <c:manualLayout>
          <c:xMode val="edge"/>
          <c:yMode val="edge"/>
          <c:x val="0.18477225203459499"/>
          <c:y val="0.89297018693274033"/>
          <c:w val="0.67946827450764458"/>
          <c:h val="0.10702985639380889"/>
        </c:manualLayout>
      </c:layout>
      <c:overlay val="0"/>
      <c:txPr>
        <a:bodyPr/>
        <a:lstStyle/>
        <a:p>
          <a:pPr>
            <a:defRPr>
              <a:solidFill>
                <a:sysClr val="windowText" lastClr="000000"/>
              </a:solidFill>
            </a:defRPr>
          </a:pPr>
          <a:endParaRPr lang="en-US"/>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15447020171431E-2"/>
          <c:y val="4.1952707856598014E-2"/>
          <c:w val="0.87954352733880292"/>
          <c:h val="0.74971389072549133"/>
        </c:manualLayout>
      </c:layout>
      <c:barChart>
        <c:barDir val="col"/>
        <c:grouping val="percentStacked"/>
        <c:varyColors val="0"/>
        <c:ser>
          <c:idx val="0"/>
          <c:order val="0"/>
          <c:tx>
            <c:strRef>
              <c:f>'Cycle4 med,Q,4 new groups'!$E$195</c:f>
              <c:strCache>
                <c:ptCount val="1"/>
                <c:pt idx="0">
                  <c:v>Q1 : &lt;0.4%</c:v>
                </c:pt>
              </c:strCache>
            </c:strRef>
          </c:tx>
          <c:invertIfNegative val="0"/>
          <c:dLbls>
            <c:dLbl>
              <c:idx val="0"/>
              <c:layout/>
              <c:tx>
                <c:rich>
                  <a:bodyPr/>
                  <a:lstStyle/>
                  <a:p>
                    <a:r>
                      <a:rPr lang="en-AU" b="1">
                        <a:solidFill>
                          <a:schemeClr val="bg2"/>
                        </a:solidFill>
                      </a:rPr>
                      <a:t>21%</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802-44A4-AAE5-DBFE6831364F}"/>
                </c:ext>
              </c:extLst>
            </c:dLbl>
            <c:dLbl>
              <c:idx val="1"/>
              <c:layout/>
              <c:tx>
                <c:rich>
                  <a:bodyPr/>
                  <a:lstStyle/>
                  <a:p>
                    <a:r>
                      <a:rPr lang="en-AU" b="1">
                        <a:solidFill>
                          <a:schemeClr val="bg2"/>
                        </a:solidFill>
                      </a:rPr>
                      <a:t>9%</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802-44A4-AAE5-DBFE6831364F}"/>
                </c:ext>
              </c:extLst>
            </c:dLbl>
            <c:dLbl>
              <c:idx val="2"/>
              <c:layout/>
              <c:tx>
                <c:rich>
                  <a:bodyPr/>
                  <a:lstStyle/>
                  <a:p>
                    <a:r>
                      <a:rPr lang="en-AU" b="1">
                        <a:solidFill>
                          <a:schemeClr val="bg2"/>
                        </a:solidFill>
                      </a:rPr>
                      <a:t>38%</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802-44A4-AAE5-DBFE6831364F}"/>
                </c:ext>
              </c:extLst>
            </c:dLbl>
            <c:dLbl>
              <c:idx val="3"/>
              <c:layout/>
              <c:tx>
                <c:rich>
                  <a:bodyPr/>
                  <a:lstStyle/>
                  <a:p>
                    <a:r>
                      <a:rPr lang="en-AU" b="1">
                        <a:solidFill>
                          <a:schemeClr val="bg2"/>
                        </a:solidFill>
                      </a:rPr>
                      <a:t>64%</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802-44A4-AAE5-DBFE6831364F}"/>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groups'!$B$196:$B$199</c:f>
              <c:strCache>
                <c:ptCount val="4"/>
                <c:pt idx="0">
                  <c:v>Universities</c:v>
                </c:pt>
                <c:pt idx="1">
                  <c:v>For-Profit</c:v>
                </c:pt>
                <c:pt idx="2">
                  <c:v>Not-For-Profit</c:v>
                </c:pt>
                <c:pt idx="3">
                  <c:v>TAFE</c:v>
                </c:pt>
              </c:strCache>
            </c:strRef>
          </c:cat>
          <c:val>
            <c:numRef>
              <c:f>'Cycle4 med,Q,4 new groups'!$E$196:$E$199</c:f>
              <c:numCache>
                <c:formatCode>General</c:formatCode>
                <c:ptCount val="4"/>
                <c:pt idx="0">
                  <c:v>9</c:v>
                </c:pt>
                <c:pt idx="1">
                  <c:v>5</c:v>
                </c:pt>
                <c:pt idx="2">
                  <c:v>18</c:v>
                </c:pt>
                <c:pt idx="3">
                  <c:v>7</c:v>
                </c:pt>
              </c:numCache>
            </c:numRef>
          </c:val>
          <c:extLst>
            <c:ext xmlns:c16="http://schemas.microsoft.com/office/drawing/2014/chart" uri="{C3380CC4-5D6E-409C-BE32-E72D297353CC}">
              <c16:uniqueId val="{00000004-4802-44A4-AAE5-DBFE6831364F}"/>
            </c:ext>
          </c:extLst>
        </c:ser>
        <c:ser>
          <c:idx val="1"/>
          <c:order val="1"/>
          <c:tx>
            <c:strRef>
              <c:f>'Cycle4 med,Q,4 new groups'!$F$195</c:f>
              <c:strCache>
                <c:ptCount val="1"/>
                <c:pt idx="0">
                  <c:v>Q2 : 0.4%&lt;5.9%</c:v>
                </c:pt>
              </c:strCache>
            </c:strRef>
          </c:tx>
          <c:spPr>
            <a:solidFill>
              <a:schemeClr val="tx2">
                <a:lumMod val="75000"/>
              </a:schemeClr>
            </a:solidFill>
          </c:spPr>
          <c:invertIfNegative val="0"/>
          <c:dLbls>
            <c:dLbl>
              <c:idx val="0"/>
              <c:layout/>
              <c:tx>
                <c:rich>
                  <a:bodyPr/>
                  <a:lstStyle/>
                  <a:p>
                    <a:r>
                      <a:rPr lang="en-AU" b="1">
                        <a:solidFill>
                          <a:schemeClr val="bg2"/>
                        </a:solidFill>
                      </a:rPr>
                      <a:t>38%</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802-44A4-AAE5-DBFE6831364F}"/>
                </c:ext>
              </c:extLst>
            </c:dLbl>
            <c:dLbl>
              <c:idx val="1"/>
              <c:layout/>
              <c:tx>
                <c:rich>
                  <a:bodyPr/>
                  <a:lstStyle/>
                  <a:p>
                    <a:r>
                      <a:rPr lang="en-AU" b="1">
                        <a:solidFill>
                          <a:schemeClr val="bg2"/>
                        </a:solidFill>
                      </a:rPr>
                      <a:t>20%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802-44A4-AAE5-DBFE6831364F}"/>
                </c:ext>
              </c:extLst>
            </c:dLbl>
            <c:dLbl>
              <c:idx val="2"/>
              <c:layout/>
              <c:tx>
                <c:rich>
                  <a:bodyPr/>
                  <a:lstStyle/>
                  <a:p>
                    <a:r>
                      <a:rPr lang="en-AU" b="1">
                        <a:solidFill>
                          <a:schemeClr val="bg2"/>
                        </a:solidFill>
                      </a:rPr>
                      <a:t>25%</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802-44A4-AAE5-DBFE6831364F}"/>
                </c:ext>
              </c:extLst>
            </c:dLbl>
            <c:dLbl>
              <c:idx val="3"/>
              <c:layout/>
              <c:tx>
                <c:rich>
                  <a:bodyPr/>
                  <a:lstStyle/>
                  <a:p>
                    <a:r>
                      <a:rPr lang="en-AU" b="1">
                        <a:solidFill>
                          <a:schemeClr val="bg2"/>
                        </a:solidFill>
                      </a:rPr>
                      <a:t>9%</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802-44A4-AAE5-DBFE6831364F}"/>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groups'!$B$196:$B$199</c:f>
              <c:strCache>
                <c:ptCount val="4"/>
                <c:pt idx="0">
                  <c:v>Universities</c:v>
                </c:pt>
                <c:pt idx="1">
                  <c:v>For-Profit</c:v>
                </c:pt>
                <c:pt idx="2">
                  <c:v>Not-For-Profit</c:v>
                </c:pt>
                <c:pt idx="3">
                  <c:v>TAFE</c:v>
                </c:pt>
              </c:strCache>
            </c:strRef>
          </c:cat>
          <c:val>
            <c:numRef>
              <c:f>'Cycle4 med,Q,4 new groups'!$F$196:$F$199</c:f>
              <c:numCache>
                <c:formatCode>General</c:formatCode>
                <c:ptCount val="4"/>
                <c:pt idx="0">
                  <c:v>16</c:v>
                </c:pt>
                <c:pt idx="1">
                  <c:v>11</c:v>
                </c:pt>
                <c:pt idx="2">
                  <c:v>12</c:v>
                </c:pt>
                <c:pt idx="3">
                  <c:v>1</c:v>
                </c:pt>
              </c:numCache>
            </c:numRef>
          </c:val>
          <c:extLst>
            <c:ext xmlns:c16="http://schemas.microsoft.com/office/drawing/2014/chart" uri="{C3380CC4-5D6E-409C-BE32-E72D297353CC}">
              <c16:uniqueId val="{00000009-4802-44A4-AAE5-DBFE6831364F}"/>
            </c:ext>
          </c:extLst>
        </c:ser>
        <c:ser>
          <c:idx val="2"/>
          <c:order val="2"/>
          <c:tx>
            <c:strRef>
              <c:f>'Cycle4 med,Q,4 new groups'!$G$195</c:f>
              <c:strCache>
                <c:ptCount val="1"/>
                <c:pt idx="0">
                  <c:v>Q3 : 5.9%&lt;11%</c:v>
                </c:pt>
              </c:strCache>
            </c:strRef>
          </c:tx>
          <c:invertIfNegative val="0"/>
          <c:dLbls>
            <c:dLbl>
              <c:idx val="0"/>
              <c:layout/>
              <c:tx>
                <c:rich>
                  <a:bodyPr/>
                  <a:lstStyle/>
                  <a:p>
                    <a:r>
                      <a:rPr lang="en-AU" b="1">
                        <a:solidFill>
                          <a:schemeClr val="bg2"/>
                        </a:solidFill>
                      </a:rPr>
                      <a:t>36%</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802-44A4-AAE5-DBFE6831364F}"/>
                </c:ext>
              </c:extLst>
            </c:dLbl>
            <c:dLbl>
              <c:idx val="1"/>
              <c:layout/>
              <c:tx>
                <c:rich>
                  <a:bodyPr/>
                  <a:lstStyle/>
                  <a:p>
                    <a:r>
                      <a:rPr lang="en-AU" b="1">
                        <a:solidFill>
                          <a:schemeClr val="bg2"/>
                        </a:solidFill>
                      </a:rPr>
                      <a:t>21%</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802-44A4-AAE5-DBFE6831364F}"/>
                </c:ext>
              </c:extLst>
            </c:dLbl>
            <c:dLbl>
              <c:idx val="2"/>
              <c:layout/>
              <c:tx>
                <c:rich>
                  <a:bodyPr/>
                  <a:lstStyle/>
                  <a:p>
                    <a:r>
                      <a:rPr lang="en-AU" b="1">
                        <a:solidFill>
                          <a:schemeClr val="bg2"/>
                        </a:solidFill>
                      </a:rPr>
                      <a:t>19%</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802-44A4-AAE5-DBFE6831364F}"/>
                </c:ext>
              </c:extLst>
            </c:dLbl>
            <c:dLbl>
              <c:idx val="3"/>
              <c:layout/>
              <c:tx>
                <c:rich>
                  <a:bodyPr/>
                  <a:lstStyle/>
                  <a:p>
                    <a:r>
                      <a:rPr lang="en-AU" b="1">
                        <a:solidFill>
                          <a:schemeClr val="bg2"/>
                        </a:solidFill>
                      </a:rPr>
                      <a:t>27%</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802-44A4-AAE5-DBFE6831364F}"/>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groups'!$B$196:$B$199</c:f>
              <c:strCache>
                <c:ptCount val="4"/>
                <c:pt idx="0">
                  <c:v>Universities</c:v>
                </c:pt>
                <c:pt idx="1">
                  <c:v>For-Profit</c:v>
                </c:pt>
                <c:pt idx="2">
                  <c:v>Not-For-Profit</c:v>
                </c:pt>
                <c:pt idx="3">
                  <c:v>TAFE</c:v>
                </c:pt>
              </c:strCache>
            </c:strRef>
          </c:cat>
          <c:val>
            <c:numRef>
              <c:f>'Cycle4 med,Q,4 new groups'!$G$196:$G$199</c:f>
              <c:numCache>
                <c:formatCode>General</c:formatCode>
                <c:ptCount val="4"/>
                <c:pt idx="0">
                  <c:v>15</c:v>
                </c:pt>
                <c:pt idx="1">
                  <c:v>12</c:v>
                </c:pt>
                <c:pt idx="2">
                  <c:v>9</c:v>
                </c:pt>
                <c:pt idx="3">
                  <c:v>3</c:v>
                </c:pt>
              </c:numCache>
            </c:numRef>
          </c:val>
          <c:extLst>
            <c:ext xmlns:c16="http://schemas.microsoft.com/office/drawing/2014/chart" uri="{C3380CC4-5D6E-409C-BE32-E72D297353CC}">
              <c16:uniqueId val="{0000000E-4802-44A4-AAE5-DBFE6831364F}"/>
            </c:ext>
          </c:extLst>
        </c:ser>
        <c:ser>
          <c:idx val="3"/>
          <c:order val="3"/>
          <c:tx>
            <c:strRef>
              <c:f>'Cycle4 med,Q,4 new groups'!$H$195</c:f>
              <c:strCache>
                <c:ptCount val="1"/>
                <c:pt idx="0">
                  <c:v>Q4: &gt;11%</c:v>
                </c:pt>
              </c:strCache>
            </c:strRef>
          </c:tx>
          <c:spPr>
            <a:solidFill>
              <a:schemeClr val="tx2">
                <a:lumMod val="50000"/>
              </a:schemeClr>
            </a:solidFill>
          </c:spPr>
          <c:invertIfNegative val="0"/>
          <c:dLbls>
            <c:dLbl>
              <c:idx val="0"/>
              <c:layout/>
              <c:tx>
                <c:rich>
                  <a:bodyPr/>
                  <a:lstStyle/>
                  <a:p>
                    <a:r>
                      <a:rPr lang="en-AU" b="1">
                        <a:solidFill>
                          <a:schemeClr val="bg2"/>
                        </a:solidFill>
                      </a:rPr>
                      <a:t>5%</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802-44A4-AAE5-DBFE6831364F}"/>
                </c:ext>
              </c:extLst>
            </c:dLbl>
            <c:dLbl>
              <c:idx val="1"/>
              <c:layout/>
              <c:tx>
                <c:rich>
                  <a:bodyPr/>
                  <a:lstStyle/>
                  <a:p>
                    <a:r>
                      <a:rPr lang="en-AU" b="1">
                        <a:solidFill>
                          <a:schemeClr val="bg2"/>
                        </a:solidFill>
                      </a:rPr>
                      <a:t>50%</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802-44A4-AAE5-DBFE6831364F}"/>
                </c:ext>
              </c:extLst>
            </c:dLbl>
            <c:dLbl>
              <c:idx val="2"/>
              <c:layout/>
              <c:tx>
                <c:rich>
                  <a:bodyPr/>
                  <a:lstStyle/>
                  <a:p>
                    <a:r>
                      <a:rPr lang="en-AU" b="1">
                        <a:solidFill>
                          <a:schemeClr val="bg2"/>
                        </a:solidFill>
                      </a:rPr>
                      <a:t>19%</a:t>
                    </a:r>
                    <a:endParaRPr lang="en-AU"/>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802-44A4-AAE5-DBFE6831364F}"/>
                </c:ext>
              </c:extLst>
            </c:dLbl>
            <c:dLbl>
              <c:idx val="3"/>
              <c:delete val="1"/>
              <c:extLst>
                <c:ext xmlns:c15="http://schemas.microsoft.com/office/drawing/2012/chart" uri="{CE6537A1-D6FC-4f65-9D91-7224C49458BB}"/>
                <c:ext xmlns:c16="http://schemas.microsoft.com/office/drawing/2014/chart" uri="{C3380CC4-5D6E-409C-BE32-E72D297353CC}">
                  <c16:uniqueId val="{00000012-4802-44A4-AAE5-DBFE6831364F}"/>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groups'!$B$196:$B$199</c:f>
              <c:strCache>
                <c:ptCount val="4"/>
                <c:pt idx="0">
                  <c:v>Universities</c:v>
                </c:pt>
                <c:pt idx="1">
                  <c:v>For-Profit</c:v>
                </c:pt>
                <c:pt idx="2">
                  <c:v>Not-For-Profit</c:v>
                </c:pt>
                <c:pt idx="3">
                  <c:v>TAFE</c:v>
                </c:pt>
              </c:strCache>
            </c:strRef>
          </c:cat>
          <c:val>
            <c:numRef>
              <c:f>'Cycle4 med,Q,4 new groups'!$H$196:$H$199</c:f>
              <c:numCache>
                <c:formatCode>General</c:formatCode>
                <c:ptCount val="4"/>
                <c:pt idx="0">
                  <c:v>2</c:v>
                </c:pt>
                <c:pt idx="1">
                  <c:v>28</c:v>
                </c:pt>
                <c:pt idx="2">
                  <c:v>9</c:v>
                </c:pt>
                <c:pt idx="3">
                  <c:v>0</c:v>
                </c:pt>
              </c:numCache>
            </c:numRef>
          </c:val>
          <c:extLst>
            <c:ext xmlns:c16="http://schemas.microsoft.com/office/drawing/2014/chart" uri="{C3380CC4-5D6E-409C-BE32-E72D297353CC}">
              <c16:uniqueId val="{00000013-4802-44A4-AAE5-DBFE6831364F}"/>
            </c:ext>
          </c:extLst>
        </c:ser>
        <c:dLbls>
          <c:showLegendKey val="0"/>
          <c:showVal val="0"/>
          <c:showCatName val="0"/>
          <c:showSerName val="0"/>
          <c:showPercent val="0"/>
          <c:showBubbleSize val="0"/>
        </c:dLbls>
        <c:gapWidth val="35"/>
        <c:overlap val="100"/>
        <c:axId val="92100480"/>
        <c:axId val="92102016"/>
      </c:barChart>
      <c:catAx>
        <c:axId val="92100480"/>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92102016"/>
        <c:crosses val="autoZero"/>
        <c:auto val="1"/>
        <c:lblAlgn val="ctr"/>
        <c:lblOffset val="100"/>
        <c:noMultiLvlLbl val="0"/>
      </c:catAx>
      <c:valAx>
        <c:axId val="92102016"/>
        <c:scaling>
          <c:orientation val="minMax"/>
        </c:scaling>
        <c:delete val="0"/>
        <c:axPos val="l"/>
        <c:majorGridlines/>
        <c:numFmt formatCode="0%" sourceLinked="1"/>
        <c:majorTickMark val="out"/>
        <c:minorTickMark val="none"/>
        <c:tickLblPos val="nextTo"/>
        <c:txPr>
          <a:bodyPr/>
          <a:lstStyle/>
          <a:p>
            <a:pPr>
              <a:defRPr>
                <a:solidFill>
                  <a:sysClr val="windowText" lastClr="000000"/>
                </a:solidFill>
              </a:defRPr>
            </a:pPr>
            <a:endParaRPr lang="en-US"/>
          </a:p>
        </c:txPr>
        <c:crossAx val="92100480"/>
        <c:crosses val="autoZero"/>
        <c:crossBetween val="between"/>
      </c:valAx>
      <c:spPr>
        <a:noFill/>
      </c:spPr>
    </c:plotArea>
    <c:legend>
      <c:legendPos val="b"/>
      <c:layout>
        <c:manualLayout>
          <c:xMode val="edge"/>
          <c:yMode val="edge"/>
          <c:x val="0.22674595745461887"/>
          <c:y val="0.87207519384504417"/>
          <c:w val="0.62109997613934631"/>
          <c:h val="0.11856194025365149"/>
        </c:manualLayout>
      </c:layout>
      <c:overlay val="0"/>
      <c:txPr>
        <a:bodyPr/>
        <a:lstStyle/>
        <a:p>
          <a:pPr>
            <a:defRPr>
              <a:solidFill>
                <a:sysClr val="windowText" lastClr="000000"/>
              </a:solidFill>
            </a:defRPr>
          </a:pPr>
          <a:endParaRPr lang="en-US"/>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'Cycle4 med,Q,4 new groups'!$B$252</c:f>
              <c:strCache>
                <c:ptCount val="1"/>
                <c:pt idx="0">
                  <c:v>Universities</c:v>
                </c:pt>
              </c:strCache>
            </c:strRef>
          </c:tx>
          <c:spPr>
            <a:solidFill>
              <a:srgbClr val="7C2E2C"/>
            </a:solidFill>
          </c:spPr>
          <c:invertIfNegative val="0"/>
          <c:dLbls>
            <c:dLbl>
              <c:idx val="0"/>
              <c:tx>
                <c:rich>
                  <a:bodyPr/>
                  <a:lstStyle/>
                  <a:p>
                    <a:r>
                      <a:rPr lang="en-AU">
                        <a:solidFill>
                          <a:schemeClr val="bg2"/>
                        </a:solidFill>
                      </a:rPr>
                      <a:t>3%</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62-4106-9D6D-908942FD1973}"/>
                </c:ext>
              </c:extLst>
            </c:dLbl>
            <c:dLbl>
              <c:idx val="1"/>
              <c:tx>
                <c:rich>
                  <a:bodyPr/>
                  <a:lstStyle/>
                  <a:p>
                    <a:r>
                      <a:rPr lang="en-AU">
                        <a:solidFill>
                          <a:schemeClr val="bg2"/>
                        </a:solidFill>
                      </a:rPr>
                      <a:t>21%</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62-4106-9D6D-908942FD1973}"/>
                </c:ext>
              </c:extLst>
            </c:dLbl>
            <c:dLbl>
              <c:idx val="2"/>
              <c:tx>
                <c:rich>
                  <a:bodyPr/>
                  <a:lstStyle/>
                  <a:p>
                    <a:r>
                      <a:rPr lang="en-AU">
                        <a:solidFill>
                          <a:schemeClr val="bg2"/>
                        </a:solidFill>
                      </a:rPr>
                      <a:t>59%</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62-4106-9D6D-908942FD1973}"/>
                </c:ext>
              </c:extLst>
            </c:dLbl>
            <c:dLbl>
              <c:idx val="3"/>
              <c:tx>
                <c:rich>
                  <a:bodyPr/>
                  <a:lstStyle/>
                  <a:p>
                    <a:r>
                      <a:rPr lang="en-AU">
                        <a:solidFill>
                          <a:schemeClr val="bg2"/>
                        </a:solidFill>
                      </a:rPr>
                      <a:t>25%</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62-4106-9D6D-908942FD1973}"/>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groups'!$E$251:$H$251</c:f>
              <c:strCache>
                <c:ptCount val="4"/>
                <c:pt idx="0">
                  <c:v>Q1 : &lt;37.7%</c:v>
                </c:pt>
                <c:pt idx="1">
                  <c:v>Q2 : 37.7%&lt;51.8%</c:v>
                </c:pt>
                <c:pt idx="2">
                  <c:v>Q3 : 51.8%&lt;59.1%</c:v>
                </c:pt>
                <c:pt idx="3">
                  <c:v>Q4 : &gt;59.1%</c:v>
                </c:pt>
              </c:strCache>
            </c:strRef>
          </c:cat>
          <c:val>
            <c:numRef>
              <c:f>'Cycle4 med,Q,4 new groups'!$E$252:$H$252</c:f>
              <c:numCache>
                <c:formatCode>General</c:formatCode>
                <c:ptCount val="4"/>
                <c:pt idx="0">
                  <c:v>1</c:v>
                </c:pt>
                <c:pt idx="1">
                  <c:v>8</c:v>
                </c:pt>
                <c:pt idx="2">
                  <c:v>23</c:v>
                </c:pt>
                <c:pt idx="3">
                  <c:v>10</c:v>
                </c:pt>
              </c:numCache>
            </c:numRef>
          </c:val>
          <c:extLst>
            <c:ext xmlns:c16="http://schemas.microsoft.com/office/drawing/2014/chart" uri="{C3380CC4-5D6E-409C-BE32-E72D297353CC}">
              <c16:uniqueId val="{00000004-5862-4106-9D6D-908942FD1973}"/>
            </c:ext>
          </c:extLst>
        </c:ser>
        <c:ser>
          <c:idx val="1"/>
          <c:order val="1"/>
          <c:tx>
            <c:strRef>
              <c:f>'Cycle4 med,Q,4 new groups'!$B$253</c:f>
              <c:strCache>
                <c:ptCount val="1"/>
                <c:pt idx="0">
                  <c:v>For-Profit</c:v>
                </c:pt>
              </c:strCache>
            </c:strRef>
          </c:tx>
          <c:spPr>
            <a:solidFill>
              <a:srgbClr val="A4A000"/>
            </a:solidFill>
          </c:spPr>
          <c:invertIfNegative val="0"/>
          <c:dLbls>
            <c:dLbl>
              <c:idx val="0"/>
              <c:tx>
                <c:rich>
                  <a:bodyPr/>
                  <a:lstStyle/>
                  <a:p>
                    <a:r>
                      <a:rPr lang="en-AU">
                        <a:solidFill>
                          <a:schemeClr val="bg2"/>
                        </a:solidFill>
                      </a:rPr>
                      <a:t>75%</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62-4106-9D6D-908942FD1973}"/>
                </c:ext>
              </c:extLst>
            </c:dLbl>
            <c:dLbl>
              <c:idx val="1"/>
              <c:tx>
                <c:rich>
                  <a:bodyPr/>
                  <a:lstStyle/>
                  <a:p>
                    <a:r>
                      <a:rPr lang="en-AU">
                        <a:solidFill>
                          <a:schemeClr val="bg2"/>
                        </a:solidFill>
                      </a:rPr>
                      <a:t>51%</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62-4106-9D6D-908942FD1973}"/>
                </c:ext>
              </c:extLst>
            </c:dLbl>
            <c:dLbl>
              <c:idx val="2"/>
              <c:tx>
                <c:rich>
                  <a:bodyPr/>
                  <a:lstStyle/>
                  <a:p>
                    <a:r>
                      <a:rPr lang="en-AU">
                        <a:solidFill>
                          <a:schemeClr val="bg2"/>
                        </a:solidFill>
                      </a:rPr>
                      <a:t>13%</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62-4106-9D6D-908942FD1973}"/>
                </c:ext>
              </c:extLst>
            </c:dLbl>
            <c:dLbl>
              <c:idx val="3"/>
              <c:tx>
                <c:rich>
                  <a:bodyPr/>
                  <a:lstStyle/>
                  <a:p>
                    <a:r>
                      <a:rPr lang="en-AU">
                        <a:solidFill>
                          <a:schemeClr val="bg2"/>
                        </a:solidFill>
                      </a:rPr>
                      <a:t>5%</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62-4106-9D6D-908942FD1973}"/>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groups'!$E$251:$H$251</c:f>
              <c:strCache>
                <c:ptCount val="4"/>
                <c:pt idx="0">
                  <c:v>Q1 : &lt;37.7%</c:v>
                </c:pt>
                <c:pt idx="1">
                  <c:v>Q2 : 37.7%&lt;51.8%</c:v>
                </c:pt>
                <c:pt idx="2">
                  <c:v>Q3 : 51.8%&lt;59.1%</c:v>
                </c:pt>
                <c:pt idx="3">
                  <c:v>Q4 : &gt;59.1%</c:v>
                </c:pt>
              </c:strCache>
            </c:strRef>
          </c:cat>
          <c:val>
            <c:numRef>
              <c:f>'Cycle4 med,Q,4 new groups'!$E$253:$H$253</c:f>
              <c:numCache>
                <c:formatCode>General</c:formatCode>
                <c:ptCount val="4"/>
                <c:pt idx="0">
                  <c:v>30</c:v>
                </c:pt>
                <c:pt idx="1">
                  <c:v>20</c:v>
                </c:pt>
                <c:pt idx="2">
                  <c:v>5</c:v>
                </c:pt>
                <c:pt idx="3">
                  <c:v>2</c:v>
                </c:pt>
              </c:numCache>
            </c:numRef>
          </c:val>
          <c:extLst>
            <c:ext xmlns:c16="http://schemas.microsoft.com/office/drawing/2014/chart" uri="{C3380CC4-5D6E-409C-BE32-E72D297353CC}">
              <c16:uniqueId val="{00000009-5862-4106-9D6D-908942FD1973}"/>
            </c:ext>
          </c:extLst>
        </c:ser>
        <c:ser>
          <c:idx val="2"/>
          <c:order val="2"/>
          <c:tx>
            <c:strRef>
              <c:f>'Cycle4 med,Q,4 new groups'!$B$254</c:f>
              <c:strCache>
                <c:ptCount val="1"/>
                <c:pt idx="0">
                  <c:v>Not-For-Profit</c:v>
                </c:pt>
              </c:strCache>
            </c:strRef>
          </c:tx>
          <c:spPr>
            <a:solidFill>
              <a:srgbClr val="0062AC"/>
            </a:solidFill>
          </c:spPr>
          <c:invertIfNegative val="0"/>
          <c:dLbls>
            <c:dLbl>
              <c:idx val="0"/>
              <c:tx>
                <c:rich>
                  <a:bodyPr/>
                  <a:lstStyle/>
                  <a:p>
                    <a:r>
                      <a:rPr lang="en-AU">
                        <a:solidFill>
                          <a:schemeClr val="bg2"/>
                        </a:solidFill>
                      </a:rPr>
                      <a:t>23%</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62-4106-9D6D-908942FD1973}"/>
                </c:ext>
              </c:extLst>
            </c:dLbl>
            <c:dLbl>
              <c:idx val="1"/>
              <c:tx>
                <c:rich>
                  <a:bodyPr/>
                  <a:lstStyle/>
                  <a:p>
                    <a:r>
                      <a:rPr lang="en-AU">
                        <a:solidFill>
                          <a:schemeClr val="bg2"/>
                        </a:solidFill>
                      </a:rPr>
                      <a:t>28%</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62-4106-9D6D-908942FD1973}"/>
                </c:ext>
              </c:extLst>
            </c:dLbl>
            <c:dLbl>
              <c:idx val="2"/>
              <c:tx>
                <c:rich>
                  <a:bodyPr/>
                  <a:lstStyle/>
                  <a:p>
                    <a:r>
                      <a:rPr lang="en-AU">
                        <a:solidFill>
                          <a:schemeClr val="bg2"/>
                        </a:solidFill>
                      </a:rPr>
                      <a:t>21%</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62-4106-9D6D-908942FD1973}"/>
                </c:ext>
              </c:extLst>
            </c:dLbl>
            <c:dLbl>
              <c:idx val="3"/>
              <c:tx>
                <c:rich>
                  <a:bodyPr/>
                  <a:lstStyle/>
                  <a:p>
                    <a:r>
                      <a:rPr lang="en-AU">
                        <a:solidFill>
                          <a:schemeClr val="bg2"/>
                        </a:solidFill>
                      </a:rPr>
                      <a:t>50%</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862-4106-9D6D-908942FD1973}"/>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groups'!$E$251:$H$251</c:f>
              <c:strCache>
                <c:ptCount val="4"/>
                <c:pt idx="0">
                  <c:v>Q1 : &lt;37.7%</c:v>
                </c:pt>
                <c:pt idx="1">
                  <c:v>Q2 : 37.7%&lt;51.8%</c:v>
                </c:pt>
                <c:pt idx="2">
                  <c:v>Q3 : 51.8%&lt;59.1%</c:v>
                </c:pt>
                <c:pt idx="3">
                  <c:v>Q4 : &gt;59.1%</c:v>
                </c:pt>
              </c:strCache>
            </c:strRef>
          </c:cat>
          <c:val>
            <c:numRef>
              <c:f>'Cycle4 med,Q,4 new groups'!$E$254:$H$254</c:f>
              <c:numCache>
                <c:formatCode>General</c:formatCode>
                <c:ptCount val="4"/>
                <c:pt idx="0">
                  <c:v>9</c:v>
                </c:pt>
                <c:pt idx="1">
                  <c:v>11</c:v>
                </c:pt>
                <c:pt idx="2">
                  <c:v>8</c:v>
                </c:pt>
                <c:pt idx="3">
                  <c:v>20</c:v>
                </c:pt>
              </c:numCache>
            </c:numRef>
          </c:val>
          <c:extLst>
            <c:ext xmlns:c16="http://schemas.microsoft.com/office/drawing/2014/chart" uri="{C3380CC4-5D6E-409C-BE32-E72D297353CC}">
              <c16:uniqueId val="{0000000E-5862-4106-9D6D-908942FD1973}"/>
            </c:ext>
          </c:extLst>
        </c:ser>
        <c:ser>
          <c:idx val="3"/>
          <c:order val="3"/>
          <c:tx>
            <c:strRef>
              <c:f>'Cycle4 med,Q,4 new groups'!$B$255</c:f>
              <c:strCache>
                <c:ptCount val="1"/>
                <c:pt idx="0">
                  <c:v>TAFE</c:v>
                </c:pt>
              </c:strCache>
            </c:strRef>
          </c:tx>
          <c:spPr>
            <a:solidFill>
              <a:srgbClr val="FF66CC"/>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5862-4106-9D6D-908942FD1973}"/>
                </c:ext>
              </c:extLst>
            </c:dLbl>
            <c:dLbl>
              <c:idx val="1"/>
              <c:delete val="1"/>
              <c:extLst>
                <c:ext xmlns:c15="http://schemas.microsoft.com/office/drawing/2012/chart" uri="{CE6537A1-D6FC-4f65-9D91-7224C49458BB}"/>
                <c:ext xmlns:c16="http://schemas.microsoft.com/office/drawing/2014/chart" uri="{C3380CC4-5D6E-409C-BE32-E72D297353CC}">
                  <c16:uniqueId val="{00000010-5862-4106-9D6D-908942FD1973}"/>
                </c:ext>
              </c:extLst>
            </c:dLbl>
            <c:dLbl>
              <c:idx val="2"/>
              <c:tx>
                <c:rich>
                  <a:bodyPr/>
                  <a:lstStyle/>
                  <a:p>
                    <a:r>
                      <a:rPr lang="en-AU">
                        <a:solidFill>
                          <a:schemeClr val="bg2"/>
                        </a:solidFill>
                      </a:rPr>
                      <a:t>8%</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862-4106-9D6D-908942FD1973}"/>
                </c:ext>
              </c:extLst>
            </c:dLbl>
            <c:dLbl>
              <c:idx val="3"/>
              <c:tx>
                <c:rich>
                  <a:bodyPr/>
                  <a:lstStyle/>
                  <a:p>
                    <a:r>
                      <a:rPr lang="en-AU">
                        <a:solidFill>
                          <a:schemeClr val="bg2"/>
                        </a:solidFill>
                      </a:rPr>
                      <a:t>20%</a:t>
                    </a:r>
                    <a:endParaRPr lang="en-A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862-4106-9D6D-908942FD1973}"/>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'Cycle4 med,Q,4 new groups'!$E$251:$H$251</c:f>
              <c:strCache>
                <c:ptCount val="4"/>
                <c:pt idx="0">
                  <c:v>Q1 : &lt;37.7%</c:v>
                </c:pt>
                <c:pt idx="1">
                  <c:v>Q2 : 37.7%&lt;51.8%</c:v>
                </c:pt>
                <c:pt idx="2">
                  <c:v>Q3 : 51.8%&lt;59.1%</c:v>
                </c:pt>
                <c:pt idx="3">
                  <c:v>Q4 : &gt;59.1%</c:v>
                </c:pt>
              </c:strCache>
            </c:strRef>
          </c:cat>
          <c:val>
            <c:numRef>
              <c:f>'Cycle4 med,Q,4 new groups'!$E$255:$H$255</c:f>
              <c:numCache>
                <c:formatCode>General</c:formatCode>
                <c:ptCount val="4"/>
                <c:pt idx="0">
                  <c:v>0</c:v>
                </c:pt>
                <c:pt idx="1">
                  <c:v>0</c:v>
                </c:pt>
                <c:pt idx="2">
                  <c:v>3</c:v>
                </c:pt>
                <c:pt idx="3">
                  <c:v>8</c:v>
                </c:pt>
              </c:numCache>
            </c:numRef>
          </c:val>
          <c:extLst>
            <c:ext xmlns:c16="http://schemas.microsoft.com/office/drawing/2014/chart" uri="{C3380CC4-5D6E-409C-BE32-E72D297353CC}">
              <c16:uniqueId val="{00000013-5862-4106-9D6D-908942FD1973}"/>
            </c:ext>
          </c:extLst>
        </c:ser>
        <c:dLbls>
          <c:showLegendKey val="0"/>
          <c:showVal val="0"/>
          <c:showCatName val="0"/>
          <c:showSerName val="0"/>
          <c:showPercent val="0"/>
          <c:showBubbleSize val="0"/>
        </c:dLbls>
        <c:gapWidth val="35"/>
        <c:overlap val="100"/>
        <c:axId val="92556672"/>
        <c:axId val="93918336"/>
      </c:barChart>
      <c:catAx>
        <c:axId val="92556672"/>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93918336"/>
        <c:crosses val="autoZero"/>
        <c:auto val="1"/>
        <c:lblAlgn val="ctr"/>
        <c:lblOffset val="100"/>
        <c:noMultiLvlLbl val="0"/>
      </c:catAx>
      <c:valAx>
        <c:axId val="93918336"/>
        <c:scaling>
          <c:orientation val="minMax"/>
        </c:scaling>
        <c:delete val="0"/>
        <c:axPos val="l"/>
        <c:majorGridlines/>
        <c:numFmt formatCode="0%" sourceLinked="1"/>
        <c:majorTickMark val="out"/>
        <c:minorTickMark val="none"/>
        <c:tickLblPos val="nextTo"/>
        <c:txPr>
          <a:bodyPr/>
          <a:lstStyle/>
          <a:p>
            <a:pPr>
              <a:defRPr sz="800">
                <a:solidFill>
                  <a:sysClr val="windowText" lastClr="000000"/>
                </a:solidFill>
              </a:defRPr>
            </a:pPr>
            <a:endParaRPr lang="en-US"/>
          </a:p>
        </c:txPr>
        <c:crossAx val="92556672"/>
        <c:crosses val="autoZero"/>
        <c:crossBetween val="between"/>
      </c:valAx>
      <c:spPr>
        <a:noFill/>
      </c:spPr>
    </c:plotArea>
    <c:legend>
      <c:legendPos val="b"/>
      <c:overlay val="0"/>
      <c:txPr>
        <a:bodyPr/>
        <a:lstStyle/>
        <a:p>
          <a:pPr>
            <a:defRPr>
              <a:solidFill>
                <a:sysClr val="windowText" lastClr="000000"/>
              </a:solidFill>
            </a:defRPr>
          </a:pPr>
          <a:endParaRPr lang="en-US"/>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0"/>
          <c:w val="0.95299145299145294"/>
          <c:h val="0.75954414230119771"/>
        </c:manualLayout>
      </c:layout>
      <c:barChart>
        <c:barDir val="col"/>
        <c:grouping val="clustered"/>
        <c:varyColors val="0"/>
        <c:ser>
          <c:idx val="0"/>
          <c:order val="0"/>
          <c:tx>
            <c:strRef>
              <c:f>'Inter Rev breakdown'!$A$65</c:f>
              <c:strCache>
                <c:ptCount val="1"/>
                <c:pt idx="0">
                  <c:v>2015</c:v>
                </c:pt>
              </c:strCache>
            </c:strRef>
          </c:tx>
          <c:invertIfNegative val="0"/>
          <c:dLbls>
            <c:dLbl>
              <c:idx val="0"/>
              <c:tx>
                <c:strRef>
                  <c:f>'Inter Rev breakdown'!$C$65</c:f>
                  <c:strCache>
                    <c:ptCount val="1"/>
                    <c:pt idx="0">
                      <c:v>4,794M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{9FAA26EE-11AB-4E60-B482-06815F6C56BB}</c15:txfldGUID>
                      <c15:f>'Inter Rev breakdown'!$C$65</c15:f>
                      <c15:dlblFieldTableCache>
                        <c:ptCount val="1"/>
                        <c:pt idx="0">
                          <c:v>4,794M</c:v>
                        </c:pt>
                      </c15:dlblFieldTableCache>
                    </c15:dlblFTEntry>
                  </c15:dlblFieldTable>
                  <c15:showDataLabelsRange val="0"/>
                </c:ext>
                <c:ext xmlns:c16="http://schemas.microsoft.com/office/drawing/2014/chart" uri="{C3380CC4-5D6E-409C-BE32-E72D297353CC}">
                  <c16:uniqueId val="{00000000-95A8-4370-BDA2-DAB9651CD79A}"/>
                </c:ext>
              </c:extLst>
            </c:dLbl>
            <c:dLbl>
              <c:idx val="1"/>
              <c:tx>
                <c:strRef>
                  <c:f>'Inter Rev breakdown'!$D$65</c:f>
                  <c:strCache>
                    <c:ptCount val="1"/>
                    <c:pt idx="0">
                      <c:v>506M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{A3945BA5-7E0B-4FC6-A16D-07F829F0A4B2}</c15:txfldGUID>
                      <c15:f>'Inter Rev breakdown'!$D$65</c15:f>
                      <c15:dlblFieldTableCache>
                        <c:ptCount val="1"/>
                        <c:pt idx="0">
                          <c:v>506M</c:v>
                        </c:pt>
                      </c15:dlblFieldTableCache>
                    </c15:dlblFTEntry>
                  </c15:dlblFieldTable>
                  <c15:showDataLabelsRange val="0"/>
                </c:ext>
                <c:ext xmlns:c16="http://schemas.microsoft.com/office/drawing/2014/chart" uri="{C3380CC4-5D6E-409C-BE32-E72D297353CC}">
                  <c16:uniqueId val="{00000001-95A8-4370-BDA2-DAB9651CD79A}"/>
                </c:ext>
              </c:extLst>
            </c:dLbl>
            <c:dLbl>
              <c:idx val="2"/>
              <c:tx>
                <c:strRef>
                  <c:f>'Inter Rev breakdown'!$E$65</c:f>
                  <c:strCache>
                    <c:ptCount val="1"/>
                    <c:pt idx="0">
                      <c:v>149M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{FE629FCB-7882-44D1-B3E5-417B77014411}</c15:txfldGUID>
                      <c15:f>'Inter Rev breakdown'!$E$65</c15:f>
                      <c15:dlblFieldTableCache>
                        <c:ptCount val="1"/>
                        <c:pt idx="0">
                          <c:v>149M</c:v>
                        </c:pt>
                      </c15:dlblFieldTableCache>
                    </c15:dlblFTEntry>
                  </c15:dlblFieldTable>
                  <c15:showDataLabelsRange val="0"/>
                </c:ext>
                <c:ext xmlns:c16="http://schemas.microsoft.com/office/drawing/2014/chart" uri="{C3380CC4-5D6E-409C-BE32-E72D297353CC}">
                  <c16:uniqueId val="{00000002-95A8-4370-BDA2-DAB9651CD79A}"/>
                </c:ext>
              </c:extLst>
            </c:dLbl>
            <c:dLbl>
              <c:idx val="3"/>
              <c:tx>
                <c:strRef>
                  <c:f>'Inter Rev breakdown'!$F$65</c:f>
                  <c:strCache>
                    <c:ptCount val="1"/>
                    <c:pt idx="0">
                      <c:v>22M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{1AC33BA7-FDE1-4D3A-93DD-0F754186826D}</c15:txfldGUID>
                      <c15:f>'Inter Rev breakdown'!$F$65</c15:f>
                      <c15:dlblFieldTableCache>
                        <c:ptCount val="1"/>
                        <c:pt idx="0">
                          <c:v>22M</c:v>
                        </c:pt>
                      </c15:dlblFieldTableCache>
                    </c15:dlblFTEntry>
                  </c15:dlblFieldTable>
                  <c15:showDataLabelsRange val="0"/>
                </c:ext>
                <c:ext xmlns:c16="http://schemas.microsoft.com/office/drawing/2014/chart" uri="{C3380CC4-5D6E-409C-BE32-E72D297353CC}">
                  <c16:uniqueId val="{00000003-95A8-4370-BDA2-DAB9651CD79A}"/>
                </c:ext>
              </c:extLst>
            </c:dLbl>
            <c:spPr>
              <a:noFill/>
              <a:ln>
                <a:noFill/>
              </a:ln>
              <a:effectLst/>
            </c:spPr>
            <c:txPr>
              <a:bodyPr/>
              <a:lstStyle/>
              <a:p>
                <a:pPr>
                  <a:defRPr sz="80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 Rev breakdown'!$C$64:$F$64</c:f>
              <c:strCache>
                <c:ptCount val="4"/>
                <c:pt idx="0">
                  <c:v>Universities</c:v>
                </c:pt>
                <c:pt idx="1">
                  <c:v>For-Profit</c:v>
                </c:pt>
                <c:pt idx="2">
                  <c:v>Not-For-Profit</c:v>
                </c:pt>
                <c:pt idx="3">
                  <c:v>TAFE</c:v>
                </c:pt>
              </c:strCache>
            </c:strRef>
          </c:cat>
          <c:val>
            <c:numRef>
              <c:f>'Inter Rev breakdown'!$C$65:$F$65</c:f>
              <c:numCache>
                <c:formatCode>#,##0,,"M"</c:formatCode>
                <c:ptCount val="4"/>
                <c:pt idx="0">
                  <c:v>4793857000.0700006</c:v>
                </c:pt>
                <c:pt idx="1">
                  <c:v>505958262.24873614</c:v>
                </c:pt>
                <c:pt idx="2">
                  <c:v>149387112</c:v>
                </c:pt>
                <c:pt idx="3">
                  <c:v>21723980</c:v>
                </c:pt>
              </c:numCache>
            </c:numRef>
          </c:val>
          <c:extLst>
            <c:ext xmlns:c16="http://schemas.microsoft.com/office/drawing/2014/chart" uri="{C3380CC4-5D6E-409C-BE32-E72D297353CC}">
              <c16:uniqueId val="{00000004-95A8-4370-BDA2-DAB9651CD79A}"/>
            </c:ext>
          </c:extLst>
        </c:ser>
        <c:ser>
          <c:idx val="1"/>
          <c:order val="1"/>
          <c:tx>
            <c:strRef>
              <c:f>'Inter Rev breakdown'!$A$66</c:f>
              <c:strCache>
                <c:ptCount val="1"/>
                <c:pt idx="0">
                  <c:v>2014</c:v>
                </c:pt>
              </c:strCache>
            </c:strRef>
          </c:tx>
          <c:spPr>
            <a:solidFill>
              <a:schemeClr val="tx2"/>
            </a:solidFill>
          </c:spPr>
          <c:invertIfNegative val="0"/>
          <c:dLbls>
            <c:dLbl>
              <c:idx val="0"/>
              <c:tx>
                <c:strRef>
                  <c:f>'Inter Rev breakdown'!$C$66</c:f>
                  <c:strCache>
                    <c:ptCount val="1"/>
                    <c:pt idx="0">
                      <c:v>4,341M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{112F302B-F6D7-49B0-9B89-D9C6A0811A99}</c15:txfldGUID>
                      <c15:f>'Inter Rev breakdown'!$C$66</c15:f>
                      <c15:dlblFieldTableCache>
                        <c:ptCount val="1"/>
                        <c:pt idx="0">
                          <c:v>4,341M</c:v>
                        </c:pt>
                      </c15:dlblFieldTableCache>
                    </c15:dlblFTEntry>
                  </c15:dlblFieldTable>
                  <c15:showDataLabelsRange val="0"/>
                </c:ext>
                <c:ext xmlns:c16="http://schemas.microsoft.com/office/drawing/2014/chart" uri="{C3380CC4-5D6E-409C-BE32-E72D297353CC}">
                  <c16:uniqueId val="{00000005-95A8-4370-BDA2-DAB9651CD79A}"/>
                </c:ext>
              </c:extLst>
            </c:dLbl>
            <c:dLbl>
              <c:idx val="1"/>
              <c:tx>
                <c:strRef>
                  <c:f>'Inter Rev breakdown'!$D$66</c:f>
                  <c:strCache>
                    <c:ptCount val="1"/>
                    <c:pt idx="0">
                      <c:v>384M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{0F73D725-8EFA-4842-974F-564C25247B98}</c15:txfldGUID>
                      <c15:f>'Inter Rev breakdown'!$D$66</c15:f>
                      <c15:dlblFieldTableCache>
                        <c:ptCount val="1"/>
                        <c:pt idx="0">
                          <c:v>384M</c:v>
                        </c:pt>
                      </c15:dlblFieldTableCache>
                    </c15:dlblFTEntry>
                  </c15:dlblFieldTable>
                  <c15:showDataLabelsRange val="0"/>
                </c:ext>
                <c:ext xmlns:c16="http://schemas.microsoft.com/office/drawing/2014/chart" uri="{C3380CC4-5D6E-409C-BE32-E72D297353CC}">
                  <c16:uniqueId val="{00000006-95A8-4370-BDA2-DAB9651CD79A}"/>
                </c:ext>
              </c:extLst>
            </c:dLbl>
            <c:dLbl>
              <c:idx val="2"/>
              <c:tx>
                <c:strRef>
                  <c:f>'Inter Rev breakdown'!$E$66</c:f>
                  <c:strCache>
                    <c:ptCount val="1"/>
                    <c:pt idx="0">
                      <c:v>101M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{A6E72D27-FEA0-4B5C-AFD2-270D827BF3FC}</c15:txfldGUID>
                      <c15:f>'Inter Rev breakdown'!$E$66</c15:f>
                      <c15:dlblFieldTableCache>
                        <c:ptCount val="1"/>
                        <c:pt idx="0">
                          <c:v>101M</c:v>
                        </c:pt>
                      </c15:dlblFieldTableCache>
                    </c15:dlblFTEntry>
                  </c15:dlblFieldTable>
                  <c15:showDataLabelsRange val="0"/>
                </c:ext>
                <c:ext xmlns:c16="http://schemas.microsoft.com/office/drawing/2014/chart" uri="{C3380CC4-5D6E-409C-BE32-E72D297353CC}">
                  <c16:uniqueId val="{00000007-95A8-4370-BDA2-DAB9651CD79A}"/>
                </c:ext>
              </c:extLst>
            </c:dLbl>
            <c:dLbl>
              <c:idx val="3"/>
              <c:tx>
                <c:strRef>
                  <c:f>'Inter Rev breakdown'!$F$66</c:f>
                  <c:strCache>
                    <c:ptCount val="1"/>
                    <c:pt idx="0">
                      <c:v>18M</c:v>
                    </c:pt>
                  </c:strCache>
                </c:strRef>
              </c:tx>
              <c:spPr/>
              <c:txPr>
                <a:bodyPr/>
                <a:lstStyle/>
                <a:p>
                  <a:pPr>
                    <a:defRPr sz="800" b="0" i="0" u="none" strike="noStrike">
                      <a:solidFill>
                        <a:sysClr val="windowText" lastClr="000000"/>
                      </a:solidFill>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{DCAFF2F6-9793-433B-8B6A-E9FDD325E26F}</c15:txfldGUID>
                      <c15:f>'Inter Rev breakdown'!$F$66</c15:f>
                      <c15:dlblFieldTableCache>
                        <c:ptCount val="1"/>
                        <c:pt idx="0">
                          <c:v>18M</c:v>
                        </c:pt>
                      </c15:dlblFieldTableCache>
                    </c15:dlblFTEntry>
                  </c15:dlblFieldTable>
                  <c15:showDataLabelsRange val="0"/>
                </c:ext>
                <c:ext xmlns:c16="http://schemas.microsoft.com/office/drawing/2014/chart" uri="{C3380CC4-5D6E-409C-BE32-E72D297353CC}">
                  <c16:uniqueId val="{00000008-95A8-4370-BDA2-DAB9651CD79A}"/>
                </c:ext>
              </c:extLst>
            </c:dLbl>
            <c:spPr>
              <a:noFill/>
              <a:ln>
                <a:noFill/>
              </a:ln>
              <a:effectLst/>
            </c:spPr>
            <c:txPr>
              <a:bodyPr/>
              <a:lstStyle/>
              <a:p>
                <a:pPr>
                  <a:defRPr sz="8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 Rev breakdown'!$C$64:$F$64</c:f>
              <c:strCache>
                <c:ptCount val="4"/>
                <c:pt idx="0">
                  <c:v>Universities</c:v>
                </c:pt>
                <c:pt idx="1">
                  <c:v>For-Profit</c:v>
                </c:pt>
                <c:pt idx="2">
                  <c:v>Not-For-Profit</c:v>
                </c:pt>
                <c:pt idx="3">
                  <c:v>TAFE</c:v>
                </c:pt>
              </c:strCache>
            </c:strRef>
          </c:cat>
          <c:val>
            <c:numRef>
              <c:f>'Inter Rev breakdown'!$C$66:$F$66</c:f>
              <c:numCache>
                <c:formatCode>#,##0,,"M"</c:formatCode>
                <c:ptCount val="4"/>
                <c:pt idx="0">
                  <c:v>4341067534</c:v>
                </c:pt>
                <c:pt idx="1">
                  <c:v>384409114.58860129</c:v>
                </c:pt>
                <c:pt idx="2">
                  <c:v>101062784</c:v>
                </c:pt>
                <c:pt idx="3">
                  <c:v>17938755</c:v>
                </c:pt>
              </c:numCache>
            </c:numRef>
          </c:val>
          <c:extLst>
            <c:ext xmlns:c16="http://schemas.microsoft.com/office/drawing/2014/chart" uri="{C3380CC4-5D6E-409C-BE32-E72D297353CC}">
              <c16:uniqueId val="{00000009-95A8-4370-BDA2-DAB9651CD79A}"/>
            </c:ext>
          </c:extLst>
        </c:ser>
        <c:dLbls>
          <c:showLegendKey val="0"/>
          <c:showVal val="0"/>
          <c:showCatName val="0"/>
          <c:showSerName val="0"/>
          <c:showPercent val="0"/>
          <c:showBubbleSize val="0"/>
        </c:dLbls>
        <c:gapWidth val="35"/>
        <c:axId val="93972736"/>
        <c:axId val="92221440"/>
      </c:barChart>
      <c:catAx>
        <c:axId val="93972736"/>
        <c:scaling>
          <c:orientation val="minMax"/>
        </c:scaling>
        <c:delete val="0"/>
        <c:axPos val="b"/>
        <c:numFmt formatCode="General" sourceLinked="1"/>
        <c:majorTickMark val="out"/>
        <c:minorTickMark val="none"/>
        <c:tickLblPos val="nextTo"/>
        <c:txPr>
          <a:bodyPr/>
          <a:lstStyle/>
          <a:p>
            <a:pPr>
              <a:defRPr>
                <a:solidFill>
                  <a:sysClr val="windowText" lastClr="000000"/>
                </a:solidFill>
              </a:defRPr>
            </a:pPr>
            <a:endParaRPr lang="en-US"/>
          </a:p>
        </c:txPr>
        <c:crossAx val="92221440"/>
        <c:crosses val="autoZero"/>
        <c:auto val="1"/>
        <c:lblAlgn val="ctr"/>
        <c:lblOffset val="100"/>
        <c:noMultiLvlLbl val="0"/>
      </c:catAx>
      <c:valAx>
        <c:axId val="92221440"/>
        <c:scaling>
          <c:orientation val="minMax"/>
        </c:scaling>
        <c:delete val="1"/>
        <c:axPos val="l"/>
        <c:numFmt formatCode="#,##0,,&quot;M&quot;" sourceLinked="0"/>
        <c:majorTickMark val="out"/>
        <c:minorTickMark val="none"/>
        <c:tickLblPos val="nextTo"/>
        <c:crossAx val="93972736"/>
        <c:crosses val="autoZero"/>
        <c:crossBetween val="between"/>
      </c:valAx>
      <c:spPr>
        <a:noFill/>
      </c:spPr>
    </c:plotArea>
    <c:legend>
      <c:legendPos val="b"/>
      <c:overlay val="0"/>
    </c:legend>
    <c:plotVisOnly val="1"/>
    <c:dispBlanksAs val="gap"/>
    <c:showDLblsOverMax val="0"/>
  </c:chart>
  <c:spPr>
    <a:noFill/>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85753052917235E-2"/>
          <c:y val="5.037859553270127E-2"/>
          <c:w val="0.89959294436906379"/>
          <c:h val="0.70204081632653059"/>
        </c:manualLayout>
      </c:layout>
      <c:barChart>
        <c:barDir val="col"/>
        <c:grouping val="stacked"/>
        <c:varyColors val="0"/>
        <c:ser>
          <c:idx val="5"/>
          <c:order val="0"/>
          <c:spPr>
            <a:solidFill>
              <a:srgbClr val="846CA5"/>
            </a:solidFill>
            <a:ln w="25400">
              <a:noFill/>
            </a:ln>
          </c:spPr>
          <c:invertIfNegative val="0"/>
          <c:dPt>
            <c:idx val="0"/>
            <c:invertIfNegative val="0"/>
            <c:bubble3D val="0"/>
            <c:spPr>
              <a:solidFill>
                <a:schemeClr val="tx1"/>
              </a:solidFill>
              <a:ln w="25400">
                <a:noFill/>
              </a:ln>
            </c:spPr>
            <c:extLst>
              <c:ext xmlns:c16="http://schemas.microsoft.com/office/drawing/2014/chart" uri="{C3380CC4-5D6E-409C-BE32-E72D297353CC}">
                <c16:uniqueId val="{00000001-F441-4A2E-B671-C9F6509DB4CA}"/>
              </c:ext>
            </c:extLst>
          </c:dPt>
          <c:dPt>
            <c:idx val="5"/>
            <c:invertIfNegative val="0"/>
            <c:bubble3D val="0"/>
            <c:spPr>
              <a:solidFill>
                <a:schemeClr val="tx1"/>
              </a:solidFill>
              <a:ln w="25400">
                <a:noFill/>
              </a:ln>
            </c:spPr>
            <c:extLst>
              <c:ext xmlns:c16="http://schemas.microsoft.com/office/drawing/2014/chart" uri="{C3380CC4-5D6E-409C-BE32-E72D297353CC}">
                <c16:uniqueId val="{00000003-F441-4A2E-B671-C9F6509DB4CA}"/>
              </c:ext>
            </c:extLst>
          </c:dPt>
          <c:dLbls>
            <c:dLbl>
              <c:idx val="0"/>
              <c:tx>
                <c:rich>
                  <a:bodyPr/>
                  <a:lstStyle/>
                  <a:p>
                    <a:r>
                      <a:rPr lang="en-US"/>
                      <a:t>4.84B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41-4A2E-B671-C9F6509DB4CA}"/>
                </c:ext>
              </c:extLst>
            </c:dLbl>
            <c:dLbl>
              <c:idx val="5"/>
              <c:tx>
                <c:rich>
                  <a:bodyPr/>
                  <a:lstStyle/>
                  <a:p>
                    <a:r>
                      <a:rPr lang="en-US"/>
                      <a:t>5.47B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41-4A2E-B671-C9F6509DB4CA}"/>
                </c:ext>
              </c:extLst>
            </c:dLbl>
            <c:numFmt formatCode="#,##0.0,,,&quot;B&quot;" sourceLinked="0"/>
            <c:spPr>
              <a:noFill/>
              <a:ln>
                <a:noFill/>
              </a:ln>
              <a:effectLst/>
            </c:spPr>
            <c:txPr>
              <a:bodyPr/>
              <a:lstStyle/>
              <a:p>
                <a:pPr>
                  <a:defRPr sz="900" b="1">
                    <a:solidFill>
                      <a:srgbClr val="FFFFFF"/>
                    </a:solidFill>
                    <a:latin typeface="+mn-lt"/>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rev'!$G$2:$G$7</c:f>
              <c:numCache>
                <c:formatCode>#,##0.0;\(#,##0.0\);</c:formatCode>
                <c:ptCount val="6"/>
                <c:pt idx="0">
                  <c:v>4844478187.5886011</c:v>
                </c:pt>
                <c:pt idx="1">
                  <c:v>0</c:v>
                </c:pt>
                <c:pt idx="2">
                  <c:v>0</c:v>
                </c:pt>
                <c:pt idx="3">
                  <c:v>0</c:v>
                </c:pt>
                <c:pt idx="4">
                  <c:v>0</c:v>
                </c:pt>
                <c:pt idx="5">
                  <c:v>5470926354.318737</c:v>
                </c:pt>
              </c:numCache>
            </c:numRef>
          </c:val>
          <c:extLst>
            <c:ext xmlns:c16="http://schemas.microsoft.com/office/drawing/2014/chart" uri="{C3380CC4-5D6E-409C-BE32-E72D297353CC}">
              <c16:uniqueId val="{00000004-F441-4A2E-B671-C9F6509DB4CA}"/>
            </c:ext>
          </c:extLst>
        </c:ser>
        <c:ser>
          <c:idx val="6"/>
          <c:order val="1"/>
          <c:spPr>
            <a:noFill/>
            <a:ln w="25400">
              <a:noFill/>
            </a:ln>
          </c:spPr>
          <c:invertIfNegative val="0"/>
          <c:cat>
            <c:strRef>
              <c:f>'waterfall Int''al rev'!$A$2:$A$7</c:f>
              <c:strCache>
                <c:ptCount val="6"/>
                <c:pt idx="0">
                  <c:v>2014</c:v>
                </c:pt>
                <c:pt idx="1">
                  <c:v>Universities</c:v>
                </c:pt>
                <c:pt idx="2">
                  <c:v>For-Profit</c:v>
                </c:pt>
                <c:pt idx="3">
                  <c:v>Not-For-Profit</c:v>
                </c:pt>
                <c:pt idx="4">
                  <c:v>TAFE</c:v>
                </c:pt>
                <c:pt idx="5">
                  <c:v>2015</c:v>
                </c:pt>
              </c:strCache>
            </c:strRef>
          </c:cat>
          <c:val>
            <c:numRef>
              <c:f>'waterfall Int''al rev'!$H$2:$H$7</c:f>
              <c:numCache>
                <c:formatCode>#,##0.0;\(#,##0.0\);</c:formatCode>
                <c:ptCount val="6"/>
                <c:pt idx="0">
                  <c:v>0</c:v>
                </c:pt>
                <c:pt idx="1">
                  <c:v>4844478187.5886011</c:v>
                </c:pt>
                <c:pt idx="2">
                  <c:v>5297267653.6586018</c:v>
                </c:pt>
                <c:pt idx="3">
                  <c:v>5418816801.318737</c:v>
                </c:pt>
                <c:pt idx="4">
                  <c:v>5467141129.318737</c:v>
                </c:pt>
                <c:pt idx="5">
                  <c:v>0</c:v>
                </c:pt>
              </c:numCache>
            </c:numRef>
          </c:val>
          <c:extLst>
            <c:ext xmlns:c16="http://schemas.microsoft.com/office/drawing/2014/chart" uri="{C3380CC4-5D6E-409C-BE32-E72D297353CC}">
              <c16:uniqueId val="{00000005-F441-4A2E-B671-C9F6509DB4CA}"/>
            </c:ext>
          </c:extLst>
        </c:ser>
        <c:ser>
          <c:idx val="7"/>
          <c:order val="2"/>
          <c:spPr>
            <a:noFill/>
            <a:ln w="25400">
              <a:noFill/>
            </a:ln>
          </c:spPr>
          <c:invertIfNegative val="0"/>
          <c:cat>
            <c:strRef>
              <c:f>'waterfall Int''al rev'!$A$2:$A$7</c:f>
              <c:strCache>
                <c:ptCount val="6"/>
                <c:pt idx="0">
                  <c:v>2014</c:v>
                </c:pt>
                <c:pt idx="1">
                  <c:v>Universities</c:v>
                </c:pt>
                <c:pt idx="2">
                  <c:v>For-Profit</c:v>
                </c:pt>
                <c:pt idx="3">
                  <c:v>Not-For-Profit</c:v>
                </c:pt>
                <c:pt idx="4">
                  <c:v>TAFE</c:v>
                </c:pt>
                <c:pt idx="5">
                  <c:v>2015</c:v>
                </c:pt>
              </c:strCache>
            </c:strRef>
          </c:cat>
          <c:val>
            <c:numRef>
              <c:f>'waterfall Int''al rev'!$I$2:$I$7</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6-F441-4A2E-B671-C9F6509DB4CA}"/>
            </c:ext>
          </c:extLst>
        </c:ser>
        <c:ser>
          <c:idx val="8"/>
          <c:order val="3"/>
          <c:spPr>
            <a:solidFill>
              <a:schemeClr val="tx2"/>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F441-4A2E-B671-C9F6509DB4CA}"/>
                </c:ext>
              </c:extLst>
            </c:dLbl>
            <c:dLbl>
              <c:idx val="5"/>
              <c:delete val="1"/>
              <c:extLst>
                <c:ext xmlns:c15="http://schemas.microsoft.com/office/drawing/2012/chart" uri="{CE6537A1-D6FC-4f65-9D91-7224C49458BB}"/>
                <c:ext xmlns:c16="http://schemas.microsoft.com/office/drawing/2014/chart" uri="{C3380CC4-5D6E-409C-BE32-E72D297353CC}">
                  <c16:uniqueId val="{00000008-F441-4A2E-B671-C9F6509DB4CA}"/>
                </c:ext>
              </c:extLst>
            </c:dLbl>
            <c:numFmt formatCode="#,##0,,&quot;M&quot;" sourceLinked="0"/>
            <c:spPr>
              <a:noFill/>
              <a:ln>
                <a:noFill/>
              </a:ln>
              <a:effectLst/>
            </c:spPr>
            <c:txPr>
              <a:bodyPr/>
              <a:lstStyle/>
              <a:p>
                <a:pPr>
                  <a:defRPr sz="900">
                    <a:solidFill>
                      <a:srgbClr val="000000"/>
                    </a:solidFill>
                    <a:latin typeface="+mn-lt"/>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rev'!$J$2:$J$7</c:f>
              <c:numCache>
                <c:formatCode>#,##0;\(#,##0\);</c:formatCode>
                <c:ptCount val="6"/>
                <c:pt idx="0" formatCode="#,##0.0;\(#,##0.0\);">
                  <c:v>0</c:v>
                </c:pt>
                <c:pt idx="1">
                  <c:v>452789466.07000065</c:v>
                </c:pt>
                <c:pt idx="2">
                  <c:v>121549147.66013485</c:v>
                </c:pt>
                <c:pt idx="3">
                  <c:v>48324328</c:v>
                </c:pt>
                <c:pt idx="4">
                  <c:v>3785225</c:v>
                </c:pt>
                <c:pt idx="5" formatCode="#,##0.0;\(#,##0.0\);">
                  <c:v>0</c:v>
                </c:pt>
              </c:numCache>
            </c:numRef>
          </c:val>
          <c:extLst>
            <c:ext xmlns:c16="http://schemas.microsoft.com/office/drawing/2014/chart" uri="{C3380CC4-5D6E-409C-BE32-E72D297353CC}">
              <c16:uniqueId val="{00000009-F441-4A2E-B671-C9F6509DB4CA}"/>
            </c:ext>
          </c:extLst>
        </c:ser>
        <c:ser>
          <c:idx val="9"/>
          <c:order val="4"/>
          <c:spPr>
            <a:solidFill>
              <a:srgbClr val="DCD5E5"/>
            </a:solidFill>
            <a:ln w="25400">
              <a:noFill/>
            </a:ln>
          </c:spPr>
          <c:invertIfNegative val="0"/>
          <c:dLbls>
            <c:spPr>
              <a:noFill/>
              <a:ln>
                <a:noFill/>
              </a:ln>
              <a:effectLst/>
            </c:spPr>
            <c:txPr>
              <a:bodyPr/>
              <a:lstStyle/>
              <a:p>
                <a:pPr>
                  <a:defRPr sz="70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rev'!$K$2:$K$7</c:f>
              <c:numCache>
                <c:formatCode>#,##0;\(#,##0\);</c:formatCode>
                <c:ptCount val="6"/>
                <c:pt idx="0" formatCode="\(#,##0.0\);#,##0.0;">
                  <c:v>0</c:v>
                </c:pt>
                <c:pt idx="1">
                  <c:v>0</c:v>
                </c:pt>
                <c:pt idx="2">
                  <c:v>0</c:v>
                </c:pt>
                <c:pt idx="3">
                  <c:v>0</c:v>
                </c:pt>
                <c:pt idx="4">
                  <c:v>0</c:v>
                </c:pt>
                <c:pt idx="5" formatCode="\(#,##0.0\);#,##0.0;">
                  <c:v>0</c:v>
                </c:pt>
              </c:numCache>
            </c:numRef>
          </c:val>
          <c:extLst>
            <c:ext xmlns:c16="http://schemas.microsoft.com/office/drawing/2014/chart" uri="{C3380CC4-5D6E-409C-BE32-E72D297353CC}">
              <c16:uniqueId val="{0000000A-F441-4A2E-B671-C9F6509DB4CA}"/>
            </c:ext>
          </c:extLst>
        </c:ser>
        <c:ser>
          <c:idx val="10"/>
          <c:order val="5"/>
          <c:spPr>
            <a:solidFill>
              <a:srgbClr val="EAAB00"/>
            </a:solidFill>
            <a:ln w="25400">
              <a:noFill/>
            </a:ln>
          </c:spPr>
          <c:invertIfNegative val="0"/>
          <c:dLbls>
            <c:spPr>
              <a:noFill/>
              <a:ln>
                <a:noFill/>
              </a:ln>
              <a:effectLst/>
            </c:spPr>
            <c:txPr>
              <a:bodyPr/>
              <a:lstStyle/>
              <a:p>
                <a:pPr>
                  <a:defRPr sz="700">
                    <a:solidFill>
                      <a:srgbClr val="FF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rev'!$L$2:$L$7</c:f>
              <c:numCache>
                <c:formatCode>#,##0;\(#,##0\);</c:formatCode>
                <c:ptCount val="6"/>
                <c:pt idx="0" formatCode="\(#,##0.0\);#,##0.0;">
                  <c:v>0</c:v>
                </c:pt>
                <c:pt idx="1">
                  <c:v>0</c:v>
                </c:pt>
                <c:pt idx="2">
                  <c:v>0</c:v>
                </c:pt>
                <c:pt idx="3">
                  <c:v>0</c:v>
                </c:pt>
                <c:pt idx="4">
                  <c:v>0</c:v>
                </c:pt>
                <c:pt idx="5" formatCode="\(#,##0.0\);#,##0.0;">
                  <c:v>0</c:v>
                </c:pt>
              </c:numCache>
            </c:numRef>
          </c:val>
          <c:extLst>
            <c:ext xmlns:c16="http://schemas.microsoft.com/office/drawing/2014/chart" uri="{C3380CC4-5D6E-409C-BE32-E72D297353CC}">
              <c16:uniqueId val="{0000000B-F441-4A2E-B671-C9F6509DB4CA}"/>
            </c:ext>
          </c:extLst>
        </c:ser>
        <c:ser>
          <c:idx val="11"/>
          <c:order val="6"/>
          <c:spPr>
            <a:solidFill>
              <a:srgbClr val="EAAB00"/>
            </a:solidFill>
            <a:ln w="25400">
              <a:noFill/>
            </a:ln>
          </c:spPr>
          <c:invertIfNegative val="0"/>
          <c:dLbls>
            <c:spPr>
              <a:noFill/>
              <a:ln>
                <a:noFill/>
              </a:ln>
              <a:effectLst/>
            </c:spPr>
            <c:txPr>
              <a:bodyPr/>
              <a:lstStyle/>
              <a:p>
                <a:pPr>
                  <a:defRPr sz="700">
                    <a:solidFill>
                      <a:srgbClr val="FFFFFF"/>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rev'!$M$2:$M$7</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C-F441-4A2E-B671-C9F6509DB4CA}"/>
            </c:ext>
          </c:extLst>
        </c:ser>
        <c:ser>
          <c:idx val="12"/>
          <c:order val="7"/>
          <c:spPr>
            <a:noFill/>
            <a:ln w="25400">
              <a:noFill/>
            </a:ln>
          </c:spPr>
          <c:invertIfNegative val="0"/>
          <c:cat>
            <c:strRef>
              <c:f>'waterfall Int''al rev'!$A$2:$A$7</c:f>
              <c:strCache>
                <c:ptCount val="6"/>
                <c:pt idx="0">
                  <c:v>2014</c:v>
                </c:pt>
                <c:pt idx="1">
                  <c:v>Universities</c:v>
                </c:pt>
                <c:pt idx="2">
                  <c:v>For-Profit</c:v>
                </c:pt>
                <c:pt idx="3">
                  <c:v>Not-For-Profit</c:v>
                </c:pt>
                <c:pt idx="4">
                  <c:v>TAFE</c:v>
                </c:pt>
                <c:pt idx="5">
                  <c:v>2015</c:v>
                </c:pt>
              </c:strCache>
            </c:strRef>
          </c:cat>
          <c:val>
            <c:numRef>
              <c:f>'waterfall Int''al rev'!$N$2:$N$7</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D-F441-4A2E-B671-C9F6509DB4CA}"/>
            </c:ext>
          </c:extLst>
        </c:ser>
        <c:ser>
          <c:idx val="13"/>
          <c:order val="8"/>
          <c:spPr>
            <a:noFill/>
            <a:ln w="25400">
              <a:noFill/>
            </a:ln>
          </c:spPr>
          <c:invertIfNegative val="0"/>
          <c:cat>
            <c:strRef>
              <c:f>'waterfall Int''al rev'!$A$2:$A$7</c:f>
              <c:strCache>
                <c:ptCount val="6"/>
                <c:pt idx="0">
                  <c:v>2014</c:v>
                </c:pt>
                <c:pt idx="1">
                  <c:v>Universities</c:v>
                </c:pt>
                <c:pt idx="2">
                  <c:v>For-Profit</c:v>
                </c:pt>
                <c:pt idx="3">
                  <c:v>Not-For-Profit</c:v>
                </c:pt>
                <c:pt idx="4">
                  <c:v>TAFE</c:v>
                </c:pt>
                <c:pt idx="5">
                  <c:v>2015</c:v>
                </c:pt>
              </c:strCache>
            </c:strRef>
          </c:cat>
          <c:val>
            <c:numRef>
              <c:f>'waterfall Int''al rev'!$O$2:$O$7</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E-F441-4A2E-B671-C9F6509DB4CA}"/>
            </c:ext>
          </c:extLst>
        </c:ser>
        <c:ser>
          <c:idx val="14"/>
          <c:order val="9"/>
          <c:spPr>
            <a:solidFill>
              <a:srgbClr val="DBDBDB"/>
            </a:solidFill>
            <a:ln w="25400">
              <a:noFill/>
            </a:ln>
          </c:spPr>
          <c:invertIfNegative val="0"/>
          <c:dLbls>
            <c:spPr>
              <a:noFill/>
              <a:ln>
                <a:noFill/>
              </a:ln>
              <a:effectLst/>
            </c:spPr>
            <c:txPr>
              <a:bodyPr/>
              <a:lstStyle/>
              <a:p>
                <a:pPr>
                  <a:defRPr sz="700">
                    <a:solidFill>
                      <a:srgbClr val="FFFFFF"/>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rev'!$P$2:$P$7</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F-F441-4A2E-B671-C9F6509DB4CA}"/>
            </c:ext>
          </c:extLst>
        </c:ser>
        <c:ser>
          <c:idx val="15"/>
          <c:order val="10"/>
          <c:spPr>
            <a:solidFill>
              <a:srgbClr val="DBDBDB"/>
            </a:solidFill>
            <a:ln w="25400">
              <a:noFill/>
            </a:ln>
          </c:spPr>
          <c:invertIfNegative val="0"/>
          <c:dLbls>
            <c:spPr>
              <a:noFill/>
              <a:ln>
                <a:noFill/>
              </a:ln>
              <a:effectLst/>
            </c:spPr>
            <c:txPr>
              <a:bodyPr/>
              <a:lstStyle/>
              <a:p>
                <a:pPr>
                  <a:defRPr sz="700">
                    <a:solidFill>
                      <a:srgbClr val="FFFFFF"/>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rev'!$Q$2:$Q$7</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10-F441-4A2E-B671-C9F6509DB4CA}"/>
            </c:ext>
          </c:extLst>
        </c:ser>
        <c:ser>
          <c:idx val="16"/>
          <c:order val="11"/>
          <c:spPr>
            <a:solidFill>
              <a:srgbClr val="DBDBDB"/>
            </a:solidFill>
            <a:ln w="25400">
              <a:noFill/>
            </a:ln>
          </c:spPr>
          <c:invertIfNegative val="0"/>
          <c:dLbls>
            <c:spPr>
              <a:noFill/>
              <a:ln>
                <a:noFill/>
              </a:ln>
              <a:effectLst/>
            </c:spPr>
            <c:txPr>
              <a:bodyPr/>
              <a:lstStyle/>
              <a:p>
                <a:pPr>
                  <a:defRPr sz="700">
                    <a:solidFill>
                      <a:srgbClr val="FFFFFF"/>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rev'!$R$2:$R$7</c:f>
              <c:numCache>
                <c:formatCode>\(#,##0.0\);#,##0.0;</c:formatCode>
                <c:ptCount val="6"/>
                <c:pt idx="0">
                  <c:v>0</c:v>
                </c:pt>
                <c:pt idx="1">
                  <c:v>0</c:v>
                </c:pt>
                <c:pt idx="2">
                  <c:v>0</c:v>
                </c:pt>
                <c:pt idx="3">
                  <c:v>0</c:v>
                </c:pt>
                <c:pt idx="4">
                  <c:v>0</c:v>
                </c:pt>
              </c:numCache>
            </c:numRef>
          </c:val>
          <c:extLst>
            <c:ext xmlns:c16="http://schemas.microsoft.com/office/drawing/2014/chart" uri="{C3380CC4-5D6E-409C-BE32-E72D297353CC}">
              <c16:uniqueId val="{00000011-F441-4A2E-B671-C9F6509DB4CA}"/>
            </c:ext>
          </c:extLst>
        </c:ser>
        <c:ser>
          <c:idx val="17"/>
          <c:order val="12"/>
          <c:spPr>
            <a:solidFill>
              <a:srgbClr val="DBDBDB"/>
            </a:solidFill>
            <a:ln w="25400">
              <a:noFill/>
            </a:ln>
          </c:spPr>
          <c:invertIfNegative val="0"/>
          <c:dLbls>
            <c:spPr>
              <a:noFill/>
              <a:ln>
                <a:noFill/>
              </a:ln>
              <a:effectLst/>
            </c:spPr>
            <c:txPr>
              <a:bodyPr/>
              <a:lstStyle/>
              <a:p>
                <a:pPr>
                  <a:defRPr sz="700">
                    <a:solidFill>
                      <a:srgbClr val="FFFFFF"/>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'waterfall Int''al rev'!$A$2:$A$7</c:f>
              <c:strCache>
                <c:ptCount val="6"/>
                <c:pt idx="0">
                  <c:v>2014</c:v>
                </c:pt>
                <c:pt idx="1">
                  <c:v>Universities</c:v>
                </c:pt>
                <c:pt idx="2">
                  <c:v>For-Profit</c:v>
                </c:pt>
                <c:pt idx="3">
                  <c:v>Not-For-Profit</c:v>
                </c:pt>
                <c:pt idx="4">
                  <c:v>TAFE</c:v>
                </c:pt>
                <c:pt idx="5">
                  <c:v>2015</c:v>
                </c:pt>
              </c:strCache>
            </c:strRef>
          </c:cat>
          <c:val>
            <c:numRef>
              <c:f>'waterfall Int''al rev'!$S$2:$S$7</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12-F441-4A2E-B671-C9F6509DB4CA}"/>
            </c:ext>
          </c:extLst>
        </c:ser>
        <c:dLbls>
          <c:showLegendKey val="0"/>
          <c:showVal val="0"/>
          <c:showCatName val="0"/>
          <c:showSerName val="0"/>
          <c:showPercent val="0"/>
          <c:showBubbleSize val="0"/>
        </c:dLbls>
        <c:gapWidth val="0"/>
        <c:overlap val="100"/>
        <c:axId val="94519680"/>
        <c:axId val="94521216"/>
      </c:barChart>
      <c:catAx>
        <c:axId val="94519680"/>
        <c:scaling>
          <c:orientation val="minMax"/>
        </c:scaling>
        <c:delete val="0"/>
        <c:axPos val="b"/>
        <c:numFmt formatCode="General" sourceLinked="0"/>
        <c:majorTickMark val="out"/>
        <c:minorTickMark val="none"/>
        <c:tickLblPos val="low"/>
        <c:spPr>
          <a:ln w="3175">
            <a:solidFill>
              <a:srgbClr val="000000"/>
            </a:solidFill>
            <a:prstDash val="solid"/>
          </a:ln>
        </c:spPr>
        <c:txPr>
          <a:bodyPr rot="0" vert="horz"/>
          <a:lstStyle/>
          <a:p>
            <a:pPr>
              <a:defRPr sz="1000">
                <a:solidFill>
                  <a:srgbClr val="000000"/>
                </a:solidFill>
                <a:latin typeface="+mn-lt"/>
                <a:ea typeface="Arial Narrow"/>
                <a:cs typeface="Arial Narrow"/>
              </a:defRPr>
            </a:pPr>
            <a:endParaRPr lang="en-US"/>
          </a:p>
        </c:txPr>
        <c:crossAx val="94521216"/>
        <c:crosses val="autoZero"/>
        <c:auto val="1"/>
        <c:lblAlgn val="ctr"/>
        <c:lblOffset val="100"/>
        <c:tickLblSkip val="1"/>
        <c:noMultiLvlLbl val="0"/>
      </c:catAx>
      <c:valAx>
        <c:axId val="94521216"/>
        <c:scaling>
          <c:orientation val="minMax"/>
          <c:min val="350000"/>
        </c:scaling>
        <c:delete val="1"/>
        <c:axPos val="l"/>
        <c:numFmt formatCode="#,##0,,,&quot;B&quot;" sourceLinked="0"/>
        <c:majorTickMark val="out"/>
        <c:minorTickMark val="none"/>
        <c:tickLblPos val="nextTo"/>
        <c:crossAx val="94519680"/>
        <c:crosses val="autoZero"/>
        <c:crossBetween val="between"/>
      </c:valAx>
      <c:spPr>
        <a:noFill/>
        <a:extLst>
          <a:ext uri="{909E8E84-426E-40DD-AFC4-6F175D3DCCD1}">
            <a14:hiddenFill xmlns:a14="http://schemas.microsoft.com/office/drawing/2010/main">
              <a:solidFill>
                <a:sysClr val="window" lastClr="FFFFFF"/>
              </a:solidFill>
            </a14:hiddenFill>
          </a:ext>
        </a:extLst>
      </c:spPr>
    </c:plotArea>
    <c:plotVisOnly val="1"/>
    <c:dispBlanksAs val="gap"/>
    <c:showDLblsOverMax val="0"/>
  </c:chart>
  <c:spPr>
    <a:noFill/>
    <a:ln w="9525">
      <a:noFill/>
    </a:ln>
  </c:spPr>
  <c:txPr>
    <a:bodyPr/>
    <a:lstStyle/>
    <a:p>
      <a:pPr>
        <a:defRPr b="0" i="0">
          <a:solidFill>
            <a:srgbClr val="000000"/>
          </a:solidFill>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'Inter Rev breakdown'!$A$109</c:f>
              <c:strCache>
                <c:ptCount val="1"/>
                <c:pt idx="0">
                  <c:v>2015</c:v>
                </c:pt>
              </c:strCache>
            </c:strRef>
          </c:tx>
          <c:spPr>
            <a:solidFill>
              <a:schemeClr val="accent1"/>
            </a:solidFill>
          </c:spPr>
          <c:invertIfNegative val="0"/>
          <c:dLbls>
            <c:dLbl>
              <c:idx val="0"/>
              <c:tx>
                <c:strRef>
                  <c:f>'Inter Rev breakdown'!$C$109</c:f>
                  <c:strCache>
                    <c:ptCount val="1"/>
                    <c:pt idx="0">
                      <c:v>18M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{7CBE070A-68F6-4B69-B228-43D1122F9C5B}</c15:txfldGUID>
                      <c15:f>'Inter Rev breakdown'!$C$109</c15:f>
                      <c15:dlblFieldTableCache>
                        <c:ptCount val="1"/>
                        <c:pt idx="0">
                          <c:v>18M</c:v>
                        </c:pt>
                      </c15:dlblFieldTableCache>
                    </c15:dlblFTEntry>
                  </c15:dlblFieldTable>
                  <c15:showDataLabelsRange val="0"/>
                </c:ext>
                <c:ext xmlns:c16="http://schemas.microsoft.com/office/drawing/2014/chart" uri="{C3380CC4-5D6E-409C-BE32-E72D297353CC}">
                  <c16:uniqueId val="{00000000-EE17-4EA6-A52A-09AB0A81D2AD}"/>
                </c:ext>
              </c:extLst>
            </c:dLbl>
            <c:dLbl>
              <c:idx val="1"/>
              <c:tx>
                <c:strRef>
                  <c:f>'Inter Rev breakdown'!$D$109</c:f>
                  <c:strCache>
                    <c:ptCount val="1"/>
                    <c:pt idx="0">
                      <c:v>134M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{E7EC6DF9-45A5-4C25-8146-3C04710158D3}</c15:txfldGUID>
                      <c15:f>'Inter Rev breakdown'!$D$109</c15:f>
                      <c15:dlblFieldTableCache>
                        <c:ptCount val="1"/>
                        <c:pt idx="0">
                          <c:v>134M</c:v>
                        </c:pt>
                      </c15:dlblFieldTableCache>
                    </c15:dlblFTEntry>
                  </c15:dlblFieldTable>
                  <c15:showDataLabelsRange val="0"/>
                </c:ext>
                <c:ext xmlns:c16="http://schemas.microsoft.com/office/drawing/2014/chart" uri="{C3380CC4-5D6E-409C-BE32-E72D297353CC}">
                  <c16:uniqueId val="{00000001-EE17-4EA6-A52A-09AB0A81D2AD}"/>
                </c:ext>
              </c:extLst>
            </c:dLbl>
            <c:dLbl>
              <c:idx val="2"/>
              <c:tx>
                <c:strRef>
                  <c:f>'Inter Rev breakdown'!$E$109</c:f>
                  <c:strCache>
                    <c:ptCount val="1"/>
                    <c:pt idx="0">
                      <c:v>530M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{09AC3C43-1100-4403-ADDB-34639CB0497B}</c15:txfldGUID>
                      <c15:f>'Inter Rev breakdown'!$E$109</c15:f>
                      <c15:dlblFieldTableCache>
                        <c:ptCount val="1"/>
                        <c:pt idx="0">
                          <c:v>530M</c:v>
                        </c:pt>
                      </c15:dlblFieldTableCache>
                    </c15:dlblFTEntry>
                  </c15:dlblFieldTable>
                  <c15:showDataLabelsRange val="0"/>
                </c:ext>
                <c:ext xmlns:c16="http://schemas.microsoft.com/office/drawing/2014/chart" uri="{C3380CC4-5D6E-409C-BE32-E72D297353CC}">
                  <c16:uniqueId val="{00000002-EE17-4EA6-A52A-09AB0A81D2AD}"/>
                </c:ext>
              </c:extLst>
            </c:dLbl>
            <c:dLbl>
              <c:idx val="3"/>
              <c:tx>
                <c:strRef>
                  <c:f>'Inter Rev breakdown'!$F$109</c:f>
                  <c:strCache>
                    <c:ptCount val="1"/>
                    <c:pt idx="0">
                      <c:v>735M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{B5804472-7678-4953-AA73-3BB9F30248BB}</c15:txfldGUID>
                      <c15:f>'Inter Rev breakdown'!$F$109</c15:f>
                      <c15:dlblFieldTableCache>
                        <c:ptCount val="1"/>
                        <c:pt idx="0">
                          <c:v>735M</c:v>
                        </c:pt>
                      </c15:dlblFieldTableCache>
                    </c15:dlblFTEntry>
                  </c15:dlblFieldTable>
                  <c15:showDataLabelsRange val="0"/>
                </c:ext>
                <c:ext xmlns:c16="http://schemas.microsoft.com/office/drawing/2014/chart" uri="{C3380CC4-5D6E-409C-BE32-E72D297353CC}">
                  <c16:uniqueId val="{00000003-EE17-4EA6-A52A-09AB0A81D2AD}"/>
                </c:ext>
              </c:extLst>
            </c:dLbl>
            <c:dLbl>
              <c:idx val="4"/>
              <c:tx>
                <c:strRef>
                  <c:f>'Inter Rev breakdown'!$G$109</c:f>
                  <c:strCache>
                    <c:ptCount val="1"/>
                    <c:pt idx="0">
                      <c:v>4,054M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{F64594AF-AF1A-486F-99DD-E259AF47C464}</c15:txfldGUID>
                      <c15:f>'Inter Rev breakdown'!$G$109</c15:f>
                      <c15:dlblFieldTableCache>
                        <c:ptCount val="1"/>
                        <c:pt idx="0">
                          <c:v>4,054M</c:v>
                        </c:pt>
                      </c15:dlblFieldTableCache>
                    </c15:dlblFTEntry>
                  </c15:dlblFieldTable>
                  <c15:showDataLabelsRange val="0"/>
                </c:ext>
                <c:ext xmlns:c16="http://schemas.microsoft.com/office/drawing/2014/chart" uri="{C3380CC4-5D6E-409C-BE32-E72D297353CC}">
                  <c16:uniqueId val="{00000004-EE17-4EA6-A52A-09AB0A81D2AD}"/>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 Rev breakdown'!$C$108:$G$108</c:f>
              <c:strCache>
                <c:ptCount val="5"/>
                <c:pt idx="0">
                  <c:v>&lt; 100</c:v>
                </c:pt>
                <c:pt idx="1">
                  <c:v>100 ≤ 499</c:v>
                </c:pt>
                <c:pt idx="2">
                  <c:v>500 ≤ 4999</c:v>
                </c:pt>
                <c:pt idx="3">
                  <c:v>5000 ≤ 19999</c:v>
                </c:pt>
                <c:pt idx="4">
                  <c:v>≥ 20000</c:v>
                </c:pt>
              </c:strCache>
            </c:strRef>
          </c:cat>
          <c:val>
            <c:numRef>
              <c:f>'Inter Rev breakdown'!$C$109:$G$109</c:f>
              <c:numCache>
                <c:formatCode>#,##0,,"M"</c:formatCode>
                <c:ptCount val="5"/>
                <c:pt idx="0">
                  <c:v>17633121</c:v>
                </c:pt>
                <c:pt idx="1">
                  <c:v>134166758.24873611</c:v>
                </c:pt>
                <c:pt idx="2">
                  <c:v>529900299</c:v>
                </c:pt>
                <c:pt idx="3">
                  <c:v>735356176.07000065</c:v>
                </c:pt>
                <c:pt idx="4">
                  <c:v>4053870000</c:v>
                </c:pt>
              </c:numCache>
            </c:numRef>
          </c:val>
          <c:extLst>
            <c:ext xmlns:c16="http://schemas.microsoft.com/office/drawing/2014/chart" uri="{C3380CC4-5D6E-409C-BE32-E72D297353CC}">
              <c16:uniqueId val="{00000005-EE17-4EA6-A52A-09AB0A81D2AD}"/>
            </c:ext>
          </c:extLst>
        </c:ser>
        <c:ser>
          <c:idx val="1"/>
          <c:order val="1"/>
          <c:tx>
            <c:strRef>
              <c:f>'Inter Rev breakdown'!$A$110</c:f>
              <c:strCache>
                <c:ptCount val="1"/>
                <c:pt idx="0">
                  <c:v>2014</c:v>
                </c:pt>
              </c:strCache>
            </c:strRef>
          </c:tx>
          <c:spPr>
            <a:solidFill>
              <a:schemeClr val="tx2"/>
            </a:solidFill>
          </c:spPr>
          <c:invertIfNegative val="0"/>
          <c:dLbls>
            <c:dLbl>
              <c:idx val="0"/>
              <c:tx>
                <c:strRef>
                  <c:f>'Inter Rev breakdown'!$C$110</c:f>
                  <c:strCache>
                    <c:ptCount val="1"/>
                    <c:pt idx="0">
                      <c:v>11M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{F91CBDAD-C9CF-4011-9CA2-43FEDAEC3E4E}</c15:txfldGUID>
                      <c15:f>'Inter Rev breakdown'!$C$110</c15:f>
                      <c15:dlblFieldTableCache>
                        <c:ptCount val="1"/>
                        <c:pt idx="0">
                          <c:v>11M</c:v>
                        </c:pt>
                      </c15:dlblFieldTableCache>
                    </c15:dlblFTEntry>
                  </c15:dlblFieldTable>
                  <c15:showDataLabelsRange val="0"/>
                </c:ext>
                <c:ext xmlns:c16="http://schemas.microsoft.com/office/drawing/2014/chart" uri="{C3380CC4-5D6E-409C-BE32-E72D297353CC}">
                  <c16:uniqueId val="{00000006-EE17-4EA6-A52A-09AB0A81D2AD}"/>
                </c:ext>
              </c:extLst>
            </c:dLbl>
            <c:dLbl>
              <c:idx val="1"/>
              <c:tx>
                <c:strRef>
                  <c:f>'Inter Rev breakdown'!$D$110</c:f>
                  <c:strCache>
                    <c:ptCount val="1"/>
                    <c:pt idx="0">
                      <c:v>125M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{8B3ED316-0B7E-407D-925B-56057C926723}</c15:txfldGUID>
                      <c15:f>'Inter Rev breakdown'!$D$110</c15:f>
                      <c15:dlblFieldTableCache>
                        <c:ptCount val="1"/>
                        <c:pt idx="0">
                          <c:v>125M</c:v>
                        </c:pt>
                      </c15:dlblFieldTableCache>
                    </c15:dlblFTEntry>
                  </c15:dlblFieldTable>
                  <c15:showDataLabelsRange val="0"/>
                </c:ext>
                <c:ext xmlns:c16="http://schemas.microsoft.com/office/drawing/2014/chart" uri="{C3380CC4-5D6E-409C-BE32-E72D297353CC}">
                  <c16:uniqueId val="{00000007-EE17-4EA6-A52A-09AB0A81D2AD}"/>
                </c:ext>
              </c:extLst>
            </c:dLbl>
            <c:dLbl>
              <c:idx val="2"/>
              <c:tx>
                <c:strRef>
                  <c:f>'Inter Rev breakdown'!$E$110</c:f>
                  <c:strCache>
                    <c:ptCount val="1"/>
                    <c:pt idx="0">
                      <c:v>372M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{C31E177C-92DA-460A-8330-70AEDC22E7CC}</c15:txfldGUID>
                      <c15:f>'Inter Rev breakdown'!$E$110</c15:f>
                      <c15:dlblFieldTableCache>
                        <c:ptCount val="1"/>
                        <c:pt idx="0">
                          <c:v>372M</c:v>
                        </c:pt>
                      </c15:dlblFieldTableCache>
                    </c15:dlblFTEntry>
                  </c15:dlblFieldTable>
                  <c15:showDataLabelsRange val="0"/>
                </c:ext>
                <c:ext xmlns:c16="http://schemas.microsoft.com/office/drawing/2014/chart" uri="{C3380CC4-5D6E-409C-BE32-E72D297353CC}">
                  <c16:uniqueId val="{00000008-EE17-4EA6-A52A-09AB0A81D2AD}"/>
                </c:ext>
              </c:extLst>
            </c:dLbl>
            <c:dLbl>
              <c:idx val="3"/>
              <c:tx>
                <c:strRef>
                  <c:f>'Inter Rev breakdown'!$F$110</c:f>
                  <c:strCache>
                    <c:ptCount val="1"/>
                    <c:pt idx="0">
                      <c:v>748M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{946E4F5E-987F-4B65-959B-C07EDEB901E5}</c15:txfldGUID>
                      <c15:f>'Inter Rev breakdown'!$F$110</c15:f>
                      <c15:dlblFieldTableCache>
                        <c:ptCount val="1"/>
                        <c:pt idx="0">
                          <c:v>748M</c:v>
                        </c:pt>
                      </c15:dlblFieldTableCache>
                    </c15:dlblFTEntry>
                  </c15:dlblFieldTable>
                  <c15:showDataLabelsRange val="0"/>
                </c:ext>
                <c:ext xmlns:c16="http://schemas.microsoft.com/office/drawing/2014/chart" uri="{C3380CC4-5D6E-409C-BE32-E72D297353CC}">
                  <c16:uniqueId val="{00000009-EE17-4EA6-A52A-09AB0A81D2AD}"/>
                </c:ext>
              </c:extLst>
            </c:dLbl>
            <c:dLbl>
              <c:idx val="4"/>
              <c:tx>
                <c:strRef>
                  <c:f>'Inter Rev breakdown'!$G$110</c:f>
                  <c:strCache>
                    <c:ptCount val="1"/>
                    <c:pt idx="0">
                      <c:v>3,589M</c:v>
                    </c:pt>
                  </c:strCache>
                </c:strRef>
              </c:tx>
              <c:spPr/>
              <c:txPr>
                <a:bodyPr/>
                <a:lstStyle/>
                <a:p>
                  <a:pPr>
                    <a:defRPr sz="800" b="0" i="0" u="none" strike="noStrike">
                      <a:latin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dlblFTEntry>
                      <c15:txfldGUID>{E9FCA19E-6D5C-4F9D-A067-1A5416EB8AFA}</c15:txfldGUID>
                      <c15:f>'Inter Rev breakdown'!$G$110</c15:f>
                      <c15:dlblFieldTableCache>
                        <c:ptCount val="1"/>
                        <c:pt idx="0">
                          <c:v>3,589M</c:v>
                        </c:pt>
                      </c15:dlblFieldTableCache>
                    </c15:dlblFTEntry>
                  </c15:dlblFieldTable>
                  <c15:showDataLabelsRange val="0"/>
                </c:ext>
                <c:ext xmlns:c16="http://schemas.microsoft.com/office/drawing/2014/chart" uri="{C3380CC4-5D6E-409C-BE32-E72D297353CC}">
                  <c16:uniqueId val="{0000000A-EE17-4EA6-A52A-09AB0A81D2AD}"/>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 Rev breakdown'!$C$108:$G$108</c:f>
              <c:strCache>
                <c:ptCount val="5"/>
                <c:pt idx="0">
                  <c:v>&lt; 100</c:v>
                </c:pt>
                <c:pt idx="1">
                  <c:v>100 ≤ 499</c:v>
                </c:pt>
                <c:pt idx="2">
                  <c:v>500 ≤ 4999</c:v>
                </c:pt>
                <c:pt idx="3">
                  <c:v>5000 ≤ 19999</c:v>
                </c:pt>
                <c:pt idx="4">
                  <c:v>≥ 20000</c:v>
                </c:pt>
              </c:strCache>
            </c:strRef>
          </c:cat>
          <c:val>
            <c:numRef>
              <c:f>'Inter Rev breakdown'!$C$110:$G$110</c:f>
              <c:numCache>
                <c:formatCode>#,##0,,"M"</c:formatCode>
                <c:ptCount val="5"/>
                <c:pt idx="0">
                  <c:v>10608447</c:v>
                </c:pt>
                <c:pt idx="1">
                  <c:v>125447315.58860131</c:v>
                </c:pt>
                <c:pt idx="2">
                  <c:v>371838425</c:v>
                </c:pt>
                <c:pt idx="3">
                  <c:v>747692000</c:v>
                </c:pt>
                <c:pt idx="4">
                  <c:v>3588892000</c:v>
                </c:pt>
              </c:numCache>
            </c:numRef>
          </c:val>
          <c:extLst>
            <c:ext xmlns:c16="http://schemas.microsoft.com/office/drawing/2014/chart" uri="{C3380CC4-5D6E-409C-BE32-E72D297353CC}">
              <c16:uniqueId val="{0000000B-EE17-4EA6-A52A-09AB0A81D2AD}"/>
            </c:ext>
          </c:extLst>
        </c:ser>
        <c:dLbls>
          <c:showLegendKey val="0"/>
          <c:showVal val="0"/>
          <c:showCatName val="0"/>
          <c:showSerName val="0"/>
          <c:showPercent val="0"/>
          <c:showBubbleSize val="0"/>
        </c:dLbls>
        <c:gapWidth val="35"/>
        <c:axId val="94585600"/>
        <c:axId val="94587136"/>
      </c:barChart>
      <c:catAx>
        <c:axId val="94585600"/>
        <c:scaling>
          <c:orientation val="minMax"/>
        </c:scaling>
        <c:delete val="0"/>
        <c:axPos val="b"/>
        <c:numFmt formatCode="General" sourceLinked="0"/>
        <c:majorTickMark val="out"/>
        <c:minorTickMark val="none"/>
        <c:tickLblPos val="nextTo"/>
        <c:crossAx val="94587136"/>
        <c:crosses val="autoZero"/>
        <c:auto val="1"/>
        <c:lblAlgn val="ctr"/>
        <c:lblOffset val="100"/>
        <c:noMultiLvlLbl val="0"/>
      </c:catAx>
      <c:valAx>
        <c:axId val="94587136"/>
        <c:scaling>
          <c:orientation val="minMax"/>
        </c:scaling>
        <c:delete val="1"/>
        <c:axPos val="l"/>
        <c:numFmt formatCode="#,##0,,&quot;M&quot;" sourceLinked="1"/>
        <c:majorTickMark val="out"/>
        <c:minorTickMark val="none"/>
        <c:tickLblPos val="nextTo"/>
        <c:crossAx val="94585600"/>
        <c:crosses val="autoZero"/>
        <c:crossBetween val="between"/>
      </c:valAx>
      <c:spPr>
        <a:noFill/>
      </c:spPr>
    </c:plotArea>
    <c:legend>
      <c:legendPos val="b"/>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38145231846021"/>
          <c:y val="5.0925925925925923E-2"/>
          <c:w val="0.69059638378536015"/>
          <c:h val="0.8884106051428885"/>
        </c:manualLayout>
      </c:layout>
      <c:doughnutChart>
        <c:varyColors val="1"/>
        <c:ser>
          <c:idx val="0"/>
          <c:order val="0"/>
          <c:tx>
            <c:strRef>
              <c:f>'Rev breakdown v2'!$B$140</c:f>
              <c:strCache>
                <c:ptCount val="1"/>
                <c:pt idx="0">
                  <c:v>Universities</c:v>
                </c:pt>
              </c:strCache>
            </c:strRef>
          </c:tx>
          <c:dPt>
            <c:idx val="0"/>
            <c:bubble3D val="0"/>
            <c:spPr>
              <a:solidFill>
                <a:srgbClr val="0062AC"/>
              </a:solidFill>
            </c:spPr>
            <c:extLst>
              <c:ext xmlns:c16="http://schemas.microsoft.com/office/drawing/2014/chart" uri="{C3380CC4-5D6E-409C-BE32-E72D297353CC}">
                <c16:uniqueId val="{00000001-A316-4E95-B647-96D056AA8D77}"/>
              </c:ext>
            </c:extLst>
          </c:dPt>
          <c:dPt>
            <c:idx val="1"/>
            <c:bubble3D val="0"/>
            <c:spPr>
              <a:solidFill>
                <a:srgbClr val="A72932"/>
              </a:solidFill>
            </c:spPr>
            <c:extLst>
              <c:ext xmlns:c16="http://schemas.microsoft.com/office/drawing/2014/chart" uri="{C3380CC4-5D6E-409C-BE32-E72D297353CC}">
                <c16:uniqueId val="{00000003-A316-4E95-B647-96D056AA8D77}"/>
              </c:ext>
            </c:extLst>
          </c:dPt>
          <c:dPt>
            <c:idx val="2"/>
            <c:bubble3D val="0"/>
            <c:spPr>
              <a:solidFill>
                <a:srgbClr val="70AC2E"/>
              </a:solidFill>
            </c:spPr>
            <c:extLst>
              <c:ext xmlns:c16="http://schemas.microsoft.com/office/drawing/2014/chart" uri="{C3380CC4-5D6E-409C-BE32-E72D297353CC}">
                <c16:uniqueId val="{00000005-A316-4E95-B647-96D056AA8D77}"/>
              </c:ext>
            </c:extLst>
          </c:dPt>
          <c:dPt>
            <c:idx val="3"/>
            <c:bubble3D val="0"/>
            <c:spPr>
              <a:solidFill>
                <a:srgbClr val="00B0F0"/>
              </a:solidFill>
            </c:spPr>
            <c:extLst>
              <c:ext xmlns:c16="http://schemas.microsoft.com/office/drawing/2014/chart" uri="{C3380CC4-5D6E-409C-BE32-E72D297353CC}">
                <c16:uniqueId val="{00000007-A316-4E95-B647-96D056AA8D77}"/>
              </c:ext>
            </c:extLst>
          </c:dPt>
          <c:dPt>
            <c:idx val="4"/>
            <c:bubble3D val="0"/>
            <c:spPr>
              <a:solidFill>
                <a:srgbClr val="7030A0"/>
              </a:solidFill>
            </c:spPr>
            <c:extLst>
              <c:ext xmlns:c16="http://schemas.microsoft.com/office/drawing/2014/chart" uri="{C3380CC4-5D6E-409C-BE32-E72D297353CC}">
                <c16:uniqueId val="{00000009-A316-4E95-B647-96D056AA8D77}"/>
              </c:ext>
            </c:extLst>
          </c:dPt>
          <c:dLbls>
            <c:numFmt formatCode="0%" sourceLinked="0"/>
            <c:spPr>
              <a:noFill/>
              <a:ln>
                <a:noFill/>
              </a:ln>
              <a:effectLst/>
            </c:spPr>
            <c:txPr>
              <a:bodyPr/>
              <a:lstStyle/>
              <a:p>
                <a:pPr>
                  <a:defRPr sz="900">
                    <a:solidFill>
                      <a:schemeClr val="bg2"/>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'Rev breakdown v2'!$A$141:$A$145</c:f>
              <c:strCache>
                <c:ptCount val="5"/>
                <c:pt idx="0">
                  <c:v>Government grants and programs</c:v>
                </c:pt>
                <c:pt idx="1">
                  <c:v>Higher education domestic students</c:v>
                </c:pt>
                <c:pt idx="2">
                  <c:v>Higher education international students</c:v>
                </c:pt>
                <c:pt idx="3">
                  <c:v>Non higher education domestic students</c:v>
                </c:pt>
                <c:pt idx="4">
                  <c:v>Other sources (including donation, non-HE international students, HE third-party delivery)</c:v>
                </c:pt>
              </c:strCache>
            </c:strRef>
          </c:cat>
          <c:val>
            <c:numRef>
              <c:f>'Rev breakdown v2'!$B$141:$B$145</c:f>
              <c:numCache>
                <c:formatCode>0.0%</c:formatCode>
                <c:ptCount val="5"/>
                <c:pt idx="0">
                  <c:v>0.42084351084701682</c:v>
                </c:pt>
                <c:pt idx="1">
                  <c:v>0.25361279309939194</c:v>
                </c:pt>
                <c:pt idx="2">
                  <c:v>0.17408807600682483</c:v>
                </c:pt>
                <c:pt idx="3">
                  <c:v>4.3771539250186953E-3</c:v>
                </c:pt>
                <c:pt idx="4">
                  <c:v>0.14707846612174766</c:v>
                </c:pt>
              </c:numCache>
            </c:numRef>
          </c:val>
          <c:extLst>
            <c:ext xmlns:c16="http://schemas.microsoft.com/office/drawing/2014/chart" uri="{C3380CC4-5D6E-409C-BE32-E72D297353CC}">
              <c16:uniqueId val="{0000000A-A316-4E95-B647-96D056AA8D77}"/>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38145231846021"/>
          <c:y val="5.0925925925925923E-2"/>
          <c:w val="0.74152230971128619"/>
          <c:h val="0.93338472551070983"/>
        </c:manualLayout>
      </c:layout>
      <c:doughnutChart>
        <c:varyColors val="1"/>
        <c:ser>
          <c:idx val="1"/>
          <c:order val="0"/>
          <c:tx>
            <c:strRef>
              <c:f>'Rev breakdown v2'!$E$140</c:f>
              <c:strCache>
                <c:ptCount val="1"/>
                <c:pt idx="0">
                  <c:v>TAFE</c:v>
                </c:pt>
              </c:strCache>
            </c:strRef>
          </c:tx>
          <c:dPt>
            <c:idx val="0"/>
            <c:bubble3D val="0"/>
            <c:spPr>
              <a:solidFill>
                <a:srgbClr val="0062AC"/>
              </a:solidFill>
            </c:spPr>
            <c:extLst>
              <c:ext xmlns:c16="http://schemas.microsoft.com/office/drawing/2014/chart" uri="{C3380CC4-5D6E-409C-BE32-E72D297353CC}">
                <c16:uniqueId val="{00000001-865B-4813-997D-E217B6EB211A}"/>
              </c:ext>
            </c:extLst>
          </c:dPt>
          <c:dPt>
            <c:idx val="1"/>
            <c:bubble3D val="0"/>
            <c:spPr>
              <a:solidFill>
                <a:srgbClr val="A72932"/>
              </a:solidFill>
            </c:spPr>
            <c:extLst>
              <c:ext xmlns:c16="http://schemas.microsoft.com/office/drawing/2014/chart" uri="{C3380CC4-5D6E-409C-BE32-E72D297353CC}">
                <c16:uniqueId val="{00000003-865B-4813-997D-E217B6EB211A}"/>
              </c:ext>
            </c:extLst>
          </c:dPt>
          <c:dPt>
            <c:idx val="2"/>
            <c:bubble3D val="0"/>
            <c:spPr>
              <a:solidFill>
                <a:srgbClr val="70AC2E"/>
              </a:solidFill>
            </c:spPr>
            <c:extLst>
              <c:ext xmlns:c16="http://schemas.microsoft.com/office/drawing/2014/chart" uri="{C3380CC4-5D6E-409C-BE32-E72D297353CC}">
                <c16:uniqueId val="{00000005-865B-4813-997D-E217B6EB211A}"/>
              </c:ext>
            </c:extLst>
          </c:dPt>
          <c:dPt>
            <c:idx val="3"/>
            <c:bubble3D val="0"/>
            <c:spPr>
              <a:solidFill>
                <a:srgbClr val="00B0F0"/>
              </a:solidFill>
            </c:spPr>
            <c:extLst>
              <c:ext xmlns:c16="http://schemas.microsoft.com/office/drawing/2014/chart" uri="{C3380CC4-5D6E-409C-BE32-E72D297353CC}">
                <c16:uniqueId val="{00000007-865B-4813-997D-E217B6EB211A}"/>
              </c:ext>
            </c:extLst>
          </c:dPt>
          <c:dPt>
            <c:idx val="4"/>
            <c:bubble3D val="0"/>
            <c:spPr>
              <a:solidFill>
                <a:srgbClr val="7030A0"/>
              </a:solidFill>
            </c:spPr>
            <c:extLst>
              <c:ext xmlns:c16="http://schemas.microsoft.com/office/drawing/2014/chart" uri="{C3380CC4-5D6E-409C-BE32-E72D297353CC}">
                <c16:uniqueId val="{00000009-865B-4813-997D-E217B6EB211A}"/>
              </c:ext>
            </c:extLst>
          </c:dPt>
          <c:dLbls>
            <c:dLbl>
              <c:idx val="1"/>
              <c:layout>
                <c:manualLayout>
                  <c:x val="3.24486001749781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65B-4813-997D-E217B6EB211A}"/>
                </c:ext>
              </c:extLst>
            </c:dLbl>
            <c:dLbl>
              <c:idx val="2"/>
              <c:layout>
                <c:manualLayout>
                  <c:x val="-1.4847809948032665E-2"/>
                  <c:y val="-5.83771161704611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65B-4813-997D-E217B6EB211A}"/>
                </c:ext>
              </c:extLst>
            </c:dLbl>
            <c:numFmt formatCode="0%" sourceLinked="0"/>
            <c:spPr>
              <a:noFill/>
              <a:ln>
                <a:noFill/>
              </a:ln>
              <a:effectLst/>
            </c:spPr>
            <c:txPr>
              <a:bodyPr/>
              <a:lstStyle/>
              <a:p>
                <a:pPr>
                  <a:defRPr sz="900">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'Rev breakdown v2'!$A$141:$A$145</c:f>
              <c:strCache>
                <c:ptCount val="5"/>
                <c:pt idx="0">
                  <c:v>Government grants and programs</c:v>
                </c:pt>
                <c:pt idx="1">
                  <c:v>Higher education domestic students (including FEE-HELP, HECS HELP, full fee paying student revenue)</c:v>
                </c:pt>
                <c:pt idx="2">
                  <c:v>Higher education international students</c:v>
                </c:pt>
                <c:pt idx="3">
                  <c:v>Non higher education (including VET, ELICOS, non-award)</c:v>
                </c:pt>
                <c:pt idx="4">
                  <c:v>Other sources (including donations, HE third-party delivery, commercial activities)</c:v>
                </c:pt>
              </c:strCache>
            </c:strRef>
          </c:cat>
          <c:val>
            <c:numRef>
              <c:f>'Rev breakdown v2'!$E$141:$E$145</c:f>
              <c:numCache>
                <c:formatCode>0.0%</c:formatCode>
                <c:ptCount val="5"/>
                <c:pt idx="0">
                  <c:v>0.54727391384192037</c:v>
                </c:pt>
                <c:pt idx="1">
                  <c:v>1.0112611575347357E-2</c:v>
                </c:pt>
                <c:pt idx="2">
                  <c:v>6.0544312920480332E-3</c:v>
                </c:pt>
                <c:pt idx="3">
                  <c:v>0.33717021620137366</c:v>
                </c:pt>
                <c:pt idx="4">
                  <c:v>9.9388827089310572E-2</c:v>
                </c:pt>
              </c:numCache>
            </c:numRef>
          </c:val>
          <c:extLst>
            <c:ext xmlns:c16="http://schemas.microsoft.com/office/drawing/2014/chart" uri="{C3380CC4-5D6E-409C-BE32-E72D297353CC}">
              <c16:uniqueId val="{0000000A-865B-4813-997D-E217B6EB211A}"/>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38145231846021"/>
          <c:y val="5.0925925925925923E-2"/>
          <c:w val="0.71772540756349124"/>
          <c:h val="0.89088293596167611"/>
        </c:manualLayout>
      </c:layout>
      <c:doughnutChart>
        <c:varyColors val="1"/>
        <c:ser>
          <c:idx val="1"/>
          <c:order val="0"/>
          <c:tx>
            <c:strRef>
              <c:f>'Rev breakdown v2'!$C$140</c:f>
              <c:strCache>
                <c:ptCount val="1"/>
                <c:pt idx="0">
                  <c:v>For-Profit</c:v>
                </c:pt>
              </c:strCache>
            </c:strRef>
          </c:tx>
          <c:dPt>
            <c:idx val="1"/>
            <c:bubble3D val="0"/>
            <c:spPr>
              <a:solidFill>
                <a:srgbClr val="A72932"/>
              </a:solidFill>
            </c:spPr>
            <c:extLst>
              <c:ext xmlns:c16="http://schemas.microsoft.com/office/drawing/2014/chart" uri="{C3380CC4-5D6E-409C-BE32-E72D297353CC}">
                <c16:uniqueId val="{00000001-5B1C-4F9C-B572-6E75B0BA0167}"/>
              </c:ext>
            </c:extLst>
          </c:dPt>
          <c:dPt>
            <c:idx val="2"/>
            <c:bubble3D val="0"/>
            <c:spPr>
              <a:solidFill>
                <a:srgbClr val="70AC2E"/>
              </a:solidFill>
            </c:spPr>
            <c:extLst>
              <c:ext xmlns:c16="http://schemas.microsoft.com/office/drawing/2014/chart" uri="{C3380CC4-5D6E-409C-BE32-E72D297353CC}">
                <c16:uniqueId val="{00000003-5B1C-4F9C-B572-6E75B0BA0167}"/>
              </c:ext>
            </c:extLst>
          </c:dPt>
          <c:dPt>
            <c:idx val="3"/>
            <c:bubble3D val="0"/>
            <c:spPr>
              <a:solidFill>
                <a:srgbClr val="00B0F0"/>
              </a:solidFill>
            </c:spPr>
            <c:extLst>
              <c:ext xmlns:c16="http://schemas.microsoft.com/office/drawing/2014/chart" uri="{C3380CC4-5D6E-409C-BE32-E72D297353CC}">
                <c16:uniqueId val="{00000005-5B1C-4F9C-B572-6E75B0BA0167}"/>
              </c:ext>
            </c:extLst>
          </c:dPt>
          <c:dPt>
            <c:idx val="4"/>
            <c:bubble3D val="0"/>
            <c:spPr>
              <a:solidFill>
                <a:srgbClr val="7030A0"/>
              </a:solidFill>
            </c:spPr>
            <c:extLst>
              <c:ext xmlns:c16="http://schemas.microsoft.com/office/drawing/2014/chart" uri="{C3380CC4-5D6E-409C-BE32-E72D297353CC}">
                <c16:uniqueId val="{00000007-5B1C-4F9C-B572-6E75B0BA0167}"/>
              </c:ext>
            </c:extLst>
          </c:dPt>
          <c:dLbls>
            <c:dLbl>
              <c:idx val="0"/>
              <c:delete val="1"/>
              <c:extLst>
                <c:ext xmlns:c15="http://schemas.microsoft.com/office/drawing/2012/chart" uri="{CE6537A1-D6FC-4f65-9D91-7224C49458BB}"/>
                <c:ext xmlns:c16="http://schemas.microsoft.com/office/drawing/2014/chart" uri="{C3380CC4-5D6E-409C-BE32-E72D297353CC}">
                  <c16:uniqueId val="{00000008-5B1C-4F9C-B572-6E75B0BA0167}"/>
                </c:ext>
              </c:extLst>
            </c:dLbl>
            <c:numFmt formatCode="0%" sourceLinked="0"/>
            <c:spPr>
              <a:noFill/>
              <a:ln>
                <a:noFill/>
              </a:ln>
              <a:effectLst/>
            </c:spPr>
            <c:txPr>
              <a:bodyPr/>
              <a:lstStyle/>
              <a:p>
                <a:pPr>
                  <a:defRPr sz="900">
                    <a:solidFill>
                      <a:schemeClr val="bg2"/>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'Rev breakdown v2'!$A$141:$A$145</c:f>
              <c:strCache>
                <c:ptCount val="5"/>
                <c:pt idx="0">
                  <c:v>Government grants and programs</c:v>
                </c:pt>
                <c:pt idx="1">
                  <c:v>Higher education domestic students (including FEE-HELP, HECS HELP, full fee paying student revenue)</c:v>
                </c:pt>
                <c:pt idx="2">
                  <c:v>Higher education international students</c:v>
                </c:pt>
                <c:pt idx="3">
                  <c:v>Non higher education (including VET, ELICOS, non-award)</c:v>
                </c:pt>
                <c:pt idx="4">
                  <c:v>Other sources (including donations, HE third-party delivery, commercial activities)</c:v>
                </c:pt>
              </c:strCache>
            </c:strRef>
          </c:cat>
          <c:val>
            <c:numRef>
              <c:f>'Rev breakdown v2'!$C$141:$C$145</c:f>
              <c:numCache>
                <c:formatCode>0.0%</c:formatCode>
                <c:ptCount val="5"/>
                <c:pt idx="0">
                  <c:v>5.3622446680805897E-4</c:v>
                </c:pt>
                <c:pt idx="1">
                  <c:v>0.26707973973466703</c:v>
                </c:pt>
                <c:pt idx="2">
                  <c:v>0.33892725362711318</c:v>
                </c:pt>
                <c:pt idx="3">
                  <c:v>0.34244397097124291</c:v>
                </c:pt>
                <c:pt idx="4">
                  <c:v>5.1012811200168776E-2</c:v>
                </c:pt>
              </c:numCache>
            </c:numRef>
          </c:val>
          <c:extLst>
            <c:ext xmlns:c16="http://schemas.microsoft.com/office/drawing/2014/chart" uri="{C3380CC4-5D6E-409C-BE32-E72D297353CC}">
              <c16:uniqueId val="{00000009-5B1C-4F9C-B572-6E75B0BA0167}"/>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1260038292966"/>
          <c:y val="7.500460468757196E-2"/>
          <c:w val="0.69653361038203554"/>
          <c:h val="0.87675559348787679"/>
        </c:manualLayout>
      </c:layout>
      <c:doughnutChart>
        <c:varyColors val="1"/>
        <c:ser>
          <c:idx val="1"/>
          <c:order val="0"/>
          <c:tx>
            <c:strRef>
              <c:f>'Rev breakdown v2'!$D$140</c:f>
              <c:strCache>
                <c:ptCount val="1"/>
                <c:pt idx="0">
                  <c:v>Not-For-Profit</c:v>
                </c:pt>
              </c:strCache>
            </c:strRef>
          </c:tx>
          <c:dPt>
            <c:idx val="0"/>
            <c:bubble3D val="0"/>
            <c:spPr>
              <a:solidFill>
                <a:srgbClr val="0062AC"/>
              </a:solidFill>
            </c:spPr>
            <c:extLst>
              <c:ext xmlns:c16="http://schemas.microsoft.com/office/drawing/2014/chart" uri="{C3380CC4-5D6E-409C-BE32-E72D297353CC}">
                <c16:uniqueId val="{00000001-32FF-4DF1-8E58-B66C49EBC3E4}"/>
              </c:ext>
            </c:extLst>
          </c:dPt>
          <c:dPt>
            <c:idx val="1"/>
            <c:bubble3D val="0"/>
            <c:spPr>
              <a:solidFill>
                <a:srgbClr val="A72932"/>
              </a:solidFill>
            </c:spPr>
            <c:extLst>
              <c:ext xmlns:c16="http://schemas.microsoft.com/office/drawing/2014/chart" uri="{C3380CC4-5D6E-409C-BE32-E72D297353CC}">
                <c16:uniqueId val="{00000003-32FF-4DF1-8E58-B66C49EBC3E4}"/>
              </c:ext>
            </c:extLst>
          </c:dPt>
          <c:dPt>
            <c:idx val="2"/>
            <c:bubble3D val="0"/>
            <c:spPr>
              <a:solidFill>
                <a:srgbClr val="70AC2E"/>
              </a:solidFill>
            </c:spPr>
            <c:extLst>
              <c:ext xmlns:c16="http://schemas.microsoft.com/office/drawing/2014/chart" uri="{C3380CC4-5D6E-409C-BE32-E72D297353CC}">
                <c16:uniqueId val="{00000005-32FF-4DF1-8E58-B66C49EBC3E4}"/>
              </c:ext>
            </c:extLst>
          </c:dPt>
          <c:dPt>
            <c:idx val="3"/>
            <c:bubble3D val="0"/>
            <c:spPr>
              <a:solidFill>
                <a:srgbClr val="00B0F0"/>
              </a:solidFill>
            </c:spPr>
            <c:extLst>
              <c:ext xmlns:c16="http://schemas.microsoft.com/office/drawing/2014/chart" uri="{C3380CC4-5D6E-409C-BE32-E72D297353CC}">
                <c16:uniqueId val="{00000007-32FF-4DF1-8E58-B66C49EBC3E4}"/>
              </c:ext>
            </c:extLst>
          </c:dPt>
          <c:dPt>
            <c:idx val="4"/>
            <c:bubble3D val="0"/>
            <c:spPr>
              <a:solidFill>
                <a:srgbClr val="7030A0"/>
              </a:solidFill>
            </c:spPr>
            <c:extLst>
              <c:ext xmlns:c16="http://schemas.microsoft.com/office/drawing/2014/chart" uri="{C3380CC4-5D6E-409C-BE32-E72D297353CC}">
                <c16:uniqueId val="{00000009-32FF-4DF1-8E58-B66C49EBC3E4}"/>
              </c:ext>
            </c:extLst>
          </c:dPt>
          <c:dLbls>
            <c:numFmt formatCode="0%" sourceLinked="0"/>
            <c:spPr>
              <a:noFill/>
              <a:ln>
                <a:noFill/>
              </a:ln>
              <a:effectLst/>
            </c:spPr>
            <c:txPr>
              <a:bodyPr/>
              <a:lstStyle/>
              <a:p>
                <a:pPr>
                  <a:defRPr sz="900">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'Rev breakdown v2'!$A$141:$A$145</c:f>
              <c:strCache>
                <c:ptCount val="5"/>
                <c:pt idx="0">
                  <c:v>Government grants and programs</c:v>
                </c:pt>
                <c:pt idx="1">
                  <c:v>Higher education domestic students (including FEE-HELP, HECS HELP, full fee paying student revenue)</c:v>
                </c:pt>
                <c:pt idx="2">
                  <c:v>Higher education international students</c:v>
                </c:pt>
                <c:pt idx="3">
                  <c:v>Non higher education (including VET, ELICOS, non-award)</c:v>
                </c:pt>
                <c:pt idx="4">
                  <c:v>Other sources (including donations, HE third-party delivery, commercial activities)</c:v>
                </c:pt>
              </c:strCache>
            </c:strRef>
          </c:cat>
          <c:val>
            <c:numRef>
              <c:f>'Rev breakdown v2'!$D$141:$D$145</c:f>
              <c:numCache>
                <c:formatCode>0.0%</c:formatCode>
                <c:ptCount val="5"/>
                <c:pt idx="0">
                  <c:v>0.50400355360762716</c:v>
                </c:pt>
                <c:pt idx="1">
                  <c:v>0.1302999820313715</c:v>
                </c:pt>
                <c:pt idx="2">
                  <c:v>9.4207794075304802E-2</c:v>
                </c:pt>
                <c:pt idx="3">
                  <c:v>4.8157541310635696E-2</c:v>
                </c:pt>
                <c:pt idx="4">
                  <c:v>0.22333112897506086</c:v>
                </c:pt>
              </c:numCache>
            </c:numRef>
          </c:val>
          <c:extLst>
            <c:ext xmlns:c16="http://schemas.microsoft.com/office/drawing/2014/chart" uri="{C3380CC4-5D6E-409C-BE32-E72D297353CC}">
              <c16:uniqueId val="{0000000A-32FF-4DF1-8E58-B66C49EBC3E4}"/>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94969378827641"/>
          <c:y val="4.8355012499498681E-2"/>
          <c:w val="0.63456364829396328"/>
          <c:h val="0.93083699851610235"/>
        </c:manualLayout>
      </c:layout>
      <c:doughnutChart>
        <c:varyColors val="1"/>
        <c:ser>
          <c:idx val="0"/>
          <c:order val="0"/>
          <c:tx>
            <c:strRef>
              <c:f>'financial snapshot'!$B$72</c:f>
              <c:strCache>
                <c:ptCount val="1"/>
                <c:pt idx="0">
                  <c:v>Universities</c:v>
                </c:pt>
              </c:strCache>
            </c:strRef>
          </c:tx>
          <c:dPt>
            <c:idx val="0"/>
            <c:bubble3D val="0"/>
            <c:spPr>
              <a:solidFill>
                <a:srgbClr val="0070C0">
                  <a:alpha val="74902"/>
                </a:srgbClr>
              </a:solidFill>
            </c:spPr>
            <c:extLst>
              <c:ext xmlns:c16="http://schemas.microsoft.com/office/drawing/2014/chart" uri="{C3380CC4-5D6E-409C-BE32-E72D297353CC}">
                <c16:uniqueId val="{00000001-E1C2-4A83-95EC-BE8E337E173A}"/>
              </c:ext>
            </c:extLst>
          </c:dPt>
          <c:dPt>
            <c:idx val="1"/>
            <c:bubble3D val="0"/>
            <c:spPr>
              <a:solidFill>
                <a:schemeClr val="tx2">
                  <a:lumMod val="75000"/>
                </a:schemeClr>
              </a:solidFill>
            </c:spPr>
            <c:extLst>
              <c:ext xmlns:c16="http://schemas.microsoft.com/office/drawing/2014/chart" uri="{C3380CC4-5D6E-409C-BE32-E72D297353CC}">
                <c16:uniqueId val="{00000003-E1C2-4A83-95EC-BE8E337E173A}"/>
              </c:ext>
            </c:extLst>
          </c:dPt>
          <c:dPt>
            <c:idx val="2"/>
            <c:bubble3D val="0"/>
            <c:spPr>
              <a:solidFill>
                <a:srgbClr val="002060"/>
              </a:solidFill>
            </c:spPr>
            <c:extLst>
              <c:ext xmlns:c16="http://schemas.microsoft.com/office/drawing/2014/chart" uri="{C3380CC4-5D6E-409C-BE32-E72D297353CC}">
                <c16:uniqueId val="{00000005-E1C2-4A83-95EC-BE8E337E173A}"/>
              </c:ext>
            </c:extLst>
          </c:dPt>
          <c:dPt>
            <c:idx val="3"/>
            <c:bubble3D val="0"/>
            <c:spPr>
              <a:solidFill>
                <a:srgbClr val="FF0000">
                  <a:alpha val="74902"/>
                </a:srgbClr>
              </a:solidFill>
            </c:spPr>
            <c:extLst>
              <c:ext xmlns:c16="http://schemas.microsoft.com/office/drawing/2014/chart" uri="{C3380CC4-5D6E-409C-BE32-E72D297353CC}">
                <c16:uniqueId val="{00000007-E1C2-4A83-95EC-BE8E337E173A}"/>
              </c:ext>
            </c:extLst>
          </c:dPt>
          <c:dPt>
            <c:idx val="4"/>
            <c:bubble3D val="0"/>
            <c:spPr>
              <a:solidFill>
                <a:srgbClr val="00B050">
                  <a:alpha val="74902"/>
                </a:srgbClr>
              </a:solidFill>
            </c:spPr>
            <c:extLst>
              <c:ext xmlns:c16="http://schemas.microsoft.com/office/drawing/2014/chart" uri="{C3380CC4-5D6E-409C-BE32-E72D297353CC}">
                <c16:uniqueId val="{00000009-E1C2-4A83-95EC-BE8E337E173A}"/>
              </c:ext>
            </c:extLst>
          </c:dPt>
          <c:dLbls>
            <c:dLbl>
              <c:idx val="1"/>
              <c:layout>
                <c:manualLayout>
                  <c:x val="3.9920159680638723E-2"/>
                  <c:y val="-1.96850393700787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1C2-4A83-95EC-BE8E337E173A}"/>
                </c:ext>
              </c:extLst>
            </c:dLbl>
            <c:dLbl>
              <c:idx val="2"/>
              <c:layout>
                <c:manualLayout>
                  <c:x val="7.716049382716049E-3"/>
                  <c:y val="-2.26372382569326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C2-4A83-95EC-BE8E337E173A}"/>
                </c:ext>
              </c:extLst>
            </c:dLbl>
            <c:dLbl>
              <c:idx val="3"/>
              <c:layout>
                <c:manualLayout>
                  <c:x val="-1.1574074074074073E-2"/>
                  <c:y val="3.961516694963214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E1C2-4A83-95EC-BE8E337E173A}"/>
                </c:ext>
              </c:extLst>
            </c:dLbl>
            <c:spPr>
              <a:noFill/>
              <a:ln>
                <a:noFill/>
              </a:ln>
              <a:effectLst/>
            </c:spPr>
            <c:txPr>
              <a:bodyPr/>
              <a:lstStyle/>
              <a:p>
                <a:pPr>
                  <a:defRPr sz="900">
                    <a:solidFill>
                      <a:schemeClr val="bg2"/>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('financial snapshot'!$C$60:$D$60,'financial snapshot'!$F$60:$G$60)</c:f>
              <c:strCache>
                <c:ptCount val="4"/>
                <c:pt idx="0">
                  <c:v>Employee benefits</c:v>
                </c:pt>
                <c:pt idx="1">
                  <c:v>Depreciation</c:v>
                </c:pt>
                <c:pt idx="2">
                  <c:v>Marketing and promotion cost</c:v>
                </c:pt>
                <c:pt idx="3">
                  <c:v>Other expenses (including finance cost)</c:v>
                </c:pt>
              </c:strCache>
            </c:strRef>
          </c:cat>
          <c:val>
            <c:numRef>
              <c:f>'financial snapshot'!$C$72:$G$72</c:f>
              <c:numCache>
                <c:formatCode>0.0%</c:formatCode>
                <c:ptCount val="5"/>
                <c:pt idx="0">
                  <c:v>0.57875352003115799</c:v>
                </c:pt>
                <c:pt idx="1">
                  <c:v>6.2773843143995395E-2</c:v>
                </c:pt>
                <c:pt idx="3">
                  <c:v>1.01157964151232E-2</c:v>
                </c:pt>
                <c:pt idx="4">
                  <c:v>0.34835684040972342</c:v>
                </c:pt>
              </c:numCache>
            </c:numRef>
          </c:val>
          <c:extLst>
            <c:ext xmlns:c16="http://schemas.microsoft.com/office/drawing/2014/chart" uri="{C3380CC4-5D6E-409C-BE32-E72D297353CC}">
              <c16:uniqueId val="{0000000A-E1C2-4A83-95EC-BE8E337E173A}"/>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85067400555517"/>
          <c:y val="6.7981119295571921E-2"/>
          <c:w val="0.52461330683179175"/>
          <c:h val="0.87153500973668629"/>
        </c:manualLayout>
      </c:layout>
      <c:doughnutChart>
        <c:varyColors val="1"/>
        <c:ser>
          <c:idx val="0"/>
          <c:order val="0"/>
          <c:tx>
            <c:strRef>
              <c:f>'financial snapshot'!$B$71</c:f>
              <c:strCache>
                <c:ptCount val="1"/>
                <c:pt idx="0">
                  <c:v>TAFE</c:v>
                </c:pt>
              </c:strCache>
            </c:strRef>
          </c:tx>
          <c:dPt>
            <c:idx val="0"/>
            <c:bubble3D val="0"/>
            <c:spPr>
              <a:solidFill>
                <a:srgbClr val="0070C0">
                  <a:alpha val="74902"/>
                </a:srgbClr>
              </a:solidFill>
            </c:spPr>
            <c:extLst>
              <c:ext xmlns:c16="http://schemas.microsoft.com/office/drawing/2014/chart" uri="{C3380CC4-5D6E-409C-BE32-E72D297353CC}">
                <c16:uniqueId val="{00000001-328B-4615-BE70-E247F3B6062C}"/>
              </c:ext>
            </c:extLst>
          </c:dPt>
          <c:dPt>
            <c:idx val="1"/>
            <c:bubble3D val="0"/>
            <c:spPr>
              <a:solidFill>
                <a:srgbClr val="A4A000"/>
              </a:solidFill>
            </c:spPr>
            <c:extLst>
              <c:ext xmlns:c16="http://schemas.microsoft.com/office/drawing/2014/chart" uri="{C3380CC4-5D6E-409C-BE32-E72D297353CC}">
                <c16:uniqueId val="{00000003-328B-4615-BE70-E247F3B6062C}"/>
              </c:ext>
            </c:extLst>
          </c:dPt>
          <c:dPt>
            <c:idx val="2"/>
            <c:bubble3D val="0"/>
            <c:spPr>
              <a:solidFill>
                <a:srgbClr val="002060"/>
              </a:solidFill>
            </c:spPr>
            <c:extLst>
              <c:ext xmlns:c16="http://schemas.microsoft.com/office/drawing/2014/chart" uri="{C3380CC4-5D6E-409C-BE32-E72D297353CC}">
                <c16:uniqueId val="{00000005-328B-4615-BE70-E247F3B6062C}"/>
              </c:ext>
            </c:extLst>
          </c:dPt>
          <c:dPt>
            <c:idx val="3"/>
            <c:bubble3D val="0"/>
            <c:spPr>
              <a:solidFill>
                <a:srgbClr val="FF0000">
                  <a:alpha val="74902"/>
                </a:srgbClr>
              </a:solidFill>
            </c:spPr>
            <c:extLst>
              <c:ext xmlns:c16="http://schemas.microsoft.com/office/drawing/2014/chart" uri="{C3380CC4-5D6E-409C-BE32-E72D297353CC}">
                <c16:uniqueId val="{00000007-328B-4615-BE70-E247F3B6062C}"/>
              </c:ext>
            </c:extLst>
          </c:dPt>
          <c:dPt>
            <c:idx val="4"/>
            <c:bubble3D val="0"/>
            <c:spPr>
              <a:solidFill>
                <a:srgbClr val="00B050">
                  <a:alpha val="74902"/>
                </a:srgbClr>
              </a:solidFill>
            </c:spPr>
            <c:extLst>
              <c:ext xmlns:c16="http://schemas.microsoft.com/office/drawing/2014/chart" uri="{C3380CC4-5D6E-409C-BE32-E72D297353CC}">
                <c16:uniqueId val="{00000009-328B-4615-BE70-E247F3B6062C}"/>
              </c:ext>
            </c:extLst>
          </c:dPt>
          <c:dLbls>
            <c:dLbl>
              <c:idx val="2"/>
              <c:delete val="1"/>
              <c:extLst>
                <c:ext xmlns:c15="http://schemas.microsoft.com/office/drawing/2012/chart" uri="{CE6537A1-D6FC-4f65-9D91-7224C49458BB}"/>
                <c:ext xmlns:c16="http://schemas.microsoft.com/office/drawing/2014/chart" uri="{C3380CC4-5D6E-409C-BE32-E72D297353CC}">
                  <c16:uniqueId val="{00000005-328B-4615-BE70-E247F3B6062C}"/>
                </c:ext>
              </c:extLst>
            </c:dLbl>
            <c:dLbl>
              <c:idx val="3"/>
              <c:layout>
                <c:manualLayout>
                  <c:x val="-1.1574074074074073E-2"/>
                  <c:y val="-1.131861912846632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328B-4615-BE70-E247F3B6062C}"/>
                </c:ext>
              </c:extLst>
            </c:dLbl>
            <c:spPr>
              <a:noFill/>
              <a:ln>
                <a:noFill/>
              </a:ln>
              <a:effectLst/>
            </c:spPr>
            <c:txPr>
              <a:bodyPr/>
              <a:lstStyle/>
              <a:p>
                <a:pPr>
                  <a:defRPr sz="900">
                    <a:solidFill>
                      <a:schemeClr val="bg2"/>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('financial snapshot'!$C$60:$D$60,'financial snapshot'!$F$60:$G$60)</c:f>
              <c:strCache>
                <c:ptCount val="4"/>
                <c:pt idx="0">
                  <c:v>Employee benefits</c:v>
                </c:pt>
                <c:pt idx="1">
                  <c:v>Depreciation</c:v>
                </c:pt>
                <c:pt idx="2">
                  <c:v>Marketing and promotion cost</c:v>
                </c:pt>
                <c:pt idx="3">
                  <c:v>Other expenses (including finance cost)</c:v>
                </c:pt>
              </c:strCache>
            </c:strRef>
          </c:cat>
          <c:val>
            <c:numRef>
              <c:f>'financial snapshot'!$C$71:$G$71</c:f>
              <c:numCache>
                <c:formatCode>0.0%</c:formatCode>
                <c:ptCount val="5"/>
                <c:pt idx="0">
                  <c:v>0.65884868809890651</c:v>
                </c:pt>
                <c:pt idx="1">
                  <c:v>4.8992006401678563E-2</c:v>
                </c:pt>
                <c:pt idx="3">
                  <c:v>8.6165036041652987E-3</c:v>
                </c:pt>
                <c:pt idx="4">
                  <c:v>0.28354280189524966</c:v>
                </c:pt>
              </c:numCache>
            </c:numRef>
          </c:val>
          <c:extLst>
            <c:ext xmlns:c16="http://schemas.microsoft.com/office/drawing/2014/chart" uri="{C3380CC4-5D6E-409C-BE32-E72D297353CC}">
              <c16:uniqueId val="{0000000A-328B-4615-BE70-E247F3B6062C}"/>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94969378827641"/>
          <c:y val="2.766332901086855E-2"/>
          <c:w val="0.62532960289686013"/>
          <c:h val="0.97233667098913146"/>
        </c:manualLayout>
      </c:layout>
      <c:doughnutChart>
        <c:varyColors val="1"/>
        <c:ser>
          <c:idx val="0"/>
          <c:order val="0"/>
          <c:tx>
            <c:strRef>
              <c:f>'financial snapshot'!$B$69</c:f>
              <c:strCache>
                <c:ptCount val="1"/>
                <c:pt idx="0">
                  <c:v>For-Profit</c:v>
                </c:pt>
              </c:strCache>
            </c:strRef>
          </c:tx>
          <c:dPt>
            <c:idx val="0"/>
            <c:bubble3D val="0"/>
            <c:spPr>
              <a:solidFill>
                <a:srgbClr val="0070C0">
                  <a:alpha val="74902"/>
                </a:srgbClr>
              </a:solidFill>
            </c:spPr>
            <c:extLst>
              <c:ext xmlns:c16="http://schemas.microsoft.com/office/drawing/2014/chart" uri="{C3380CC4-5D6E-409C-BE32-E72D297353CC}">
                <c16:uniqueId val="{00000001-C274-4395-B4EC-C57C95D6A63B}"/>
              </c:ext>
            </c:extLst>
          </c:dPt>
          <c:dPt>
            <c:idx val="1"/>
            <c:bubble3D val="0"/>
            <c:spPr>
              <a:solidFill>
                <a:srgbClr val="A4A000"/>
              </a:solidFill>
            </c:spPr>
            <c:extLst>
              <c:ext xmlns:c16="http://schemas.microsoft.com/office/drawing/2014/chart" uri="{C3380CC4-5D6E-409C-BE32-E72D297353CC}">
                <c16:uniqueId val="{00000003-C274-4395-B4EC-C57C95D6A63B}"/>
              </c:ext>
            </c:extLst>
          </c:dPt>
          <c:dPt>
            <c:idx val="2"/>
            <c:bubble3D val="0"/>
            <c:spPr>
              <a:solidFill>
                <a:srgbClr val="002060"/>
              </a:solidFill>
            </c:spPr>
            <c:extLst>
              <c:ext xmlns:c16="http://schemas.microsoft.com/office/drawing/2014/chart" uri="{C3380CC4-5D6E-409C-BE32-E72D297353CC}">
                <c16:uniqueId val="{00000005-C274-4395-B4EC-C57C95D6A63B}"/>
              </c:ext>
            </c:extLst>
          </c:dPt>
          <c:dPt>
            <c:idx val="3"/>
            <c:bubble3D val="0"/>
            <c:spPr>
              <a:solidFill>
                <a:srgbClr val="FF0000">
                  <a:alpha val="74902"/>
                </a:srgbClr>
              </a:solidFill>
            </c:spPr>
            <c:extLst>
              <c:ext xmlns:c16="http://schemas.microsoft.com/office/drawing/2014/chart" uri="{C3380CC4-5D6E-409C-BE32-E72D297353CC}">
                <c16:uniqueId val="{00000007-C274-4395-B4EC-C57C95D6A63B}"/>
              </c:ext>
            </c:extLst>
          </c:dPt>
          <c:dPt>
            <c:idx val="4"/>
            <c:bubble3D val="0"/>
            <c:spPr>
              <a:solidFill>
                <a:srgbClr val="00B050">
                  <a:alpha val="74902"/>
                </a:srgbClr>
              </a:solidFill>
            </c:spPr>
            <c:extLst>
              <c:ext xmlns:c16="http://schemas.microsoft.com/office/drawing/2014/chart" uri="{C3380CC4-5D6E-409C-BE32-E72D297353CC}">
                <c16:uniqueId val="{00000009-C274-4395-B4EC-C57C95D6A63B}"/>
              </c:ext>
            </c:extLst>
          </c:dPt>
          <c:dLbls>
            <c:dLbl>
              <c:idx val="1"/>
              <c:layout>
                <c:manualLayout>
                  <c:x val="1.1111111111111112E-2"/>
                  <c:y val="9.2592592592592587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274-4395-B4EC-C57C95D6A63B}"/>
                </c:ext>
              </c:extLst>
            </c:dLbl>
            <c:dLbl>
              <c:idx val="2"/>
              <c:delete val="1"/>
              <c:extLst>
                <c:ext xmlns:c15="http://schemas.microsoft.com/office/drawing/2012/chart" uri="{CE6537A1-D6FC-4f65-9D91-7224C49458BB}"/>
                <c:ext xmlns:c16="http://schemas.microsoft.com/office/drawing/2014/chart" uri="{C3380CC4-5D6E-409C-BE32-E72D297353CC}">
                  <c16:uniqueId val="{00000005-C274-4395-B4EC-C57C95D6A63B}"/>
                </c:ext>
              </c:extLst>
            </c:dLbl>
            <c:spPr>
              <a:noFill/>
              <a:ln>
                <a:noFill/>
              </a:ln>
              <a:effectLst/>
            </c:spPr>
            <c:txPr>
              <a:bodyPr/>
              <a:lstStyle/>
              <a:p>
                <a:pPr>
                  <a:defRPr sz="900">
                    <a:solidFill>
                      <a:schemeClr val="bg2"/>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('financial snapshot'!$C$60:$D$60,'financial snapshot'!$F$60:$G$60)</c:f>
              <c:strCache>
                <c:ptCount val="4"/>
                <c:pt idx="0">
                  <c:v>Employee benefits</c:v>
                </c:pt>
                <c:pt idx="1">
                  <c:v>Depreciation</c:v>
                </c:pt>
                <c:pt idx="2">
                  <c:v>Marketing and promotion cost</c:v>
                </c:pt>
                <c:pt idx="3">
                  <c:v>Other expenses (including finance cost)</c:v>
                </c:pt>
              </c:strCache>
            </c:strRef>
          </c:cat>
          <c:val>
            <c:numRef>
              <c:f>'financial snapshot'!$C$69:$G$69</c:f>
              <c:numCache>
                <c:formatCode>0.0%</c:formatCode>
                <c:ptCount val="5"/>
                <c:pt idx="0">
                  <c:v>0.37022335480555452</c:v>
                </c:pt>
                <c:pt idx="1">
                  <c:v>1.8472605409882274E-2</c:v>
                </c:pt>
                <c:pt idx="3">
                  <c:v>0.15074000853997871</c:v>
                </c:pt>
                <c:pt idx="4">
                  <c:v>0.4605640312445845</c:v>
                </c:pt>
              </c:numCache>
            </c:numRef>
          </c:val>
          <c:extLst>
            <c:ext xmlns:c16="http://schemas.microsoft.com/office/drawing/2014/chart" uri="{C3380CC4-5D6E-409C-BE32-E72D297353CC}">
              <c16:uniqueId val="{0000000A-C274-4395-B4EC-C57C95D6A63B}"/>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71263454453515"/>
          <c:y val="2.5999157512718318E-2"/>
          <c:w val="0.63398798240497711"/>
          <c:h val="0.97400059712400122"/>
        </c:manualLayout>
      </c:layout>
      <c:doughnutChart>
        <c:varyColors val="1"/>
        <c:ser>
          <c:idx val="0"/>
          <c:order val="0"/>
          <c:tx>
            <c:strRef>
              <c:f>'financial snapshot'!$B$70</c:f>
              <c:strCache>
                <c:ptCount val="1"/>
                <c:pt idx="0">
                  <c:v>Not-Profit</c:v>
                </c:pt>
              </c:strCache>
            </c:strRef>
          </c:tx>
          <c:dPt>
            <c:idx val="0"/>
            <c:bubble3D val="0"/>
            <c:spPr>
              <a:solidFill>
                <a:srgbClr val="0070C0">
                  <a:alpha val="74902"/>
                </a:srgbClr>
              </a:solidFill>
            </c:spPr>
            <c:extLst>
              <c:ext xmlns:c16="http://schemas.microsoft.com/office/drawing/2014/chart" uri="{C3380CC4-5D6E-409C-BE32-E72D297353CC}">
                <c16:uniqueId val="{00000001-340D-4B88-B0F0-361314683DA8}"/>
              </c:ext>
            </c:extLst>
          </c:dPt>
          <c:dPt>
            <c:idx val="1"/>
            <c:bubble3D val="0"/>
            <c:spPr>
              <a:solidFill>
                <a:srgbClr val="A4A000"/>
              </a:solidFill>
            </c:spPr>
            <c:extLst>
              <c:ext xmlns:c16="http://schemas.microsoft.com/office/drawing/2014/chart" uri="{C3380CC4-5D6E-409C-BE32-E72D297353CC}">
                <c16:uniqueId val="{00000003-340D-4B88-B0F0-361314683DA8}"/>
              </c:ext>
            </c:extLst>
          </c:dPt>
          <c:dPt>
            <c:idx val="2"/>
            <c:bubble3D val="0"/>
            <c:spPr>
              <a:solidFill>
                <a:srgbClr val="002060"/>
              </a:solidFill>
            </c:spPr>
            <c:extLst>
              <c:ext xmlns:c16="http://schemas.microsoft.com/office/drawing/2014/chart" uri="{C3380CC4-5D6E-409C-BE32-E72D297353CC}">
                <c16:uniqueId val="{00000005-340D-4B88-B0F0-361314683DA8}"/>
              </c:ext>
            </c:extLst>
          </c:dPt>
          <c:dPt>
            <c:idx val="3"/>
            <c:bubble3D val="0"/>
            <c:spPr>
              <a:solidFill>
                <a:srgbClr val="FF0000">
                  <a:alpha val="74902"/>
                </a:srgbClr>
              </a:solidFill>
            </c:spPr>
            <c:extLst>
              <c:ext xmlns:c16="http://schemas.microsoft.com/office/drawing/2014/chart" uri="{C3380CC4-5D6E-409C-BE32-E72D297353CC}">
                <c16:uniqueId val="{00000007-340D-4B88-B0F0-361314683DA8}"/>
              </c:ext>
            </c:extLst>
          </c:dPt>
          <c:dPt>
            <c:idx val="4"/>
            <c:bubble3D val="0"/>
            <c:spPr>
              <a:solidFill>
                <a:srgbClr val="00B050">
                  <a:alpha val="74902"/>
                </a:srgbClr>
              </a:solidFill>
            </c:spPr>
            <c:extLst>
              <c:ext xmlns:c16="http://schemas.microsoft.com/office/drawing/2014/chart" uri="{C3380CC4-5D6E-409C-BE32-E72D297353CC}">
                <c16:uniqueId val="{00000009-340D-4B88-B0F0-361314683DA8}"/>
              </c:ext>
            </c:extLst>
          </c:dPt>
          <c:dLbls>
            <c:dLbl>
              <c:idx val="2"/>
              <c:delete val="1"/>
              <c:extLst>
                <c:ext xmlns:c15="http://schemas.microsoft.com/office/drawing/2012/chart" uri="{CE6537A1-D6FC-4f65-9D91-7224C49458BB}"/>
                <c:ext xmlns:c16="http://schemas.microsoft.com/office/drawing/2014/chart" uri="{C3380CC4-5D6E-409C-BE32-E72D297353CC}">
                  <c16:uniqueId val="{00000005-340D-4B88-B0F0-361314683DA8}"/>
                </c:ext>
              </c:extLst>
            </c:dLbl>
            <c:dLbl>
              <c:idx val="3"/>
              <c:layout>
                <c:manualLayout>
                  <c:x val="0"/>
                  <c:y val="0"/>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340D-4B88-B0F0-361314683DA8}"/>
                </c:ext>
              </c:extLst>
            </c:dLbl>
            <c:spPr>
              <a:noFill/>
              <a:ln>
                <a:noFill/>
              </a:ln>
              <a:effectLst/>
            </c:spPr>
            <c:txPr>
              <a:bodyPr/>
              <a:lstStyle/>
              <a:p>
                <a:pPr>
                  <a:defRPr sz="900">
                    <a:solidFill>
                      <a:schemeClr val="bg2"/>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('financial snapshot'!$C$60:$D$60,'financial snapshot'!$F$60:$G$60)</c:f>
              <c:strCache>
                <c:ptCount val="4"/>
                <c:pt idx="0">
                  <c:v>Employee benefits</c:v>
                </c:pt>
                <c:pt idx="1">
                  <c:v>Depreciation</c:v>
                </c:pt>
                <c:pt idx="2">
                  <c:v>Marketing and promotion cost</c:v>
                </c:pt>
                <c:pt idx="3">
                  <c:v>Other expenses (including finance cost)</c:v>
                </c:pt>
              </c:strCache>
            </c:strRef>
          </c:cat>
          <c:val>
            <c:numRef>
              <c:f>'financial snapshot'!$C$70:$G$70</c:f>
              <c:numCache>
                <c:formatCode>0.0%</c:formatCode>
                <c:ptCount val="5"/>
                <c:pt idx="0">
                  <c:v>0.61217955366102306</c:v>
                </c:pt>
                <c:pt idx="1">
                  <c:v>4.8494480987062216E-2</c:v>
                </c:pt>
                <c:pt idx="3">
                  <c:v>2.8681250879792924E-2</c:v>
                </c:pt>
                <c:pt idx="4">
                  <c:v>0.31064471447212177</c:v>
                </c:pt>
              </c:numCache>
            </c:numRef>
          </c:val>
          <c:extLst>
            <c:ext xmlns:c16="http://schemas.microsoft.com/office/drawing/2014/chart" uri="{C3380CC4-5D6E-409C-BE32-E72D297353CC}">
              <c16:uniqueId val="{0000000A-340D-4B88-B0F0-361314683DA8}"/>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0.39227</cdr:x>
      <cdr:y>0.19642</cdr:y>
    </cdr:from>
    <cdr:to>
      <cdr:x>0.72111</cdr:x>
      <cdr:y>0.41336</cdr:y>
    </cdr:to>
    <cdr:sp macro="" textlink="">
      <cdr:nvSpPr>
        <cdr:cNvPr id="2" name="Text Box 2"/>
        <cdr:cNvSpPr txBox="1">
          <a:spLocks xmlns:a="http://schemas.openxmlformats.org/drawingml/2006/main" noChangeArrowheads="1"/>
        </cdr:cNvSpPr>
      </cdr:nvSpPr>
      <cdr:spPr bwMode="auto">
        <a:xfrm xmlns:a="http://schemas.openxmlformats.org/drawingml/2006/main">
          <a:off x="2330500" y="486808"/>
          <a:ext cx="1953633" cy="5376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600"/>
            </a:spcAft>
          </a:pPr>
          <a:r>
            <a:rPr lang="en-AU" b="1">
              <a:latin typeface="+mj-lt"/>
            </a:rPr>
            <a:t>2015 total: $5.47 billion</a:t>
          </a:r>
        </a:p>
        <a:p xmlns:a="http://schemas.openxmlformats.org/drawingml/2006/main">
          <a:pPr algn="ctr"/>
          <a:r>
            <a:rPr lang="en-AU" b="1">
              <a:latin typeface="+mj-lt"/>
            </a:rPr>
            <a:t>(2014: $4.84</a:t>
          </a:r>
          <a:r>
            <a:rPr lang="en-AU" b="1" baseline="0">
              <a:latin typeface="+mj-lt"/>
            </a:rPr>
            <a:t> billion)</a:t>
          </a:r>
          <a:endParaRPr lang="en-AU" b="1">
            <a:latin typeface="+mj-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0.21825</cdr:x>
      <cdr:y>0.20312</cdr:y>
    </cdr:from>
    <cdr:to>
      <cdr:x>0.80859</cdr:x>
      <cdr:y>0.32676</cdr:y>
    </cdr:to>
    <cdr:sp macro="" textlink="">
      <cdr:nvSpPr>
        <cdr:cNvPr id="3" name="Right Brace 2"/>
        <cdr:cNvSpPr/>
      </cdr:nvSpPr>
      <cdr:spPr>
        <a:xfrm xmlns:a="http://schemas.openxmlformats.org/drawingml/2006/main" rot="5400000">
          <a:off x="2902687" y="-1116415"/>
          <a:ext cx="297713" cy="3508745"/>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Theme1 word">
  <a:themeElements>
    <a:clrScheme name="TEQSA">
      <a:dk1>
        <a:srgbClr val="004855"/>
      </a:dk1>
      <a:lt1>
        <a:srgbClr val="00A6AA"/>
      </a:lt1>
      <a:dk2>
        <a:srgbClr val="DEDD21"/>
      </a:dk2>
      <a:lt2>
        <a:srgbClr val="FFFFFF"/>
      </a:lt2>
      <a:accent1>
        <a:srgbClr val="004855"/>
      </a:accent1>
      <a:accent2>
        <a:srgbClr val="407680"/>
      </a:accent2>
      <a:accent3>
        <a:srgbClr val="80A4AB"/>
      </a:accent3>
      <a:accent4>
        <a:srgbClr val="BFD1D4"/>
      </a:accent4>
      <a:accent5>
        <a:srgbClr val="E6EDEF"/>
      </a:accent5>
      <a:accent6>
        <a:srgbClr val="80D3D5"/>
      </a:accent6>
      <a:hlink>
        <a:srgbClr val="00A6AA"/>
      </a:hlink>
      <a:folHlink>
        <a:srgbClr val="00A6AA"/>
      </a:folHlink>
    </a:clrScheme>
    <a:fontScheme name="TEQSA">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2D1A0-3D29-4BF5-94C0-400A70070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8140</Words>
  <Characters>46404</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Productivity Commission</Company>
  <LinksUpToDate>false</LinksUpToDate>
  <CharactersWithSpaces>54436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Tsang, Olivia</dc:creator>
  <cp:lastModifiedBy>Hewitt-McManus, Tom</cp:lastModifiedBy>
  <cp:revision>2</cp:revision>
  <cp:lastPrinted>2016-11-17T05:59:00Z</cp:lastPrinted>
  <dcterms:created xsi:type="dcterms:W3CDTF">2018-10-04T02:17:00Z</dcterms:created>
  <dcterms:modified xsi:type="dcterms:W3CDTF">2018-10-04T02:17:00Z</dcterms:modified>
</cp:coreProperties>
</file>