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967D2" w14:textId="77777777" w:rsidR="003160FA" w:rsidRDefault="004A4AE6" w:rsidP="003160FA">
      <w:pPr>
        <w:pStyle w:val="Heading1"/>
        <w:spacing w:after="480"/>
        <w:rPr>
          <w:color w:val="00A398"/>
          <w:lang w:eastAsia="en-AU"/>
        </w:rPr>
      </w:pPr>
      <w:r w:rsidRPr="00E55A90">
        <w:rPr>
          <w:color w:val="00A398"/>
          <w:lang w:eastAsia="en-AU"/>
        </w:rPr>
        <w:t xml:space="preserve">TEQSA </w:t>
      </w:r>
      <w:r w:rsidR="00EA628E" w:rsidRPr="00E55A90">
        <w:rPr>
          <w:color w:val="00A398"/>
          <w:lang w:eastAsia="en-AU"/>
        </w:rPr>
        <w:t xml:space="preserve">initial </w:t>
      </w:r>
      <w:r w:rsidR="00F559F1" w:rsidRPr="00E55A90">
        <w:rPr>
          <w:color w:val="00A398"/>
          <w:lang w:eastAsia="en-AU"/>
        </w:rPr>
        <w:t xml:space="preserve">provider </w:t>
      </w:r>
      <w:r w:rsidR="00EA628E" w:rsidRPr="00E55A90">
        <w:rPr>
          <w:color w:val="00A398"/>
          <w:lang w:eastAsia="en-AU"/>
        </w:rPr>
        <w:t>registrations policy</w:t>
      </w:r>
    </w:p>
    <w:p w14:paraId="4150D388" w14:textId="77777777" w:rsidR="004A4AE6" w:rsidRPr="00E55A90" w:rsidRDefault="004A4AE6" w:rsidP="00E55A90">
      <w:pPr>
        <w:pStyle w:val="Heading2"/>
      </w:pPr>
      <w:r w:rsidRPr="00E55A90">
        <w:t>Purpose</w:t>
      </w:r>
    </w:p>
    <w:p w14:paraId="54CFE624" w14:textId="77777777" w:rsidR="004A4AE6" w:rsidRPr="004B1915" w:rsidRDefault="006B17D9" w:rsidP="004A4AE6">
      <w:r>
        <w:t>The purpose of this policy is to establish a set of principles to inform decision-making in relation to initial provider registrations, and to establish clear expectations for applicants and for TEQSA case managers.</w:t>
      </w:r>
      <w:r w:rsidR="00804FD2">
        <w:t xml:space="preserve"> The principles established in this policy are intended</w:t>
      </w:r>
      <w:r w:rsidR="002923DC">
        <w:t xml:space="preserve"> to mitigate the inherent risk—</w:t>
      </w:r>
      <w:r w:rsidR="00804FD2">
        <w:t xml:space="preserve">due to the </w:t>
      </w:r>
      <w:r w:rsidR="000F476E">
        <w:t xml:space="preserve">uncertainty </w:t>
      </w:r>
      <w:r w:rsidR="00F752DE">
        <w:t>associated with</w:t>
      </w:r>
      <w:r w:rsidR="00F97A5C">
        <w:t xml:space="preserve"> the</w:t>
      </w:r>
      <w:r w:rsidR="000F476E">
        <w:t xml:space="preserve"> </w:t>
      </w:r>
      <w:r w:rsidR="00804FD2">
        <w:t>absence of a track record in higher ed</w:t>
      </w:r>
      <w:r w:rsidR="002923DC">
        <w:t>ucation—of</w:t>
      </w:r>
      <w:r w:rsidR="00804FD2">
        <w:t xml:space="preserve"> new provider registrations.</w:t>
      </w:r>
    </w:p>
    <w:p w14:paraId="46BCD5D5" w14:textId="77777777" w:rsidR="004A4AE6" w:rsidRPr="004B1915" w:rsidRDefault="004A4AE6" w:rsidP="00E55A90">
      <w:pPr>
        <w:pStyle w:val="Heading2"/>
      </w:pPr>
      <w:r w:rsidRPr="004B1915">
        <w:t>Scope</w:t>
      </w:r>
    </w:p>
    <w:p w14:paraId="556435A7" w14:textId="77777777" w:rsidR="004A4AE6" w:rsidRPr="004B1915" w:rsidRDefault="006B17D9" w:rsidP="004A4AE6">
      <w:r>
        <w:t>This policy is concerned with the initial registration of new providers</w:t>
      </w:r>
      <w:r w:rsidR="004A4AE6" w:rsidRPr="004B1915">
        <w:t>.</w:t>
      </w:r>
      <w:r>
        <w:t xml:space="preserve"> It </w:t>
      </w:r>
      <w:r w:rsidRPr="006B17D9">
        <w:t xml:space="preserve">is not concerned with new registrations that take place due to a change of legal entity </w:t>
      </w:r>
      <w:r>
        <w:t>for an existing provider</w:t>
      </w:r>
      <w:r w:rsidRPr="006B17D9">
        <w:t>.</w:t>
      </w:r>
    </w:p>
    <w:p w14:paraId="006B2961" w14:textId="77777777" w:rsidR="004A4AE6" w:rsidRDefault="004A4AE6" w:rsidP="00E55A90">
      <w:pPr>
        <w:pStyle w:val="Heading2"/>
      </w:pPr>
      <w:r w:rsidRPr="004B1915">
        <w:t>Principles</w:t>
      </w:r>
    </w:p>
    <w:p w14:paraId="2A1F1C52" w14:textId="77777777" w:rsidR="009663AA" w:rsidRDefault="009663AA" w:rsidP="009663AA">
      <w:pPr>
        <w:pStyle w:val="ListParagraph"/>
        <w:numPr>
          <w:ilvl w:val="0"/>
          <w:numId w:val="45"/>
        </w:numPr>
        <w:jc w:val="both"/>
      </w:pPr>
      <w:r>
        <w:t>There are a number of inherent risks associated with applicants for initial registration. These include:</w:t>
      </w:r>
    </w:p>
    <w:p w14:paraId="068E4478" w14:textId="77777777" w:rsidR="009663AA" w:rsidRDefault="009663AA" w:rsidP="007A183A">
      <w:pPr>
        <w:pStyle w:val="ListParagraph"/>
        <w:numPr>
          <w:ilvl w:val="1"/>
          <w:numId w:val="45"/>
        </w:numPr>
        <w:jc w:val="both"/>
      </w:pPr>
      <w:r>
        <w:t>the absence of a track record associated with higher education delivery leading to the applican</w:t>
      </w:r>
      <w:r w:rsidR="00812CF5">
        <w:t>t’s own higher education awards</w:t>
      </w:r>
    </w:p>
    <w:p w14:paraId="1AE563EF" w14:textId="77777777" w:rsidR="009663AA" w:rsidRDefault="009663AA" w:rsidP="007A183A">
      <w:pPr>
        <w:pStyle w:val="ListParagraph"/>
        <w:numPr>
          <w:ilvl w:val="1"/>
          <w:numId w:val="45"/>
        </w:numPr>
        <w:jc w:val="both"/>
      </w:pPr>
      <w:r>
        <w:t>the limited capacity to demonstrate the application of a provider’s internal governance and quality assurance mechanisms in the conte</w:t>
      </w:r>
      <w:r w:rsidR="00812CF5">
        <w:t>xt of higher education delivery</w:t>
      </w:r>
    </w:p>
    <w:p w14:paraId="6D3789B9" w14:textId="77777777" w:rsidR="00CA0127" w:rsidRDefault="00CA0127" w:rsidP="007A183A">
      <w:pPr>
        <w:pStyle w:val="ListParagraph"/>
        <w:numPr>
          <w:ilvl w:val="1"/>
          <w:numId w:val="45"/>
        </w:numPr>
        <w:jc w:val="both"/>
      </w:pPr>
      <w:r>
        <w:t>relative uncertainty about a provider’s financial and student enrolment projections in light of the lack of previous history of higher education delivery and the competitive nature</w:t>
      </w:r>
      <w:r w:rsidR="00812CF5">
        <w:t xml:space="preserve"> of Australian higher education</w:t>
      </w:r>
    </w:p>
    <w:p w14:paraId="06AB61C1" w14:textId="77777777" w:rsidR="009663AA" w:rsidRDefault="009663AA" w:rsidP="007A183A">
      <w:pPr>
        <w:pStyle w:val="ListParagraph"/>
        <w:numPr>
          <w:ilvl w:val="1"/>
          <w:numId w:val="45"/>
        </w:numPr>
        <w:jc w:val="both"/>
      </w:pPr>
      <w:proofErr w:type="gramStart"/>
      <w:r>
        <w:t>once</w:t>
      </w:r>
      <w:proofErr w:type="gramEnd"/>
      <w:r>
        <w:t xml:space="preserve"> registered, the time required to obtain data which presents a clear picture of the provider’s capacity to provide the requisite standard of higher education</w:t>
      </w:r>
      <w:r w:rsidR="00D91C0C">
        <w:t xml:space="preserve">. </w:t>
      </w:r>
    </w:p>
    <w:p w14:paraId="77D1D565" w14:textId="77777777" w:rsidR="009663AA" w:rsidRDefault="009663AA" w:rsidP="009663AA">
      <w:pPr>
        <w:pStyle w:val="ListParagraph"/>
        <w:numPr>
          <w:ilvl w:val="0"/>
          <w:numId w:val="45"/>
        </w:numPr>
        <w:jc w:val="both"/>
      </w:pPr>
      <w:r>
        <w:t xml:space="preserve">In some cases, applicants place a heavy emphasis on external consultants to prepare aspects of an initial registration application, raising further risks associated with the capacity of the provider’s own staff or governing bodies to deal with </w:t>
      </w:r>
      <w:r w:rsidR="00940CFE">
        <w:t>fundamental aspects of higher education delivery</w:t>
      </w:r>
      <w:r>
        <w:t xml:space="preserve"> on a continuing basis. </w:t>
      </w:r>
    </w:p>
    <w:p w14:paraId="47F46AF1" w14:textId="77777777" w:rsidR="00CA0127" w:rsidRDefault="00CA0127" w:rsidP="00CA0127">
      <w:pPr>
        <w:pStyle w:val="ListParagraph"/>
        <w:numPr>
          <w:ilvl w:val="0"/>
          <w:numId w:val="45"/>
        </w:numPr>
        <w:jc w:val="both"/>
      </w:pPr>
      <w:r>
        <w:t xml:space="preserve">To reflect these risks, TEQSA’s decisions about such applications will specifically consider a number of additional assurance mechanisms. </w:t>
      </w:r>
      <w:r w:rsidR="006144EC">
        <w:t>T</w:t>
      </w:r>
      <w:r>
        <w:t>hese</w:t>
      </w:r>
      <w:r w:rsidR="00812CF5">
        <w:t xml:space="preserve"> will </w:t>
      </w:r>
      <w:r w:rsidR="006144EC">
        <w:t>commonly</w:t>
      </w:r>
      <w:r>
        <w:t xml:space="preserve"> include:</w:t>
      </w:r>
    </w:p>
    <w:p w14:paraId="06B78515" w14:textId="77777777" w:rsidR="00183376" w:rsidRDefault="00CA0127" w:rsidP="007A183A">
      <w:pPr>
        <w:pStyle w:val="ListParagraph"/>
        <w:numPr>
          <w:ilvl w:val="1"/>
          <w:numId w:val="45"/>
        </w:numPr>
        <w:jc w:val="both"/>
      </w:pPr>
      <w:proofErr w:type="gramStart"/>
      <w:r>
        <w:t>registration</w:t>
      </w:r>
      <w:proofErr w:type="gramEnd"/>
      <w:r>
        <w:t xml:space="preserve"> of the provider for a period of less than the maximum seven years. For example, TEQSA may decide to register a provider for a period of five years, with the capacity to extend the registration for a further two years </w:t>
      </w:r>
      <w:r w:rsidR="00183376">
        <w:t xml:space="preserve">where </w:t>
      </w:r>
      <w:r w:rsidR="00183376">
        <w:lastRenderedPageBreak/>
        <w:t xml:space="preserve">provider reporting and TEQSA provider visits suggest </w:t>
      </w:r>
      <w:r>
        <w:t>that the risks are being appropriately managed</w:t>
      </w:r>
      <w:r w:rsidR="00183376">
        <w:t>.</w:t>
      </w:r>
    </w:p>
    <w:p w14:paraId="49792ED3" w14:textId="77777777" w:rsidR="00CA0127" w:rsidRDefault="00CA0127" w:rsidP="007A183A">
      <w:pPr>
        <w:pStyle w:val="ListParagraph"/>
        <w:numPr>
          <w:ilvl w:val="1"/>
          <w:numId w:val="45"/>
        </w:numPr>
        <w:jc w:val="both"/>
      </w:pPr>
      <w:r>
        <w:t xml:space="preserve">additional targeted collections of information </w:t>
      </w:r>
      <w:r w:rsidR="00013605">
        <w:t>beyond</w:t>
      </w:r>
      <w:r>
        <w:t xml:space="preserve"> the annual TEQSA data collections, </w:t>
      </w:r>
      <w:r w:rsidR="006144EC">
        <w:t>including</w:t>
      </w:r>
      <w:r>
        <w:t>:</w:t>
      </w:r>
    </w:p>
    <w:p w14:paraId="49063755" w14:textId="3C50E244" w:rsidR="00CA0127" w:rsidRDefault="00CA0127" w:rsidP="00CA0127">
      <w:pPr>
        <w:pStyle w:val="ListParagraph"/>
        <w:numPr>
          <w:ilvl w:val="2"/>
          <w:numId w:val="45"/>
        </w:numPr>
        <w:jc w:val="both"/>
      </w:pPr>
      <w:r>
        <w:t xml:space="preserve">data in relation to student performance, staffing and financial matters, with a particular emphasis on </w:t>
      </w:r>
      <w:r w:rsidR="00A73142">
        <w:t xml:space="preserve">timely </w:t>
      </w:r>
      <w:r>
        <w:t xml:space="preserve">quantitative data </w:t>
      </w:r>
      <w:r w:rsidR="00013605">
        <w:t>relevant to</w:t>
      </w:r>
      <w:r>
        <w:t xml:space="preserve"> TEQSA’s </w:t>
      </w:r>
      <w:r w:rsidR="00013605">
        <w:t>R</w:t>
      </w:r>
      <w:r>
        <w:t xml:space="preserve">isk </w:t>
      </w:r>
      <w:r w:rsidR="00013605">
        <w:t>Assessment F</w:t>
      </w:r>
      <w:r>
        <w:t>ramework</w:t>
      </w:r>
    </w:p>
    <w:p w14:paraId="0E859A30" w14:textId="77777777" w:rsidR="00CA0127" w:rsidRDefault="00CA0127" w:rsidP="007A183A">
      <w:pPr>
        <w:pStyle w:val="ListParagraph"/>
        <w:numPr>
          <w:ilvl w:val="2"/>
          <w:numId w:val="45"/>
        </w:numPr>
        <w:jc w:val="both"/>
      </w:pPr>
      <w:r>
        <w:t xml:space="preserve">minutes and agenda papers for the provider’s corporate and academic </w:t>
      </w:r>
      <w:r w:rsidR="009014EF">
        <w:t>governing bodies</w:t>
      </w:r>
      <w:r>
        <w:t xml:space="preserve">—the material </w:t>
      </w:r>
      <w:r w:rsidR="00013605">
        <w:t>would</w:t>
      </w:r>
      <w:r>
        <w:t xml:space="preserve"> be expected to cover matters including performance against the strategic plan, benchmarking activities, risk management, workforce planning and management, and monitoring and analysis of student outcomes.</w:t>
      </w:r>
    </w:p>
    <w:p w14:paraId="3678E2E7" w14:textId="77777777" w:rsidR="00CA0127" w:rsidRDefault="00CA0127" w:rsidP="007A183A">
      <w:pPr>
        <w:pStyle w:val="ListParagraph"/>
        <w:numPr>
          <w:ilvl w:val="1"/>
          <w:numId w:val="45"/>
        </w:numPr>
        <w:jc w:val="both"/>
      </w:pPr>
      <w:r>
        <w:t>the imposition of conditions on registration to restrict or oversee delivery which involves particular risks, such as the delivery of higher education offshore or the provision of higher education using multiple modes of delivery.</w:t>
      </w:r>
    </w:p>
    <w:p w14:paraId="56A58BFD" w14:textId="77777777" w:rsidR="00230B7C" w:rsidRDefault="00013605" w:rsidP="00013605">
      <w:pPr>
        <w:pStyle w:val="ListParagraph"/>
        <w:numPr>
          <w:ilvl w:val="0"/>
          <w:numId w:val="45"/>
        </w:numPr>
        <w:jc w:val="both"/>
      </w:pPr>
      <w:r>
        <w:t xml:space="preserve">Where </w:t>
      </w:r>
      <w:r w:rsidR="00230B7C">
        <w:t>a new provider does not submit information according to the timetable specified</w:t>
      </w:r>
      <w:r>
        <w:t xml:space="preserve"> in a TEQSA request</w:t>
      </w:r>
      <w:r w:rsidR="00A05383">
        <w:t xml:space="preserve">, </w:t>
      </w:r>
      <w:r>
        <w:t xml:space="preserve">or where information raises further concerns, </w:t>
      </w:r>
      <w:r w:rsidR="00A05383">
        <w:t xml:space="preserve">TEQSA will consider </w:t>
      </w:r>
      <w:r>
        <w:t>additional</w:t>
      </w:r>
      <w:r w:rsidR="00671B50">
        <w:t xml:space="preserve"> assurance action.</w:t>
      </w:r>
    </w:p>
    <w:p w14:paraId="27F83B1C" w14:textId="6A8C7B43" w:rsidR="00230B7C" w:rsidRDefault="00F80F97" w:rsidP="00230B7C">
      <w:pPr>
        <w:pStyle w:val="ListParagraph"/>
        <w:numPr>
          <w:ilvl w:val="0"/>
          <w:numId w:val="45"/>
        </w:numPr>
        <w:jc w:val="both"/>
      </w:pPr>
      <w:r>
        <w:t xml:space="preserve">TEQSA will </w:t>
      </w:r>
      <w:r w:rsidR="00281FE2">
        <w:t xml:space="preserve">usually </w:t>
      </w:r>
      <w:r>
        <w:t xml:space="preserve">undertake </w:t>
      </w:r>
      <w:r w:rsidR="0055466D" w:rsidRPr="0055466D">
        <w:t xml:space="preserve">a provider visit </w:t>
      </w:r>
      <w:r w:rsidR="00432F7D">
        <w:t>or meet</w:t>
      </w:r>
      <w:r w:rsidR="00A81DCA">
        <w:t xml:space="preserve"> with a provider</w:t>
      </w:r>
      <w:r w:rsidR="00432F7D">
        <w:t xml:space="preserve"> </w:t>
      </w:r>
      <w:r w:rsidR="0055466D" w:rsidRPr="0055466D">
        <w:t xml:space="preserve">within 12 to </w:t>
      </w:r>
      <w:r w:rsidR="00432F7D" w:rsidRPr="0055466D">
        <w:t>1</w:t>
      </w:r>
      <w:r w:rsidR="00B720A2">
        <w:t>8</w:t>
      </w:r>
      <w:r w:rsidR="00432F7D" w:rsidRPr="0055466D">
        <w:t xml:space="preserve"> </w:t>
      </w:r>
      <w:r w:rsidR="0055466D" w:rsidRPr="0055466D">
        <w:t xml:space="preserve">months </w:t>
      </w:r>
      <w:r w:rsidR="003A1DB1">
        <w:t>from commencement of operations</w:t>
      </w:r>
      <w:r w:rsidR="0055466D" w:rsidRPr="0055466D">
        <w:t xml:space="preserve">, </w:t>
      </w:r>
      <w:r w:rsidR="00281FE2">
        <w:t>with subsequent visits or meetings</w:t>
      </w:r>
      <w:r>
        <w:t xml:space="preserve"> </w:t>
      </w:r>
      <w:r w:rsidR="00BD0C24">
        <w:t xml:space="preserve">at least </w:t>
      </w:r>
      <w:r>
        <w:t xml:space="preserve">annually for the first three years of </w:t>
      </w:r>
      <w:r w:rsidR="002923DC">
        <w:t xml:space="preserve">a provider’s </w:t>
      </w:r>
      <w:r>
        <w:t>operation.</w:t>
      </w:r>
      <w:r w:rsidR="00CA2337">
        <w:t xml:space="preserve"> These visits</w:t>
      </w:r>
      <w:r w:rsidR="00432F7D">
        <w:t xml:space="preserve"> and </w:t>
      </w:r>
      <w:r w:rsidR="00432F7D" w:rsidRPr="00506039">
        <w:t>meetings</w:t>
      </w:r>
      <w:r w:rsidR="00CA2337" w:rsidRPr="00506039">
        <w:t xml:space="preserve"> will </w:t>
      </w:r>
      <w:r w:rsidR="003921D3" w:rsidRPr="00506039">
        <w:t xml:space="preserve">also </w:t>
      </w:r>
      <w:r w:rsidR="00CA2337" w:rsidRPr="00506039">
        <w:t xml:space="preserve">assist </w:t>
      </w:r>
      <w:r w:rsidR="00CA2337">
        <w:t>in relationship development.</w:t>
      </w:r>
    </w:p>
    <w:p w14:paraId="1E3A84C7" w14:textId="73E577F4" w:rsidR="004A4AE6" w:rsidRPr="004B1915" w:rsidRDefault="008E6375" w:rsidP="00E55A90">
      <w:pPr>
        <w:pStyle w:val="Heading2"/>
      </w:pPr>
      <w:r>
        <w:t>Contact</w:t>
      </w:r>
    </w:p>
    <w:p w14:paraId="460494BE" w14:textId="025BE17A" w:rsidR="004A4AE6" w:rsidRDefault="008E6375" w:rsidP="004A4AE6">
      <w:pPr>
        <w:rPr>
          <w:rStyle w:val="Hyperlink"/>
        </w:rPr>
      </w:pPr>
      <w:r>
        <w:t>Any enquiries</w:t>
      </w:r>
      <w:r w:rsidRPr="007F3F16">
        <w:t xml:space="preserve"> about TEQSA’s approach to </w:t>
      </w:r>
      <w:r w:rsidR="000D45D8">
        <w:t>initial provider registrations</w:t>
      </w:r>
      <w:r w:rsidRPr="007F3F16">
        <w:t xml:space="preserve"> can be </w:t>
      </w:r>
      <w:r>
        <w:t>directed to</w:t>
      </w:r>
      <w:r w:rsidRPr="007F3F16">
        <w:t xml:space="preserve">: </w:t>
      </w:r>
      <w:hyperlink r:id="rId12" w:history="1">
        <w:r w:rsidRPr="007F3F16">
          <w:rPr>
            <w:rStyle w:val="Hyperlink"/>
          </w:rPr>
          <w:t>enquiries@teqsa.gov.au</w:t>
        </w:r>
      </w:hyperlink>
    </w:p>
    <w:p w14:paraId="19E5BE6B" w14:textId="1BE561D7" w:rsidR="00F04EEB" w:rsidRDefault="00F04EEB" w:rsidP="004A4AE6">
      <w:pPr>
        <w:rPr>
          <w:rStyle w:val="Hyperlink"/>
        </w:rPr>
      </w:pPr>
      <w:bookmarkStart w:id="0" w:name="_GoBack"/>
      <w:bookmarkEnd w:id="0"/>
    </w:p>
    <w:sectPr w:rsidR="00F04EEB" w:rsidSect="000C60CD">
      <w:headerReference w:type="default" r:id="rId13"/>
      <w:footerReference w:type="default" r:id="rId14"/>
      <w:headerReference w:type="first" r:id="rId15"/>
      <w:footerReference w:type="first" r:id="rId16"/>
      <w:pgSz w:w="11906" w:h="16838"/>
      <w:pgMar w:top="1440" w:right="1440" w:bottom="1440" w:left="1440" w:header="85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FF469" w14:textId="77777777" w:rsidR="00D178B2" w:rsidRDefault="00D178B2" w:rsidP="006C328D">
      <w:pPr>
        <w:spacing w:before="0" w:after="0"/>
      </w:pPr>
      <w:r>
        <w:separator/>
      </w:r>
    </w:p>
  </w:endnote>
  <w:endnote w:type="continuationSeparator" w:id="0">
    <w:p w14:paraId="4DAA9C02" w14:textId="77777777" w:rsidR="00D178B2" w:rsidRDefault="00D178B2" w:rsidP="006C328D">
      <w:pPr>
        <w:spacing w:before="0" w:after="0"/>
      </w:pPr>
      <w:r>
        <w:continuationSeparator/>
      </w:r>
    </w:p>
  </w:endnote>
  <w:endnote w:type="continuationNotice" w:id="1">
    <w:p w14:paraId="38AAB676" w14:textId="77777777" w:rsidR="00D178B2" w:rsidRDefault="00D178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385334316"/>
      <w:docPartObj>
        <w:docPartGallery w:val="Page Numbers (Bottom of Page)"/>
        <w:docPartUnique/>
      </w:docPartObj>
    </w:sdtPr>
    <w:sdtEndPr/>
    <w:sdtContent>
      <w:sdt>
        <w:sdtPr>
          <w:rPr>
            <w:color w:val="00847E" w:themeColor="accent1"/>
            <w:sz w:val="20"/>
            <w:szCs w:val="20"/>
          </w:rPr>
          <w:id w:val="265895531"/>
          <w:docPartObj>
            <w:docPartGallery w:val="Page Numbers (Top of Page)"/>
            <w:docPartUnique/>
          </w:docPartObj>
        </w:sdtPr>
        <w:sdtEndPr/>
        <w:sdtContent>
          <w:p w14:paraId="00FC2F21" w14:textId="51109CBB" w:rsidR="003160FA" w:rsidRPr="003160FA" w:rsidRDefault="003160FA">
            <w:pPr>
              <w:pStyle w:val="Footer"/>
              <w:jc w:val="right"/>
              <w:rPr>
                <w:color w:val="00847E" w:themeColor="accent1"/>
                <w:sz w:val="20"/>
                <w:szCs w:val="20"/>
              </w:rPr>
            </w:pPr>
            <w:r w:rsidRPr="003160FA">
              <w:rPr>
                <w:color w:val="00847E" w:themeColor="accent1"/>
                <w:sz w:val="20"/>
                <w:szCs w:val="20"/>
              </w:rPr>
              <w:t xml:space="preserve">Page </w:t>
            </w:r>
            <w:r w:rsidRPr="003160FA">
              <w:rPr>
                <w:b/>
                <w:bCs/>
                <w:color w:val="00847E" w:themeColor="accent1"/>
                <w:sz w:val="20"/>
                <w:szCs w:val="20"/>
              </w:rPr>
              <w:fldChar w:fldCharType="begin"/>
            </w:r>
            <w:r w:rsidRPr="003160FA">
              <w:rPr>
                <w:b/>
                <w:bCs/>
                <w:color w:val="00847E" w:themeColor="accent1"/>
                <w:sz w:val="20"/>
                <w:szCs w:val="20"/>
              </w:rPr>
              <w:instrText xml:space="preserve"> PAGE </w:instrText>
            </w:r>
            <w:r w:rsidRPr="003160FA">
              <w:rPr>
                <w:b/>
                <w:bCs/>
                <w:color w:val="00847E" w:themeColor="accent1"/>
                <w:sz w:val="20"/>
                <w:szCs w:val="20"/>
              </w:rPr>
              <w:fldChar w:fldCharType="separate"/>
            </w:r>
            <w:r w:rsidR="00384B07">
              <w:rPr>
                <w:b/>
                <w:bCs/>
                <w:noProof/>
                <w:color w:val="00847E" w:themeColor="accent1"/>
                <w:sz w:val="20"/>
                <w:szCs w:val="20"/>
              </w:rPr>
              <w:t>2</w:t>
            </w:r>
            <w:r w:rsidRPr="003160FA">
              <w:rPr>
                <w:b/>
                <w:bCs/>
                <w:color w:val="00847E" w:themeColor="accent1"/>
                <w:sz w:val="20"/>
                <w:szCs w:val="20"/>
              </w:rPr>
              <w:fldChar w:fldCharType="end"/>
            </w:r>
            <w:r w:rsidRPr="003160FA">
              <w:rPr>
                <w:color w:val="00847E" w:themeColor="accent1"/>
                <w:sz w:val="20"/>
                <w:szCs w:val="20"/>
              </w:rPr>
              <w:t xml:space="preserve"> of </w:t>
            </w:r>
            <w:r w:rsidRPr="003160FA">
              <w:rPr>
                <w:b/>
                <w:bCs/>
                <w:color w:val="00847E" w:themeColor="accent1"/>
                <w:sz w:val="20"/>
                <w:szCs w:val="20"/>
              </w:rPr>
              <w:fldChar w:fldCharType="begin"/>
            </w:r>
            <w:r w:rsidRPr="003160FA">
              <w:rPr>
                <w:b/>
                <w:bCs/>
                <w:color w:val="00847E" w:themeColor="accent1"/>
                <w:sz w:val="20"/>
                <w:szCs w:val="20"/>
              </w:rPr>
              <w:instrText xml:space="preserve"> NUMPAGES  </w:instrText>
            </w:r>
            <w:r w:rsidRPr="003160FA">
              <w:rPr>
                <w:b/>
                <w:bCs/>
                <w:color w:val="00847E" w:themeColor="accent1"/>
                <w:sz w:val="20"/>
                <w:szCs w:val="20"/>
              </w:rPr>
              <w:fldChar w:fldCharType="separate"/>
            </w:r>
            <w:r w:rsidR="00384B07">
              <w:rPr>
                <w:b/>
                <w:bCs/>
                <w:noProof/>
                <w:color w:val="00847E" w:themeColor="accent1"/>
                <w:sz w:val="20"/>
                <w:szCs w:val="20"/>
              </w:rPr>
              <w:t>2</w:t>
            </w:r>
            <w:r w:rsidRPr="003160FA">
              <w:rPr>
                <w:b/>
                <w:bCs/>
                <w:color w:val="00847E" w:themeColor="accent1"/>
                <w:sz w:val="20"/>
                <w:szCs w:val="20"/>
              </w:rPr>
              <w:fldChar w:fldCharType="end"/>
            </w:r>
          </w:p>
        </w:sdtContent>
      </w:sdt>
    </w:sdtContent>
  </w:sdt>
  <w:p w14:paraId="65A8AD99" w14:textId="77777777" w:rsidR="003160FA" w:rsidRDefault="00316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467631289"/>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05F5BE16" w14:textId="67D4559C" w:rsidR="000C60CD" w:rsidRPr="000C60CD" w:rsidRDefault="000C60CD">
            <w:pPr>
              <w:pStyle w:val="Footer"/>
              <w:jc w:val="right"/>
              <w:rPr>
                <w:color w:val="00847E" w:themeColor="accent1"/>
                <w:sz w:val="20"/>
                <w:szCs w:val="20"/>
              </w:rPr>
            </w:pPr>
            <w:r w:rsidRPr="000C60CD">
              <w:rPr>
                <w:color w:val="00847E" w:themeColor="accent1"/>
                <w:sz w:val="20"/>
                <w:szCs w:val="20"/>
              </w:rPr>
              <w:t xml:space="preserve">Page </w:t>
            </w:r>
            <w:r w:rsidRPr="000C60CD">
              <w:rPr>
                <w:b/>
                <w:bCs/>
                <w:color w:val="00847E" w:themeColor="accent1"/>
                <w:sz w:val="20"/>
                <w:szCs w:val="20"/>
              </w:rPr>
              <w:fldChar w:fldCharType="begin"/>
            </w:r>
            <w:r w:rsidRPr="000C60CD">
              <w:rPr>
                <w:b/>
                <w:bCs/>
                <w:color w:val="00847E" w:themeColor="accent1"/>
                <w:sz w:val="20"/>
                <w:szCs w:val="20"/>
              </w:rPr>
              <w:instrText xml:space="preserve"> PAGE </w:instrText>
            </w:r>
            <w:r w:rsidRPr="000C60CD">
              <w:rPr>
                <w:b/>
                <w:bCs/>
                <w:color w:val="00847E" w:themeColor="accent1"/>
                <w:sz w:val="20"/>
                <w:szCs w:val="20"/>
              </w:rPr>
              <w:fldChar w:fldCharType="separate"/>
            </w:r>
            <w:r w:rsidR="00384B07">
              <w:rPr>
                <w:b/>
                <w:bCs/>
                <w:noProof/>
                <w:color w:val="00847E" w:themeColor="accent1"/>
                <w:sz w:val="20"/>
                <w:szCs w:val="20"/>
              </w:rPr>
              <w:t>1</w:t>
            </w:r>
            <w:r w:rsidRPr="000C60CD">
              <w:rPr>
                <w:b/>
                <w:bCs/>
                <w:color w:val="00847E" w:themeColor="accent1"/>
                <w:sz w:val="20"/>
                <w:szCs w:val="20"/>
              </w:rPr>
              <w:fldChar w:fldCharType="end"/>
            </w:r>
            <w:r w:rsidRPr="000C60CD">
              <w:rPr>
                <w:color w:val="00847E" w:themeColor="accent1"/>
                <w:sz w:val="20"/>
                <w:szCs w:val="20"/>
              </w:rPr>
              <w:t xml:space="preserve"> of </w:t>
            </w:r>
            <w:r w:rsidRPr="000C60CD">
              <w:rPr>
                <w:b/>
                <w:bCs/>
                <w:color w:val="00847E" w:themeColor="accent1"/>
                <w:sz w:val="20"/>
                <w:szCs w:val="20"/>
              </w:rPr>
              <w:fldChar w:fldCharType="begin"/>
            </w:r>
            <w:r w:rsidRPr="000C60CD">
              <w:rPr>
                <w:b/>
                <w:bCs/>
                <w:color w:val="00847E" w:themeColor="accent1"/>
                <w:sz w:val="20"/>
                <w:szCs w:val="20"/>
              </w:rPr>
              <w:instrText xml:space="preserve"> NUMPAGES  </w:instrText>
            </w:r>
            <w:r w:rsidRPr="000C60CD">
              <w:rPr>
                <w:b/>
                <w:bCs/>
                <w:color w:val="00847E" w:themeColor="accent1"/>
                <w:sz w:val="20"/>
                <w:szCs w:val="20"/>
              </w:rPr>
              <w:fldChar w:fldCharType="separate"/>
            </w:r>
            <w:r w:rsidR="00384B07">
              <w:rPr>
                <w:b/>
                <w:bCs/>
                <w:noProof/>
                <w:color w:val="00847E" w:themeColor="accent1"/>
                <w:sz w:val="20"/>
                <w:szCs w:val="20"/>
              </w:rPr>
              <w:t>2</w:t>
            </w:r>
            <w:r w:rsidRPr="000C60CD">
              <w:rPr>
                <w:b/>
                <w:bCs/>
                <w:color w:val="00847E" w:themeColor="accent1"/>
                <w:sz w:val="20"/>
                <w:szCs w:val="20"/>
              </w:rPr>
              <w:fldChar w:fldCharType="end"/>
            </w:r>
          </w:p>
        </w:sdtContent>
      </w:sdt>
    </w:sdtContent>
  </w:sdt>
  <w:p w14:paraId="3F8A00F9" w14:textId="77777777" w:rsidR="000C60CD" w:rsidRDefault="000C6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5F645" w14:textId="77777777" w:rsidR="00D178B2" w:rsidRDefault="00D178B2" w:rsidP="006C328D">
      <w:pPr>
        <w:spacing w:before="0" w:after="0"/>
      </w:pPr>
      <w:r>
        <w:separator/>
      </w:r>
    </w:p>
  </w:footnote>
  <w:footnote w:type="continuationSeparator" w:id="0">
    <w:p w14:paraId="47C7E13C" w14:textId="77777777" w:rsidR="00D178B2" w:rsidRDefault="00D178B2" w:rsidP="006C328D">
      <w:pPr>
        <w:spacing w:before="0" w:after="0"/>
      </w:pPr>
      <w:r>
        <w:continuationSeparator/>
      </w:r>
    </w:p>
  </w:footnote>
  <w:footnote w:type="continuationNotice" w:id="1">
    <w:p w14:paraId="7D753297" w14:textId="77777777" w:rsidR="00D178B2" w:rsidRDefault="00D178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236DF" w14:textId="77777777"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4EA0" w14:textId="77777777" w:rsidR="004A4AE6" w:rsidRDefault="004A4AE6">
    <w:pPr>
      <w:pStyle w:val="Header"/>
    </w:pPr>
    <w:r>
      <w:rPr>
        <w:rFonts w:ascii="Georgia" w:hAnsi="Georgia" w:cs="Arial"/>
        <w:b/>
        <w:noProof/>
        <w:color w:val="004855"/>
        <w:sz w:val="28"/>
        <w:szCs w:val="28"/>
        <w:lang w:eastAsia="en-AU"/>
      </w:rPr>
      <w:drawing>
        <wp:inline distT="0" distB="0" distL="0" distR="0" wp14:anchorId="442A4AC7" wp14:editId="25839387">
          <wp:extent cx="3228975" cy="476067"/>
          <wp:effectExtent l="0" t="0" r="0" b="635"/>
          <wp:docPr id="1" name="Picture 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t xml:space="preserve"> </w:t>
    </w:r>
    <w:r>
      <w:rPr>
        <w:rFonts w:ascii="Georgia" w:hAnsi="Georgia" w:cs="Arial"/>
        <w:b/>
        <w:noProof/>
        <w:color w:val="004855"/>
        <w:sz w:val="28"/>
        <w:szCs w:val="28"/>
        <w:lang w:eastAsia="en-AU"/>
      </w:rPr>
      <w:drawing>
        <wp:inline distT="0" distB="0" distL="0" distR="0" wp14:anchorId="43BF76B6" wp14:editId="233A07B3">
          <wp:extent cx="1428750" cy="353174"/>
          <wp:effectExtent l="0" t="0" r="0" b="8890"/>
          <wp:docPr id="3" name="Picture 3"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p w14:paraId="64292CBC" w14:textId="77777777" w:rsidR="004A4AE6" w:rsidRDefault="004A4AE6">
    <w:pPr>
      <w:pStyle w:val="Header"/>
    </w:pPr>
  </w:p>
  <w:p w14:paraId="1AA6159F" w14:textId="77777777" w:rsidR="004A4AE6" w:rsidRDefault="004A4AE6">
    <w:pPr>
      <w:pStyle w:val="Header"/>
    </w:pPr>
  </w:p>
  <w:p w14:paraId="709828C2" w14:textId="77777777" w:rsidR="004A4AE6" w:rsidRDefault="004A4AE6">
    <w:pPr>
      <w:pStyle w:val="Header"/>
    </w:pPr>
  </w:p>
  <w:p w14:paraId="18609CEE" w14:textId="77777777" w:rsidR="004A4AE6" w:rsidRDefault="004A4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36pt" o:bullet="t">
        <v:imagedata r:id="rId1" o:title="Teal-Triangles"/>
      </v:shape>
    </w:pict>
  </w:numPicBullet>
  <w:numPicBullet w:numPicBulletId="1">
    <w:pict>
      <v:shape id="_x0000_i1030" type="#_x0000_t75" style="width:1in;height:36pt" o:bullet="t">
        <v:imagedata r:id="rId2" o:title="Pink-Triangles"/>
      </v:shape>
    </w:pict>
  </w:numPicBullet>
  <w:numPicBullet w:numPicBulletId="2">
    <w:pict>
      <v:shape id="_x0000_i1031" type="#_x0000_t75" style="width:1in;height:36pt" o:bullet="t">
        <v:imagedata r:id="rId3" o:title="Yellow-Triangles"/>
      </v:shape>
    </w:pict>
  </w:numPicBullet>
  <w:abstractNum w:abstractNumId="0"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7B891533"/>
    <w:multiLevelType w:val="hybridMultilevel"/>
    <w:tmpl w:val="D5CA4C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num>
  <w:num w:numId="2">
    <w:abstractNumId w:val="9"/>
  </w:num>
  <w:num w:numId="3">
    <w:abstractNumId w:val="9"/>
  </w:num>
  <w:num w:numId="4">
    <w:abstractNumId w:val="3"/>
  </w:num>
  <w:num w:numId="5">
    <w:abstractNumId w:val="3"/>
  </w:num>
  <w:num w:numId="6">
    <w:abstractNumId w:val="3"/>
  </w:num>
  <w:num w:numId="7">
    <w:abstractNumId w:val="8"/>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5"/>
  </w:num>
  <w:num w:numId="16">
    <w:abstractNumId w:val="5"/>
  </w:num>
  <w:num w:numId="17">
    <w:abstractNumId w:val="5"/>
  </w:num>
  <w:num w:numId="18">
    <w:abstractNumId w:val="0"/>
  </w:num>
  <w:num w:numId="19">
    <w:abstractNumId w:val="1"/>
  </w:num>
  <w:num w:numId="20">
    <w:abstractNumId w:val="2"/>
  </w:num>
  <w:num w:numId="21">
    <w:abstractNumId w:val="6"/>
  </w:num>
  <w:num w:numId="22">
    <w:abstractNumId w:val="4"/>
  </w:num>
  <w:num w:numId="23">
    <w:abstractNumId w:val="11"/>
  </w:num>
  <w:num w:numId="24">
    <w:abstractNumId w:val="9"/>
  </w:num>
  <w:num w:numId="25">
    <w:abstractNumId w:val="9"/>
  </w:num>
  <w:num w:numId="26">
    <w:abstractNumId w:val="3"/>
  </w:num>
  <w:num w:numId="27">
    <w:abstractNumId w:val="3"/>
  </w:num>
  <w:num w:numId="28">
    <w:abstractNumId w:val="3"/>
  </w:num>
  <w:num w:numId="29">
    <w:abstractNumId w:val="8"/>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5"/>
  </w:num>
  <w:num w:numId="38">
    <w:abstractNumId w:val="5"/>
  </w:num>
  <w:num w:numId="39">
    <w:abstractNumId w:val="5"/>
  </w:num>
  <w:num w:numId="40">
    <w:abstractNumId w:val="0"/>
  </w:num>
  <w:num w:numId="41">
    <w:abstractNumId w:val="1"/>
  </w:num>
  <w:num w:numId="42">
    <w:abstractNumId w:val="2"/>
  </w:num>
  <w:num w:numId="43">
    <w:abstractNumId w:val="6"/>
  </w:num>
  <w:num w:numId="44">
    <w:abstractNumId w:val="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013605"/>
    <w:rsid w:val="000551D6"/>
    <w:rsid w:val="0005708D"/>
    <w:rsid w:val="000926B3"/>
    <w:rsid w:val="00096210"/>
    <w:rsid w:val="000B77BB"/>
    <w:rsid w:val="000C60CD"/>
    <w:rsid w:val="000D45D8"/>
    <w:rsid w:val="000F471E"/>
    <w:rsid w:val="000F476E"/>
    <w:rsid w:val="00123B6D"/>
    <w:rsid w:val="00181795"/>
    <w:rsid w:val="00183376"/>
    <w:rsid w:val="00183896"/>
    <w:rsid w:val="001C3009"/>
    <w:rsid w:val="001E59DA"/>
    <w:rsid w:val="001F39F5"/>
    <w:rsid w:val="00230B7C"/>
    <w:rsid w:val="00281FE2"/>
    <w:rsid w:val="002923DC"/>
    <w:rsid w:val="003160FA"/>
    <w:rsid w:val="003355D2"/>
    <w:rsid w:val="00371726"/>
    <w:rsid w:val="00377FF6"/>
    <w:rsid w:val="00384B07"/>
    <w:rsid w:val="003921D3"/>
    <w:rsid w:val="003A0C40"/>
    <w:rsid w:val="003A1DB1"/>
    <w:rsid w:val="003B0FAF"/>
    <w:rsid w:val="00432F7D"/>
    <w:rsid w:val="00452959"/>
    <w:rsid w:val="004701EE"/>
    <w:rsid w:val="004A4AE6"/>
    <w:rsid w:val="004A6924"/>
    <w:rsid w:val="004F50EA"/>
    <w:rsid w:val="00506039"/>
    <w:rsid w:val="00521842"/>
    <w:rsid w:val="005237CA"/>
    <w:rsid w:val="0052408E"/>
    <w:rsid w:val="0055466D"/>
    <w:rsid w:val="00576566"/>
    <w:rsid w:val="005A7256"/>
    <w:rsid w:val="005B458E"/>
    <w:rsid w:val="005E4941"/>
    <w:rsid w:val="00607484"/>
    <w:rsid w:val="006144EC"/>
    <w:rsid w:val="006272B2"/>
    <w:rsid w:val="00644240"/>
    <w:rsid w:val="00671B50"/>
    <w:rsid w:val="006B17D9"/>
    <w:rsid w:val="006C328D"/>
    <w:rsid w:val="007A183A"/>
    <w:rsid w:val="007B01C8"/>
    <w:rsid w:val="00804FD2"/>
    <w:rsid w:val="00812CF5"/>
    <w:rsid w:val="00892853"/>
    <w:rsid w:val="008A5E53"/>
    <w:rsid w:val="008D6E3C"/>
    <w:rsid w:val="008E2BE8"/>
    <w:rsid w:val="008E6375"/>
    <w:rsid w:val="0090141E"/>
    <w:rsid w:val="009014EF"/>
    <w:rsid w:val="00940CFE"/>
    <w:rsid w:val="009452C7"/>
    <w:rsid w:val="009663AA"/>
    <w:rsid w:val="009A2B03"/>
    <w:rsid w:val="009B769E"/>
    <w:rsid w:val="00A05383"/>
    <w:rsid w:val="00A16F49"/>
    <w:rsid w:val="00A22BA8"/>
    <w:rsid w:val="00A73142"/>
    <w:rsid w:val="00A81DCA"/>
    <w:rsid w:val="00B720A2"/>
    <w:rsid w:val="00B7509A"/>
    <w:rsid w:val="00B815A9"/>
    <w:rsid w:val="00BB4064"/>
    <w:rsid w:val="00BD0C24"/>
    <w:rsid w:val="00BD5B13"/>
    <w:rsid w:val="00C45176"/>
    <w:rsid w:val="00C56F0F"/>
    <w:rsid w:val="00CA0127"/>
    <w:rsid w:val="00CA2337"/>
    <w:rsid w:val="00CB4BE8"/>
    <w:rsid w:val="00D06F70"/>
    <w:rsid w:val="00D178B2"/>
    <w:rsid w:val="00D91C0C"/>
    <w:rsid w:val="00DC7211"/>
    <w:rsid w:val="00DD56FA"/>
    <w:rsid w:val="00DF4963"/>
    <w:rsid w:val="00E02EFC"/>
    <w:rsid w:val="00E35103"/>
    <w:rsid w:val="00E55A90"/>
    <w:rsid w:val="00E94E47"/>
    <w:rsid w:val="00EA628E"/>
    <w:rsid w:val="00F04EEB"/>
    <w:rsid w:val="00F36AC9"/>
    <w:rsid w:val="00F559F1"/>
    <w:rsid w:val="00F752DE"/>
    <w:rsid w:val="00F80F97"/>
    <w:rsid w:val="00F93532"/>
    <w:rsid w:val="00F97A5C"/>
    <w:rsid w:val="00FC24D6"/>
    <w:rsid w:val="00FE502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79907"/>
  <w15:docId w15:val="{B3669458-118B-4573-896C-4A247A54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E55A90"/>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5B458E"/>
    <w:pPr>
      <w:keepNext/>
      <w:keepLines/>
      <w:spacing w:before="480" w:after="240" w:line="380" w:lineRule="atLeast"/>
      <w:outlineLvl w:val="2"/>
    </w:pPr>
    <w:rPr>
      <w:rFonts w:asciiTheme="majorHAnsi" w:eastAsiaTheme="majorEastAsia" w:hAnsiTheme="majorHAnsi" w:cstheme="majorBidi"/>
      <w:color w:val="00847E" w:themeColor="accent1"/>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E55A90"/>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5B458E"/>
    <w:rPr>
      <w:rFonts w:asciiTheme="majorHAnsi" w:eastAsiaTheme="majorEastAsia" w:hAnsiTheme="majorHAnsi" w:cstheme="majorBidi"/>
      <w:color w:val="00847E" w:themeColor="accent1"/>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4A4AE6"/>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34"/>
    <w:rsid w:val="004A4AE6"/>
    <w:rPr>
      <w:rFonts w:ascii="Arial" w:hAnsi="Arial"/>
      <w:color w:val="auto"/>
    </w:rPr>
  </w:style>
  <w:style w:type="table" w:customStyle="1" w:styleId="TEQSAtables">
    <w:name w:val="TEQSA tables"/>
    <w:basedOn w:val="TableNormal"/>
    <w:uiPriority w:val="99"/>
    <w:rsid w:val="004A4AE6"/>
    <w:pPr>
      <w:spacing w:before="0" w:after="0"/>
      <w:jc w:val="center"/>
    </w:pPr>
    <w:rPr>
      <w:color w:val="auto"/>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142" w:type="dxa"/>
        <w:bottom w:w="57" w:type="dxa"/>
        <w:right w:w="142" w:type="dxa"/>
      </w:tcMar>
    </w:tcPr>
    <w:tblStylePr w:type="firstRow">
      <w:rPr>
        <w:rFonts w:ascii="Arial" w:hAnsi="Arial"/>
        <w:b/>
        <w:color w:val="E7E6E6"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000000" w:themeColor="text1"/>
          <w:tl2br w:val="nil"/>
          <w:tr2bl w:val="nil"/>
        </w:tcBorders>
        <w:shd w:val="clear" w:color="auto" w:fill="004855"/>
      </w:tcPr>
    </w:tblStylePr>
    <w:tblStylePr w:type="band2Horz">
      <w:tblPr/>
      <w:tcPr>
        <w:shd w:val="clear" w:color="auto" w:fill="FBE4D5" w:themeFill="accent6" w:themeFillTint="33"/>
      </w:tcPr>
    </w:tblStylePr>
  </w:style>
  <w:style w:type="character" w:styleId="Hyperlink">
    <w:name w:val="Hyperlink"/>
    <w:basedOn w:val="DefaultParagraphFont"/>
    <w:uiPriority w:val="99"/>
    <w:unhideWhenUsed/>
    <w:rsid w:val="004A4AE6"/>
    <w:rPr>
      <w:color w:val="00847E" w:themeColor="hyperlink"/>
      <w:u w:val="single"/>
    </w:rPr>
  </w:style>
  <w:style w:type="character" w:styleId="CommentReference">
    <w:name w:val="annotation reference"/>
    <w:basedOn w:val="DefaultParagraphFont"/>
    <w:uiPriority w:val="99"/>
    <w:semiHidden/>
    <w:unhideWhenUsed/>
    <w:rsid w:val="00013605"/>
    <w:rPr>
      <w:sz w:val="16"/>
      <w:szCs w:val="16"/>
    </w:rPr>
  </w:style>
  <w:style w:type="paragraph" w:styleId="CommentText">
    <w:name w:val="annotation text"/>
    <w:basedOn w:val="Normal"/>
    <w:link w:val="CommentTextChar"/>
    <w:uiPriority w:val="99"/>
    <w:semiHidden/>
    <w:unhideWhenUsed/>
    <w:rsid w:val="00013605"/>
    <w:rPr>
      <w:sz w:val="20"/>
      <w:szCs w:val="20"/>
    </w:rPr>
  </w:style>
  <w:style w:type="character" w:customStyle="1" w:styleId="CommentTextChar">
    <w:name w:val="Comment Text Char"/>
    <w:basedOn w:val="DefaultParagraphFont"/>
    <w:link w:val="CommentText"/>
    <w:uiPriority w:val="99"/>
    <w:semiHidden/>
    <w:rsid w:val="00013605"/>
    <w:rPr>
      <w:sz w:val="20"/>
      <w:szCs w:val="20"/>
    </w:rPr>
  </w:style>
  <w:style w:type="paragraph" w:styleId="CommentSubject">
    <w:name w:val="annotation subject"/>
    <w:basedOn w:val="CommentText"/>
    <w:next w:val="CommentText"/>
    <w:link w:val="CommentSubjectChar"/>
    <w:uiPriority w:val="99"/>
    <w:semiHidden/>
    <w:unhideWhenUsed/>
    <w:rsid w:val="00013605"/>
    <w:rPr>
      <w:b/>
      <w:bCs/>
    </w:rPr>
  </w:style>
  <w:style w:type="character" w:customStyle="1" w:styleId="CommentSubjectChar">
    <w:name w:val="Comment Subject Char"/>
    <w:basedOn w:val="CommentTextChar"/>
    <w:link w:val="CommentSubject"/>
    <w:uiPriority w:val="99"/>
    <w:semiHidden/>
    <w:rsid w:val="00013605"/>
    <w:rPr>
      <w:b/>
      <w:bCs/>
      <w:sz w:val="20"/>
      <w:szCs w:val="20"/>
    </w:rPr>
  </w:style>
  <w:style w:type="paragraph" w:styleId="Revision">
    <w:name w:val="Revision"/>
    <w:hidden/>
    <w:uiPriority w:val="99"/>
    <w:semiHidden/>
    <w:rsid w:val="00940CFE"/>
    <w:pPr>
      <w:spacing w:before="0" w:after="0"/>
    </w:pPr>
  </w:style>
  <w:style w:type="character" w:styleId="SubtleEmphasis">
    <w:name w:val="Subtle Emphasis"/>
    <w:basedOn w:val="DefaultParagraphFont"/>
    <w:uiPriority w:val="19"/>
    <w:qFormat/>
    <w:rsid w:val="00E02EF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nquiries@teqs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30</Value>
    </TaxCatchAll>
    <DocumentOwner xmlns="c7dac4e8-3feb-44f4-96ca-b86e7c14d0f6">
      <UserInfo>
        <DisplayName>Piskun, Andrew</DisplayName>
        <AccountId>474</AccountId>
        <AccountType/>
      </UserInfo>
    </DocumentOwner>
    <DatePublished xmlns="c7dac4e8-3feb-44f4-96ca-b86e7c14d0f6">2017-07-24T14:00:00+00:00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Information,Analysis ＆ Reporting</TermName>
          <TermId xmlns="http://schemas.microsoft.com/office/infopath/2007/PartnerControls">37718a6d-10b4-45fc-9ff6-917bfd7da810</TermId>
        </TermInfo>
      </Terms>
    </e6aacab2b3734039bc8633068afcfbf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0CE3D-525A-4C27-9A18-CC9746080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49B4E-4953-4279-8997-AA386B984921}">
  <ds:schemaRefs>
    <ds:schemaRef ds:uri="http://schemas.microsoft.com/office/2006/documentManagement/types"/>
    <ds:schemaRef ds:uri="http://purl.org/dc/terms/"/>
    <ds:schemaRef ds:uri="c7dac4e8-3feb-44f4-96ca-b86e7c14d0f6"/>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CA7ED60F-9E04-4D86-8D05-AFAC634B0A4B}">
  <ds:schemaRefs>
    <ds:schemaRef ds:uri="http://schemas.microsoft.com/sharepoint/v3/contenttype/forms"/>
  </ds:schemaRefs>
</ds:datastoreItem>
</file>

<file path=customXml/itemProps4.xml><?xml version="1.0" encoding="utf-8"?>
<ds:datastoreItem xmlns:ds="http://schemas.openxmlformats.org/officeDocument/2006/customXml" ds:itemID="{FCB0EBC8-AFED-4412-9B00-EED74B7A7C50}">
  <ds:schemaRefs>
    <ds:schemaRef ds:uri="http://schemas.openxmlformats.org/officeDocument/2006/bibliography"/>
  </ds:schemaRefs>
</ds:datastoreItem>
</file>

<file path=customXml/itemProps5.xml><?xml version="1.0" encoding="utf-8"?>
<ds:datastoreItem xmlns:ds="http://schemas.openxmlformats.org/officeDocument/2006/customXml" ds:itemID="{6C17D4E9-46E7-422E-A400-1BFAE95C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TEQSA initial provider registrations policy</vt:lpstr>
    </vt:vector>
  </TitlesOfParts>
  <Company>Tertiary Education Quality and Standards Agency</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TEQSA initial provider registrations policy</dc:title>
  <dc:creator>May, Raphael</dc:creator>
  <cp:lastModifiedBy>Hewitt-McManus, Tom</cp:lastModifiedBy>
  <cp:revision>6</cp:revision>
  <cp:lastPrinted>2017-10-25T22:32:00Z</cp:lastPrinted>
  <dcterms:created xsi:type="dcterms:W3CDTF">2021-01-29T00:19:00Z</dcterms:created>
  <dcterms:modified xsi:type="dcterms:W3CDTF">2021-01-29T05:29:00Z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30;#Information,Analysis ＆ Reporting|37718a6d-10b4-45fc-9ff6-917bfd7da810</vt:lpwstr>
  </property>
</Properties>
</file>