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19D3" w14:textId="6D3CE3D0" w:rsidR="006C328D" w:rsidRPr="0043028F" w:rsidRDefault="00E209C3" w:rsidP="00E209C3">
      <w:pPr>
        <w:pStyle w:val="Heading1"/>
        <w:rPr>
          <w:color w:val="004D7D"/>
        </w:rPr>
      </w:pPr>
      <w:r w:rsidRPr="0043028F">
        <w:rPr>
          <w:color w:val="004D7D"/>
        </w:rPr>
        <w:t xml:space="preserve">Information </w:t>
      </w:r>
      <w:r w:rsidR="004E695F">
        <w:rPr>
          <w:color w:val="004D7D"/>
        </w:rPr>
        <w:t>s</w:t>
      </w:r>
      <w:r w:rsidRPr="0043028F">
        <w:rPr>
          <w:color w:val="004D7D"/>
        </w:rPr>
        <w:t xml:space="preserve">heet: TEQSA’s </w:t>
      </w:r>
      <w:r w:rsidR="004E695F">
        <w:rPr>
          <w:color w:val="004D7D"/>
        </w:rPr>
        <w:t>a</w:t>
      </w:r>
      <w:r w:rsidRPr="0043028F">
        <w:rPr>
          <w:color w:val="004D7D"/>
        </w:rPr>
        <w:t xml:space="preserve">pproach to </w:t>
      </w:r>
      <w:r w:rsidR="004E695F">
        <w:rPr>
          <w:color w:val="004D7D"/>
        </w:rPr>
        <w:t>c</w:t>
      </w:r>
      <w:r w:rsidRPr="0043028F">
        <w:rPr>
          <w:color w:val="004D7D"/>
        </w:rPr>
        <w:t>onsultation</w:t>
      </w:r>
    </w:p>
    <w:p w14:paraId="625885C6" w14:textId="2EDA4B37" w:rsidR="00E209C3" w:rsidRPr="0043028F" w:rsidRDefault="005353CC" w:rsidP="00E209C3">
      <w:pPr>
        <w:pStyle w:val="Subtitle"/>
        <w:rPr>
          <w:color w:val="004D7D"/>
        </w:rPr>
      </w:pPr>
      <w:r>
        <w:rPr>
          <w:color w:val="004D7D"/>
        </w:rPr>
        <w:t>August</w:t>
      </w:r>
      <w:r w:rsidRPr="0043028F">
        <w:rPr>
          <w:color w:val="004D7D"/>
        </w:rPr>
        <w:t xml:space="preserve"> </w:t>
      </w:r>
      <w:r w:rsidR="00F11F6F" w:rsidRPr="0043028F">
        <w:rPr>
          <w:color w:val="004D7D"/>
        </w:rPr>
        <w:t>2022</w:t>
      </w:r>
    </w:p>
    <w:p w14:paraId="7910D9C3" w14:textId="77777777" w:rsidR="00E209C3" w:rsidRPr="0043028F" w:rsidRDefault="00E209C3" w:rsidP="00E209C3">
      <w:pPr>
        <w:pStyle w:val="Heading2"/>
        <w:rPr>
          <w:color w:val="004D7D"/>
        </w:rPr>
      </w:pPr>
      <w:r w:rsidRPr="0043028F">
        <w:rPr>
          <w:color w:val="004D7D"/>
        </w:rPr>
        <w:t xml:space="preserve">Why does TEQSA consult? </w:t>
      </w:r>
    </w:p>
    <w:p w14:paraId="623561CA" w14:textId="7B4618AF" w:rsidR="00EF4A09" w:rsidRDefault="00BC45D1" w:rsidP="00C177EB">
      <w:r>
        <w:t>TEQSA</w:t>
      </w:r>
      <w:r w:rsidR="00F616FB">
        <w:t xml:space="preserve"> </w:t>
      </w:r>
      <w:r w:rsidR="0043028F">
        <w:t xml:space="preserve">takes </w:t>
      </w:r>
      <w:r w:rsidR="00F616FB">
        <w:t>a</w:t>
      </w:r>
      <w:r>
        <w:t xml:space="preserve"> partnership </w:t>
      </w:r>
      <w:r w:rsidR="0043028F">
        <w:t xml:space="preserve">approach </w:t>
      </w:r>
      <w:r>
        <w:t xml:space="preserve">to regulation </w:t>
      </w:r>
      <w:r w:rsidR="0043028F">
        <w:t>of</w:t>
      </w:r>
      <w:r>
        <w:t xml:space="preserve"> the higher education sector</w:t>
      </w:r>
      <w:r w:rsidR="00F616FB">
        <w:t>. As part of this, TEQSA</w:t>
      </w:r>
      <w:r>
        <w:t xml:space="preserve"> </w:t>
      </w:r>
      <w:r w:rsidR="00EF4A09">
        <w:t xml:space="preserve">will </w:t>
      </w:r>
      <w:r>
        <w:t xml:space="preserve">seek to </w:t>
      </w:r>
      <w:r w:rsidR="00EF4A09">
        <w:t xml:space="preserve">consult </w:t>
      </w:r>
      <w:r w:rsidR="00B644C0">
        <w:t>stakeholders</w:t>
      </w:r>
      <w:r>
        <w:t xml:space="preserve"> </w:t>
      </w:r>
      <w:r w:rsidR="00EF4A09">
        <w:t>when</w:t>
      </w:r>
      <w:r w:rsidR="00EF4A09" w:rsidRPr="003E2B18">
        <w:rPr>
          <w:rFonts w:ascii="Arial" w:hAnsi="Arial" w:cs="Arial"/>
          <w:color w:val="202124"/>
          <w:shd w:val="clear" w:color="auto" w:fill="FFFFFF"/>
        </w:rPr>
        <w:t xml:space="preserve"> we</w:t>
      </w:r>
      <w:r w:rsidR="00EF4A09">
        <w:rPr>
          <w:rFonts w:ascii="Arial" w:hAnsi="Arial" w:cs="Arial"/>
          <w:color w:val="202124"/>
          <w:shd w:val="clear" w:color="auto" w:fill="FFFFFF"/>
        </w:rPr>
        <w:t xml:space="preserve"> </w:t>
      </w:r>
      <w:r w:rsidR="00C177EB">
        <w:rPr>
          <w:rFonts w:ascii="Arial" w:hAnsi="Arial" w:cs="Arial"/>
          <w:color w:val="202124"/>
          <w:shd w:val="clear" w:color="auto" w:fill="FFFFFF"/>
        </w:rPr>
        <w:t xml:space="preserve">consider or </w:t>
      </w:r>
      <w:r w:rsidR="00EF4A09">
        <w:rPr>
          <w:rFonts w:ascii="Arial" w:hAnsi="Arial" w:cs="Arial"/>
          <w:color w:val="202124"/>
          <w:shd w:val="clear" w:color="auto" w:fill="FFFFFF"/>
        </w:rPr>
        <w:t>propose change</w:t>
      </w:r>
      <w:r w:rsidR="00C177EB">
        <w:rPr>
          <w:rFonts w:ascii="Arial" w:hAnsi="Arial" w:cs="Arial"/>
          <w:color w:val="202124"/>
          <w:shd w:val="clear" w:color="auto" w:fill="FFFFFF"/>
        </w:rPr>
        <w:t xml:space="preserve">s </w:t>
      </w:r>
      <w:r w:rsidR="00EF4A09">
        <w:rPr>
          <w:rFonts w:ascii="Arial" w:hAnsi="Arial" w:cs="Arial"/>
          <w:color w:val="202124"/>
          <w:shd w:val="clear" w:color="auto" w:fill="FFFFFF"/>
        </w:rPr>
        <w:t xml:space="preserve">that </w:t>
      </w:r>
      <w:r w:rsidR="00C177EB">
        <w:rPr>
          <w:rFonts w:ascii="Arial" w:hAnsi="Arial" w:cs="Arial"/>
          <w:color w:val="202124"/>
          <w:shd w:val="clear" w:color="auto" w:fill="FFFFFF"/>
        </w:rPr>
        <w:t>may meaningfully inform or</w:t>
      </w:r>
      <w:r w:rsidR="00EF4A09">
        <w:rPr>
          <w:rFonts w:ascii="Arial" w:hAnsi="Arial" w:cs="Arial"/>
          <w:color w:val="202124"/>
          <w:shd w:val="clear" w:color="auto" w:fill="FFFFFF"/>
        </w:rPr>
        <w:t xml:space="preserve"> impact </w:t>
      </w:r>
      <w:r w:rsidR="00C177EB">
        <w:rPr>
          <w:rFonts w:ascii="Arial" w:hAnsi="Arial" w:cs="Arial"/>
          <w:color w:val="202124"/>
          <w:shd w:val="clear" w:color="auto" w:fill="FFFFFF"/>
        </w:rPr>
        <w:t>regulation of</w:t>
      </w:r>
      <w:r w:rsidR="00EF4A09">
        <w:rPr>
          <w:rFonts w:ascii="Arial" w:hAnsi="Arial" w:cs="Arial"/>
          <w:color w:val="202124"/>
          <w:shd w:val="clear" w:color="auto" w:fill="FFFFFF"/>
        </w:rPr>
        <w:t xml:space="preserve"> the higher education sector.</w:t>
      </w:r>
    </w:p>
    <w:p w14:paraId="23982A54" w14:textId="4CFB61CD" w:rsidR="00E209C3" w:rsidRDefault="00E209C3" w:rsidP="00E209C3">
      <w:r>
        <w:t xml:space="preserve">TEQSA values feedback from </w:t>
      </w:r>
      <w:r w:rsidR="00B644C0">
        <w:t>stakeholders and</w:t>
      </w:r>
      <w:r>
        <w:t xml:space="preserve"> recognises consultation </w:t>
      </w:r>
      <w:r w:rsidR="0043028F">
        <w:t xml:space="preserve">and engagement supports improvements </w:t>
      </w:r>
      <w:r>
        <w:t>in regulation</w:t>
      </w:r>
      <w:r w:rsidR="0043028F">
        <w:t xml:space="preserve"> and providers’ capacity for self-assurance</w:t>
      </w:r>
      <w:r>
        <w:t xml:space="preserve">. </w:t>
      </w:r>
    </w:p>
    <w:p w14:paraId="564B6312" w14:textId="77777777" w:rsidR="00E209C3" w:rsidRPr="0043028F" w:rsidRDefault="00E209C3" w:rsidP="00E209C3">
      <w:pPr>
        <w:pStyle w:val="Heading2"/>
        <w:rPr>
          <w:color w:val="004D7D"/>
        </w:rPr>
      </w:pPr>
      <w:r w:rsidRPr="0043028F">
        <w:rPr>
          <w:color w:val="004D7D"/>
        </w:rPr>
        <w:t xml:space="preserve">Principles of consultation </w:t>
      </w:r>
    </w:p>
    <w:p w14:paraId="25248A0C" w14:textId="54A6B570" w:rsidR="00E209C3" w:rsidRDefault="00E209C3" w:rsidP="00E209C3">
      <w:r>
        <w:t xml:space="preserve">TEQSA’s approach to consultation is consistent with its overall regulatory philosophy </w:t>
      </w:r>
      <w:r w:rsidR="00901C94">
        <w:t>of partnership with the sector</w:t>
      </w:r>
      <w:r w:rsidR="00CB5581">
        <w:t xml:space="preserve">. It </w:t>
      </w:r>
      <w:r>
        <w:t>is</w:t>
      </w:r>
      <w:r w:rsidR="00CB5581">
        <w:t xml:space="preserve"> also</w:t>
      </w:r>
      <w:r>
        <w:t xml:space="preserve"> guided by the principles </w:t>
      </w:r>
      <w:r w:rsidR="00AA1E9A">
        <w:t>of</w:t>
      </w:r>
      <w:r>
        <w:t xml:space="preserve"> reflecting risk, </w:t>
      </w:r>
      <w:r w:rsidR="00FE52B6">
        <w:t>proportionality,</w:t>
      </w:r>
      <w:r>
        <w:t xml:space="preserve"> and necessity. </w:t>
      </w:r>
    </w:p>
    <w:p w14:paraId="05D0C667" w14:textId="51C65363" w:rsidR="00E209C3" w:rsidRPr="0043028F" w:rsidRDefault="00E209C3" w:rsidP="00E209C3">
      <w:pPr>
        <w:pStyle w:val="Heading3"/>
        <w:rPr>
          <w:color w:val="004D7D"/>
        </w:rPr>
      </w:pPr>
      <w:r w:rsidRPr="0043028F">
        <w:rPr>
          <w:color w:val="004D7D"/>
        </w:rPr>
        <w:t>1</w:t>
      </w:r>
      <w:r w:rsidR="00C57364">
        <w:rPr>
          <w:color w:val="004D7D"/>
        </w:rPr>
        <w:t>.</w:t>
      </w:r>
      <w:r w:rsidRPr="0043028F">
        <w:rPr>
          <w:color w:val="004D7D"/>
        </w:rPr>
        <w:t xml:space="preserve"> Broad consultation </w:t>
      </w:r>
    </w:p>
    <w:p w14:paraId="3558214E" w14:textId="124801AD" w:rsidR="00E209C3" w:rsidRDefault="00E209C3" w:rsidP="00E209C3">
      <w:r>
        <w:t>TEQSA endeavours to consult with the full range of stakeholders within the</w:t>
      </w:r>
      <w:r w:rsidR="00AA1E9A">
        <w:t xml:space="preserve"> Australian</w:t>
      </w:r>
      <w:r>
        <w:t xml:space="preserve"> higher education </w:t>
      </w:r>
      <w:r w:rsidR="00AA1E9A">
        <w:t>system</w:t>
      </w:r>
      <w:r>
        <w:t xml:space="preserve">. It recognises that the sector is diverse and the views and interests of stakeholders may vary depending on their size, nature of operations and location. TEQSA’s approach to consultation aims to capture the breadth and diversity of stakeholders affected by any proposed changes, and also considers whether the impact of proposals is likely to differ among providers. </w:t>
      </w:r>
    </w:p>
    <w:p w14:paraId="1102768B" w14:textId="15797D29" w:rsidR="00E209C3" w:rsidRDefault="00E209C3" w:rsidP="00E209C3">
      <w:r>
        <w:t xml:space="preserve">TEQSA may </w:t>
      </w:r>
      <w:r w:rsidR="00F11F6F">
        <w:t>establish and refer to</w:t>
      </w:r>
      <w:r w:rsidR="00DB796F">
        <w:t xml:space="preserve"> a</w:t>
      </w:r>
      <w:r>
        <w:t xml:space="preserve"> ‘TEQSA Reference Group’ as part of its consultation process</w:t>
      </w:r>
      <w:r w:rsidR="00E974B3">
        <w:t>, where appropriate</w:t>
      </w:r>
      <w:r>
        <w:t xml:space="preserve">. </w:t>
      </w:r>
    </w:p>
    <w:p w14:paraId="268A77BB" w14:textId="21860702" w:rsidR="00E209C3" w:rsidRPr="0043028F" w:rsidRDefault="00E209C3" w:rsidP="00E209C3">
      <w:pPr>
        <w:pStyle w:val="Heading3"/>
        <w:rPr>
          <w:color w:val="004D7D"/>
        </w:rPr>
      </w:pPr>
      <w:r w:rsidRPr="0043028F">
        <w:rPr>
          <w:color w:val="004D7D"/>
        </w:rPr>
        <w:t>2</w:t>
      </w:r>
      <w:r w:rsidR="00C57364">
        <w:rPr>
          <w:color w:val="004D7D"/>
        </w:rPr>
        <w:t>.</w:t>
      </w:r>
      <w:r w:rsidRPr="0043028F">
        <w:rPr>
          <w:color w:val="004D7D"/>
        </w:rPr>
        <w:t xml:space="preserve"> Clear purpose and scope </w:t>
      </w:r>
    </w:p>
    <w:p w14:paraId="2920147B" w14:textId="42AD51DB" w:rsidR="00E209C3" w:rsidRDefault="00E209C3" w:rsidP="00E209C3">
      <w:r>
        <w:t xml:space="preserve">TEQSA will clearly explain the objectives of a consultation process. The focus and scope of consultation will be directly linked to meeting the objects of the </w:t>
      </w:r>
      <w:hyperlink r:id="rId11" w:history="1">
        <w:r w:rsidRPr="003E2B18">
          <w:rPr>
            <w:rStyle w:val="Hyperlink"/>
            <w:i/>
            <w:iCs/>
          </w:rPr>
          <w:t>T</w:t>
        </w:r>
        <w:r w:rsidR="006C6D70" w:rsidRPr="003E2B18">
          <w:rPr>
            <w:rStyle w:val="Hyperlink"/>
            <w:i/>
            <w:iCs/>
          </w:rPr>
          <w:t xml:space="preserve">ertiary Education Quality and Standards Agency </w:t>
        </w:r>
        <w:r w:rsidRPr="003E2B18">
          <w:rPr>
            <w:rStyle w:val="Hyperlink"/>
            <w:i/>
            <w:iCs/>
          </w:rPr>
          <w:t>Act</w:t>
        </w:r>
        <w:r w:rsidR="00AA1E9A" w:rsidRPr="003E2B18">
          <w:rPr>
            <w:rStyle w:val="Hyperlink"/>
            <w:i/>
            <w:iCs/>
          </w:rPr>
          <w:t xml:space="preserve"> 2011</w:t>
        </w:r>
        <w:r w:rsidR="006C6D70">
          <w:rPr>
            <w:rStyle w:val="Hyperlink"/>
          </w:rPr>
          <w:t xml:space="preserve"> (TEQSA Act)</w:t>
        </w:r>
        <w:r w:rsidRPr="00EF4A09">
          <w:rPr>
            <w:rStyle w:val="Hyperlink"/>
          </w:rPr>
          <w:t>.</w:t>
        </w:r>
      </w:hyperlink>
      <w:r>
        <w:t xml:space="preserve"> This includes monitoring provider compliance with the </w:t>
      </w:r>
      <w:hyperlink r:id="rId12" w:history="1">
        <w:r w:rsidR="00AA1E9A" w:rsidRPr="003E2B18">
          <w:rPr>
            <w:rStyle w:val="Hyperlink"/>
            <w:i/>
            <w:iCs/>
          </w:rPr>
          <w:t>Higher Education Standards Framework (</w:t>
        </w:r>
        <w:r w:rsidRPr="003E2B18">
          <w:rPr>
            <w:rStyle w:val="Hyperlink"/>
            <w:i/>
            <w:iCs/>
          </w:rPr>
          <w:t>Threshold Standards</w:t>
        </w:r>
        <w:r w:rsidR="00AA1E9A" w:rsidRPr="003E2B18">
          <w:rPr>
            <w:rStyle w:val="Hyperlink"/>
            <w:i/>
            <w:iCs/>
          </w:rPr>
          <w:t>) 2021</w:t>
        </w:r>
      </w:hyperlink>
      <w:r>
        <w:t xml:space="preserve">. Consultation </w:t>
      </w:r>
      <w:r>
        <w:lastRenderedPageBreak/>
        <w:t xml:space="preserve">documents will clearly set out the consultation process, what is being proposed, the scope to influence and benefits of the proposal. </w:t>
      </w:r>
    </w:p>
    <w:p w14:paraId="4EBE7A77" w14:textId="2DC7A44E" w:rsidR="00E209C3" w:rsidRPr="0043028F" w:rsidRDefault="00E209C3" w:rsidP="00E209C3">
      <w:pPr>
        <w:pStyle w:val="Heading3"/>
        <w:rPr>
          <w:color w:val="004D7D"/>
        </w:rPr>
      </w:pPr>
      <w:r w:rsidRPr="0043028F">
        <w:rPr>
          <w:color w:val="004D7D"/>
        </w:rPr>
        <w:t>3</w:t>
      </w:r>
      <w:r w:rsidR="00C57364">
        <w:rPr>
          <w:color w:val="004D7D"/>
        </w:rPr>
        <w:t>.</w:t>
      </w:r>
      <w:r w:rsidRPr="0043028F">
        <w:rPr>
          <w:color w:val="004D7D"/>
        </w:rPr>
        <w:t xml:space="preserve"> Enough time </w:t>
      </w:r>
    </w:p>
    <w:p w14:paraId="7C6D0184" w14:textId="338156E0" w:rsidR="00E209C3" w:rsidRDefault="00E209C3" w:rsidP="00E209C3">
      <w:r>
        <w:t>TEQSA believes consultation on proposals should start early and continue at key stages in the development of a proposal when there is scope to influence the outcome. TEQSA will aim to put sufficient information in the public domain to allow stakeholders to provide an informed view</w:t>
      </w:r>
      <w:r w:rsidR="00FE52B6">
        <w:t>. TEQSA will also</w:t>
      </w:r>
      <w:r>
        <w:t xml:space="preserve"> allow enough time for </w:t>
      </w:r>
      <w:r w:rsidR="00AA1E9A">
        <w:t>consideration of</w:t>
      </w:r>
      <w:r>
        <w:t xml:space="preserve"> the potential </w:t>
      </w:r>
      <w:r w:rsidR="00AA1E9A">
        <w:t>outcome of the proposal</w:t>
      </w:r>
      <w:r>
        <w:t xml:space="preserve">. </w:t>
      </w:r>
    </w:p>
    <w:p w14:paraId="7CE0206E" w14:textId="45E5AB9C" w:rsidR="00E209C3" w:rsidRDefault="00E209C3" w:rsidP="00E209C3">
      <w:r>
        <w:t xml:space="preserve">The duration of a consultation process will be appropriate </w:t>
      </w:r>
      <w:r w:rsidR="00AA1E9A">
        <w:t xml:space="preserve">for each proposal’s </w:t>
      </w:r>
      <w:r>
        <w:t xml:space="preserve">purpose and scope. If a consultation </w:t>
      </w:r>
      <w:r w:rsidR="00AA1E9A">
        <w:t xml:space="preserve">extends </w:t>
      </w:r>
      <w:r>
        <w:t>over a holiday period, TEQSA will take this into consideration when setting the response</w:t>
      </w:r>
      <w:r w:rsidR="00AA1E9A">
        <w:t xml:space="preserve"> cut-off date</w:t>
      </w:r>
      <w:r>
        <w:t xml:space="preserve">. If a shorter consultation exercise is unavoidable, TEQSA will make clear the reasons for this. </w:t>
      </w:r>
    </w:p>
    <w:p w14:paraId="3D49295A" w14:textId="5EF7103D" w:rsidR="00E209C3" w:rsidRPr="0043028F" w:rsidRDefault="00E209C3" w:rsidP="00E209C3">
      <w:pPr>
        <w:pStyle w:val="Heading3"/>
        <w:rPr>
          <w:color w:val="004D7D"/>
        </w:rPr>
      </w:pPr>
      <w:r w:rsidRPr="0043028F">
        <w:rPr>
          <w:color w:val="004D7D"/>
        </w:rPr>
        <w:t>4</w:t>
      </w:r>
      <w:r w:rsidR="00C57364">
        <w:rPr>
          <w:color w:val="004D7D"/>
        </w:rPr>
        <w:t>.</w:t>
      </w:r>
      <w:r w:rsidRPr="0043028F">
        <w:rPr>
          <w:color w:val="004D7D"/>
        </w:rPr>
        <w:t xml:space="preserve"> Accessible </w:t>
      </w:r>
    </w:p>
    <w:p w14:paraId="3AC4323E" w14:textId="62D30138" w:rsidR="00E209C3" w:rsidRDefault="00E209C3" w:rsidP="00E209C3">
      <w:r>
        <w:t>TEQSA is aware of the importance of ensuring consultation processes and documents can be easily accessed by stakeholders. Channels of communication may include direct email, correspondence, website, survey tools, forums, use of reference groups</w:t>
      </w:r>
      <w:r w:rsidR="006A4A24">
        <w:t>,</w:t>
      </w:r>
      <w:r>
        <w:t xml:space="preserve"> or a combination of these. If a stakeholder has difficulty accessing any of TEQSA’s published documents, TEQSA will address this in a timely manner. </w:t>
      </w:r>
    </w:p>
    <w:p w14:paraId="13C8587B" w14:textId="4736CE13" w:rsidR="00E209C3" w:rsidRPr="0043028F" w:rsidRDefault="00E209C3" w:rsidP="00E209C3">
      <w:pPr>
        <w:pStyle w:val="Heading3"/>
        <w:rPr>
          <w:color w:val="004D7D"/>
        </w:rPr>
      </w:pPr>
      <w:r w:rsidRPr="0043028F">
        <w:rPr>
          <w:color w:val="004D7D"/>
        </w:rPr>
        <w:t>5</w:t>
      </w:r>
      <w:r w:rsidR="00582F75">
        <w:rPr>
          <w:color w:val="004D7D"/>
        </w:rPr>
        <w:t>.</w:t>
      </w:r>
      <w:r w:rsidRPr="0043028F">
        <w:rPr>
          <w:color w:val="004D7D"/>
        </w:rPr>
        <w:t xml:space="preserve"> Minimal burden </w:t>
      </w:r>
    </w:p>
    <w:p w14:paraId="07F72600" w14:textId="1A977E28" w:rsidR="00E209C3" w:rsidRDefault="00E209C3" w:rsidP="00E209C3">
      <w:r>
        <w:t xml:space="preserve">Where possible, TEQSA appreciates that keeping the potential impact of consultation to a minimum is essential to effective consultation. Wherever possible, TEQSA will make best use of existing data and will ask stakeholders to add to or validate this information. </w:t>
      </w:r>
      <w:r w:rsidR="006A4A24">
        <w:t xml:space="preserve">Where feasible, </w:t>
      </w:r>
      <w:r>
        <w:t xml:space="preserve">TEQSA may ‘join up’ consultation exercises to reduce the administrative burden associated with multiple consultation processes. </w:t>
      </w:r>
    </w:p>
    <w:p w14:paraId="2F799422" w14:textId="0425D462" w:rsidR="00E209C3" w:rsidRDefault="00E209C3" w:rsidP="00E209C3">
      <w:r w:rsidRPr="009F0080">
        <w:t>Where possible</w:t>
      </w:r>
      <w:r>
        <w:t xml:space="preserve">, TEQSA will </w:t>
      </w:r>
      <w:r w:rsidR="00FE52B6">
        <w:t>consider</w:t>
      </w:r>
      <w:r>
        <w:t xml:space="preserve"> of the timing of any other consultations with the sector that are being planned by other Australian Government regulatory or policy agencies (e.g. the </w:t>
      </w:r>
      <w:r w:rsidR="00B009D1">
        <w:t xml:space="preserve">Department of Education </w:t>
      </w:r>
      <w:r>
        <w:t xml:space="preserve">or the Australian Skills Quality Authority). This is to avoid a situation where providers are overloaded with requests to contribute to government consultations or are asked for the same or similar information by different agencies. </w:t>
      </w:r>
    </w:p>
    <w:p w14:paraId="0F554671" w14:textId="1C8C878C" w:rsidR="00E209C3" w:rsidRPr="0043028F" w:rsidRDefault="00E209C3" w:rsidP="00E209C3">
      <w:pPr>
        <w:pStyle w:val="Heading3"/>
        <w:rPr>
          <w:color w:val="004D7D"/>
        </w:rPr>
      </w:pPr>
      <w:r w:rsidRPr="0043028F">
        <w:rPr>
          <w:color w:val="004D7D"/>
        </w:rPr>
        <w:t>6</w:t>
      </w:r>
      <w:r w:rsidR="00582F75">
        <w:rPr>
          <w:color w:val="004D7D"/>
        </w:rPr>
        <w:t>.</w:t>
      </w:r>
      <w:r w:rsidRPr="0043028F">
        <w:rPr>
          <w:color w:val="004D7D"/>
        </w:rPr>
        <w:t xml:space="preserve"> Clear feedback on outcomes </w:t>
      </w:r>
    </w:p>
    <w:p w14:paraId="557C1579" w14:textId="001F4175" w:rsidR="00E209C3" w:rsidRDefault="00E209C3" w:rsidP="00E209C3">
      <w:r>
        <w:t xml:space="preserve">TEQSA will provide, to the extent possible, clear feedback to participants following each consultation, primarily via an analytical summary of the responses received and an explanation of how the consultation exercise influenced the development of the proposal under consideration. This will be done as soon as practicable after the close of the consultation exercise. </w:t>
      </w:r>
      <w:r w:rsidR="00B009D1">
        <w:t xml:space="preserve">In keeping with good practice, </w:t>
      </w:r>
      <w:r>
        <w:t xml:space="preserve">TEQSA </w:t>
      </w:r>
      <w:r w:rsidR="00B009D1">
        <w:t xml:space="preserve">understands </w:t>
      </w:r>
      <w:r>
        <w:t xml:space="preserve">that </w:t>
      </w:r>
      <w:r w:rsidR="00B009D1">
        <w:t>this approach</w:t>
      </w:r>
      <w:r>
        <w:t xml:space="preserve"> demonstrates openness and transparency and increases stakeholder trust in the consultation process. </w:t>
      </w:r>
    </w:p>
    <w:p w14:paraId="1450942F" w14:textId="59E2A240" w:rsidR="00E209C3" w:rsidRDefault="00E209C3" w:rsidP="00E209C3">
      <w:r>
        <w:lastRenderedPageBreak/>
        <w:t xml:space="preserve">The summary of responses will generally also list </w:t>
      </w:r>
      <w:r w:rsidR="00AF3FF5">
        <w:t xml:space="preserve">those </w:t>
      </w:r>
      <w:r>
        <w:t xml:space="preserve">who responded to the consultation exercise, the means by which responses were received (for example, formal responses and other channels such as meetings and online discussion forums) and an indication of the range of responses to each question. </w:t>
      </w:r>
    </w:p>
    <w:p w14:paraId="72517EA7" w14:textId="62592000" w:rsidR="00E209C3" w:rsidRDefault="00E209C3" w:rsidP="00E209C3">
      <w:r>
        <w:t xml:space="preserve">On occasion, TEQSA may publish submissions made to TEQSA. This intention will generally be made known to stakeholders at the time submissions are sought. If TEQSA </w:t>
      </w:r>
      <w:r w:rsidR="00FE52B6">
        <w:t>decides</w:t>
      </w:r>
      <w:r>
        <w:t xml:space="preserve"> to publish submissions, permission will be sought prior to publication. </w:t>
      </w:r>
    </w:p>
    <w:p w14:paraId="3B74B39F" w14:textId="77777777" w:rsidR="00E209C3" w:rsidRPr="0043028F" w:rsidRDefault="00E209C3" w:rsidP="00E209C3">
      <w:pPr>
        <w:pStyle w:val="Heading3"/>
        <w:rPr>
          <w:color w:val="004D7D"/>
        </w:rPr>
      </w:pPr>
      <w:r w:rsidRPr="0043028F">
        <w:rPr>
          <w:color w:val="004D7D"/>
        </w:rPr>
        <w:t xml:space="preserve">7. Improvement </w:t>
      </w:r>
    </w:p>
    <w:p w14:paraId="071BA46C" w14:textId="77777777" w:rsidR="00E209C3" w:rsidRDefault="00E209C3" w:rsidP="00E209C3">
      <w:r>
        <w:t>TEQSA will formally evaluate each consultation process to identify ways of making future consultations more effective and efficient. This process will consider any views expressed by stakeholders on particular aspects of the process and/or by external experts.</w:t>
      </w:r>
    </w:p>
    <w:p w14:paraId="4A7F658D" w14:textId="6B304F79" w:rsidR="00E209C3" w:rsidRPr="0043028F" w:rsidRDefault="00E209C3" w:rsidP="00E209C3">
      <w:pPr>
        <w:pStyle w:val="Heading3"/>
        <w:rPr>
          <w:color w:val="004D7D"/>
        </w:rPr>
      </w:pPr>
      <w:r w:rsidRPr="0043028F">
        <w:rPr>
          <w:color w:val="004D7D"/>
        </w:rPr>
        <w:t xml:space="preserve">8. Confidentiality </w:t>
      </w:r>
    </w:p>
    <w:p w14:paraId="1467B368" w14:textId="572E28F8" w:rsidR="00E209C3" w:rsidRDefault="00E209C3" w:rsidP="00E209C3">
      <w:r>
        <w:t xml:space="preserve">TEQSA will consider all requests to keep information confidential. While TEQSA has certain statutory obligations of confidentiality under the TEQSA Act, it also operates within a public accountability framework. This includes obligations: </w:t>
      </w:r>
    </w:p>
    <w:p w14:paraId="695A66CF" w14:textId="77777777" w:rsidR="00E209C3" w:rsidRDefault="00E209C3" w:rsidP="00E209C3">
      <w:pPr>
        <w:pStyle w:val="ListParagraph"/>
        <w:numPr>
          <w:ilvl w:val="0"/>
          <w:numId w:val="46"/>
        </w:numPr>
      </w:pPr>
      <w:r>
        <w:t xml:space="preserve">to provide information to Ministers, the Parliament or Parliamentary Committees </w:t>
      </w:r>
    </w:p>
    <w:p w14:paraId="4C26FEB9" w14:textId="77777777" w:rsidR="00E209C3" w:rsidRDefault="00E209C3" w:rsidP="00E209C3">
      <w:pPr>
        <w:pStyle w:val="ListParagraph"/>
        <w:numPr>
          <w:ilvl w:val="0"/>
          <w:numId w:val="46"/>
        </w:numPr>
      </w:pPr>
      <w:r>
        <w:t xml:space="preserve">under the </w:t>
      </w:r>
      <w:r w:rsidRPr="00D502B3">
        <w:rPr>
          <w:i/>
        </w:rPr>
        <w:t>Freedom of Information Act 1982</w:t>
      </w:r>
      <w:r>
        <w:t xml:space="preserve">, the </w:t>
      </w:r>
      <w:r w:rsidRPr="00D502B3">
        <w:rPr>
          <w:i/>
        </w:rPr>
        <w:t xml:space="preserve">Auditor-General Act 1997 </w:t>
      </w:r>
      <w:r>
        <w:t xml:space="preserve">and the </w:t>
      </w:r>
      <w:r w:rsidRPr="00D502B3">
        <w:rPr>
          <w:i/>
        </w:rPr>
        <w:t>Ombudsman Act 1976</w:t>
      </w:r>
    </w:p>
    <w:p w14:paraId="0F06CBC9" w14:textId="77777777" w:rsidR="00E209C3" w:rsidRDefault="00E209C3" w:rsidP="00E209C3">
      <w:pPr>
        <w:pStyle w:val="ListParagraph"/>
        <w:numPr>
          <w:ilvl w:val="0"/>
          <w:numId w:val="46"/>
        </w:numPr>
      </w:pPr>
      <w:r>
        <w:t xml:space="preserve">to provide reasons for TEQSA’s decisions or details about TEQSA’s activities, including in the context of court or tribunal proceedings. </w:t>
      </w:r>
    </w:p>
    <w:p w14:paraId="12C4A9ED" w14:textId="617839BA" w:rsidR="00E209C3" w:rsidRDefault="00820DAA" w:rsidP="00E209C3">
      <w:r>
        <w:t>At times</w:t>
      </w:r>
      <w:r w:rsidR="00E209C3">
        <w:t xml:space="preserve"> TEQSA </w:t>
      </w:r>
      <w:r>
        <w:t>may be</w:t>
      </w:r>
      <w:r w:rsidR="00B009D1">
        <w:t xml:space="preserve"> obliged</w:t>
      </w:r>
      <w:r w:rsidR="00E209C3">
        <w:t xml:space="preserve"> to </w:t>
      </w:r>
      <w:r>
        <w:t xml:space="preserve">share </w:t>
      </w:r>
      <w:r w:rsidR="00E209C3">
        <w:t>confidential information</w:t>
      </w:r>
      <w:r>
        <w:t xml:space="preserve">. In these </w:t>
      </w:r>
      <w:r w:rsidR="00FE52B6">
        <w:t>situations,</w:t>
      </w:r>
      <w:r w:rsidR="00E209C3">
        <w:t xml:space="preserve"> TEQSA will endeavour to consult</w:t>
      </w:r>
      <w:r w:rsidR="00B009D1">
        <w:t xml:space="preserve"> with</w:t>
      </w:r>
      <w:r w:rsidR="00E209C3">
        <w:t xml:space="preserve"> </w:t>
      </w:r>
      <w:r>
        <w:t xml:space="preserve">affected </w:t>
      </w:r>
      <w:r w:rsidR="00B009D1">
        <w:t>stakeholder</w:t>
      </w:r>
      <w:r>
        <w:t>s</w:t>
      </w:r>
      <w:r w:rsidR="00B009D1">
        <w:t xml:space="preserve"> </w:t>
      </w:r>
      <w:r w:rsidR="00E209C3">
        <w:t xml:space="preserve">and </w:t>
      </w:r>
      <w:r w:rsidR="00B009D1">
        <w:t xml:space="preserve">afford </w:t>
      </w:r>
      <w:r w:rsidR="00E209C3">
        <w:t>the</w:t>
      </w:r>
      <w:r w:rsidR="00B009D1">
        <w:t xml:space="preserve">m </w:t>
      </w:r>
      <w:r w:rsidR="00E209C3">
        <w:t xml:space="preserve">an opportunity to make </w:t>
      </w:r>
      <w:r w:rsidR="00B009D1">
        <w:t xml:space="preserve">a </w:t>
      </w:r>
      <w:r w:rsidR="00E209C3">
        <w:t xml:space="preserve">submission </w:t>
      </w:r>
      <w:r>
        <w:t>about</w:t>
      </w:r>
      <w:r w:rsidR="00B009D1">
        <w:t xml:space="preserve"> </w:t>
      </w:r>
      <w:r w:rsidR="00E209C3">
        <w:t xml:space="preserve">whether </w:t>
      </w:r>
      <w:r w:rsidR="00B009D1">
        <w:t xml:space="preserve">the information </w:t>
      </w:r>
      <w:r w:rsidR="00E209C3">
        <w:t xml:space="preserve">should </w:t>
      </w:r>
      <w:r w:rsidR="00B009D1">
        <w:t xml:space="preserve">be </w:t>
      </w:r>
      <w:r w:rsidR="00E209C3">
        <w:t>release</w:t>
      </w:r>
      <w:r w:rsidR="00B009D1">
        <w:t>d</w:t>
      </w:r>
      <w:r w:rsidR="00E209C3">
        <w:t>. However</w:t>
      </w:r>
      <w:r w:rsidR="00B009D1">
        <w:t>,</w:t>
      </w:r>
      <w:r w:rsidR="00E209C3">
        <w:t xml:space="preserve"> in certain cases </w:t>
      </w:r>
      <w:r>
        <w:t xml:space="preserve">it </w:t>
      </w:r>
      <w:r w:rsidR="00E209C3">
        <w:t>may not be possible</w:t>
      </w:r>
      <w:r>
        <w:t xml:space="preserve"> to consult the affected stakeholders</w:t>
      </w:r>
      <w:r w:rsidR="00E209C3">
        <w:t xml:space="preserve">. </w:t>
      </w:r>
    </w:p>
    <w:p w14:paraId="2181317F" w14:textId="13D49514" w:rsidR="00C177EB" w:rsidRPr="003E2B18" w:rsidRDefault="00C177EB" w:rsidP="003E2B18">
      <w:pPr>
        <w:pStyle w:val="Heading3"/>
        <w:rPr>
          <w:color w:val="004D7D"/>
        </w:rPr>
      </w:pPr>
      <w:r w:rsidRPr="003E2B18">
        <w:rPr>
          <w:color w:val="004D7D"/>
        </w:rPr>
        <w:t>9. Privacy</w:t>
      </w:r>
    </w:p>
    <w:p w14:paraId="1DB79CA7" w14:textId="77777777" w:rsidR="00E209C3" w:rsidRDefault="00E209C3" w:rsidP="00E209C3">
      <w:r>
        <w:t xml:space="preserve">TEQSA is obliged to protect any personal information about individuals in accordance with the provisions of the </w:t>
      </w:r>
      <w:r w:rsidRPr="00D502B3">
        <w:rPr>
          <w:i/>
        </w:rPr>
        <w:t>Privacy Act 1988</w:t>
      </w:r>
      <w:r>
        <w:t>. TEQSA will provide information about the collection, use and disclosure of personal information where it is likely that personal information will be collected in consultations.</w:t>
      </w:r>
    </w:p>
    <w:p w14:paraId="280164F2" w14:textId="77777777" w:rsidR="00E209C3" w:rsidRPr="0043028F" w:rsidRDefault="00E209C3" w:rsidP="00E209C3">
      <w:pPr>
        <w:pStyle w:val="Heading2"/>
        <w:rPr>
          <w:color w:val="004D7D"/>
        </w:rPr>
      </w:pPr>
      <w:r w:rsidRPr="0043028F">
        <w:rPr>
          <w:color w:val="004D7D"/>
        </w:rPr>
        <w:t xml:space="preserve">Phases of consultation </w:t>
      </w:r>
    </w:p>
    <w:p w14:paraId="588A6D2E" w14:textId="4C409C60" w:rsidR="00E209C3" w:rsidRDefault="00E209C3" w:rsidP="00E209C3">
      <w:r>
        <w:t>While each TEQSA consultation will be adapted to suit the circumstances</w:t>
      </w:r>
      <w:r w:rsidR="00EF4A09">
        <w:t xml:space="preserve"> </w:t>
      </w:r>
      <w:r>
        <w:t>of the particular proposal under consideration, it will generally include the main phases of consultation set out in below:</w:t>
      </w:r>
    </w:p>
    <w:p w14:paraId="518B72AC" w14:textId="77777777" w:rsidR="00E209C3" w:rsidRDefault="00E209C3" w:rsidP="00E209C3">
      <w:pPr>
        <w:pStyle w:val="ListParagraph"/>
        <w:numPr>
          <w:ilvl w:val="0"/>
          <w:numId w:val="45"/>
        </w:numPr>
      </w:pPr>
      <w:r>
        <w:t>TEQSA notifies the sector of its intention to consult via the TEQSA website/formal correspondence/advertisement</w:t>
      </w:r>
    </w:p>
    <w:p w14:paraId="6DBB1F13" w14:textId="65BBFB4B" w:rsidR="00E209C3" w:rsidRDefault="00E209C3" w:rsidP="00E209C3">
      <w:pPr>
        <w:pStyle w:val="ListParagraph"/>
        <w:numPr>
          <w:ilvl w:val="0"/>
          <w:numId w:val="45"/>
        </w:numPr>
      </w:pPr>
      <w:r>
        <w:t>TEQSA issues</w:t>
      </w:r>
      <w:r w:rsidR="00255F09">
        <w:t xml:space="preserve"> documentation, </w:t>
      </w:r>
      <w:r w:rsidR="00EF4A09">
        <w:t>which may include</w:t>
      </w:r>
      <w:r>
        <w:t xml:space="preserve"> </w:t>
      </w:r>
      <w:r w:rsidR="00255F09">
        <w:t xml:space="preserve">a </w:t>
      </w:r>
      <w:r>
        <w:t>consultation paper</w:t>
      </w:r>
      <w:r w:rsidR="00EF4A09">
        <w:t xml:space="preserve"> </w:t>
      </w:r>
    </w:p>
    <w:p w14:paraId="3EA42000" w14:textId="56C6EDE9" w:rsidR="00E209C3" w:rsidRDefault="00E209C3" w:rsidP="00E209C3">
      <w:pPr>
        <w:pStyle w:val="ListParagraph"/>
        <w:numPr>
          <w:ilvl w:val="0"/>
          <w:numId w:val="45"/>
        </w:numPr>
      </w:pPr>
      <w:r>
        <w:lastRenderedPageBreak/>
        <w:t xml:space="preserve">TEQSA may hold briefings or meet with key stakeholders </w:t>
      </w:r>
    </w:p>
    <w:p w14:paraId="396C82D5" w14:textId="77777777" w:rsidR="00E209C3" w:rsidRDefault="00E209C3" w:rsidP="00E209C3">
      <w:pPr>
        <w:pStyle w:val="ListParagraph"/>
        <w:numPr>
          <w:ilvl w:val="0"/>
          <w:numId w:val="45"/>
        </w:numPr>
      </w:pPr>
      <w:r>
        <w:t xml:space="preserve">TEQSA receives feedback from stakeholders </w:t>
      </w:r>
    </w:p>
    <w:p w14:paraId="12E3EF43" w14:textId="28A1E667" w:rsidR="00E209C3" w:rsidRDefault="00E209C3" w:rsidP="00E209C3">
      <w:pPr>
        <w:pStyle w:val="ListParagraph"/>
        <w:numPr>
          <w:ilvl w:val="0"/>
          <w:numId w:val="45"/>
        </w:numPr>
      </w:pPr>
      <w:r>
        <w:t xml:space="preserve">TEQSA publishes a summary of feedback and responses. This </w:t>
      </w:r>
      <w:r w:rsidR="00AF3FF5">
        <w:t xml:space="preserve">could </w:t>
      </w:r>
      <w:r>
        <w:t>include an</w:t>
      </w:r>
      <w:r w:rsidR="00AF3FF5">
        <w:t>y</w:t>
      </w:r>
      <w:r>
        <w:t xml:space="preserve"> actions/changes that may occur as a result of stakeholder feedback</w:t>
      </w:r>
    </w:p>
    <w:p w14:paraId="4D5E9490" w14:textId="77777777" w:rsidR="00E209C3" w:rsidRDefault="00E209C3" w:rsidP="00E209C3">
      <w:pPr>
        <w:pStyle w:val="ListParagraph"/>
        <w:numPr>
          <w:ilvl w:val="0"/>
          <w:numId w:val="45"/>
        </w:numPr>
      </w:pPr>
      <w:r>
        <w:t>TEQSA issues final paper/policy via the TEQSA website/formal correspondence.</w:t>
      </w:r>
    </w:p>
    <w:p w14:paraId="40762D22" w14:textId="3764705C" w:rsidR="00E209C3" w:rsidRDefault="00E209C3" w:rsidP="00E209C3"/>
    <w:p w14:paraId="233740D5" w14:textId="77777777" w:rsidR="00ED5536" w:rsidRPr="00E209C3" w:rsidRDefault="00ED5536" w:rsidP="00E209C3"/>
    <w:sectPr w:rsidR="00ED5536" w:rsidRPr="00E209C3" w:rsidSect="003E2B18">
      <w:headerReference w:type="default" r:id="rId13"/>
      <w:footerReference w:type="default" r:id="rId14"/>
      <w:pgSz w:w="11906" w:h="16838"/>
      <w:pgMar w:top="1985"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9B9C" w14:textId="77777777" w:rsidR="00650011" w:rsidRDefault="00650011" w:rsidP="006C328D">
      <w:pPr>
        <w:spacing w:before="0" w:after="0"/>
      </w:pPr>
      <w:r>
        <w:separator/>
      </w:r>
    </w:p>
  </w:endnote>
  <w:endnote w:type="continuationSeparator" w:id="0">
    <w:p w14:paraId="34FDB37E" w14:textId="77777777" w:rsidR="00650011" w:rsidRDefault="00650011"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5193CFEF" w14:textId="3CA4A59D" w:rsidR="00E209C3" w:rsidRPr="00FF2540" w:rsidRDefault="00E209C3">
            <w:pPr>
              <w:pStyle w:val="Footer"/>
              <w:jc w:val="right"/>
              <w:rPr>
                <w:color w:val="00847E" w:themeColor="accent1"/>
                <w:sz w:val="20"/>
                <w:szCs w:val="20"/>
              </w:rPr>
            </w:pPr>
            <w:r w:rsidRPr="0043028F">
              <w:rPr>
                <w:color w:val="004D7D"/>
                <w:sz w:val="20"/>
                <w:szCs w:val="20"/>
              </w:rPr>
              <w:t xml:space="preserve">Page </w:t>
            </w:r>
            <w:r w:rsidRPr="0043028F">
              <w:rPr>
                <w:b/>
                <w:bCs/>
                <w:color w:val="004D7D"/>
                <w:sz w:val="20"/>
                <w:szCs w:val="20"/>
              </w:rPr>
              <w:fldChar w:fldCharType="begin"/>
            </w:r>
            <w:r w:rsidRPr="0043028F">
              <w:rPr>
                <w:b/>
                <w:bCs/>
                <w:color w:val="004D7D"/>
                <w:sz w:val="20"/>
                <w:szCs w:val="20"/>
              </w:rPr>
              <w:instrText xml:space="preserve"> PAGE </w:instrText>
            </w:r>
            <w:r w:rsidRPr="0043028F">
              <w:rPr>
                <w:b/>
                <w:bCs/>
                <w:color w:val="004D7D"/>
                <w:sz w:val="20"/>
                <w:szCs w:val="20"/>
              </w:rPr>
              <w:fldChar w:fldCharType="separate"/>
            </w:r>
            <w:r w:rsidR="00442F1A" w:rsidRPr="0043028F">
              <w:rPr>
                <w:b/>
                <w:bCs/>
                <w:noProof/>
                <w:color w:val="004D7D"/>
                <w:sz w:val="20"/>
                <w:szCs w:val="20"/>
              </w:rPr>
              <w:t>4</w:t>
            </w:r>
            <w:r w:rsidRPr="0043028F">
              <w:rPr>
                <w:b/>
                <w:bCs/>
                <w:color w:val="004D7D"/>
                <w:sz w:val="20"/>
                <w:szCs w:val="20"/>
              </w:rPr>
              <w:fldChar w:fldCharType="end"/>
            </w:r>
            <w:r w:rsidRPr="0043028F">
              <w:rPr>
                <w:color w:val="004D7D"/>
                <w:sz w:val="20"/>
                <w:szCs w:val="20"/>
              </w:rPr>
              <w:t xml:space="preserve"> of </w:t>
            </w:r>
            <w:r w:rsidRPr="0043028F">
              <w:rPr>
                <w:b/>
                <w:bCs/>
                <w:color w:val="004D7D"/>
                <w:sz w:val="20"/>
                <w:szCs w:val="20"/>
              </w:rPr>
              <w:fldChar w:fldCharType="begin"/>
            </w:r>
            <w:r w:rsidRPr="0043028F">
              <w:rPr>
                <w:b/>
                <w:bCs/>
                <w:color w:val="004D7D"/>
                <w:sz w:val="20"/>
                <w:szCs w:val="20"/>
              </w:rPr>
              <w:instrText xml:space="preserve"> NUMPAGES  </w:instrText>
            </w:r>
            <w:r w:rsidRPr="0043028F">
              <w:rPr>
                <w:b/>
                <w:bCs/>
                <w:color w:val="004D7D"/>
                <w:sz w:val="20"/>
                <w:szCs w:val="20"/>
              </w:rPr>
              <w:fldChar w:fldCharType="separate"/>
            </w:r>
            <w:r w:rsidR="00442F1A" w:rsidRPr="0043028F">
              <w:rPr>
                <w:b/>
                <w:bCs/>
                <w:noProof/>
                <w:color w:val="004D7D"/>
                <w:sz w:val="20"/>
                <w:szCs w:val="20"/>
              </w:rPr>
              <w:t>4</w:t>
            </w:r>
            <w:r w:rsidRPr="0043028F">
              <w:rPr>
                <w:b/>
                <w:bCs/>
                <w:color w:val="004D7D"/>
                <w:sz w:val="20"/>
                <w:szCs w:val="20"/>
              </w:rPr>
              <w:fldChar w:fldCharType="end"/>
            </w:r>
          </w:p>
        </w:sdtContent>
      </w:sdt>
    </w:sdtContent>
  </w:sdt>
  <w:p w14:paraId="2E9CD99E" w14:textId="77777777" w:rsidR="00E209C3" w:rsidRDefault="00E20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E2E8" w14:textId="77777777" w:rsidR="00650011" w:rsidRDefault="00650011" w:rsidP="006C328D">
      <w:pPr>
        <w:spacing w:before="0" w:after="0"/>
      </w:pPr>
      <w:r>
        <w:separator/>
      </w:r>
    </w:p>
  </w:footnote>
  <w:footnote w:type="continuationSeparator" w:id="0">
    <w:p w14:paraId="1FBFD7EB" w14:textId="77777777" w:rsidR="00650011" w:rsidRDefault="00650011"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55BC" w14:textId="0BBFB7D0" w:rsidR="00E209C3" w:rsidRPr="006C328D" w:rsidRDefault="00C13FE0" w:rsidP="006C328D">
    <w:pPr>
      <w:pStyle w:val="Header"/>
      <w:spacing w:after="240"/>
      <w:jc w:val="right"/>
      <w:rPr>
        <w:rFonts w:ascii="Georgia" w:hAnsi="Georgia" w:cs="Arial"/>
        <w:b/>
        <w:noProof/>
        <w:color w:val="004855"/>
        <w:sz w:val="28"/>
        <w:szCs w:val="28"/>
        <w:lang w:eastAsia="en-AU"/>
      </w:rPr>
    </w:pPr>
    <w:r>
      <w:rPr>
        <w:noProof/>
      </w:rPr>
      <w:drawing>
        <wp:anchor distT="0" distB="0" distL="114300" distR="114300" simplePos="0" relativeHeight="251658240" behindDoc="1" locked="0" layoutInCell="1" allowOverlap="1" wp14:anchorId="4604A9E6" wp14:editId="1F03AAEC">
          <wp:simplePos x="0" y="0"/>
          <wp:positionH relativeFrom="column">
            <wp:posOffset>4485957</wp:posOffset>
          </wp:positionH>
          <wp:positionV relativeFrom="paragraph">
            <wp:posOffset>35242</wp:posOffset>
          </wp:positionV>
          <wp:extent cx="1527175" cy="397510"/>
          <wp:effectExtent l="0" t="0" r="0" b="2540"/>
          <wp:wrapTight wrapText="bothSides">
            <wp:wrapPolygon edited="0">
              <wp:start x="0" y="0"/>
              <wp:lineTo x="0" y="20703"/>
              <wp:lineTo x="21286" y="20703"/>
              <wp:lineTo x="21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7175" cy="397510"/>
                  </a:xfrm>
                  <a:prstGeom prst="rect">
                    <a:avLst/>
                  </a:prstGeom>
                </pic:spPr>
              </pic:pic>
            </a:graphicData>
          </a:graphic>
          <wp14:sizeRelH relativeFrom="page">
            <wp14:pctWidth>0</wp14:pctWidth>
          </wp14:sizeRelH>
          <wp14:sizeRelV relativeFrom="page">
            <wp14:pctHeight>0</wp14:pctHeight>
          </wp14:sizeRelV>
        </wp:anchor>
      </w:drawing>
    </w:r>
    <w:r w:rsidR="00E209C3">
      <w:rPr>
        <w:rFonts w:ascii="Georgia" w:hAnsi="Georgia" w:cs="Arial"/>
        <w:b/>
        <w:noProof/>
        <w:color w:val="004855"/>
        <w:sz w:val="28"/>
        <w:szCs w:val="28"/>
        <w:lang w:eastAsia="en-AU"/>
      </w:rPr>
      <w:t xml:space="preserve"> </w:t>
    </w:r>
    <w:r w:rsidR="00E209C3">
      <w:rPr>
        <w:rFonts w:ascii="Georgia" w:hAnsi="Georgia" w:cs="Arial"/>
        <w:b/>
        <w:noProof/>
        <w:color w:val="004855"/>
        <w:sz w:val="28"/>
        <w:szCs w:val="28"/>
        <w:lang w:eastAsia="en-AU"/>
      </w:rPr>
      <w:drawing>
        <wp:inline distT="0" distB="0" distL="0" distR="0" wp14:anchorId="456F74F9" wp14:editId="11ED4604">
          <wp:extent cx="3205353" cy="4768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sidR="00E209C3">
      <w:rPr>
        <w:rFonts w:ascii="Georgia" w:hAnsi="Georgia" w:cs="Arial"/>
        <w:b/>
        <w:noProof/>
        <w:color w:val="004855"/>
        <w:sz w:val="28"/>
        <w:szCs w:val="28"/>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99664E7"/>
    <w:multiLevelType w:val="hybridMultilevel"/>
    <w:tmpl w:val="8E9678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220FCC"/>
    <w:multiLevelType w:val="hybridMultilevel"/>
    <w:tmpl w:val="96DAC5BA"/>
    <w:lvl w:ilvl="0" w:tplc="C8726100">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6331194"/>
    <w:multiLevelType w:val="hybridMultilevel"/>
    <w:tmpl w:val="BC28DE9E"/>
    <w:lvl w:ilvl="0" w:tplc="8CE0E7BC">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DC5585"/>
    <w:multiLevelType w:val="hybridMultilevel"/>
    <w:tmpl w:val="2B0E1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01560221">
    <w:abstractNumId w:val="14"/>
  </w:num>
  <w:num w:numId="2" w16cid:durableId="529224640">
    <w:abstractNumId w:val="13"/>
  </w:num>
  <w:num w:numId="3" w16cid:durableId="81536993">
    <w:abstractNumId w:val="13"/>
  </w:num>
  <w:num w:numId="4" w16cid:durableId="934946965">
    <w:abstractNumId w:val="5"/>
  </w:num>
  <w:num w:numId="5" w16cid:durableId="792941333">
    <w:abstractNumId w:val="5"/>
  </w:num>
  <w:num w:numId="6" w16cid:durableId="1040399994">
    <w:abstractNumId w:val="5"/>
  </w:num>
  <w:num w:numId="7" w16cid:durableId="605190455">
    <w:abstractNumId w:val="12"/>
  </w:num>
  <w:num w:numId="8" w16cid:durableId="21631072">
    <w:abstractNumId w:val="11"/>
  </w:num>
  <w:num w:numId="9" w16cid:durableId="1561667170">
    <w:abstractNumId w:val="11"/>
  </w:num>
  <w:num w:numId="10" w16cid:durableId="1739547550">
    <w:abstractNumId w:val="11"/>
  </w:num>
  <w:num w:numId="11" w16cid:durableId="1971131707">
    <w:abstractNumId w:val="11"/>
  </w:num>
  <w:num w:numId="12" w16cid:durableId="916595946">
    <w:abstractNumId w:val="11"/>
  </w:num>
  <w:num w:numId="13" w16cid:durableId="487794016">
    <w:abstractNumId w:val="11"/>
  </w:num>
  <w:num w:numId="14" w16cid:durableId="1234780807">
    <w:abstractNumId w:val="11"/>
  </w:num>
  <w:num w:numId="15" w16cid:durableId="1404181125">
    <w:abstractNumId w:val="9"/>
  </w:num>
  <w:num w:numId="16" w16cid:durableId="24064368">
    <w:abstractNumId w:val="9"/>
  </w:num>
  <w:num w:numId="17" w16cid:durableId="1731802083">
    <w:abstractNumId w:val="9"/>
  </w:num>
  <w:num w:numId="18" w16cid:durableId="1322465587">
    <w:abstractNumId w:val="2"/>
  </w:num>
  <w:num w:numId="19" w16cid:durableId="1309703457">
    <w:abstractNumId w:val="3"/>
  </w:num>
  <w:num w:numId="20" w16cid:durableId="951321837">
    <w:abstractNumId w:val="4"/>
  </w:num>
  <w:num w:numId="21" w16cid:durableId="1625429670">
    <w:abstractNumId w:val="10"/>
  </w:num>
  <w:num w:numId="22" w16cid:durableId="298069648">
    <w:abstractNumId w:val="7"/>
  </w:num>
  <w:num w:numId="23" w16cid:durableId="487592647">
    <w:abstractNumId w:val="14"/>
  </w:num>
  <w:num w:numId="24" w16cid:durableId="973022650">
    <w:abstractNumId w:val="13"/>
  </w:num>
  <w:num w:numId="25" w16cid:durableId="214661980">
    <w:abstractNumId w:val="13"/>
  </w:num>
  <w:num w:numId="26" w16cid:durableId="498425368">
    <w:abstractNumId w:val="5"/>
  </w:num>
  <w:num w:numId="27" w16cid:durableId="723218362">
    <w:abstractNumId w:val="5"/>
  </w:num>
  <w:num w:numId="28" w16cid:durableId="1186402470">
    <w:abstractNumId w:val="5"/>
  </w:num>
  <w:num w:numId="29" w16cid:durableId="1904943938">
    <w:abstractNumId w:val="12"/>
  </w:num>
  <w:num w:numId="30" w16cid:durableId="1278294062">
    <w:abstractNumId w:val="11"/>
  </w:num>
  <w:num w:numId="31" w16cid:durableId="2004311750">
    <w:abstractNumId w:val="11"/>
  </w:num>
  <w:num w:numId="32" w16cid:durableId="1943799467">
    <w:abstractNumId w:val="11"/>
  </w:num>
  <w:num w:numId="33" w16cid:durableId="1006519726">
    <w:abstractNumId w:val="11"/>
  </w:num>
  <w:num w:numId="34" w16cid:durableId="700931881">
    <w:abstractNumId w:val="11"/>
  </w:num>
  <w:num w:numId="35" w16cid:durableId="1370834556">
    <w:abstractNumId w:val="11"/>
  </w:num>
  <w:num w:numId="36" w16cid:durableId="183062181">
    <w:abstractNumId w:val="11"/>
  </w:num>
  <w:num w:numId="37" w16cid:durableId="765537151">
    <w:abstractNumId w:val="9"/>
  </w:num>
  <w:num w:numId="38" w16cid:durableId="1325817306">
    <w:abstractNumId w:val="9"/>
  </w:num>
  <w:num w:numId="39" w16cid:durableId="139082317">
    <w:abstractNumId w:val="9"/>
  </w:num>
  <w:num w:numId="40" w16cid:durableId="1209996051">
    <w:abstractNumId w:val="2"/>
  </w:num>
  <w:num w:numId="41" w16cid:durableId="1814253265">
    <w:abstractNumId w:val="3"/>
  </w:num>
  <w:num w:numId="42" w16cid:durableId="414328003">
    <w:abstractNumId w:val="4"/>
  </w:num>
  <w:num w:numId="43" w16cid:durableId="1473675070">
    <w:abstractNumId w:val="10"/>
  </w:num>
  <w:num w:numId="44" w16cid:durableId="1726680281">
    <w:abstractNumId w:val="7"/>
  </w:num>
  <w:num w:numId="45" w16cid:durableId="788857702">
    <w:abstractNumId w:val="0"/>
  </w:num>
  <w:num w:numId="46" w16cid:durableId="1623918114">
    <w:abstractNumId w:val="8"/>
  </w:num>
  <w:num w:numId="47" w16cid:durableId="239099798">
    <w:abstractNumId w:val="6"/>
  </w:num>
  <w:num w:numId="48" w16cid:durableId="1776318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8D"/>
    <w:rsid w:val="00074050"/>
    <w:rsid w:val="0009705D"/>
    <w:rsid w:val="00102982"/>
    <w:rsid w:val="001204D4"/>
    <w:rsid w:val="001711E8"/>
    <w:rsid w:val="00180BC2"/>
    <w:rsid w:val="001B3416"/>
    <w:rsid w:val="001F39F5"/>
    <w:rsid w:val="00255F09"/>
    <w:rsid w:val="00263199"/>
    <w:rsid w:val="003250FA"/>
    <w:rsid w:val="00333E8C"/>
    <w:rsid w:val="00383C71"/>
    <w:rsid w:val="003C2DB1"/>
    <w:rsid w:val="003E2B18"/>
    <w:rsid w:val="00415281"/>
    <w:rsid w:val="0043028F"/>
    <w:rsid w:val="00442F1A"/>
    <w:rsid w:val="00457288"/>
    <w:rsid w:val="004931CE"/>
    <w:rsid w:val="004E695F"/>
    <w:rsid w:val="00521766"/>
    <w:rsid w:val="00524C68"/>
    <w:rsid w:val="005353CC"/>
    <w:rsid w:val="00582F75"/>
    <w:rsid w:val="005B458E"/>
    <w:rsid w:val="00620818"/>
    <w:rsid w:val="00650011"/>
    <w:rsid w:val="00664C06"/>
    <w:rsid w:val="006A2AC1"/>
    <w:rsid w:val="006A4A24"/>
    <w:rsid w:val="006C328D"/>
    <w:rsid w:val="006C6D70"/>
    <w:rsid w:val="007724DE"/>
    <w:rsid w:val="007B014F"/>
    <w:rsid w:val="007B01C8"/>
    <w:rsid w:val="007F78F7"/>
    <w:rsid w:val="00820DAA"/>
    <w:rsid w:val="00850B19"/>
    <w:rsid w:val="008C743D"/>
    <w:rsid w:val="00901C94"/>
    <w:rsid w:val="0090632E"/>
    <w:rsid w:val="00924BB4"/>
    <w:rsid w:val="0099721F"/>
    <w:rsid w:val="009B769E"/>
    <w:rsid w:val="009F0080"/>
    <w:rsid w:val="00A36AD8"/>
    <w:rsid w:val="00A44A42"/>
    <w:rsid w:val="00A54724"/>
    <w:rsid w:val="00AA1E9A"/>
    <w:rsid w:val="00AE46D2"/>
    <w:rsid w:val="00AF3FF5"/>
    <w:rsid w:val="00B009D1"/>
    <w:rsid w:val="00B644C0"/>
    <w:rsid w:val="00B6769D"/>
    <w:rsid w:val="00BC45D1"/>
    <w:rsid w:val="00C13FE0"/>
    <w:rsid w:val="00C177EB"/>
    <w:rsid w:val="00C57364"/>
    <w:rsid w:val="00C929E3"/>
    <w:rsid w:val="00C96DF1"/>
    <w:rsid w:val="00CB5581"/>
    <w:rsid w:val="00D20F53"/>
    <w:rsid w:val="00DA77ED"/>
    <w:rsid w:val="00DB796F"/>
    <w:rsid w:val="00E209C3"/>
    <w:rsid w:val="00E54023"/>
    <w:rsid w:val="00E60457"/>
    <w:rsid w:val="00E65659"/>
    <w:rsid w:val="00E8239C"/>
    <w:rsid w:val="00E974B3"/>
    <w:rsid w:val="00ED5536"/>
    <w:rsid w:val="00EF4A09"/>
    <w:rsid w:val="00F11F6F"/>
    <w:rsid w:val="00F616FB"/>
    <w:rsid w:val="00FA4EAD"/>
    <w:rsid w:val="00FE52B6"/>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B2342"/>
  <w15:docId w15:val="{94C48E38-0A88-4770-8A62-CA2566BF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4E695F"/>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4E695F"/>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4E695F"/>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4E695F"/>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4E695F"/>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4E695F"/>
    <w:rPr>
      <w:rFonts w:asciiTheme="majorHAnsi" w:eastAsiaTheme="majorEastAsia" w:hAnsiTheme="majorHAnsi" w:cstheme="majorBidi"/>
      <w:color w:val="004E7D"/>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4E695F"/>
    <w:pPr>
      <w:spacing w:before="240" w:after="240"/>
      <w:contextualSpacing/>
    </w:pPr>
    <w:rPr>
      <w:rFonts w:asciiTheme="majorHAnsi" w:hAnsiTheme="majorHAnsi"/>
      <w:color w:val="004E7D"/>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4E695F"/>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4E695F"/>
    <w:rPr>
      <w:rFonts w:asciiTheme="majorHAnsi" w:eastAsiaTheme="majorEastAsia" w:hAnsiTheme="majorHAnsi" w:cstheme="majorBidi"/>
      <w:color w:val="004E7D"/>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aliases w:val="L"/>
    <w:basedOn w:val="Normal"/>
    <w:link w:val="ListParagraphChar"/>
    <w:uiPriority w:val="34"/>
    <w:qFormat/>
    <w:rsid w:val="00E209C3"/>
    <w:pPr>
      <w:spacing w:before="40" w:after="160" w:line="280" w:lineRule="exact"/>
      <w:ind w:left="720"/>
      <w:contextualSpacing/>
    </w:pPr>
    <w:rPr>
      <w:rFonts w:ascii="Arial" w:hAnsi="Arial"/>
      <w:color w:val="auto"/>
    </w:rPr>
  </w:style>
  <w:style w:type="character" w:customStyle="1" w:styleId="ListParagraphChar">
    <w:name w:val="List Paragraph Char"/>
    <w:aliases w:val="L Char"/>
    <w:basedOn w:val="DefaultParagraphFont"/>
    <w:link w:val="ListParagraph"/>
    <w:uiPriority w:val="34"/>
    <w:rsid w:val="00E209C3"/>
    <w:rPr>
      <w:rFonts w:ascii="Arial" w:hAnsi="Arial"/>
      <w:color w:val="auto"/>
    </w:rPr>
  </w:style>
  <w:style w:type="character" w:styleId="CommentReference">
    <w:name w:val="annotation reference"/>
    <w:basedOn w:val="DefaultParagraphFont"/>
    <w:uiPriority w:val="99"/>
    <w:semiHidden/>
    <w:unhideWhenUsed/>
    <w:rsid w:val="00901C94"/>
    <w:rPr>
      <w:sz w:val="16"/>
      <w:szCs w:val="16"/>
    </w:rPr>
  </w:style>
  <w:style w:type="paragraph" w:styleId="CommentText">
    <w:name w:val="annotation text"/>
    <w:basedOn w:val="Normal"/>
    <w:link w:val="CommentTextChar"/>
    <w:uiPriority w:val="99"/>
    <w:semiHidden/>
    <w:unhideWhenUsed/>
    <w:rsid w:val="00901C94"/>
    <w:rPr>
      <w:sz w:val="20"/>
      <w:szCs w:val="20"/>
    </w:rPr>
  </w:style>
  <w:style w:type="character" w:customStyle="1" w:styleId="CommentTextChar">
    <w:name w:val="Comment Text Char"/>
    <w:basedOn w:val="DefaultParagraphFont"/>
    <w:link w:val="CommentText"/>
    <w:uiPriority w:val="99"/>
    <w:semiHidden/>
    <w:rsid w:val="00901C94"/>
    <w:rPr>
      <w:sz w:val="20"/>
      <w:szCs w:val="20"/>
    </w:rPr>
  </w:style>
  <w:style w:type="paragraph" w:styleId="CommentSubject">
    <w:name w:val="annotation subject"/>
    <w:basedOn w:val="CommentText"/>
    <w:next w:val="CommentText"/>
    <w:link w:val="CommentSubjectChar"/>
    <w:uiPriority w:val="99"/>
    <w:semiHidden/>
    <w:unhideWhenUsed/>
    <w:rsid w:val="00901C94"/>
    <w:rPr>
      <w:b/>
      <w:bCs/>
    </w:rPr>
  </w:style>
  <w:style w:type="character" w:customStyle="1" w:styleId="CommentSubjectChar">
    <w:name w:val="Comment Subject Char"/>
    <w:basedOn w:val="CommentTextChar"/>
    <w:link w:val="CommentSubject"/>
    <w:uiPriority w:val="99"/>
    <w:semiHidden/>
    <w:rsid w:val="00901C94"/>
    <w:rPr>
      <w:b/>
      <w:bCs/>
      <w:sz w:val="20"/>
      <w:szCs w:val="20"/>
    </w:rPr>
  </w:style>
  <w:style w:type="character" w:styleId="Hyperlink">
    <w:name w:val="Hyperlink"/>
    <w:basedOn w:val="DefaultParagraphFont"/>
    <w:uiPriority w:val="99"/>
    <w:unhideWhenUsed/>
    <w:rsid w:val="004E695F"/>
    <w:rPr>
      <w:color w:val="004E7D"/>
      <w:u w:val="single"/>
    </w:rPr>
  </w:style>
  <w:style w:type="character" w:styleId="UnresolvedMention">
    <w:name w:val="Unresolved Mention"/>
    <w:basedOn w:val="DefaultParagraphFont"/>
    <w:uiPriority w:val="99"/>
    <w:unhideWhenUsed/>
    <w:rsid w:val="00EF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qsa.gov.au/higher-education-standards-framework-202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teqsa-a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64167B8C-4796-4278-AD4A-73ED9503BF27}">
  <ds:schemaRefs>
    <ds:schemaRef ds:uri="http://schemas.openxmlformats.org/officeDocument/2006/bibliography"/>
  </ds:schemaRefs>
</ds:datastoreItem>
</file>

<file path=customXml/itemProps3.xml><?xml version="1.0" encoding="utf-8"?>
<ds:datastoreItem xmlns:ds="http://schemas.openxmlformats.org/officeDocument/2006/customXml" ds:itemID="{A82E1C12-8773-409A-B29D-4FC4E6BF5F01}">
  <ds:schemaRefs>
    <ds:schemaRef ds:uri="http://purl.org/dc/elements/1.1/"/>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7dac4e8-3feb-44f4-96ca-b86e7c14d0f6"/>
    <ds:schemaRef ds:uri="http://schemas.microsoft.com/office/2006/metadata/properties"/>
  </ds:schemaRefs>
</ds:datastoreItem>
</file>

<file path=customXml/itemProps4.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TEQSA’s approach to consultation</dc:title>
  <dc:creator>May, Raphael</dc:creator>
  <cp:lastModifiedBy>Tom Hewitt-McManus</cp:lastModifiedBy>
  <cp:revision>3</cp:revision>
  <cp:lastPrinted>2017-10-09T00:14:00Z</cp:lastPrinted>
  <dcterms:created xsi:type="dcterms:W3CDTF">2022-08-08T05:56:00Z</dcterms:created>
  <dcterms:modified xsi:type="dcterms:W3CDTF">2022-08-08T05:59:00Z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