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14" w:rsidRPr="005279FF" w:rsidRDefault="00EA6214" w:rsidP="00EA6214">
      <w:pPr>
        <w:pStyle w:val="Heading1"/>
        <w:spacing w:before="240" w:after="1440"/>
        <w:rPr>
          <w:rFonts w:eastAsia="Arial"/>
        </w:rPr>
      </w:pPr>
      <w:bookmarkStart w:id="0" w:name="_GoBack"/>
      <w:r w:rsidRPr="005279FF">
        <w:rPr>
          <w:rFonts w:eastAsia="Arial"/>
        </w:rPr>
        <w:t xml:space="preserve">Independent Experts engaged by providers </w:t>
      </w:r>
    </w:p>
    <w:bookmarkEnd w:id="0"/>
    <w:p w:rsidR="00EA6214" w:rsidRDefault="00EA6214" w:rsidP="00EA6214">
      <w:pPr>
        <w:pStyle w:val="Heading2"/>
        <w:rPr>
          <w:rFonts w:eastAsia="Arial"/>
        </w:rPr>
      </w:pPr>
      <w:r>
        <w:rPr>
          <w:rFonts w:eastAsia="Arial"/>
        </w:rPr>
        <w:t>Purpose</w:t>
      </w:r>
    </w:p>
    <w:p w:rsidR="00EA6214" w:rsidRPr="00B92A43" w:rsidRDefault="00EA6214" w:rsidP="00EA6214">
      <w:pPr>
        <w:rPr>
          <w:rFonts w:ascii="Arial" w:eastAsia="Arial" w:hAnsi="Arial" w:cs="Arial"/>
        </w:rPr>
      </w:pPr>
      <w:r>
        <w:rPr>
          <w:rFonts w:ascii="Arial" w:eastAsia="Arial" w:hAnsi="Arial" w:cs="Arial"/>
        </w:rPr>
        <w:t xml:space="preserve">This document provides guidance to providers on selecting a suitable independent expert to conduct a review or seek expert advice as part of their internal quality assurance processes. </w:t>
      </w:r>
    </w:p>
    <w:p w:rsidR="00EA6214" w:rsidRDefault="00EA6214" w:rsidP="00EA6214">
      <w:pPr>
        <w:pStyle w:val="Heading2"/>
        <w:rPr>
          <w:rFonts w:eastAsia="Arial"/>
        </w:rPr>
      </w:pPr>
      <w:r>
        <w:rPr>
          <w:rFonts w:eastAsia="Arial"/>
        </w:rPr>
        <w:t>Scope</w:t>
      </w:r>
    </w:p>
    <w:p w:rsidR="00EA6214" w:rsidRDefault="00EA6214" w:rsidP="00EA6214">
      <w:pPr>
        <w:rPr>
          <w:rFonts w:ascii="Arial" w:eastAsia="Arial" w:hAnsi="Arial" w:cs="Arial"/>
        </w:rPr>
      </w:pPr>
      <w:r>
        <w:rPr>
          <w:rFonts w:ascii="Arial" w:eastAsia="Arial" w:hAnsi="Arial" w:cs="Arial"/>
        </w:rPr>
        <w:t>This document provides guidance on:</w:t>
      </w:r>
    </w:p>
    <w:p w:rsidR="00EA6214" w:rsidRPr="00CB3AB4" w:rsidRDefault="00EA6214" w:rsidP="00EA6214">
      <w:pPr>
        <w:pStyle w:val="ListParagraph"/>
        <w:numPr>
          <w:ilvl w:val="0"/>
          <w:numId w:val="46"/>
        </w:numPr>
        <w:spacing w:before="120" w:after="120" w:line="240" w:lineRule="auto"/>
        <w:rPr>
          <w:rFonts w:ascii="Arial" w:eastAsia="Arial" w:hAnsi="Arial" w:cs="Times New Roman"/>
          <w:color w:val="00847E"/>
          <w:sz w:val="26"/>
          <w:szCs w:val="26"/>
        </w:rPr>
      </w:pPr>
      <w:r>
        <w:rPr>
          <w:rFonts w:ascii="Arial" w:eastAsia="Arial" w:hAnsi="Arial" w:cs="Times New Roman"/>
        </w:rPr>
        <w:t>considerations for selecting a suitable independent expert</w:t>
      </w:r>
    </w:p>
    <w:p w:rsidR="00EA6214" w:rsidRPr="007056A1" w:rsidRDefault="00EA6214" w:rsidP="00EA6214">
      <w:pPr>
        <w:pStyle w:val="ListParagraph"/>
        <w:numPr>
          <w:ilvl w:val="0"/>
          <w:numId w:val="46"/>
        </w:numPr>
        <w:spacing w:before="120" w:after="120" w:line="240" w:lineRule="auto"/>
        <w:rPr>
          <w:rFonts w:ascii="Arial" w:eastAsia="Arial" w:hAnsi="Arial" w:cs="Times New Roman"/>
          <w:color w:val="00847E"/>
          <w:sz w:val="26"/>
          <w:szCs w:val="26"/>
        </w:rPr>
      </w:pPr>
      <w:r>
        <w:rPr>
          <w:rFonts w:ascii="Arial" w:eastAsia="Arial" w:hAnsi="Arial" w:cs="Arial"/>
        </w:rPr>
        <w:t>factors for consideration relating</w:t>
      </w:r>
      <w:r w:rsidRPr="007056A1">
        <w:rPr>
          <w:rFonts w:ascii="Arial" w:eastAsia="Arial" w:hAnsi="Arial" w:cs="Arial"/>
        </w:rPr>
        <w:t xml:space="preserve"> </w:t>
      </w:r>
      <w:r>
        <w:rPr>
          <w:rFonts w:ascii="Arial" w:eastAsia="Arial" w:hAnsi="Arial" w:cs="Arial"/>
        </w:rPr>
        <w:t xml:space="preserve">to </w:t>
      </w:r>
      <w:r w:rsidRPr="007056A1">
        <w:rPr>
          <w:rFonts w:ascii="Arial" w:eastAsia="Arial" w:hAnsi="Arial" w:cs="Arial"/>
        </w:rPr>
        <w:t>expert</w:t>
      </w:r>
      <w:r>
        <w:rPr>
          <w:rFonts w:ascii="Arial" w:eastAsia="Arial" w:hAnsi="Arial" w:cs="Arial"/>
        </w:rPr>
        <w:t>ise</w:t>
      </w:r>
    </w:p>
    <w:p w:rsidR="00EA6214" w:rsidRPr="007056A1" w:rsidRDefault="00EA6214" w:rsidP="00EA6214">
      <w:pPr>
        <w:pStyle w:val="ListParagraph"/>
        <w:numPr>
          <w:ilvl w:val="0"/>
          <w:numId w:val="46"/>
        </w:numPr>
        <w:spacing w:before="120" w:after="120" w:line="240" w:lineRule="auto"/>
        <w:rPr>
          <w:rFonts w:ascii="Arial" w:eastAsia="Arial" w:hAnsi="Arial" w:cs="Times New Roman"/>
          <w:color w:val="00847E"/>
          <w:sz w:val="26"/>
          <w:szCs w:val="26"/>
        </w:rPr>
      </w:pPr>
      <w:r>
        <w:rPr>
          <w:rFonts w:ascii="Arial" w:eastAsia="Arial" w:hAnsi="Arial" w:cs="Arial"/>
        </w:rPr>
        <w:t xml:space="preserve">factors for consideration relating to </w:t>
      </w:r>
      <w:r w:rsidR="003775B2">
        <w:rPr>
          <w:rFonts w:ascii="Arial" w:eastAsia="Arial" w:hAnsi="Arial" w:cs="Arial"/>
        </w:rPr>
        <w:t>independence.</w:t>
      </w:r>
    </w:p>
    <w:p w:rsidR="00EA6214" w:rsidRPr="00BA0FA3" w:rsidRDefault="00EA6214" w:rsidP="00EA6214">
      <w:pPr>
        <w:pStyle w:val="Heading2"/>
        <w:rPr>
          <w:rFonts w:eastAsia="Arial"/>
          <w:b/>
          <w:color w:val="000000"/>
        </w:rPr>
      </w:pPr>
      <w:r>
        <w:rPr>
          <w:rFonts w:eastAsia="Arial"/>
        </w:rPr>
        <w:t xml:space="preserve">Considerations for selecting a suitable </w:t>
      </w:r>
      <w:r w:rsidRPr="00CB3AB4">
        <w:rPr>
          <w:rFonts w:eastAsia="Arial"/>
          <w:b/>
        </w:rPr>
        <w:t>independent expert</w:t>
      </w:r>
    </w:p>
    <w:p w:rsidR="00EA6214" w:rsidRPr="00825E46" w:rsidRDefault="00EA6214" w:rsidP="00EA6214">
      <w:pPr>
        <w:numPr>
          <w:ilvl w:val="0"/>
          <w:numId w:val="45"/>
        </w:numPr>
        <w:spacing w:line="280" w:lineRule="exact"/>
        <w:rPr>
          <w:rFonts w:ascii="Arial" w:eastAsia="Arial" w:hAnsi="Arial" w:cs="Arial"/>
        </w:rPr>
      </w:pPr>
      <w:r>
        <w:rPr>
          <w:rFonts w:ascii="Arial" w:eastAsia="Arial" w:hAnsi="Arial" w:cs="Arial"/>
        </w:rPr>
        <w:t xml:space="preserve">The provider should consider the scope/terms of reference of the proposed review and tailor their requirements for a suitable independent expert accordingly. </w:t>
      </w:r>
    </w:p>
    <w:p w:rsidR="00EA6214" w:rsidRPr="00857D1E" w:rsidRDefault="00EA6214" w:rsidP="00EA6214">
      <w:pPr>
        <w:widowControl w:val="0"/>
        <w:numPr>
          <w:ilvl w:val="0"/>
          <w:numId w:val="45"/>
        </w:numPr>
        <w:overflowPunct w:val="0"/>
        <w:autoSpaceDE w:val="0"/>
        <w:autoSpaceDN w:val="0"/>
        <w:adjustRightInd w:val="0"/>
        <w:spacing w:line="280" w:lineRule="exact"/>
        <w:textAlignment w:val="baseline"/>
        <w:rPr>
          <w:rFonts w:ascii="Arial" w:eastAsia="Arial" w:hAnsi="Arial" w:cs="Arial"/>
          <w:lang w:val="en-US"/>
        </w:rPr>
      </w:pPr>
      <w:r>
        <w:rPr>
          <w:rFonts w:ascii="Arial" w:eastAsia="Arial" w:hAnsi="Arial" w:cs="Arial"/>
          <w:lang w:val="en-US"/>
        </w:rPr>
        <w:t xml:space="preserve">The provider should </w:t>
      </w:r>
      <w:r w:rsidRPr="00825E46">
        <w:rPr>
          <w:rFonts w:ascii="Arial" w:eastAsia="Arial" w:hAnsi="Arial" w:cs="Arial"/>
          <w:lang w:val="en-US"/>
        </w:rPr>
        <w:t xml:space="preserve">have regard to </w:t>
      </w:r>
      <w:r>
        <w:rPr>
          <w:rFonts w:ascii="Arial" w:eastAsia="Arial" w:hAnsi="Arial" w:cs="Arial"/>
          <w:lang w:val="en-US"/>
        </w:rPr>
        <w:t>the factors</w:t>
      </w:r>
      <w:r>
        <w:rPr>
          <w:rFonts w:ascii="Arial" w:eastAsia="Arial" w:hAnsi="Arial" w:cs="Arial"/>
          <w:b/>
          <w:lang w:val="en-US"/>
        </w:rPr>
        <w:t xml:space="preserve"> </w:t>
      </w:r>
      <w:r>
        <w:rPr>
          <w:rFonts w:ascii="Arial" w:eastAsia="Arial" w:hAnsi="Arial" w:cs="Arial"/>
          <w:lang w:val="en-US"/>
        </w:rPr>
        <w:t>for consideration (</w:t>
      </w:r>
      <w:r w:rsidRPr="00CE3710">
        <w:rPr>
          <w:rFonts w:ascii="Arial" w:eastAsia="Arial" w:hAnsi="Arial" w:cs="Arial"/>
          <w:b/>
          <w:lang w:val="en-US"/>
        </w:rPr>
        <w:t>expertise</w:t>
      </w:r>
      <w:r>
        <w:rPr>
          <w:rFonts w:ascii="Arial" w:eastAsia="Arial" w:hAnsi="Arial" w:cs="Arial"/>
          <w:lang w:val="en-US"/>
        </w:rPr>
        <w:t xml:space="preserve"> and </w:t>
      </w:r>
      <w:r w:rsidRPr="00CE3710">
        <w:rPr>
          <w:rFonts w:ascii="Arial" w:eastAsia="Arial" w:hAnsi="Arial" w:cs="Arial"/>
          <w:b/>
          <w:lang w:val="en-US"/>
        </w:rPr>
        <w:t>independence</w:t>
      </w:r>
      <w:r>
        <w:rPr>
          <w:rFonts w:ascii="Arial" w:eastAsia="Arial" w:hAnsi="Arial" w:cs="Arial"/>
          <w:lang w:val="en-US"/>
        </w:rPr>
        <w:t xml:space="preserve">) set out in this document when selecting a suitable independent expert.  However, TEQSA recognises that providers may have additional requirements they wish to consider. </w:t>
      </w:r>
    </w:p>
    <w:p w:rsidR="00EA6214" w:rsidRPr="00825E46" w:rsidRDefault="00EA6214" w:rsidP="00EA6214">
      <w:pPr>
        <w:numPr>
          <w:ilvl w:val="0"/>
          <w:numId w:val="45"/>
        </w:numPr>
        <w:spacing w:line="280" w:lineRule="exact"/>
        <w:rPr>
          <w:rFonts w:ascii="Arial" w:eastAsia="Arial" w:hAnsi="Arial" w:cs="Arial"/>
        </w:rPr>
      </w:pPr>
      <w:r>
        <w:rPr>
          <w:rFonts w:ascii="Arial" w:eastAsia="Arial" w:hAnsi="Arial" w:cs="Arial"/>
        </w:rPr>
        <w:t>S</w:t>
      </w:r>
      <w:r w:rsidRPr="00825E46">
        <w:rPr>
          <w:rFonts w:ascii="Arial" w:eastAsia="Arial" w:hAnsi="Arial" w:cs="Arial"/>
        </w:rPr>
        <w:t>electing a suitable expert should be informed by:</w:t>
      </w:r>
    </w:p>
    <w:p w:rsidR="00EA6214" w:rsidRPr="00825E46" w:rsidRDefault="003775B2" w:rsidP="00EA6214">
      <w:pPr>
        <w:numPr>
          <w:ilvl w:val="1"/>
          <w:numId w:val="45"/>
        </w:numPr>
        <w:spacing w:line="280" w:lineRule="exact"/>
        <w:rPr>
          <w:rFonts w:ascii="Arial" w:eastAsia="Arial" w:hAnsi="Arial" w:cs="Arial"/>
        </w:rPr>
      </w:pPr>
      <w:r>
        <w:rPr>
          <w:rFonts w:ascii="Arial" w:eastAsia="Arial" w:hAnsi="Arial" w:cs="Arial"/>
        </w:rPr>
        <w:t>T</w:t>
      </w:r>
      <w:r w:rsidR="00EA6214" w:rsidRPr="00825E46">
        <w:rPr>
          <w:rFonts w:ascii="Arial" w:eastAsia="Arial" w:hAnsi="Arial" w:cs="Arial"/>
        </w:rPr>
        <w:t xml:space="preserve">he </w:t>
      </w:r>
      <w:r w:rsidR="00EA6214" w:rsidRPr="005279FF">
        <w:rPr>
          <w:rFonts w:ascii="Arial" w:eastAsia="Arial" w:hAnsi="Arial" w:cs="Arial"/>
          <w:b/>
        </w:rPr>
        <w:t>type</w:t>
      </w:r>
      <w:r w:rsidR="00EA6214" w:rsidRPr="00825E46">
        <w:rPr>
          <w:rFonts w:ascii="Arial" w:eastAsia="Arial" w:hAnsi="Arial" w:cs="Arial"/>
        </w:rPr>
        <w:t xml:space="preserve"> of the review – for example, </w:t>
      </w:r>
      <w:r w:rsidR="00EA6214">
        <w:rPr>
          <w:rFonts w:ascii="Arial" w:eastAsia="Arial" w:hAnsi="Arial" w:cs="Arial"/>
        </w:rPr>
        <w:t xml:space="preserve">an </w:t>
      </w:r>
      <w:r w:rsidR="00EA6214" w:rsidRPr="00825E46">
        <w:rPr>
          <w:rFonts w:ascii="Arial" w:eastAsia="Arial" w:hAnsi="Arial" w:cs="Arial"/>
        </w:rPr>
        <w:t>institutional review of the effectiveness of the governing body and academic governance processes</w:t>
      </w:r>
      <w:r w:rsidR="00EA6214">
        <w:rPr>
          <w:rFonts w:ascii="Arial" w:eastAsia="Arial" w:hAnsi="Arial" w:cs="Arial"/>
        </w:rPr>
        <w:t xml:space="preserve"> (governance review)</w:t>
      </w:r>
      <w:r w:rsidR="00EA6214" w:rsidRPr="00825E46">
        <w:rPr>
          <w:rFonts w:ascii="Arial" w:eastAsia="Arial" w:hAnsi="Arial" w:cs="Arial"/>
        </w:rPr>
        <w:t xml:space="preserve">; </w:t>
      </w:r>
      <w:r w:rsidR="00EA6214">
        <w:rPr>
          <w:rFonts w:ascii="Arial" w:eastAsia="Arial" w:hAnsi="Arial" w:cs="Arial"/>
        </w:rPr>
        <w:t xml:space="preserve">a </w:t>
      </w:r>
      <w:r w:rsidR="00EA6214" w:rsidRPr="00825E46">
        <w:rPr>
          <w:rFonts w:ascii="Arial" w:eastAsia="Arial" w:hAnsi="Arial" w:cs="Arial"/>
        </w:rPr>
        <w:t>comprehensive review of a course of study</w:t>
      </w:r>
      <w:r w:rsidR="00EA6214">
        <w:rPr>
          <w:rFonts w:ascii="Arial" w:eastAsia="Arial" w:hAnsi="Arial" w:cs="Arial"/>
        </w:rPr>
        <w:t xml:space="preserve"> (course review)</w:t>
      </w:r>
      <w:r w:rsidR="00EA6214" w:rsidRPr="00825E46">
        <w:rPr>
          <w:rFonts w:ascii="Arial" w:eastAsia="Arial" w:hAnsi="Arial" w:cs="Arial"/>
        </w:rPr>
        <w:t>;</w:t>
      </w:r>
      <w:r w:rsidR="00EA6214">
        <w:rPr>
          <w:rFonts w:ascii="Arial" w:eastAsia="Arial" w:hAnsi="Arial" w:cs="Arial"/>
        </w:rPr>
        <w:t xml:space="preserve"> </w:t>
      </w:r>
      <w:r w:rsidR="00EA6214" w:rsidRPr="00825E46">
        <w:rPr>
          <w:rFonts w:ascii="Arial" w:eastAsia="Arial" w:hAnsi="Arial" w:cs="Arial"/>
        </w:rPr>
        <w:t>ELICOS/ESOS review; specialised/issue-specific</w:t>
      </w:r>
      <w:r w:rsidR="00EA6214">
        <w:rPr>
          <w:rFonts w:ascii="Arial" w:eastAsia="Arial" w:hAnsi="Arial" w:cs="Arial"/>
        </w:rPr>
        <w:t xml:space="preserve"> expert advice; the mode of course delivery</w:t>
      </w:r>
    </w:p>
    <w:p w:rsidR="00EA6214" w:rsidRDefault="003775B2" w:rsidP="00EA6214">
      <w:pPr>
        <w:numPr>
          <w:ilvl w:val="1"/>
          <w:numId w:val="45"/>
        </w:numPr>
        <w:spacing w:line="280" w:lineRule="exact"/>
        <w:rPr>
          <w:rFonts w:ascii="Arial" w:eastAsia="Arial" w:hAnsi="Arial" w:cs="Arial"/>
        </w:rPr>
      </w:pPr>
      <w:r>
        <w:rPr>
          <w:rFonts w:ascii="Arial" w:eastAsia="Arial" w:hAnsi="Arial" w:cs="Arial"/>
        </w:rPr>
        <w:t>T</w:t>
      </w:r>
      <w:r w:rsidR="00EA6214" w:rsidRPr="00825E46">
        <w:rPr>
          <w:rFonts w:ascii="Arial" w:eastAsia="Arial" w:hAnsi="Arial" w:cs="Arial"/>
        </w:rPr>
        <w:t xml:space="preserve">he </w:t>
      </w:r>
      <w:r w:rsidR="00EA6214" w:rsidRPr="005279FF">
        <w:rPr>
          <w:rFonts w:ascii="Arial" w:eastAsia="Arial" w:hAnsi="Arial" w:cs="Arial"/>
          <w:b/>
        </w:rPr>
        <w:t>complexity</w:t>
      </w:r>
      <w:r w:rsidR="00EA6214" w:rsidRPr="00825E46">
        <w:rPr>
          <w:rFonts w:ascii="Arial" w:eastAsia="Arial" w:hAnsi="Arial" w:cs="Arial"/>
        </w:rPr>
        <w:t xml:space="preserve"> of the review – for example, the scope/terms of reference for the review, the provider’s individual context (size, complexity of structure and operations)</w:t>
      </w:r>
      <w:r w:rsidR="00EA6214">
        <w:rPr>
          <w:rFonts w:ascii="Arial" w:eastAsia="Arial" w:hAnsi="Arial" w:cs="Arial"/>
        </w:rPr>
        <w:t>.</w:t>
      </w:r>
    </w:p>
    <w:p w:rsidR="00EA6214" w:rsidRDefault="00EA6214" w:rsidP="00EA6214">
      <w:pPr>
        <w:widowControl w:val="0"/>
        <w:numPr>
          <w:ilvl w:val="0"/>
          <w:numId w:val="45"/>
        </w:numPr>
        <w:overflowPunct w:val="0"/>
        <w:autoSpaceDE w:val="0"/>
        <w:autoSpaceDN w:val="0"/>
        <w:adjustRightInd w:val="0"/>
        <w:spacing w:line="280" w:lineRule="exact"/>
        <w:textAlignment w:val="baseline"/>
        <w:rPr>
          <w:rFonts w:ascii="Arial" w:eastAsia="Arial" w:hAnsi="Arial" w:cs="Arial"/>
          <w:lang w:val="en-US"/>
        </w:rPr>
      </w:pPr>
      <w:r w:rsidRPr="00825E46">
        <w:rPr>
          <w:rFonts w:ascii="Arial" w:eastAsia="Arial" w:hAnsi="Arial" w:cs="Arial"/>
          <w:lang w:val="en-US"/>
        </w:rPr>
        <w:t xml:space="preserve">The provider should exercise due diligence prior to engaging the expert to ensure </w:t>
      </w:r>
      <w:r>
        <w:rPr>
          <w:rFonts w:ascii="Arial" w:eastAsia="Arial" w:hAnsi="Arial" w:cs="Arial"/>
          <w:lang w:val="en-US"/>
        </w:rPr>
        <w:t>that the expert:</w:t>
      </w:r>
    </w:p>
    <w:p w:rsidR="00EA6214" w:rsidRDefault="00EA6214" w:rsidP="00EA6214">
      <w:pPr>
        <w:widowControl w:val="0"/>
        <w:numPr>
          <w:ilvl w:val="1"/>
          <w:numId w:val="45"/>
        </w:numPr>
        <w:overflowPunct w:val="0"/>
        <w:autoSpaceDE w:val="0"/>
        <w:autoSpaceDN w:val="0"/>
        <w:adjustRightInd w:val="0"/>
        <w:spacing w:line="280" w:lineRule="exact"/>
        <w:textAlignment w:val="baseline"/>
        <w:rPr>
          <w:rFonts w:ascii="Arial" w:eastAsia="Arial" w:hAnsi="Arial" w:cs="Arial"/>
          <w:lang w:val="en-US"/>
        </w:rPr>
      </w:pPr>
      <w:r w:rsidRPr="00825E46">
        <w:rPr>
          <w:rFonts w:ascii="Arial" w:eastAsia="Arial" w:hAnsi="Arial" w:cs="Arial"/>
          <w:lang w:val="en-US"/>
        </w:rPr>
        <w:lastRenderedPageBreak/>
        <w:t xml:space="preserve">is a fit and proper person to provide expert </w:t>
      </w:r>
      <w:r>
        <w:rPr>
          <w:rFonts w:ascii="Arial" w:eastAsia="Arial" w:hAnsi="Arial" w:cs="Arial"/>
          <w:lang w:val="en-US"/>
        </w:rPr>
        <w:t xml:space="preserve">advisory </w:t>
      </w:r>
      <w:r w:rsidRPr="00825E46">
        <w:rPr>
          <w:rFonts w:ascii="Arial" w:eastAsia="Arial" w:hAnsi="Arial" w:cs="Arial"/>
          <w:lang w:val="en-US"/>
        </w:rPr>
        <w:t>services to the provider, having regard to the individual’s character, competence and conduct</w:t>
      </w:r>
    </w:p>
    <w:p w:rsidR="00EA6214" w:rsidRDefault="00EA6214" w:rsidP="00EA6214">
      <w:pPr>
        <w:widowControl w:val="0"/>
        <w:numPr>
          <w:ilvl w:val="1"/>
          <w:numId w:val="45"/>
        </w:numPr>
        <w:overflowPunct w:val="0"/>
        <w:autoSpaceDE w:val="0"/>
        <w:autoSpaceDN w:val="0"/>
        <w:adjustRightInd w:val="0"/>
        <w:spacing w:line="280" w:lineRule="exact"/>
        <w:textAlignment w:val="baseline"/>
        <w:rPr>
          <w:rFonts w:ascii="Arial" w:eastAsia="Arial" w:hAnsi="Arial" w:cs="Arial"/>
          <w:lang w:val="en-US"/>
        </w:rPr>
      </w:pPr>
      <w:r w:rsidRPr="00825E46">
        <w:rPr>
          <w:rFonts w:ascii="Arial" w:eastAsia="Arial" w:hAnsi="Arial" w:cs="Arial"/>
          <w:lang w:val="en-US"/>
        </w:rPr>
        <w:t>does not have actual or perceived c</w:t>
      </w:r>
      <w:r>
        <w:rPr>
          <w:rFonts w:ascii="Arial" w:eastAsia="Arial" w:hAnsi="Arial" w:cs="Arial"/>
          <w:lang w:val="en-US"/>
        </w:rPr>
        <w:t>onflict/s of interest, or where conflict/s of interest do exist</w:t>
      </w:r>
      <w:r w:rsidRPr="00825E46">
        <w:rPr>
          <w:rFonts w:ascii="Arial" w:eastAsia="Arial" w:hAnsi="Arial" w:cs="Arial"/>
          <w:lang w:val="en-US"/>
        </w:rPr>
        <w:t xml:space="preserve">, </w:t>
      </w:r>
      <w:r>
        <w:rPr>
          <w:rFonts w:ascii="Arial" w:eastAsia="Arial" w:hAnsi="Arial" w:cs="Arial"/>
          <w:lang w:val="en-US"/>
        </w:rPr>
        <w:t>that these are</w:t>
      </w:r>
      <w:r w:rsidRPr="00825E46">
        <w:rPr>
          <w:rFonts w:ascii="Arial" w:eastAsia="Arial" w:hAnsi="Arial" w:cs="Arial"/>
          <w:lang w:val="en-US"/>
        </w:rPr>
        <w:t xml:space="preserve"> capable of being </w:t>
      </w:r>
      <w:r>
        <w:rPr>
          <w:rFonts w:ascii="Arial" w:eastAsia="Arial" w:hAnsi="Arial" w:cs="Arial"/>
          <w:lang w:val="en-US"/>
        </w:rPr>
        <w:t>effectively managed</w:t>
      </w:r>
    </w:p>
    <w:p w:rsidR="00EA6214" w:rsidRPr="00825E46" w:rsidRDefault="00EA6214" w:rsidP="00EA6214">
      <w:pPr>
        <w:widowControl w:val="0"/>
        <w:numPr>
          <w:ilvl w:val="1"/>
          <w:numId w:val="45"/>
        </w:numPr>
        <w:overflowPunct w:val="0"/>
        <w:autoSpaceDE w:val="0"/>
        <w:autoSpaceDN w:val="0"/>
        <w:adjustRightInd w:val="0"/>
        <w:spacing w:line="280" w:lineRule="exact"/>
        <w:textAlignment w:val="baseline"/>
        <w:rPr>
          <w:rFonts w:ascii="Arial" w:eastAsia="Arial" w:hAnsi="Arial" w:cs="Arial"/>
          <w:lang w:val="en-US"/>
        </w:rPr>
      </w:pPr>
      <w:r>
        <w:rPr>
          <w:rFonts w:ascii="Arial" w:eastAsia="Arial" w:hAnsi="Arial" w:cs="Arial"/>
          <w:lang w:val="en-US"/>
        </w:rPr>
        <w:t xml:space="preserve">has appropriate qualifications and experience to undertake the review consistent having regard to the type and complexity of the review. </w:t>
      </w:r>
    </w:p>
    <w:p w:rsidR="00EA6214" w:rsidRPr="00825E46" w:rsidRDefault="00EA6214" w:rsidP="00EA6214">
      <w:pPr>
        <w:widowControl w:val="0"/>
        <w:numPr>
          <w:ilvl w:val="0"/>
          <w:numId w:val="45"/>
        </w:numPr>
        <w:overflowPunct w:val="0"/>
        <w:autoSpaceDE w:val="0"/>
        <w:autoSpaceDN w:val="0"/>
        <w:adjustRightInd w:val="0"/>
        <w:spacing w:line="280" w:lineRule="exact"/>
        <w:textAlignment w:val="baseline"/>
        <w:rPr>
          <w:rFonts w:ascii="Arial" w:eastAsia="Arial" w:hAnsi="Arial" w:cs="Arial"/>
          <w:lang w:val="en-US"/>
        </w:rPr>
      </w:pPr>
      <w:r w:rsidRPr="00825E46">
        <w:rPr>
          <w:rFonts w:ascii="Arial" w:eastAsia="Arial" w:hAnsi="Arial" w:cs="Arial"/>
          <w:lang w:val="en-US"/>
        </w:rPr>
        <w:t xml:space="preserve">The engagement of the </w:t>
      </w:r>
      <w:r>
        <w:rPr>
          <w:rFonts w:ascii="Arial" w:eastAsia="Arial" w:hAnsi="Arial" w:cs="Arial"/>
          <w:lang w:val="en-US"/>
        </w:rPr>
        <w:t>expert</w:t>
      </w:r>
      <w:r w:rsidRPr="00825E46">
        <w:rPr>
          <w:rFonts w:ascii="Arial" w:eastAsia="Arial" w:hAnsi="Arial" w:cs="Arial"/>
          <w:lang w:val="en-US"/>
        </w:rPr>
        <w:t xml:space="preserve"> should be transparent and documented.</w:t>
      </w:r>
    </w:p>
    <w:p w:rsidR="00EA6214" w:rsidRPr="00EA6214" w:rsidRDefault="00EA6214" w:rsidP="00EA6214">
      <w:pPr>
        <w:widowControl w:val="0"/>
        <w:numPr>
          <w:ilvl w:val="0"/>
          <w:numId w:val="45"/>
        </w:numPr>
        <w:overflowPunct w:val="0"/>
        <w:autoSpaceDE w:val="0"/>
        <w:autoSpaceDN w:val="0"/>
        <w:adjustRightInd w:val="0"/>
        <w:spacing w:line="280" w:lineRule="exact"/>
        <w:textAlignment w:val="baseline"/>
        <w:rPr>
          <w:rFonts w:ascii="Arial" w:eastAsia="Arial" w:hAnsi="Arial" w:cs="Arial"/>
        </w:rPr>
      </w:pPr>
      <w:r w:rsidRPr="00825E46">
        <w:rPr>
          <w:rFonts w:ascii="Arial" w:eastAsia="Arial" w:hAnsi="Arial" w:cs="Arial"/>
          <w:lang w:val="en-US"/>
        </w:rPr>
        <w:t xml:space="preserve">The provider should keep a record of the documents to support the selection </w:t>
      </w:r>
      <w:r>
        <w:rPr>
          <w:rFonts w:ascii="Arial" w:eastAsia="Arial" w:hAnsi="Arial" w:cs="Arial"/>
          <w:lang w:val="en-US"/>
        </w:rPr>
        <w:t xml:space="preserve">of the expert </w:t>
      </w:r>
      <w:r w:rsidRPr="00825E46">
        <w:rPr>
          <w:rFonts w:ascii="Arial" w:eastAsia="Arial" w:hAnsi="Arial" w:cs="Arial"/>
          <w:lang w:val="en-US"/>
        </w:rPr>
        <w:t xml:space="preserve">– this may include </w:t>
      </w:r>
      <w:r>
        <w:rPr>
          <w:rFonts w:ascii="Arial" w:eastAsia="Arial" w:hAnsi="Arial" w:cs="Arial"/>
          <w:lang w:val="en-US"/>
        </w:rPr>
        <w:t xml:space="preserve">a </w:t>
      </w:r>
      <w:r w:rsidRPr="00825E46">
        <w:rPr>
          <w:rFonts w:ascii="Arial" w:eastAsia="Arial" w:hAnsi="Arial" w:cs="Arial"/>
          <w:lang w:val="en-US"/>
        </w:rPr>
        <w:t xml:space="preserve">current resume, letter of endorsement from </w:t>
      </w:r>
      <w:r>
        <w:rPr>
          <w:rFonts w:ascii="Arial" w:eastAsia="Arial" w:hAnsi="Arial" w:cs="Arial"/>
          <w:lang w:val="en-US"/>
        </w:rPr>
        <w:t xml:space="preserve">their </w:t>
      </w:r>
      <w:r w:rsidRPr="00825E46">
        <w:rPr>
          <w:rFonts w:ascii="Arial" w:eastAsia="Arial" w:hAnsi="Arial" w:cs="Arial"/>
          <w:lang w:val="en-US"/>
        </w:rPr>
        <w:t xml:space="preserve">current employer, </w:t>
      </w:r>
      <w:r>
        <w:rPr>
          <w:rFonts w:ascii="Arial" w:eastAsia="Arial" w:hAnsi="Arial" w:cs="Arial"/>
          <w:lang w:val="en-US"/>
        </w:rPr>
        <w:t>statement of capability</w:t>
      </w:r>
      <w:r w:rsidRPr="00825E46">
        <w:rPr>
          <w:rFonts w:ascii="Arial" w:eastAsia="Arial" w:hAnsi="Arial" w:cs="Arial"/>
          <w:lang w:val="en-US"/>
        </w:rPr>
        <w:t xml:space="preserve">, </w:t>
      </w:r>
      <w:r>
        <w:rPr>
          <w:rFonts w:ascii="Arial" w:eastAsia="Arial" w:hAnsi="Arial" w:cs="Arial"/>
          <w:lang w:val="en-US"/>
        </w:rPr>
        <w:t>declaration of independence/</w:t>
      </w:r>
      <w:r w:rsidRPr="00825E46">
        <w:rPr>
          <w:rFonts w:ascii="Arial" w:eastAsia="Arial" w:hAnsi="Arial" w:cs="Arial"/>
          <w:lang w:val="en-US"/>
        </w:rPr>
        <w:t xml:space="preserve">conflict of interest declaration and a certified copy of the expert’s </w:t>
      </w:r>
      <w:r>
        <w:rPr>
          <w:rFonts w:ascii="Arial" w:eastAsia="Arial" w:hAnsi="Arial" w:cs="Arial"/>
          <w:lang w:val="en-US"/>
        </w:rPr>
        <w:t>relevant</w:t>
      </w:r>
      <w:r w:rsidRPr="00825E46">
        <w:rPr>
          <w:rFonts w:ascii="Arial" w:eastAsia="Arial" w:hAnsi="Arial" w:cs="Arial"/>
          <w:lang w:val="en-US"/>
        </w:rPr>
        <w:t xml:space="preserve"> qualification</w:t>
      </w:r>
      <w:r>
        <w:rPr>
          <w:rFonts w:ascii="Arial" w:eastAsia="Arial" w:hAnsi="Arial" w:cs="Arial"/>
          <w:lang w:val="en-US"/>
        </w:rPr>
        <w:t>s</w:t>
      </w:r>
      <w:r w:rsidRPr="00825E46">
        <w:rPr>
          <w:rFonts w:ascii="Arial" w:eastAsia="Arial" w:hAnsi="Arial" w:cs="Arial"/>
          <w:lang w:val="en-US"/>
        </w:rPr>
        <w:t>.</w:t>
      </w:r>
    </w:p>
    <w:p w:rsidR="00EA6214" w:rsidRPr="00CB3AB4" w:rsidRDefault="00EA6214" w:rsidP="00EA6214">
      <w:pPr>
        <w:pStyle w:val="Heading2"/>
        <w:rPr>
          <w:rFonts w:eastAsia="Arial"/>
          <w:b/>
          <w:color w:val="000000"/>
        </w:rPr>
      </w:pPr>
      <w:r>
        <w:rPr>
          <w:rFonts w:eastAsia="Arial"/>
        </w:rPr>
        <w:t>Factors relating to</w:t>
      </w:r>
      <w:r w:rsidRPr="00CB3AB4">
        <w:rPr>
          <w:rFonts w:eastAsia="Arial"/>
        </w:rPr>
        <w:t xml:space="preserve"> </w:t>
      </w:r>
      <w:r>
        <w:rPr>
          <w:rFonts w:eastAsia="Arial"/>
          <w:b/>
        </w:rPr>
        <w:t>expertise</w:t>
      </w:r>
    </w:p>
    <w:p w:rsidR="00EA6214" w:rsidRPr="00825E46" w:rsidRDefault="00EA6214" w:rsidP="00EA6214">
      <w:pPr>
        <w:numPr>
          <w:ilvl w:val="0"/>
          <w:numId w:val="45"/>
        </w:numPr>
        <w:spacing w:line="280" w:lineRule="exact"/>
        <w:rPr>
          <w:rFonts w:ascii="Arial" w:eastAsia="Arial" w:hAnsi="Arial" w:cs="Arial"/>
        </w:rPr>
      </w:pPr>
      <w:r>
        <w:rPr>
          <w:rFonts w:ascii="Arial" w:eastAsia="Arial" w:hAnsi="Arial" w:cs="Arial"/>
        </w:rPr>
        <w:t xml:space="preserve">Factors that </w:t>
      </w:r>
      <w:r w:rsidRPr="00825E46">
        <w:rPr>
          <w:rFonts w:ascii="Arial" w:eastAsia="Arial" w:hAnsi="Arial" w:cs="Arial"/>
        </w:rPr>
        <w:t xml:space="preserve">should </w:t>
      </w:r>
      <w:r>
        <w:rPr>
          <w:rFonts w:ascii="Arial" w:eastAsia="Arial" w:hAnsi="Arial" w:cs="Arial"/>
        </w:rPr>
        <w:t>be taken into consideration (but not be limited to) include the following</w:t>
      </w:r>
      <w:r w:rsidRPr="00825E46">
        <w:rPr>
          <w:rFonts w:ascii="Arial" w:eastAsia="Arial" w:hAnsi="Arial" w:cs="Arial"/>
        </w:rPr>
        <w:t>:</w:t>
      </w:r>
    </w:p>
    <w:p w:rsidR="00EA6214" w:rsidRDefault="00EA6214" w:rsidP="00EA6214">
      <w:pPr>
        <w:numPr>
          <w:ilvl w:val="1"/>
          <w:numId w:val="47"/>
        </w:numPr>
        <w:spacing w:line="280" w:lineRule="exact"/>
        <w:rPr>
          <w:rFonts w:ascii="Arial" w:eastAsia="Arial" w:hAnsi="Arial" w:cs="Arial"/>
        </w:rPr>
      </w:pPr>
      <w:r>
        <w:rPr>
          <w:rFonts w:ascii="Arial" w:eastAsia="Arial" w:hAnsi="Arial" w:cs="Arial"/>
        </w:rPr>
        <w:t>Whether t</w:t>
      </w:r>
      <w:r w:rsidRPr="00825E46">
        <w:rPr>
          <w:rFonts w:ascii="Arial" w:eastAsia="Arial" w:hAnsi="Arial" w:cs="Arial"/>
        </w:rPr>
        <w:t>he expert</w:t>
      </w:r>
      <w:r>
        <w:rPr>
          <w:rFonts w:ascii="Arial" w:eastAsia="Arial" w:hAnsi="Arial" w:cs="Arial"/>
        </w:rPr>
        <w:t xml:space="preserve"> is suitably or appropriately qualified and/or experienced to conduct the review.   This could be in the form of their academic qualifications and/or relevant (and comparable) professional experience. </w:t>
      </w:r>
    </w:p>
    <w:p w:rsidR="00EA6214" w:rsidRDefault="00EA6214" w:rsidP="00EA6214">
      <w:pPr>
        <w:numPr>
          <w:ilvl w:val="1"/>
          <w:numId w:val="47"/>
        </w:numPr>
        <w:spacing w:line="280" w:lineRule="exact"/>
        <w:rPr>
          <w:rFonts w:ascii="Arial" w:eastAsia="Arial" w:hAnsi="Arial" w:cs="Arial"/>
        </w:rPr>
      </w:pPr>
      <w:r>
        <w:rPr>
          <w:rFonts w:ascii="Arial" w:eastAsia="Arial" w:hAnsi="Arial" w:cs="Arial"/>
        </w:rPr>
        <w:t xml:space="preserve">Professional expertise or experience that is relevant and proportionate to the type and complexity of the review, for example, that they have acquired the level of knowledge or expertise to fulfil the requirements of </w:t>
      </w:r>
      <w:r w:rsidRPr="00825E46">
        <w:rPr>
          <w:rFonts w:ascii="Arial" w:eastAsia="Arial" w:hAnsi="Arial" w:cs="Arial"/>
        </w:rPr>
        <w:t xml:space="preserve">the type and </w:t>
      </w:r>
      <w:r>
        <w:rPr>
          <w:rFonts w:ascii="Arial" w:eastAsia="Arial" w:hAnsi="Arial" w:cs="Arial"/>
        </w:rPr>
        <w:t>complexity of the review.</w:t>
      </w:r>
    </w:p>
    <w:p w:rsidR="00EA6214" w:rsidRDefault="00EA6214" w:rsidP="00EA6214">
      <w:pPr>
        <w:numPr>
          <w:ilvl w:val="1"/>
          <w:numId w:val="47"/>
        </w:numPr>
        <w:spacing w:line="280" w:lineRule="exact"/>
        <w:rPr>
          <w:rFonts w:ascii="Arial" w:eastAsia="Arial" w:hAnsi="Arial" w:cs="Arial"/>
        </w:rPr>
      </w:pPr>
      <w:r>
        <w:rPr>
          <w:rFonts w:ascii="Arial" w:eastAsia="Arial" w:hAnsi="Arial" w:cs="Arial"/>
        </w:rPr>
        <w:t xml:space="preserve">The necessary </w:t>
      </w:r>
      <w:r w:rsidRPr="001C1BD5">
        <w:rPr>
          <w:rFonts w:ascii="Arial" w:eastAsia="Arial" w:hAnsi="Arial" w:cs="Arial"/>
        </w:rPr>
        <w:t>knowledge of contemporary developments in the discipline or field</w:t>
      </w:r>
      <w:r>
        <w:rPr>
          <w:rFonts w:ascii="Arial" w:eastAsia="Arial" w:hAnsi="Arial" w:cs="Arial"/>
        </w:rPr>
        <w:t>, which is informed by continuing scholarship or research or advances in practice,</w:t>
      </w:r>
      <w:r w:rsidRPr="001C1BD5">
        <w:rPr>
          <w:rFonts w:ascii="Arial" w:eastAsia="Arial" w:hAnsi="Arial" w:cs="Arial"/>
        </w:rPr>
        <w:t xml:space="preserve"> </w:t>
      </w:r>
      <w:r>
        <w:rPr>
          <w:rFonts w:ascii="Arial" w:eastAsia="Arial" w:hAnsi="Arial" w:cs="Arial"/>
        </w:rPr>
        <w:t xml:space="preserve">and the currency of qualifications and experience. </w:t>
      </w:r>
    </w:p>
    <w:p w:rsidR="00EA6214" w:rsidRPr="00825E46" w:rsidRDefault="00EA6214" w:rsidP="00EA6214">
      <w:pPr>
        <w:numPr>
          <w:ilvl w:val="0"/>
          <w:numId w:val="45"/>
        </w:numPr>
        <w:spacing w:line="280" w:lineRule="exact"/>
        <w:rPr>
          <w:rFonts w:ascii="Arial" w:eastAsia="Arial" w:hAnsi="Arial" w:cs="Arial"/>
        </w:rPr>
      </w:pPr>
      <w:r w:rsidRPr="00825E46">
        <w:rPr>
          <w:rFonts w:ascii="Arial" w:eastAsia="Arial" w:hAnsi="Arial" w:cs="Arial"/>
        </w:rPr>
        <w:t xml:space="preserve">The </w:t>
      </w:r>
      <w:r>
        <w:rPr>
          <w:rFonts w:ascii="Arial" w:eastAsia="Arial" w:hAnsi="Arial" w:cs="Arial"/>
        </w:rPr>
        <w:t>expertise an expert is required to possess may include the ability to:</w:t>
      </w:r>
    </w:p>
    <w:p w:rsidR="00EA6214" w:rsidRDefault="00EA6214" w:rsidP="003775B2">
      <w:pPr>
        <w:numPr>
          <w:ilvl w:val="2"/>
          <w:numId w:val="47"/>
        </w:numPr>
        <w:spacing w:line="280" w:lineRule="exact"/>
        <w:ind w:left="1418" w:hanging="142"/>
        <w:rPr>
          <w:rFonts w:ascii="Arial" w:eastAsia="Arial" w:hAnsi="Arial" w:cs="Arial"/>
        </w:rPr>
      </w:pPr>
      <w:r>
        <w:rPr>
          <w:rFonts w:ascii="Arial" w:eastAsia="Arial" w:hAnsi="Arial" w:cs="Arial"/>
        </w:rPr>
        <w:t>address institutional management and institutional quality assurance</w:t>
      </w:r>
      <w:r w:rsidRPr="001C1BD5">
        <w:rPr>
          <w:rFonts w:ascii="Arial" w:eastAsia="Arial" w:hAnsi="Arial" w:cs="Arial"/>
        </w:rPr>
        <w:t xml:space="preserve"> </w:t>
      </w:r>
      <w:r>
        <w:rPr>
          <w:rFonts w:ascii="Arial" w:eastAsia="Arial" w:hAnsi="Arial" w:cs="Arial"/>
        </w:rPr>
        <w:t>(for a governance review)</w:t>
      </w:r>
    </w:p>
    <w:p w:rsidR="00EA6214" w:rsidRDefault="00EA6214" w:rsidP="003775B2">
      <w:pPr>
        <w:numPr>
          <w:ilvl w:val="2"/>
          <w:numId w:val="47"/>
        </w:numPr>
        <w:spacing w:line="280" w:lineRule="exact"/>
        <w:ind w:left="1418" w:hanging="142"/>
        <w:rPr>
          <w:rFonts w:ascii="Arial" w:eastAsia="Arial" w:hAnsi="Arial" w:cs="Arial"/>
        </w:rPr>
      </w:pPr>
      <w:r>
        <w:rPr>
          <w:rFonts w:ascii="Arial" w:eastAsia="Arial" w:hAnsi="Arial" w:cs="Arial"/>
        </w:rPr>
        <w:t>address the development or application of learning outcomes; and the application of the Australian Qualifications Framework (AQF) (for a course review)</w:t>
      </w:r>
    </w:p>
    <w:p w:rsidR="00EA6214" w:rsidRPr="00825E46" w:rsidRDefault="00EA6214" w:rsidP="003775B2">
      <w:pPr>
        <w:numPr>
          <w:ilvl w:val="2"/>
          <w:numId w:val="47"/>
        </w:numPr>
        <w:spacing w:line="280" w:lineRule="exact"/>
        <w:ind w:left="1418" w:hanging="142"/>
        <w:rPr>
          <w:rFonts w:ascii="Arial" w:eastAsia="Arial" w:hAnsi="Arial" w:cs="Arial"/>
        </w:rPr>
      </w:pPr>
      <w:r>
        <w:rPr>
          <w:rFonts w:ascii="Arial" w:eastAsia="Arial" w:hAnsi="Arial" w:cs="Arial"/>
        </w:rPr>
        <w:t>apply specialist knowledge (eg for ESOS/ELICOS or other specialised reviews).</w:t>
      </w:r>
    </w:p>
    <w:p w:rsidR="00EA6214" w:rsidRPr="00BA0FA3" w:rsidRDefault="00EA6214" w:rsidP="00EA6214">
      <w:pPr>
        <w:pStyle w:val="Heading2"/>
        <w:rPr>
          <w:rFonts w:eastAsia="Arial"/>
          <w:b/>
          <w:color w:val="000000"/>
        </w:rPr>
      </w:pPr>
      <w:r>
        <w:rPr>
          <w:rFonts w:eastAsia="Arial"/>
        </w:rPr>
        <w:t xml:space="preserve">Factors relating to </w:t>
      </w:r>
      <w:r>
        <w:rPr>
          <w:rFonts w:eastAsia="Arial"/>
          <w:b/>
        </w:rPr>
        <w:t>independence</w:t>
      </w:r>
    </w:p>
    <w:p w:rsidR="00EA6214" w:rsidRDefault="00EA6214" w:rsidP="00EA6214">
      <w:pPr>
        <w:pStyle w:val="ListParagraph"/>
        <w:numPr>
          <w:ilvl w:val="0"/>
          <w:numId w:val="45"/>
        </w:numPr>
        <w:spacing w:before="40" w:line="280" w:lineRule="exact"/>
        <w:rPr>
          <w:rFonts w:ascii="Arial" w:eastAsia="Arial" w:hAnsi="Arial" w:cs="Arial"/>
        </w:rPr>
      </w:pPr>
      <w:r w:rsidRPr="001D4207">
        <w:rPr>
          <w:rFonts w:ascii="Arial" w:eastAsia="Arial" w:hAnsi="Arial" w:cs="Arial"/>
        </w:rPr>
        <w:t>An independent expert in this context is a person who is independent from the provider and does not have (or intend to have) any material or significant dealings with the provider (or an associated entity) that could interfere with the exercise of independent judgement.</w:t>
      </w:r>
      <w:r>
        <w:rPr>
          <w:rFonts w:ascii="Arial" w:eastAsia="Arial" w:hAnsi="Arial" w:cs="Arial"/>
        </w:rPr>
        <w:t xml:space="preserve">  </w:t>
      </w:r>
    </w:p>
    <w:p w:rsidR="00EA6214" w:rsidRDefault="00EA6214" w:rsidP="00EA6214">
      <w:pPr>
        <w:pStyle w:val="ListParagraph"/>
        <w:numPr>
          <w:ilvl w:val="0"/>
          <w:numId w:val="45"/>
        </w:numPr>
        <w:spacing w:before="40" w:line="280" w:lineRule="exact"/>
        <w:rPr>
          <w:rFonts w:ascii="Arial" w:eastAsia="Arial" w:hAnsi="Arial" w:cs="Arial"/>
        </w:rPr>
      </w:pPr>
      <w:r>
        <w:rPr>
          <w:rFonts w:ascii="Arial" w:eastAsia="Arial" w:hAnsi="Arial" w:cs="Arial"/>
        </w:rPr>
        <w:lastRenderedPageBreak/>
        <w:t>There may be particular doubts about a person’s independence to provide independent expert advice if that person:</w:t>
      </w:r>
    </w:p>
    <w:p w:rsidR="00EA6214" w:rsidRDefault="00EA6214" w:rsidP="00EA6214">
      <w:pPr>
        <w:pStyle w:val="ListParagraph"/>
        <w:numPr>
          <w:ilvl w:val="1"/>
          <w:numId w:val="45"/>
        </w:numPr>
        <w:spacing w:before="40" w:after="120" w:line="280" w:lineRule="exact"/>
        <w:rPr>
          <w:rFonts w:ascii="Arial" w:eastAsia="Arial" w:hAnsi="Arial" w:cs="Arial"/>
        </w:rPr>
      </w:pPr>
      <w:r w:rsidRPr="0073642E">
        <w:rPr>
          <w:rFonts w:ascii="Arial" w:eastAsia="Arial" w:hAnsi="Arial" w:cs="Arial"/>
        </w:rPr>
        <w:t>has had an employment relationship with the provider within the last three years (other than in the course of engagement as an independent expert and related matters)</w:t>
      </w:r>
    </w:p>
    <w:p w:rsidR="00EA6214" w:rsidRPr="0073642E" w:rsidRDefault="00EA6214" w:rsidP="00EA6214">
      <w:pPr>
        <w:pStyle w:val="ListParagraph"/>
        <w:numPr>
          <w:ilvl w:val="1"/>
          <w:numId w:val="45"/>
        </w:numPr>
        <w:spacing w:before="40" w:after="120" w:line="280" w:lineRule="exact"/>
        <w:rPr>
          <w:rFonts w:ascii="Arial" w:eastAsia="Arial" w:hAnsi="Arial" w:cs="Arial"/>
        </w:rPr>
      </w:pPr>
      <w:r w:rsidRPr="0073642E">
        <w:rPr>
          <w:rFonts w:ascii="Arial" w:eastAsia="Arial" w:hAnsi="Arial" w:cs="Arial"/>
        </w:rPr>
        <w:t>has had a business relationship or other material contractual relationship with the provider within the last three years (other than in the course of engagement as an independent expert)</w:t>
      </w:r>
    </w:p>
    <w:p w:rsidR="00EA6214" w:rsidRPr="0073642E" w:rsidRDefault="00EA6214" w:rsidP="00EA6214">
      <w:pPr>
        <w:pStyle w:val="ListParagraph"/>
        <w:numPr>
          <w:ilvl w:val="1"/>
          <w:numId w:val="45"/>
        </w:numPr>
        <w:spacing w:before="40" w:line="280" w:lineRule="exact"/>
        <w:rPr>
          <w:rFonts w:ascii="Arial" w:eastAsia="Arial" w:hAnsi="Arial" w:cs="Arial"/>
        </w:rPr>
      </w:pPr>
      <w:r>
        <w:rPr>
          <w:rFonts w:ascii="Arial" w:eastAsia="Arial" w:hAnsi="Arial" w:cs="Arial"/>
        </w:rPr>
        <w:t>has</w:t>
      </w:r>
      <w:r w:rsidRPr="0073642E">
        <w:rPr>
          <w:rFonts w:ascii="Arial" w:eastAsia="Arial" w:hAnsi="Arial" w:cs="Arial"/>
        </w:rPr>
        <w:t xml:space="preserve"> a direct or indirect material financial interest with the provider</w:t>
      </w:r>
    </w:p>
    <w:p w:rsidR="00EA6214" w:rsidRPr="0073642E" w:rsidRDefault="00EA6214" w:rsidP="00EA6214">
      <w:pPr>
        <w:pStyle w:val="ListParagraph"/>
        <w:numPr>
          <w:ilvl w:val="1"/>
          <w:numId w:val="45"/>
        </w:numPr>
        <w:spacing w:before="40" w:line="280" w:lineRule="exact"/>
        <w:rPr>
          <w:rFonts w:ascii="Arial" w:eastAsia="Arial" w:hAnsi="Arial" w:cs="Arial"/>
        </w:rPr>
      </w:pPr>
      <w:r w:rsidRPr="0073642E">
        <w:rPr>
          <w:rFonts w:ascii="Arial" w:eastAsia="Arial" w:hAnsi="Arial" w:cs="Arial"/>
        </w:rPr>
        <w:t xml:space="preserve">is involved in the day-to-day management functions of the provider and </w:t>
      </w:r>
      <w:r>
        <w:rPr>
          <w:rFonts w:ascii="Arial" w:eastAsia="Arial" w:hAnsi="Arial" w:cs="Arial"/>
        </w:rPr>
        <w:t>or is</w:t>
      </w:r>
      <w:r w:rsidRPr="0073642E">
        <w:rPr>
          <w:rFonts w:ascii="Arial" w:eastAsia="Arial" w:hAnsi="Arial" w:cs="Arial"/>
        </w:rPr>
        <w:t xml:space="preserve"> allied with the interests of management</w:t>
      </w:r>
    </w:p>
    <w:p w:rsidR="00EA6214" w:rsidRPr="0073642E" w:rsidRDefault="00EA6214" w:rsidP="00EA6214">
      <w:pPr>
        <w:pStyle w:val="ListParagraph"/>
        <w:numPr>
          <w:ilvl w:val="1"/>
          <w:numId w:val="45"/>
        </w:numPr>
        <w:spacing w:before="40" w:line="280" w:lineRule="exact"/>
        <w:rPr>
          <w:rFonts w:ascii="Arial" w:eastAsia="Arial" w:hAnsi="Arial" w:cs="Arial"/>
        </w:rPr>
      </w:pPr>
      <w:r w:rsidRPr="0073642E">
        <w:rPr>
          <w:rFonts w:ascii="Arial" w:eastAsia="Arial" w:hAnsi="Arial" w:cs="Arial"/>
        </w:rPr>
        <w:t xml:space="preserve">is </w:t>
      </w:r>
      <w:r>
        <w:rPr>
          <w:rFonts w:ascii="Arial" w:eastAsia="Arial" w:hAnsi="Arial" w:cs="Arial"/>
        </w:rPr>
        <w:t xml:space="preserve">not </w:t>
      </w:r>
      <w:r w:rsidRPr="0073642E">
        <w:rPr>
          <w:rFonts w:ascii="Arial" w:eastAsia="Arial" w:hAnsi="Arial" w:cs="Arial"/>
        </w:rPr>
        <w:t>sufficiently impartial and disconnected from provider’s operations, such that they are in position to hold management to account and act in the organisation’s best interests</w:t>
      </w:r>
    </w:p>
    <w:p w:rsidR="00EA6214" w:rsidRPr="0073642E" w:rsidRDefault="00EA6214" w:rsidP="00EA6214">
      <w:pPr>
        <w:pStyle w:val="ListParagraph"/>
        <w:numPr>
          <w:ilvl w:val="1"/>
          <w:numId w:val="45"/>
        </w:numPr>
        <w:spacing w:before="40" w:line="280" w:lineRule="exact"/>
        <w:rPr>
          <w:rFonts w:ascii="Arial" w:eastAsia="Arial" w:hAnsi="Arial" w:cs="Arial"/>
        </w:rPr>
      </w:pPr>
      <w:r>
        <w:rPr>
          <w:rFonts w:ascii="Arial" w:eastAsia="Arial" w:hAnsi="Arial" w:cs="Arial"/>
        </w:rPr>
        <w:t>has</w:t>
      </w:r>
      <w:r w:rsidRPr="0073642E">
        <w:rPr>
          <w:rFonts w:ascii="Arial" w:eastAsia="Arial" w:hAnsi="Arial" w:cs="Arial"/>
        </w:rPr>
        <w:t xml:space="preserve"> a material personal interest (i.e. stand</w:t>
      </w:r>
      <w:r>
        <w:rPr>
          <w:rFonts w:ascii="Arial" w:eastAsia="Arial" w:hAnsi="Arial" w:cs="Arial"/>
        </w:rPr>
        <w:t>s</w:t>
      </w:r>
      <w:r w:rsidRPr="0073642E">
        <w:rPr>
          <w:rFonts w:ascii="Arial" w:eastAsia="Arial" w:hAnsi="Arial" w:cs="Arial"/>
        </w:rPr>
        <w:t xml:space="preserve"> to gain, benefit or suffer a loss) in the outcome of </w:t>
      </w:r>
      <w:r>
        <w:rPr>
          <w:rFonts w:ascii="Arial" w:eastAsia="Arial" w:hAnsi="Arial" w:cs="Arial"/>
        </w:rPr>
        <w:t>a review</w:t>
      </w:r>
    </w:p>
    <w:p w:rsidR="00EA6214" w:rsidRPr="0073642E" w:rsidRDefault="00EA6214" w:rsidP="00EA6214">
      <w:pPr>
        <w:pStyle w:val="ListParagraph"/>
        <w:numPr>
          <w:ilvl w:val="1"/>
          <w:numId w:val="45"/>
        </w:numPr>
        <w:spacing w:before="40" w:line="280" w:lineRule="exact"/>
        <w:rPr>
          <w:rFonts w:ascii="Arial" w:eastAsia="Arial" w:hAnsi="Arial" w:cs="Arial"/>
        </w:rPr>
      </w:pPr>
      <w:r>
        <w:rPr>
          <w:rFonts w:ascii="Arial" w:eastAsia="Arial" w:hAnsi="Arial" w:cs="Arial"/>
        </w:rPr>
        <w:t>has an</w:t>
      </w:r>
      <w:r w:rsidRPr="0073642E">
        <w:rPr>
          <w:rFonts w:ascii="Arial" w:eastAsia="Arial" w:hAnsi="Arial" w:cs="Arial"/>
        </w:rPr>
        <w:t xml:space="preserve"> interest, position, association or relationship that might influence, or reasonably be perceived to influence, their capacity to exercise independent judgement</w:t>
      </w:r>
      <w:r>
        <w:rPr>
          <w:rFonts w:ascii="Arial" w:eastAsia="Arial" w:hAnsi="Arial" w:cs="Arial"/>
        </w:rPr>
        <w:t>.</w:t>
      </w:r>
    </w:p>
    <w:p w:rsidR="006C328D" w:rsidRPr="00EA6214" w:rsidRDefault="006C328D" w:rsidP="00EA6214"/>
    <w:sectPr w:rsidR="006C328D" w:rsidRPr="00EA6214" w:rsidSect="00FF2540">
      <w:headerReference w:type="default"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0E" w:rsidRDefault="00FB030E" w:rsidP="006C328D">
      <w:pPr>
        <w:spacing w:before="0" w:after="0"/>
      </w:pPr>
      <w:r>
        <w:separator/>
      </w:r>
    </w:p>
  </w:endnote>
  <w:endnote w:type="continuationSeparator" w:id="0">
    <w:p w:rsidR="00FB030E" w:rsidRDefault="00FB030E"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9B76F9">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9B76F9">
              <w:rPr>
                <w:b/>
                <w:bCs/>
                <w:noProof/>
                <w:color w:val="00847E" w:themeColor="accent1"/>
                <w:sz w:val="20"/>
                <w:szCs w:val="20"/>
              </w:rPr>
              <w:t>3</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0E" w:rsidRDefault="00FB030E" w:rsidP="006C328D">
      <w:pPr>
        <w:spacing w:before="0" w:after="0"/>
      </w:pPr>
      <w:r>
        <w:separator/>
      </w:r>
    </w:p>
  </w:footnote>
  <w:footnote w:type="continuationSeparator" w:id="0">
    <w:p w:rsidR="00FB030E" w:rsidRDefault="00FB030E"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1E6F4F6A"/>
    <w:multiLevelType w:val="hybridMultilevel"/>
    <w:tmpl w:val="A2C27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245FA9"/>
    <w:multiLevelType w:val="hybridMultilevel"/>
    <w:tmpl w:val="A3C2EA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6031F"/>
    <w:multiLevelType w:val="hybridMultilevel"/>
    <w:tmpl w:val="E17278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2"/>
  </w:num>
  <w:num w:numId="3">
    <w:abstractNumId w:val="12"/>
  </w:num>
  <w:num w:numId="4">
    <w:abstractNumId w:val="6"/>
  </w:num>
  <w:num w:numId="5">
    <w:abstractNumId w:val="6"/>
  </w:num>
  <w:num w:numId="6">
    <w:abstractNumId w:val="6"/>
  </w:num>
  <w:num w:numId="7">
    <w:abstractNumId w:val="1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8"/>
  </w:num>
  <w:num w:numId="16">
    <w:abstractNumId w:val="8"/>
  </w:num>
  <w:num w:numId="17">
    <w:abstractNumId w:val="8"/>
  </w:num>
  <w:num w:numId="18">
    <w:abstractNumId w:val="3"/>
  </w:num>
  <w:num w:numId="19">
    <w:abstractNumId w:val="4"/>
  </w:num>
  <w:num w:numId="20">
    <w:abstractNumId w:val="5"/>
  </w:num>
  <w:num w:numId="21">
    <w:abstractNumId w:val="9"/>
  </w:num>
  <w:num w:numId="22">
    <w:abstractNumId w:val="7"/>
  </w:num>
  <w:num w:numId="23">
    <w:abstractNumId w:val="13"/>
  </w:num>
  <w:num w:numId="24">
    <w:abstractNumId w:val="12"/>
  </w:num>
  <w:num w:numId="25">
    <w:abstractNumId w:val="12"/>
  </w:num>
  <w:num w:numId="26">
    <w:abstractNumId w:val="6"/>
  </w:num>
  <w:num w:numId="27">
    <w:abstractNumId w:val="6"/>
  </w:num>
  <w:num w:numId="28">
    <w:abstractNumId w:val="6"/>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8"/>
  </w:num>
  <w:num w:numId="38">
    <w:abstractNumId w:val="8"/>
  </w:num>
  <w:num w:numId="39">
    <w:abstractNumId w:val="8"/>
  </w:num>
  <w:num w:numId="40">
    <w:abstractNumId w:val="3"/>
  </w:num>
  <w:num w:numId="41">
    <w:abstractNumId w:val="4"/>
  </w:num>
  <w:num w:numId="42">
    <w:abstractNumId w:val="5"/>
  </w:num>
  <w:num w:numId="43">
    <w:abstractNumId w:val="9"/>
  </w:num>
  <w:num w:numId="44">
    <w:abstractNumId w:val="7"/>
  </w:num>
  <w:num w:numId="45">
    <w:abstractNumId w:val="1"/>
  </w:num>
  <w:num w:numId="46">
    <w:abstractNumId w:val="0"/>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1F39F5"/>
    <w:rsid w:val="003775B2"/>
    <w:rsid w:val="005B458E"/>
    <w:rsid w:val="006C328D"/>
    <w:rsid w:val="007B01C8"/>
    <w:rsid w:val="007F78F7"/>
    <w:rsid w:val="009B769E"/>
    <w:rsid w:val="009B76F9"/>
    <w:rsid w:val="00E37624"/>
    <w:rsid w:val="00EA6214"/>
    <w:rsid w:val="00FB030E"/>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4A9B1"/>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uiPriority w:val="34"/>
    <w:qFormat/>
    <w:rsid w:val="00EA6214"/>
    <w:pPr>
      <w:spacing w:before="0" w:after="160" w:line="259"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f55a2ed4389341d32acb331af84d0ab6">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f9ac3ea711852bfc34dd7778e52d034d"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Mental Health"/>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RUOK"/>
                    <xsd:enumeration value="Secretariat"/>
                    <xsd:enumeration value="Security"/>
                    <xsd:enumeration value="SMT"/>
                    <xsd:enumeration value="Social club"/>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C1DD98FE-AD60-4EDC-9CE1-C267CB1A2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979ab06a-6535-4638-b59f-980faa50cb4b"/>
    <ds:schemaRef ds:uri="28b94040-26a8-469a-8038-0c82e6a14f1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Experts engaged by providers</dc:title>
  <dc:creator>May, Raphael</dc:creator>
  <cp:lastModifiedBy>Hewitt-McManus, Tom</cp:lastModifiedBy>
  <cp:revision>4</cp:revision>
  <dcterms:created xsi:type="dcterms:W3CDTF">2020-09-11T01:46:00Z</dcterms:created>
  <dcterms:modified xsi:type="dcterms:W3CDTF">2020-09-11T01:49:00Z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