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9467" w14:textId="77777777" w:rsidR="00BD3792" w:rsidRDefault="00BD3792" w:rsidP="00BD3792">
      <w:pPr>
        <w:pStyle w:val="Heading1"/>
        <w:rPr>
          <w:i/>
          <w:color w:val="00A398"/>
        </w:rPr>
      </w:pPr>
      <w:r w:rsidRPr="00BD3792">
        <w:rPr>
          <w:color w:val="00A398"/>
        </w:rPr>
        <w:t xml:space="preserve">Guidance Note: </w:t>
      </w:r>
      <w:r w:rsidRPr="00BD3792">
        <w:rPr>
          <w:i/>
          <w:color w:val="00A398"/>
        </w:rPr>
        <w:t>Varying a Period of Registration or Accreditation</w:t>
      </w:r>
    </w:p>
    <w:p w14:paraId="09322503" w14:textId="3E1F2172" w:rsidR="0036379C" w:rsidRDefault="00DE14A7" w:rsidP="0036379C">
      <w:pPr>
        <w:rPr>
          <w:rStyle w:val="SubtleEmphasis"/>
        </w:rPr>
      </w:pPr>
      <w:r>
        <w:rPr>
          <w:rStyle w:val="SubtleEmphasis"/>
        </w:rPr>
        <w:t>V</w:t>
      </w:r>
      <w:r w:rsidR="00495A06" w:rsidRPr="0036379C">
        <w:rPr>
          <w:rStyle w:val="SubtleEmphasis"/>
        </w:rPr>
        <w:t xml:space="preserve">ersion </w:t>
      </w:r>
      <w:r w:rsidR="0036379C" w:rsidRPr="0036379C">
        <w:rPr>
          <w:rStyle w:val="SubtleEmphasis"/>
        </w:rPr>
        <w:t>1.</w:t>
      </w:r>
      <w:r>
        <w:rPr>
          <w:rStyle w:val="SubtleEmphasis"/>
        </w:rPr>
        <w:t>1</w:t>
      </w:r>
      <w:r w:rsidRPr="0036379C">
        <w:rPr>
          <w:rStyle w:val="SubtleEmphasis"/>
        </w:rPr>
        <w:t xml:space="preserve"> </w:t>
      </w:r>
      <w:r w:rsidR="0036379C" w:rsidRPr="0036379C">
        <w:rPr>
          <w:rStyle w:val="SubtleEmphasis"/>
        </w:rPr>
        <w:t>(</w:t>
      </w:r>
      <w:r w:rsidR="0004530F">
        <w:rPr>
          <w:rStyle w:val="SubtleEmphasis"/>
        </w:rPr>
        <w:t>26 August</w:t>
      </w:r>
      <w:r>
        <w:rPr>
          <w:rStyle w:val="SubtleEmphasis"/>
        </w:rPr>
        <w:t xml:space="preserve"> 2019</w:t>
      </w:r>
      <w:r w:rsidR="0036379C" w:rsidRPr="0036379C">
        <w:rPr>
          <w:rStyle w:val="SubtleEmphasis"/>
        </w:rPr>
        <w:t>)</w:t>
      </w:r>
    </w:p>
    <w:p w14:paraId="4B52D746" w14:textId="695E4188" w:rsidR="00FF7EC3" w:rsidRPr="00FF7EC3" w:rsidRDefault="00FF7EC3" w:rsidP="0036379C">
      <w:pPr>
        <w:rPr>
          <w:rStyle w:val="SubtleEmphasis"/>
          <w:color w:val="000000" w:themeColor="text1"/>
        </w:rPr>
      </w:pPr>
      <w:r w:rsidRPr="00FF7EC3">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63C2A5A6" w14:textId="77777777" w:rsidR="00BD3792" w:rsidRDefault="00BD3792" w:rsidP="00BD3792">
      <w:pPr>
        <w:pStyle w:val="Heading2"/>
      </w:pPr>
      <w:r>
        <w:t xml:space="preserve">When would TEQSA vary a registration or </w:t>
      </w:r>
      <w:proofErr w:type="gramStart"/>
      <w:r>
        <w:t>accreditation</w:t>
      </w:r>
      <w:proofErr w:type="gramEnd"/>
      <w:r>
        <w:t xml:space="preserve"> period? </w:t>
      </w:r>
    </w:p>
    <w:p w14:paraId="3D59CF09" w14:textId="77777777" w:rsidR="00BD3792" w:rsidRDefault="00BD3792" w:rsidP="00BD3792">
      <w:r>
        <w:t xml:space="preserve">This guidance note covers the processes of TEQSA either shortening or cancelling a higher </w:t>
      </w:r>
      <w:proofErr w:type="gramStart"/>
      <w:r>
        <w:t>education</w:t>
      </w:r>
      <w:proofErr w:type="gramEnd"/>
      <w:r>
        <w:t xml:space="preserve"> provider’s period of registration or accreditation of </w:t>
      </w:r>
      <w:r w:rsidRPr="00CB400E">
        <w:rPr>
          <w:rFonts w:cs="Arial"/>
        </w:rPr>
        <w:t>course(s) of study</w:t>
      </w:r>
      <w:r>
        <w:rPr>
          <w:rFonts w:cs="Arial"/>
        </w:rPr>
        <w:t xml:space="preserve"> </w:t>
      </w:r>
      <w:r>
        <w:t>because a provider has:</w:t>
      </w:r>
    </w:p>
    <w:p w14:paraId="39685E2B" w14:textId="77777777" w:rsidR="00BD3792" w:rsidRPr="0057764D" w:rsidRDefault="00BD3792" w:rsidP="00BD3792">
      <w:pPr>
        <w:pStyle w:val="ListParagraph"/>
        <w:numPr>
          <w:ilvl w:val="0"/>
          <w:numId w:val="12"/>
        </w:numPr>
        <w:contextualSpacing w:val="0"/>
        <w:rPr>
          <w:rFonts w:cs="Arial"/>
        </w:rPr>
      </w:pPr>
      <w:r w:rsidRPr="00CB400E">
        <w:rPr>
          <w:rFonts w:cs="Arial"/>
        </w:rPr>
        <w:t xml:space="preserve">failed to meet the requirements of the </w:t>
      </w:r>
      <w:r w:rsidRPr="0057764D">
        <w:rPr>
          <w:rFonts w:cs="Arial"/>
          <w:i/>
        </w:rPr>
        <w:t>Higher Education Standards Framework (Threshold Standards) 2015</w:t>
      </w:r>
      <w:r w:rsidRPr="00CB400E">
        <w:rPr>
          <w:rFonts w:cs="Arial"/>
        </w:rPr>
        <w:t xml:space="preserve"> (HES Framework) in relation to its registration </w:t>
      </w:r>
      <w:r>
        <w:rPr>
          <w:rFonts w:cs="Arial"/>
        </w:rPr>
        <w:t>or</w:t>
      </w:r>
      <w:r w:rsidRPr="00CB400E">
        <w:rPr>
          <w:rFonts w:cs="Arial"/>
        </w:rPr>
        <w:t xml:space="preserve"> accreditation of a course, </w:t>
      </w:r>
      <w:r>
        <w:rPr>
          <w:rFonts w:cs="Arial"/>
        </w:rPr>
        <w:t>or</w:t>
      </w:r>
    </w:p>
    <w:p w14:paraId="73F15F8D" w14:textId="77777777" w:rsidR="00BD3792" w:rsidRPr="0057764D" w:rsidRDefault="00BD3792" w:rsidP="00BD3792">
      <w:pPr>
        <w:pStyle w:val="ListParagraph"/>
        <w:numPr>
          <w:ilvl w:val="0"/>
          <w:numId w:val="12"/>
        </w:numPr>
        <w:contextualSpacing w:val="0"/>
        <w:rPr>
          <w:rFonts w:cs="Arial"/>
        </w:rPr>
      </w:pPr>
      <w:proofErr w:type="gramStart"/>
      <w:r w:rsidRPr="0057764D">
        <w:rPr>
          <w:rFonts w:cs="Arial"/>
        </w:rPr>
        <w:t>breached</w:t>
      </w:r>
      <w:proofErr w:type="gramEnd"/>
      <w:r w:rsidRPr="0057764D">
        <w:rPr>
          <w:rFonts w:cs="Arial"/>
        </w:rPr>
        <w:t xml:space="preserve"> a condition imposed on its registration </w:t>
      </w:r>
      <w:r>
        <w:rPr>
          <w:rFonts w:cs="Arial"/>
        </w:rPr>
        <w:t>or</w:t>
      </w:r>
      <w:r w:rsidRPr="0057764D">
        <w:rPr>
          <w:rFonts w:cs="Arial"/>
        </w:rPr>
        <w:t xml:space="preserve"> accreditation. </w:t>
      </w:r>
    </w:p>
    <w:p w14:paraId="41125012" w14:textId="1C63BBF6" w:rsidR="00DA10CC" w:rsidRDefault="00BD3792" w:rsidP="00BD3792">
      <w:r w:rsidRPr="00282188">
        <w:t>At its discretion</w:t>
      </w:r>
      <w:r>
        <w:t>,</w:t>
      </w:r>
      <w:r w:rsidRPr="00282188">
        <w:t xml:space="preserve"> TEQSA may also vary periods of registration or accreditation for other purposes by mutual agreement with a provider, such as for the purposes of aligning regulatory requirements and </w:t>
      </w:r>
      <w:r>
        <w:t>minimising</w:t>
      </w:r>
      <w:r w:rsidRPr="00282188">
        <w:t xml:space="preserve"> regulatory impact</w:t>
      </w:r>
      <w:r>
        <w:t xml:space="preserve"> on providers</w:t>
      </w:r>
      <w:r w:rsidRPr="00282188">
        <w:t xml:space="preserve">. </w:t>
      </w:r>
      <w:r>
        <w:t xml:space="preserve">This could include granting an extension under either section 37A or section 57A of the </w:t>
      </w:r>
      <w:r w:rsidRPr="008131D8">
        <w:rPr>
          <w:rFonts w:cs="Arial"/>
          <w:i/>
        </w:rPr>
        <w:t>Tertiary Education Quality and Standards Agency Act 2011</w:t>
      </w:r>
      <w:r w:rsidRPr="0057764D">
        <w:rPr>
          <w:rFonts w:cs="Arial"/>
        </w:rPr>
        <w:t xml:space="preserve"> (TEQSA Act)</w:t>
      </w:r>
      <w:r>
        <w:t>.</w:t>
      </w:r>
      <w:r w:rsidR="00DA10CC">
        <w:t xml:space="preserve"> These circumstances are subject to a separate policy (the </w:t>
      </w:r>
      <w:r w:rsidR="00DA10CC" w:rsidRPr="0004530F">
        <w:rPr>
          <w:i/>
        </w:rPr>
        <w:t>Extensions to the period of provider registration or course accreditation policy</w:t>
      </w:r>
      <w:r w:rsidR="00DA10CC">
        <w:t>) and are not the subject of the remainder of this note</w:t>
      </w:r>
    </w:p>
    <w:p w14:paraId="0DEB8C74" w14:textId="2628E6F8" w:rsidR="00BD3792" w:rsidRPr="00282188" w:rsidRDefault="00DA10CC" w:rsidP="00BD3792">
      <w:r w:rsidRPr="00DA10CC">
        <w:t xml:space="preserve"> </w:t>
      </w:r>
    </w:p>
    <w:p w14:paraId="2077E4BB" w14:textId="77777777" w:rsidR="00BD3792" w:rsidRDefault="00BD3792" w:rsidP="00BD3792">
      <w:pPr>
        <w:pStyle w:val="Heading2"/>
      </w:pPr>
      <w:r w:rsidRPr="004A4935">
        <w:t xml:space="preserve">Relevant </w:t>
      </w:r>
      <w:r>
        <w:t>legislation</w:t>
      </w:r>
    </w:p>
    <w:p w14:paraId="328EA251" w14:textId="77777777" w:rsidR="00BD3792" w:rsidRPr="0057764D" w:rsidRDefault="00BD3792" w:rsidP="00BD3792">
      <w:pPr>
        <w:rPr>
          <w:rFonts w:cs="Arial"/>
        </w:rPr>
      </w:pPr>
      <w:r w:rsidRPr="0057764D">
        <w:rPr>
          <w:rFonts w:cs="Arial"/>
        </w:rPr>
        <w:t xml:space="preserve">The relevant </w:t>
      </w:r>
      <w:r>
        <w:rPr>
          <w:rFonts w:cs="Arial"/>
        </w:rPr>
        <w:t>legislative framework</w:t>
      </w:r>
      <w:r w:rsidRPr="0057764D">
        <w:rPr>
          <w:rFonts w:cs="Arial"/>
        </w:rPr>
        <w:t xml:space="preserve"> is:</w:t>
      </w:r>
      <w:r>
        <w:rPr>
          <w:rFonts w:cs="Arial"/>
        </w:rPr>
        <w:t xml:space="preserve"> </w:t>
      </w:r>
    </w:p>
    <w:p w14:paraId="24F5C2BD" w14:textId="5FC49182" w:rsidR="00BD3792" w:rsidRDefault="00BD3792" w:rsidP="00BD3792">
      <w:pPr>
        <w:pStyle w:val="ListParagraph"/>
        <w:numPr>
          <w:ilvl w:val="0"/>
          <w:numId w:val="13"/>
        </w:numPr>
        <w:contextualSpacing w:val="0"/>
        <w:rPr>
          <w:rFonts w:cs="Arial"/>
        </w:rPr>
      </w:pPr>
      <w:r w:rsidRPr="0057764D">
        <w:rPr>
          <w:rFonts w:cs="Arial"/>
        </w:rPr>
        <w:t>the TEQSA Act</w:t>
      </w:r>
      <w:r>
        <w:rPr>
          <w:rFonts w:cs="Arial"/>
        </w:rPr>
        <w:t>,</w:t>
      </w:r>
      <w:r w:rsidRPr="0057764D">
        <w:rPr>
          <w:rFonts w:cs="Arial"/>
        </w:rPr>
        <w:t xml:space="preserve"> as amended from time to time</w:t>
      </w:r>
      <w:r w:rsidR="00BD0BB7">
        <w:rPr>
          <w:rFonts w:cs="Arial"/>
        </w:rPr>
        <w:t>, and</w:t>
      </w:r>
    </w:p>
    <w:p w14:paraId="130F0B6F" w14:textId="32B420BC" w:rsidR="00BD0BB7" w:rsidRDefault="00BD0BB7" w:rsidP="00BD3792">
      <w:pPr>
        <w:pStyle w:val="ListParagraph"/>
        <w:numPr>
          <w:ilvl w:val="0"/>
          <w:numId w:val="13"/>
        </w:numPr>
        <w:contextualSpacing w:val="0"/>
        <w:rPr>
          <w:rFonts w:cs="Arial"/>
        </w:rPr>
      </w:pPr>
      <w:proofErr w:type="gramStart"/>
      <w:r>
        <w:rPr>
          <w:rFonts w:cs="Arial"/>
        </w:rPr>
        <w:t>the</w:t>
      </w:r>
      <w:proofErr w:type="gramEnd"/>
      <w:r>
        <w:rPr>
          <w:rFonts w:cs="Arial"/>
        </w:rPr>
        <w:t xml:space="preserve"> HES Framework.</w:t>
      </w:r>
    </w:p>
    <w:p w14:paraId="3485B860" w14:textId="77777777" w:rsidR="00BD3792" w:rsidRPr="004A4935" w:rsidRDefault="00BD3792" w:rsidP="00BD3792">
      <w:pPr>
        <w:pStyle w:val="Heading2"/>
      </w:pPr>
      <w:r>
        <w:lastRenderedPageBreak/>
        <w:t>Basic principles of regulation</w:t>
      </w:r>
    </w:p>
    <w:p w14:paraId="08FEFD1E" w14:textId="77777777" w:rsidR="00BD3792" w:rsidRDefault="00BD3792" w:rsidP="00BD3792">
      <w:r w:rsidRPr="00BA709B">
        <w:t>When making a decision to shorten or cancel a period of registration or course accreditation,</w:t>
      </w:r>
      <w:r>
        <w:t xml:space="preserve"> TEQSA considers the relevant evidence about a provider. In doing so, TEQSA complies with the basic regulatory principles set out in the TEQSA Act of </w:t>
      </w:r>
      <w:r>
        <w:rPr>
          <w:i/>
        </w:rPr>
        <w:t>reflecting risk, proportionate regulation,</w:t>
      </w:r>
      <w:r w:rsidRPr="000724D4">
        <w:rPr>
          <w:i/>
        </w:rPr>
        <w:t xml:space="preserve"> </w:t>
      </w:r>
      <w:r w:rsidRPr="000724D4">
        <w:t>and</w:t>
      </w:r>
      <w:r>
        <w:rPr>
          <w:i/>
        </w:rPr>
        <w:t xml:space="preserve"> regulatory n</w:t>
      </w:r>
      <w:r w:rsidRPr="000724D4">
        <w:rPr>
          <w:i/>
        </w:rPr>
        <w:t>ecessity</w:t>
      </w:r>
      <w:r>
        <w:t>.</w:t>
      </w:r>
    </w:p>
    <w:p w14:paraId="39410AE4" w14:textId="77777777" w:rsidR="00BD3792" w:rsidRDefault="00BD3792" w:rsidP="00BD3792">
      <w:pPr>
        <w:pStyle w:val="ListParagraph"/>
        <w:numPr>
          <w:ilvl w:val="0"/>
          <w:numId w:val="14"/>
        </w:numPr>
        <w:contextualSpacing w:val="0"/>
        <w:rPr>
          <w:rFonts w:cs="Arial"/>
        </w:rPr>
      </w:pPr>
      <w:r w:rsidRPr="0057764D">
        <w:rPr>
          <w:rFonts w:cs="Arial"/>
        </w:rPr>
        <w:t xml:space="preserve">Reflecting risk </w:t>
      </w:r>
    </w:p>
    <w:p w14:paraId="0F4BA000" w14:textId="1BF7CA6B" w:rsidR="00BD3792" w:rsidRDefault="00BD3792" w:rsidP="00BD3792">
      <w:pPr>
        <w:pStyle w:val="ListParagraph"/>
        <w:numPr>
          <w:ilvl w:val="1"/>
          <w:numId w:val="14"/>
        </w:numPr>
        <w:contextualSpacing w:val="0"/>
        <w:rPr>
          <w:rFonts w:cs="Arial"/>
        </w:rPr>
      </w:pPr>
      <w:r w:rsidRPr="0057764D">
        <w:rPr>
          <w:rFonts w:cs="Arial"/>
        </w:rPr>
        <w:t xml:space="preserve">TEQSA takes into account </w:t>
      </w:r>
      <w:r>
        <w:rPr>
          <w:rFonts w:cs="Arial"/>
        </w:rPr>
        <w:t>(</w:t>
      </w:r>
      <w:r w:rsidRPr="0057764D">
        <w:rPr>
          <w:rFonts w:cs="Arial"/>
        </w:rPr>
        <w:t>as applicable</w:t>
      </w:r>
      <w:r>
        <w:rPr>
          <w:rFonts w:cs="Arial"/>
        </w:rPr>
        <w:t>)</w:t>
      </w:r>
      <w:r w:rsidRPr="0057764D">
        <w:rPr>
          <w:rFonts w:cs="Arial"/>
        </w:rPr>
        <w:t xml:space="preserve"> </w:t>
      </w:r>
      <w:r w:rsidR="00993E02">
        <w:rPr>
          <w:rFonts w:cs="Arial"/>
        </w:rPr>
        <w:t xml:space="preserve">the following aspects of </w:t>
      </w:r>
      <w:r w:rsidRPr="0057764D">
        <w:rPr>
          <w:rFonts w:cs="Arial"/>
        </w:rPr>
        <w:t>the provider</w:t>
      </w:r>
      <w:r w:rsidR="00BD0BB7">
        <w:rPr>
          <w:rFonts w:cs="Arial"/>
        </w:rPr>
        <w:t>’s operations</w:t>
      </w:r>
      <w:r w:rsidR="00993E02">
        <w:rPr>
          <w:rFonts w:cs="Arial"/>
        </w:rPr>
        <w:t xml:space="preserve">, </w:t>
      </w:r>
      <w:r w:rsidR="00BD0BB7">
        <w:rPr>
          <w:rFonts w:cs="Arial"/>
        </w:rPr>
        <w:t>(</w:t>
      </w:r>
      <w:r w:rsidR="00993E02">
        <w:rPr>
          <w:rFonts w:cs="Arial"/>
        </w:rPr>
        <w:t>as well as the history of persons related to the provider</w:t>
      </w:r>
      <w:r w:rsidR="00BD0BB7">
        <w:rPr>
          <w:rFonts w:cs="Arial"/>
        </w:rPr>
        <w:t xml:space="preserve"> </w:t>
      </w:r>
      <w:r w:rsidR="002E6F44">
        <w:rPr>
          <w:rFonts w:cs="Arial"/>
        </w:rPr>
        <w:t>as applicable)</w:t>
      </w:r>
      <w:r>
        <w:rPr>
          <w:rFonts w:cs="Arial"/>
        </w:rPr>
        <w:t>:</w:t>
      </w:r>
    </w:p>
    <w:p w14:paraId="6345EB4D" w14:textId="77777777" w:rsidR="00BD3792" w:rsidRDefault="00BD3792" w:rsidP="00BD3792">
      <w:pPr>
        <w:pStyle w:val="ListParagraph"/>
        <w:numPr>
          <w:ilvl w:val="2"/>
          <w:numId w:val="14"/>
        </w:numPr>
        <w:contextualSpacing w:val="0"/>
        <w:rPr>
          <w:rFonts w:cs="Arial"/>
        </w:rPr>
      </w:pPr>
      <w:r>
        <w:rPr>
          <w:rFonts w:cs="Arial"/>
        </w:rPr>
        <w:t>s</w:t>
      </w:r>
      <w:r w:rsidRPr="0057764D">
        <w:rPr>
          <w:rFonts w:cs="Arial"/>
        </w:rPr>
        <w:t>cholarship</w:t>
      </w:r>
    </w:p>
    <w:p w14:paraId="0C60D7DF" w14:textId="77777777" w:rsidR="00BD3792" w:rsidRDefault="00BD3792" w:rsidP="00BD3792">
      <w:pPr>
        <w:pStyle w:val="ListParagraph"/>
        <w:numPr>
          <w:ilvl w:val="2"/>
          <w:numId w:val="14"/>
        </w:numPr>
        <w:contextualSpacing w:val="0"/>
        <w:rPr>
          <w:rFonts w:cs="Arial"/>
        </w:rPr>
      </w:pPr>
      <w:r w:rsidRPr="0057764D">
        <w:rPr>
          <w:rFonts w:cs="Arial"/>
        </w:rPr>
        <w:t>teaching and research</w:t>
      </w:r>
    </w:p>
    <w:p w14:paraId="7A4632E4" w14:textId="77777777" w:rsidR="00BD3792" w:rsidRDefault="00BD3792" w:rsidP="00BD3792">
      <w:pPr>
        <w:pStyle w:val="ListParagraph"/>
        <w:numPr>
          <w:ilvl w:val="2"/>
          <w:numId w:val="14"/>
        </w:numPr>
        <w:contextualSpacing w:val="0"/>
        <w:rPr>
          <w:rFonts w:cs="Arial"/>
        </w:rPr>
      </w:pPr>
      <w:r w:rsidRPr="0057764D">
        <w:rPr>
          <w:rFonts w:cs="Arial"/>
        </w:rPr>
        <w:t>internal quality assurance</w:t>
      </w:r>
    </w:p>
    <w:p w14:paraId="721B4D76" w14:textId="77777777" w:rsidR="00BD3792" w:rsidRDefault="00BD3792" w:rsidP="00BD3792">
      <w:pPr>
        <w:pStyle w:val="ListParagraph"/>
        <w:numPr>
          <w:ilvl w:val="2"/>
          <w:numId w:val="14"/>
        </w:numPr>
        <w:contextualSpacing w:val="0"/>
        <w:rPr>
          <w:rFonts w:cs="Arial"/>
        </w:rPr>
      </w:pPr>
      <w:r w:rsidRPr="0057764D">
        <w:rPr>
          <w:rFonts w:cs="Arial"/>
        </w:rPr>
        <w:t>student experiences</w:t>
      </w:r>
    </w:p>
    <w:p w14:paraId="1C7792CB" w14:textId="77777777" w:rsidR="00BD3792" w:rsidRDefault="00BD3792" w:rsidP="00BD3792">
      <w:pPr>
        <w:pStyle w:val="ListParagraph"/>
        <w:numPr>
          <w:ilvl w:val="2"/>
          <w:numId w:val="14"/>
        </w:numPr>
        <w:contextualSpacing w:val="0"/>
        <w:rPr>
          <w:rFonts w:cs="Arial"/>
        </w:rPr>
      </w:pPr>
      <w:r w:rsidRPr="0057764D">
        <w:rPr>
          <w:rFonts w:cs="Arial"/>
        </w:rPr>
        <w:t>financial status and capability</w:t>
      </w:r>
    </w:p>
    <w:p w14:paraId="32473104" w14:textId="1F59650B" w:rsidR="00BD3792" w:rsidRDefault="00BD3792" w:rsidP="00BD3792">
      <w:pPr>
        <w:pStyle w:val="ListParagraph"/>
        <w:numPr>
          <w:ilvl w:val="2"/>
          <w:numId w:val="14"/>
        </w:numPr>
        <w:contextualSpacing w:val="0"/>
        <w:rPr>
          <w:rFonts w:cs="Arial"/>
        </w:rPr>
      </w:pPr>
      <w:r w:rsidRPr="0057764D">
        <w:rPr>
          <w:rFonts w:cs="Arial"/>
        </w:rPr>
        <w:t xml:space="preserve">previous compliance with the </w:t>
      </w:r>
      <w:r>
        <w:rPr>
          <w:rFonts w:cs="Arial"/>
        </w:rPr>
        <w:t>HES Framework,</w:t>
      </w:r>
      <w:r w:rsidRPr="0057764D">
        <w:rPr>
          <w:rFonts w:cs="Arial"/>
        </w:rPr>
        <w:t xml:space="preserve"> </w:t>
      </w:r>
      <w:r w:rsidR="00993E02">
        <w:rPr>
          <w:rFonts w:cs="Arial"/>
        </w:rPr>
        <w:t xml:space="preserve">the TEQSA Act and its associated provisions </w:t>
      </w:r>
      <w:r w:rsidRPr="0057764D">
        <w:rPr>
          <w:rFonts w:cs="Arial"/>
        </w:rPr>
        <w:t>and</w:t>
      </w:r>
      <w:r w:rsidR="00993E02">
        <w:rPr>
          <w:rFonts w:cs="Arial"/>
        </w:rPr>
        <w:t xml:space="preserve"> other laws regulating education</w:t>
      </w:r>
      <w:r w:rsidRPr="0057764D">
        <w:rPr>
          <w:rFonts w:cs="Arial"/>
        </w:rPr>
        <w:t xml:space="preserve"> </w:t>
      </w:r>
    </w:p>
    <w:p w14:paraId="703033ED" w14:textId="409F3195" w:rsidR="00BD3792" w:rsidRPr="0057764D" w:rsidRDefault="00993E02" w:rsidP="00BD3792">
      <w:pPr>
        <w:pStyle w:val="ListParagraph"/>
        <w:numPr>
          <w:ilvl w:val="2"/>
          <w:numId w:val="14"/>
        </w:numPr>
        <w:contextualSpacing w:val="0"/>
        <w:rPr>
          <w:rFonts w:cs="Arial"/>
        </w:rPr>
      </w:pPr>
      <w:proofErr w:type="gramStart"/>
      <w:r>
        <w:rPr>
          <w:rFonts w:cs="Arial"/>
        </w:rPr>
        <w:t>risks</w:t>
      </w:r>
      <w:proofErr w:type="gramEnd"/>
      <w:r>
        <w:rPr>
          <w:rFonts w:cs="Arial"/>
        </w:rPr>
        <w:t xml:space="preserve"> of the provider not complying with the HES Framework and its associated provisions</w:t>
      </w:r>
      <w:r w:rsidR="00BD3792" w:rsidRPr="0057764D">
        <w:rPr>
          <w:rFonts w:cs="Arial"/>
        </w:rPr>
        <w:t xml:space="preserve">. </w:t>
      </w:r>
    </w:p>
    <w:p w14:paraId="04450443" w14:textId="77777777" w:rsidR="00BD3792" w:rsidRDefault="00BD3792" w:rsidP="00BD3792">
      <w:pPr>
        <w:pStyle w:val="ListParagraph"/>
        <w:numPr>
          <w:ilvl w:val="0"/>
          <w:numId w:val="14"/>
        </w:numPr>
        <w:contextualSpacing w:val="0"/>
        <w:rPr>
          <w:rFonts w:cs="Arial"/>
        </w:rPr>
      </w:pPr>
      <w:r w:rsidRPr="0057764D">
        <w:rPr>
          <w:rFonts w:cs="Arial"/>
        </w:rPr>
        <w:t>Proportionate regulation</w:t>
      </w:r>
    </w:p>
    <w:p w14:paraId="66C126E0" w14:textId="1560CB6A" w:rsidR="00BD3792" w:rsidRPr="0057764D" w:rsidRDefault="00BD3792" w:rsidP="00BD3792">
      <w:pPr>
        <w:pStyle w:val="ListParagraph"/>
        <w:numPr>
          <w:ilvl w:val="1"/>
          <w:numId w:val="14"/>
        </w:numPr>
        <w:contextualSpacing w:val="0"/>
        <w:rPr>
          <w:rFonts w:cs="Arial"/>
        </w:rPr>
      </w:pPr>
      <w:r w:rsidRPr="0057764D">
        <w:rPr>
          <w:rFonts w:cs="Arial"/>
        </w:rPr>
        <w:t xml:space="preserve">TEQSA considers whether shortening or cancelling a registration </w:t>
      </w:r>
      <w:r>
        <w:rPr>
          <w:rFonts w:cs="Arial"/>
        </w:rPr>
        <w:t>or</w:t>
      </w:r>
      <w:r w:rsidRPr="0057764D">
        <w:rPr>
          <w:rFonts w:cs="Arial"/>
        </w:rPr>
        <w:t xml:space="preserve"> course accreditation is proportionate to any non-compliance or risk of future non-compliance with the </w:t>
      </w:r>
      <w:r>
        <w:rPr>
          <w:rFonts w:cs="Arial"/>
        </w:rPr>
        <w:t>HES Framework</w:t>
      </w:r>
      <w:r w:rsidR="002E6F44">
        <w:rPr>
          <w:rFonts w:cs="Arial"/>
        </w:rPr>
        <w:t xml:space="preserve"> or the TEQSA Act and its associated provisions</w:t>
      </w:r>
      <w:r w:rsidRPr="0057764D">
        <w:rPr>
          <w:rFonts w:cs="Arial"/>
        </w:rPr>
        <w:t xml:space="preserve">. </w:t>
      </w:r>
    </w:p>
    <w:p w14:paraId="1AFD437B" w14:textId="77777777" w:rsidR="00BD3792" w:rsidRDefault="00BD3792" w:rsidP="00BD3792">
      <w:pPr>
        <w:pStyle w:val="ListParagraph"/>
        <w:numPr>
          <w:ilvl w:val="0"/>
          <w:numId w:val="14"/>
        </w:numPr>
        <w:contextualSpacing w:val="0"/>
        <w:rPr>
          <w:rFonts w:cs="Arial"/>
        </w:rPr>
      </w:pPr>
      <w:r w:rsidRPr="0057764D">
        <w:rPr>
          <w:rFonts w:cs="Arial"/>
        </w:rPr>
        <w:t>Regulatory necessity</w:t>
      </w:r>
    </w:p>
    <w:p w14:paraId="011292F0" w14:textId="77777777" w:rsidR="00BD3792" w:rsidRPr="0057764D" w:rsidRDefault="00BD3792" w:rsidP="00BD3792">
      <w:pPr>
        <w:pStyle w:val="ListParagraph"/>
        <w:numPr>
          <w:ilvl w:val="1"/>
          <w:numId w:val="14"/>
        </w:numPr>
        <w:contextualSpacing w:val="0"/>
        <w:rPr>
          <w:rFonts w:cs="Arial"/>
        </w:rPr>
      </w:pPr>
      <w:r w:rsidRPr="0057764D">
        <w:rPr>
          <w:rFonts w:cs="Arial"/>
        </w:rPr>
        <w:t xml:space="preserve">TEQSA considers whether shortening or cancelling a registration </w:t>
      </w:r>
      <w:r>
        <w:rPr>
          <w:rFonts w:cs="Arial"/>
        </w:rPr>
        <w:t>or</w:t>
      </w:r>
      <w:r w:rsidRPr="0057764D">
        <w:rPr>
          <w:rFonts w:cs="Arial"/>
        </w:rPr>
        <w:t xml:space="preserve"> course accreditation would burden the provider any more than necessary. </w:t>
      </w:r>
    </w:p>
    <w:p w14:paraId="409BBF14" w14:textId="77777777" w:rsidR="00BD3792" w:rsidRPr="00A71970" w:rsidRDefault="00BD3792" w:rsidP="00BD3792">
      <w:pPr>
        <w:pStyle w:val="Heading2"/>
      </w:pPr>
      <w:r>
        <w:t>Registration</w:t>
      </w:r>
    </w:p>
    <w:p w14:paraId="560EAA5E" w14:textId="66BEA824" w:rsidR="00E81226" w:rsidRDefault="00E81226" w:rsidP="0004530F">
      <w:pPr>
        <w:ind w:left="360"/>
        <w:rPr>
          <w:rFonts w:cs="Arial"/>
        </w:rPr>
      </w:pPr>
    </w:p>
    <w:p w14:paraId="1E40A5FD" w14:textId="384BFBFB" w:rsidR="00BD3792" w:rsidRPr="00E81226" w:rsidRDefault="002E6F44" w:rsidP="0004530F">
      <w:pPr>
        <w:ind w:left="360"/>
        <w:rPr>
          <w:rFonts w:cs="Arial"/>
        </w:rPr>
      </w:pPr>
      <w:r w:rsidRPr="00E81226">
        <w:t xml:space="preserve">The power to shorten or cancel registration applies in all of the circumstances listed in </w:t>
      </w:r>
      <w:proofErr w:type="gramStart"/>
      <w:r w:rsidRPr="00E81226">
        <w:t>S98(</w:t>
      </w:r>
      <w:proofErr w:type="gramEnd"/>
      <w:r w:rsidRPr="00E81226">
        <w:t>a) to (d)</w:t>
      </w:r>
      <w:r w:rsidR="00E81226">
        <w:t xml:space="preserve"> of the TEQSA Act</w:t>
      </w:r>
      <w:r w:rsidRPr="00E81226">
        <w:t xml:space="preserve">. </w:t>
      </w:r>
    </w:p>
    <w:p w14:paraId="312C9F9F" w14:textId="77777777" w:rsidR="00BD3792" w:rsidRPr="00CF2AED" w:rsidRDefault="00BD3792" w:rsidP="00BD3792">
      <w:pPr>
        <w:pStyle w:val="Heading3"/>
      </w:pPr>
      <w:r w:rsidRPr="00CF2AED">
        <w:t>Shortening registration</w:t>
      </w:r>
    </w:p>
    <w:p w14:paraId="17F45FE5" w14:textId="12AB85D6" w:rsidR="00BD3792" w:rsidRDefault="00BD3792" w:rsidP="00BD3792">
      <w:r>
        <w:t xml:space="preserve">Shortening a higher education provider’s registration involves bringing forward the date on which the registration is due to expire. In these circumstances, the provider must apply to </w:t>
      </w:r>
      <w:r>
        <w:lastRenderedPageBreak/>
        <w:t>renew its registration at an earlier time (either 180 days prior to the new date or such shorter period as TEQSA allows)</w:t>
      </w:r>
      <w:r w:rsidR="002E6F44">
        <w:t xml:space="preserve"> or stop delivering by the new date</w:t>
      </w:r>
      <w:r>
        <w:t>.</w:t>
      </w:r>
    </w:p>
    <w:p w14:paraId="150F9276" w14:textId="77777777" w:rsidR="00BD3792" w:rsidRDefault="00BD3792" w:rsidP="00BD3792">
      <w:r w:rsidRPr="00BA709B">
        <w:t>Before making a decision to shorten a period of registration, TEQSA will give the provider an opportunity to comment on the basis on which such a decision is being considered and will consider the provider’s response.</w:t>
      </w:r>
    </w:p>
    <w:p w14:paraId="11726A2C" w14:textId="77777777" w:rsidR="00BD3792" w:rsidRDefault="00BD3792" w:rsidP="00BD3792">
      <w:pPr>
        <w:pStyle w:val="Heading3"/>
      </w:pPr>
      <w:r w:rsidRPr="00CF2AED">
        <w:t>Cancelling registration</w:t>
      </w:r>
    </w:p>
    <w:p w14:paraId="6D5FE163" w14:textId="77777777" w:rsidR="00BD3792" w:rsidRPr="005672BB" w:rsidRDefault="00BD3792" w:rsidP="00BD3792">
      <w:r w:rsidRPr="005672BB">
        <w:t>Cancelling a provider’s registration means the provider cannot continue its higher education operations from the date of effect of the cancellation. Cancelling registration is the most serious administrative sanction available to TEQSA. For</w:t>
      </w:r>
      <w:r w:rsidRPr="00961836">
        <w:t xml:space="preserve"> </w:t>
      </w:r>
      <w:r w:rsidRPr="005672BB">
        <w:t>this reason, TEQSA will only decide to cancel registration where there are no effective alternative regulatory remedies available.</w:t>
      </w:r>
    </w:p>
    <w:p w14:paraId="12569724" w14:textId="77777777" w:rsidR="00BD3792" w:rsidRPr="005672BB" w:rsidRDefault="00BD3792" w:rsidP="00BD3792">
      <w:r w:rsidRPr="005672BB">
        <w:t xml:space="preserve">Before making a decision to cancel a registered higher education provider’s registration, TEQSA must give both the provider and the Minister of the relevant State or Territory responsible for higher education a written notice. The notice must state that TEQSA intends to make a decision to cancel the provider’s registration for specified reasons and it must provide a reasonable opportunity </w:t>
      </w:r>
      <w:r>
        <w:t>for the provider to respond</w:t>
      </w:r>
      <w:r w:rsidRPr="005672BB">
        <w:t xml:space="preserve"> to TEQSA in relation to the proposed decision. TEQSA must consider </w:t>
      </w:r>
      <w:r>
        <w:t>this response</w:t>
      </w:r>
      <w:r w:rsidRPr="005672BB">
        <w:t>.</w:t>
      </w:r>
    </w:p>
    <w:p w14:paraId="1EF10371" w14:textId="77777777" w:rsidR="00BD3792" w:rsidRPr="005672BB" w:rsidRDefault="00BD3792" w:rsidP="00BD3792">
      <w:r w:rsidRPr="005672BB">
        <w:t xml:space="preserve">When making a decision to cancel registration TEQSA will also consider what transitional arrangements need to be made, including </w:t>
      </w:r>
      <w:r>
        <w:t xml:space="preserve">for </w:t>
      </w:r>
      <w:r w:rsidRPr="005672BB">
        <w:t xml:space="preserve">any </w:t>
      </w:r>
      <w:r>
        <w:t xml:space="preserve">third-party </w:t>
      </w:r>
      <w:r w:rsidRPr="005672BB">
        <w:t>arrangements the provider</w:t>
      </w:r>
      <w:r>
        <w:t xml:space="preserve"> currently</w:t>
      </w:r>
      <w:r w:rsidRPr="005672BB">
        <w:t xml:space="preserve"> has in place, to ensure that students’ interests are appropriately addressed.</w:t>
      </w:r>
    </w:p>
    <w:p w14:paraId="1F1DC4D8" w14:textId="77777777" w:rsidR="00BD3792" w:rsidRPr="005672BB" w:rsidRDefault="00BD3792" w:rsidP="00BD3792">
      <w:r w:rsidRPr="005672BB">
        <w:t xml:space="preserve">Once a higher education provider’s registration has been cancelled, </w:t>
      </w:r>
      <w:r>
        <w:t>the provider</w:t>
      </w:r>
      <w:r w:rsidRPr="005672BB">
        <w:t xml:space="preserve"> is prevented from applying again for registration for a period of two years after the date the cancellation takes effect.</w:t>
      </w:r>
      <w:r>
        <w:t xml:space="preserve"> </w:t>
      </w:r>
      <w:r w:rsidRPr="005672BB">
        <w:t>TEQSA may shorten this period if it considers it appropriate to do so.</w:t>
      </w:r>
    </w:p>
    <w:p w14:paraId="54154E30" w14:textId="77777777" w:rsidR="00BD3792" w:rsidRPr="00A71970" w:rsidRDefault="00BD3792" w:rsidP="00BD3792">
      <w:pPr>
        <w:pStyle w:val="Heading2"/>
      </w:pPr>
      <w:r>
        <w:t>Course accreditation</w:t>
      </w:r>
    </w:p>
    <w:p w14:paraId="5065585C" w14:textId="6C009384" w:rsidR="00BD3792" w:rsidRDefault="00BD3792" w:rsidP="00BD3792">
      <w:r>
        <w:t>TEQSA accredits courses of study offered by registered higher education providers where the provider does not have the authority to accredit its own courses. All accredited courses of study must meet and continue to meet the requirements of the HES Framework</w:t>
      </w:r>
      <w:r w:rsidR="002E6F44">
        <w:t>.</w:t>
      </w:r>
    </w:p>
    <w:p w14:paraId="5AFBA1DA" w14:textId="6D283047" w:rsidR="00BD3792" w:rsidRDefault="00BD3792" w:rsidP="00BD3792">
      <w:r>
        <w:t xml:space="preserve">TEQSA may shorten or cancel the accreditation of a course(s) of study after considering other options for addressing a provider’s non-compliance with the Standards. TEQSA may take this </w:t>
      </w:r>
      <w:proofErr w:type="gramStart"/>
      <w:r>
        <w:t xml:space="preserve">action </w:t>
      </w:r>
      <w:r w:rsidRPr="004879A1">
        <w:t xml:space="preserve"> </w:t>
      </w:r>
      <w:r w:rsidR="002E6F44">
        <w:t>for</w:t>
      </w:r>
      <w:proofErr w:type="gramEnd"/>
      <w:r w:rsidR="002E6F44">
        <w:t xml:space="preserve"> a failure or breach as listed in S98(a) to (d) of the TEQSA Act</w:t>
      </w:r>
    </w:p>
    <w:p w14:paraId="6CD82DC1" w14:textId="77777777" w:rsidR="00BD3792" w:rsidRDefault="00BD3792" w:rsidP="00BD3792">
      <w:r>
        <w:t>If a course accreditation has been cancelled, the provider must stop delivering the course to students from the date of effect of the cancellation.</w:t>
      </w:r>
      <w:r w:rsidRPr="009B0DCF">
        <w:t xml:space="preserve"> </w:t>
      </w:r>
    </w:p>
    <w:p w14:paraId="3C6024DF" w14:textId="77777777" w:rsidR="00BD3792" w:rsidRPr="00A51773" w:rsidRDefault="00BD3792" w:rsidP="00BD3792">
      <w:r>
        <w:t>If an accreditation is shortened, the provider must apply to renew the accreditation of the course at an earlier time (either 180 days before the new date set by TEQSA or a shorter time period that TEQSA allows) or stop delivering the course from the new date. A higher education provider must not:</w:t>
      </w:r>
    </w:p>
    <w:p w14:paraId="4F735E3F" w14:textId="77777777" w:rsidR="00BD3792" w:rsidRPr="0057764D" w:rsidRDefault="00BD3792" w:rsidP="00BD3792">
      <w:pPr>
        <w:pStyle w:val="ListParagraph"/>
        <w:numPr>
          <w:ilvl w:val="0"/>
          <w:numId w:val="18"/>
        </w:numPr>
        <w:contextualSpacing w:val="0"/>
        <w:rPr>
          <w:rFonts w:cs="Arial"/>
        </w:rPr>
      </w:pPr>
      <w:r w:rsidRPr="0057764D">
        <w:rPr>
          <w:rFonts w:cs="Arial"/>
        </w:rPr>
        <w:t xml:space="preserve">falsely represent that it </w:t>
      </w:r>
      <w:r>
        <w:rPr>
          <w:rFonts w:cs="Arial"/>
        </w:rPr>
        <w:t>offer</w:t>
      </w:r>
      <w:r w:rsidRPr="0057764D">
        <w:rPr>
          <w:rFonts w:cs="Arial"/>
        </w:rPr>
        <w:t xml:space="preserve">s a course of study leading to a higher education award </w:t>
      </w:r>
    </w:p>
    <w:p w14:paraId="17F36B8F" w14:textId="77777777" w:rsidR="00BD3792" w:rsidRPr="0057764D" w:rsidRDefault="00BD3792" w:rsidP="00BD3792">
      <w:pPr>
        <w:pStyle w:val="ListParagraph"/>
        <w:numPr>
          <w:ilvl w:val="0"/>
          <w:numId w:val="18"/>
        </w:numPr>
        <w:contextualSpacing w:val="0"/>
        <w:rPr>
          <w:rFonts w:cs="Arial"/>
        </w:rPr>
      </w:pPr>
      <w:r w:rsidRPr="0057764D">
        <w:rPr>
          <w:rFonts w:cs="Arial"/>
        </w:rPr>
        <w:t>falsely represent that a course of study is accredited</w:t>
      </w:r>
      <w:r>
        <w:rPr>
          <w:rFonts w:cs="Arial"/>
        </w:rPr>
        <w:t>,</w:t>
      </w:r>
      <w:r w:rsidRPr="0057764D">
        <w:rPr>
          <w:rFonts w:cs="Arial"/>
        </w:rPr>
        <w:t xml:space="preserve"> or </w:t>
      </w:r>
    </w:p>
    <w:p w14:paraId="70720A2A" w14:textId="37AA9D6C" w:rsidR="00BD3792" w:rsidRPr="0057764D" w:rsidRDefault="00F96B6B" w:rsidP="00BD3792">
      <w:pPr>
        <w:pStyle w:val="ListParagraph"/>
        <w:numPr>
          <w:ilvl w:val="0"/>
          <w:numId w:val="18"/>
        </w:numPr>
        <w:contextualSpacing w:val="0"/>
        <w:rPr>
          <w:rFonts w:cs="Arial"/>
        </w:rPr>
      </w:pPr>
      <w:proofErr w:type="gramStart"/>
      <w:r>
        <w:rPr>
          <w:rFonts w:cs="Arial"/>
        </w:rPr>
        <w:t>provide</w:t>
      </w:r>
      <w:proofErr w:type="gramEnd"/>
      <w:r w:rsidRPr="0057764D">
        <w:rPr>
          <w:rFonts w:cs="Arial"/>
        </w:rPr>
        <w:t xml:space="preserve"> </w:t>
      </w:r>
      <w:r w:rsidR="00BD3792" w:rsidRPr="0057764D">
        <w:rPr>
          <w:rFonts w:cs="Arial"/>
        </w:rPr>
        <w:t>a course of study, which leads to a regulated higher education award, where the course of study is not accredited.</w:t>
      </w:r>
    </w:p>
    <w:p w14:paraId="61FCD675" w14:textId="77777777" w:rsidR="00BD3792" w:rsidRDefault="00BD3792" w:rsidP="00BD3792">
      <w:r w:rsidRPr="00BA709B">
        <w:lastRenderedPageBreak/>
        <w:t>Before making a decision to shorten a period of course accreditation, TEQSA will give the provider an opportunity to comment on the basis on which such a decision is being considered and will consider the provider’s response</w:t>
      </w:r>
      <w:r>
        <w:t>.</w:t>
      </w:r>
    </w:p>
    <w:p w14:paraId="3BBC213E" w14:textId="1EE794C3" w:rsidR="00E50427" w:rsidRPr="003A678C" w:rsidRDefault="00E50427" w:rsidP="00BD3792">
      <w:r w:rsidRPr="00A32DAC">
        <w:rPr>
          <w:b/>
        </w:rPr>
        <w:t xml:space="preserve">Note to </w:t>
      </w:r>
      <w:r w:rsidR="00BC1177" w:rsidRPr="00A32DAC">
        <w:rPr>
          <w:b/>
        </w:rPr>
        <w:t>p</w:t>
      </w:r>
      <w:r w:rsidRPr="00A32DAC">
        <w:rPr>
          <w:b/>
        </w:rPr>
        <w:t>roviders</w:t>
      </w:r>
      <w:r w:rsidR="00BC1177" w:rsidRPr="00A32DAC">
        <w:rPr>
          <w:b/>
        </w:rPr>
        <w:t xml:space="preserve"> with self-accrediting authority (limited or unlimited)</w:t>
      </w:r>
      <w:r w:rsidRPr="00A32DAC">
        <w:rPr>
          <w:b/>
        </w:rPr>
        <w:t>:</w:t>
      </w:r>
      <w:r>
        <w:t xml:space="preserve"> </w:t>
      </w:r>
      <w:r w:rsidR="00BC1177">
        <w:t>w</w:t>
      </w:r>
      <w:r>
        <w:t xml:space="preserve">hile TEQSA does not accredit </w:t>
      </w:r>
      <w:r w:rsidR="00F96B6B">
        <w:t>a course where a provider has authority to self-accredit the course</w:t>
      </w:r>
      <w:r w:rsidR="00BC1177">
        <w:t>, such providers</w:t>
      </w:r>
      <w:r w:rsidR="00DE14A7">
        <w:t xml:space="preserve"> </w:t>
      </w:r>
      <w:r>
        <w:t xml:space="preserve">should note that </w:t>
      </w:r>
      <w:r w:rsidR="00F96B6B">
        <w:t>TEQSA may impose conditions restricting or removing the provider’s authority to self-accredit a course</w:t>
      </w:r>
      <w:r>
        <w:rPr>
          <w:rFonts w:eastAsia="Times New Roman" w:cs="Arial"/>
        </w:rPr>
        <w:t xml:space="preserve"> (in compliance with the principles of part 2 under the TEQSA Act)</w:t>
      </w:r>
      <w:r w:rsidR="00571BFE">
        <w:rPr>
          <w:rFonts w:eastAsia="Times New Roman" w:cs="Arial"/>
        </w:rPr>
        <w:t>.</w:t>
      </w:r>
      <w:r>
        <w:rPr>
          <w:rFonts w:eastAsia="Times New Roman" w:cs="Arial"/>
        </w:rPr>
        <w:t xml:space="preserve">  </w:t>
      </w:r>
    </w:p>
    <w:p w14:paraId="3B542017" w14:textId="77777777" w:rsidR="00BD3792" w:rsidRPr="00961836" w:rsidRDefault="00BD3792" w:rsidP="00BD3792">
      <w:pPr>
        <w:pStyle w:val="Heading2"/>
      </w:pPr>
      <w:r w:rsidRPr="00961836">
        <w:t xml:space="preserve">Review </w:t>
      </w:r>
      <w:r>
        <w:t>of decisions</w:t>
      </w:r>
    </w:p>
    <w:p w14:paraId="255FE0A8" w14:textId="77777777" w:rsidR="00BD3792" w:rsidRDefault="00BD3792" w:rsidP="00BD3792">
      <w:pPr>
        <w:spacing w:before="83" w:after="0" w:line="280" w:lineRule="atLeast"/>
        <w:ind w:left="20" w:right="-34"/>
      </w:pPr>
      <w:r w:rsidRPr="00961836">
        <w:t xml:space="preserve">Decisions to vary a provider’s registration </w:t>
      </w:r>
      <w:r>
        <w:t>or</w:t>
      </w:r>
      <w:r w:rsidRPr="00961836">
        <w:t xml:space="preserve"> course accreditation may be reviewed by the Administrative Appeals Tribunal under </w:t>
      </w:r>
      <w:r>
        <w:t>p</w:t>
      </w:r>
      <w:r w:rsidRPr="00961836">
        <w:t>art 10 of the TEQSA Act.</w:t>
      </w:r>
    </w:p>
    <w:p w14:paraId="6A3A5FC0" w14:textId="77777777" w:rsidR="00BD3792" w:rsidRPr="00961836" w:rsidRDefault="00BD3792" w:rsidP="00BD3792">
      <w:pPr>
        <w:pStyle w:val="Heading2"/>
      </w:pPr>
      <w:r w:rsidRPr="00961836">
        <w:t>National Register</w:t>
      </w:r>
    </w:p>
    <w:p w14:paraId="5C7836F8" w14:textId="2DC6ECD5" w:rsidR="00BD3792" w:rsidRDefault="00BD3792" w:rsidP="00BD3792">
      <w:pPr>
        <w:spacing w:before="83" w:after="0" w:line="280" w:lineRule="atLeast"/>
        <w:ind w:left="20" w:right="-34"/>
      </w:pPr>
      <w:r w:rsidRPr="00961836">
        <w:t xml:space="preserve">TEQSA maintains the </w:t>
      </w:r>
      <w:hyperlink r:id="rId10" w:history="1">
        <w:r w:rsidRPr="00717477">
          <w:rPr>
            <w:rStyle w:val="Hyperlink"/>
          </w:rPr>
          <w:t>National Register</w:t>
        </w:r>
      </w:hyperlink>
      <w:r w:rsidRPr="00961836">
        <w:t xml:space="preserve"> of higher education providers. The National Register is the means by which TEQSA publishes </w:t>
      </w:r>
      <w:r w:rsidR="00F96B6B">
        <w:t xml:space="preserve">information about </w:t>
      </w:r>
      <w:r w:rsidRPr="00961836">
        <w:t>the status of</w:t>
      </w:r>
      <w:r>
        <w:t xml:space="preserve"> </w:t>
      </w:r>
      <w:r w:rsidRPr="00961836">
        <w:t xml:space="preserve">a provider, including whether a higher education provider’s registration </w:t>
      </w:r>
      <w:r>
        <w:t xml:space="preserve">or course accreditation(s) </w:t>
      </w:r>
      <w:r w:rsidRPr="00961836">
        <w:t>ha</w:t>
      </w:r>
      <w:r>
        <w:t>ve</w:t>
      </w:r>
      <w:r w:rsidRPr="00961836">
        <w:t xml:space="preserve"> been shortened or</w:t>
      </w:r>
      <w:r>
        <w:t xml:space="preserve"> </w:t>
      </w:r>
      <w:r w:rsidRPr="00961836">
        <w:t>cancelled.</w:t>
      </w:r>
    </w:p>
    <w:p w14:paraId="0AE1A95B" w14:textId="77777777" w:rsidR="00BD3792" w:rsidRDefault="00BD3792" w:rsidP="00BD3792">
      <w:pPr>
        <w:pStyle w:val="Heading2"/>
      </w:pPr>
      <w:r>
        <w:t>Public reporting</w:t>
      </w:r>
    </w:p>
    <w:p w14:paraId="0E2AB2B2" w14:textId="2E391E1C" w:rsidR="00BD3792" w:rsidRPr="0048003D" w:rsidRDefault="00F96B6B" w:rsidP="00BD3792">
      <w:r>
        <w:t xml:space="preserve">Information about TEQSA’s approach to publicly reporting its decisions is available at </w:t>
      </w:r>
      <w:r w:rsidRPr="00F96B6B">
        <w:t>https://www.teqsa.gov.au/for-providers/resources/policy-public-reporting-regulatory-decisions</w:t>
      </w:r>
      <w:r w:rsidR="00BD3792">
        <w:t>.</w:t>
      </w:r>
    </w:p>
    <w:p w14:paraId="7741B1A4" w14:textId="77777777" w:rsidR="00BD3792" w:rsidRDefault="00BD3792" w:rsidP="00BD3792">
      <w:pPr>
        <w:pStyle w:val="Heading2"/>
        <w:rPr>
          <w:noProof/>
          <w:lang w:val="en-GB" w:eastAsia="en-GB"/>
        </w:rPr>
      </w:pPr>
      <w:r w:rsidRPr="005672BB">
        <w:rPr>
          <w:lang w:val="en-GB" w:eastAsia="en-GB"/>
        </w:rPr>
        <w:t>Fur</w:t>
      </w:r>
      <w:proofErr w:type="spellStart"/>
      <w:r w:rsidRPr="005672BB">
        <w:t>ther</w:t>
      </w:r>
      <w:proofErr w:type="spellEnd"/>
      <w:r>
        <w:rPr>
          <w:noProof/>
          <w:lang w:val="en-GB" w:eastAsia="en-GB"/>
        </w:rPr>
        <w:t xml:space="preserve"> information</w:t>
      </w:r>
    </w:p>
    <w:p w14:paraId="2E48D5D8" w14:textId="77777777" w:rsidR="00BD3792" w:rsidRPr="003E602B" w:rsidRDefault="00BD3792" w:rsidP="00BD3792">
      <w:r>
        <w:t>Providers should contact their TEQSA Case Manager in the first instance.</w:t>
      </w:r>
    </w:p>
    <w:p w14:paraId="3B407D49" w14:textId="77777777" w:rsidR="00BD3792" w:rsidRPr="00BD3792" w:rsidRDefault="00BD3792" w:rsidP="00BD3792">
      <w:pPr>
        <w:pStyle w:val="Heading2"/>
      </w:pPr>
      <w:r w:rsidRPr="00BD3792">
        <w:t>Resources and references</w:t>
      </w:r>
    </w:p>
    <w:p w14:paraId="34132DBD" w14:textId="5B9D8CE3" w:rsidR="00BD3792" w:rsidRDefault="00BD3792" w:rsidP="00BD3792">
      <w:pPr>
        <w:rPr>
          <w:rFonts w:cstheme="minorHAnsi"/>
          <w:iCs/>
        </w:rPr>
      </w:pPr>
      <w:r w:rsidRPr="003E602B">
        <w:rPr>
          <w:rFonts w:cstheme="minorHAnsi"/>
          <w:iCs/>
        </w:rPr>
        <w:t>TEQSA</w:t>
      </w:r>
      <w:r>
        <w:rPr>
          <w:rFonts w:cstheme="minorHAnsi"/>
          <w:iCs/>
        </w:rPr>
        <w:t xml:space="preserve"> (2016)</w:t>
      </w:r>
      <w:r w:rsidRPr="003E602B">
        <w:rPr>
          <w:rFonts w:cstheme="minorHAnsi"/>
          <w:iCs/>
        </w:rPr>
        <w:t xml:space="preserve">, </w:t>
      </w:r>
      <w:r w:rsidRPr="003E602B">
        <w:rPr>
          <w:rFonts w:cstheme="minorHAnsi"/>
          <w:i/>
          <w:iCs/>
        </w:rPr>
        <w:t>Explanations of terms in Part A of the HES Framework 2015</w:t>
      </w:r>
      <w:r w:rsidRPr="003E602B">
        <w:rPr>
          <w:rFonts w:cstheme="minorHAnsi"/>
          <w:iCs/>
        </w:rPr>
        <w:t>, &lt;</w:t>
      </w:r>
      <w:hyperlink r:id="rId11" w:history="1">
        <w:r w:rsidRPr="003E602B">
          <w:rPr>
            <w:color w:val="00847E" w:themeColor="hyperlink"/>
            <w:u w:val="single"/>
          </w:rPr>
          <w:t>http://www.teqsa.gov.au/explanations-hes-framework-terms</w:t>
        </w:r>
      </w:hyperlink>
      <w:r w:rsidRPr="003E602B">
        <w:rPr>
          <w:rFonts w:cstheme="minorHAnsi"/>
          <w:iCs/>
        </w:rPr>
        <w:t xml:space="preserve">&gt;. </w:t>
      </w:r>
    </w:p>
    <w:p w14:paraId="4632C5EB" w14:textId="1279A8F3" w:rsidR="00DA10CC" w:rsidRPr="003E602B" w:rsidRDefault="00DA10CC" w:rsidP="00BD3792">
      <w:pPr>
        <w:rPr>
          <w:rFonts w:cstheme="minorHAnsi"/>
          <w:iCs/>
        </w:rPr>
      </w:pPr>
      <w:r>
        <w:rPr>
          <w:rFonts w:cstheme="minorHAnsi"/>
          <w:iCs/>
        </w:rPr>
        <w:t xml:space="preserve">TEQSA (2016), </w:t>
      </w:r>
      <w:r w:rsidRPr="0004530F">
        <w:rPr>
          <w:rFonts w:cstheme="minorHAnsi"/>
          <w:i/>
          <w:iCs/>
        </w:rPr>
        <w:t>Extensions to the period of provider registration or course accreditation policy</w:t>
      </w:r>
      <w:r>
        <w:rPr>
          <w:rFonts w:cstheme="minorHAnsi"/>
          <w:iCs/>
        </w:rPr>
        <w:t>, &lt;</w:t>
      </w:r>
      <w:r w:rsidRPr="00DA10CC">
        <w:rPr>
          <w:rFonts w:cstheme="minorHAnsi"/>
          <w:iCs/>
        </w:rPr>
        <w:t>https://www.teqsa.gov.au/latest-news/publications/extensions-period-provider-registration-or-course-accreditation-policy</w:t>
      </w:r>
      <w:r>
        <w:rPr>
          <w:rFonts w:cstheme="minorHAnsi"/>
          <w:iCs/>
        </w:rPr>
        <w:t>&gt;</w:t>
      </w:r>
    </w:p>
    <w:p w14:paraId="4AE1DF28" w14:textId="77777777" w:rsidR="00FF7EC3" w:rsidRDefault="00FF7EC3" w:rsidP="00BD3792">
      <w:pPr>
        <w:rPr>
          <w:i/>
        </w:rPr>
      </w:pPr>
    </w:p>
    <w:p w14:paraId="3E8E86B3" w14:textId="77777777" w:rsidR="00FF7EC3" w:rsidRDefault="00FF7EC3" w:rsidP="00BD3792">
      <w:pPr>
        <w:rPr>
          <w:i/>
        </w:rPr>
      </w:pPr>
    </w:p>
    <w:p w14:paraId="33A31B3C" w14:textId="77777777" w:rsidR="00FF7EC3" w:rsidRDefault="00FF7EC3" w:rsidP="00BD3792">
      <w:pPr>
        <w:rPr>
          <w:i/>
        </w:rPr>
      </w:pPr>
    </w:p>
    <w:p w14:paraId="05AFF255" w14:textId="77777777" w:rsidR="00FF7EC3" w:rsidRDefault="00FF7EC3" w:rsidP="00BD3792">
      <w:pPr>
        <w:rPr>
          <w:i/>
        </w:rPr>
      </w:pPr>
    </w:p>
    <w:p w14:paraId="5ECE8BCB" w14:textId="251A86BE" w:rsidR="00BD3792" w:rsidRPr="00FF7EC3" w:rsidRDefault="00FF7EC3" w:rsidP="00BD3792">
      <w:pPr>
        <w:rPr>
          <w:i/>
        </w:rPr>
      </w:pPr>
      <w:bookmarkStart w:id="0" w:name="_GoBack"/>
      <w:bookmarkEnd w:id="0"/>
      <w:r w:rsidRPr="00FF7EC3">
        <w:rPr>
          <w:i/>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D3792" w:rsidRPr="00110318" w14:paraId="3B6C7732" w14:textId="77777777" w:rsidTr="00BD3792">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34D5C64F" w14:textId="77777777" w:rsidR="00BD3792" w:rsidRPr="009C4E44" w:rsidRDefault="00BD3792" w:rsidP="00D41D4D">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08259D31" w14:textId="77777777" w:rsidR="00BD3792" w:rsidRPr="009C4E44" w:rsidRDefault="00BD3792" w:rsidP="00D41D4D">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60C2822" w14:textId="77777777" w:rsidR="00BD3792" w:rsidRPr="009C4E44" w:rsidRDefault="00BD3792" w:rsidP="00D41D4D">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BD3792" w14:paraId="368C20F1" w14:textId="77777777" w:rsidTr="00D41D4D">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B2580A5" w14:textId="77777777" w:rsidR="00BD3792" w:rsidRDefault="00BD3792" w:rsidP="00D41D4D">
            <w:pPr>
              <w:pStyle w:val="Normal1"/>
              <w:spacing w:line="240" w:lineRule="auto"/>
              <w:rPr>
                <w:sz w:val="20"/>
                <w:szCs w:val="20"/>
                <w:lang w:val="en-US"/>
              </w:rPr>
            </w:pPr>
            <w:r>
              <w:rPr>
                <w:sz w:val="20"/>
                <w:szCs w:val="20"/>
                <w:lang w:val="en-US"/>
              </w:rPr>
              <w:t>1</w:t>
            </w:r>
            <w:r w:rsidRPr="00CD4335">
              <w:rPr>
                <w:sz w:val="20"/>
                <w:szCs w:val="20"/>
                <w:lang w:val="en-US"/>
              </w:rPr>
              <w:t>.0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8C51EB8" w14:textId="77777777" w:rsidR="00BD3792" w:rsidRPr="00CB66D4" w:rsidRDefault="00BD3792" w:rsidP="00D41D4D">
            <w:pPr>
              <w:pStyle w:val="Normal1"/>
              <w:spacing w:line="240" w:lineRule="auto"/>
              <w:rPr>
                <w:sz w:val="20"/>
                <w:szCs w:val="20"/>
                <w:highlight w:val="yellow"/>
                <w:lang w:val="en-US"/>
              </w:rPr>
            </w:pPr>
            <w:r w:rsidRPr="00BD315E">
              <w:rPr>
                <w:sz w:val="20"/>
                <w:szCs w:val="20"/>
                <w:lang w:val="en-US"/>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D385E72" w14:textId="77777777" w:rsidR="00BD3792" w:rsidRDefault="00BD3792" w:rsidP="00D41D4D">
            <w:pPr>
              <w:pStyle w:val="Normal1"/>
              <w:spacing w:line="240" w:lineRule="auto"/>
              <w:rPr>
                <w:sz w:val="20"/>
                <w:szCs w:val="20"/>
                <w:lang w:val="en-US"/>
              </w:rPr>
            </w:pPr>
            <w:r>
              <w:rPr>
                <w:sz w:val="20"/>
                <w:szCs w:val="20"/>
                <w:lang w:val="en-US"/>
              </w:rPr>
              <w:t>Made available as beta version for consultation. Replaces previous information sheets on ‘shortening or cancelling’ a period of registration or accreditation.</w:t>
            </w:r>
          </w:p>
        </w:tc>
      </w:tr>
      <w:tr w:rsidR="00DE14A7" w14:paraId="6FE20D53" w14:textId="77777777" w:rsidTr="00D41D4D">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8D89C1C" w14:textId="77AAB18C" w:rsidR="00DE14A7" w:rsidRDefault="00D9126B" w:rsidP="00D41D4D">
            <w:pPr>
              <w:pStyle w:val="Normal1"/>
              <w:spacing w:line="240" w:lineRule="auto"/>
              <w:rPr>
                <w:sz w:val="20"/>
                <w:szCs w:val="20"/>
                <w:lang w:val="en-US"/>
              </w:rPr>
            </w:pPr>
            <w:r>
              <w:rPr>
                <w:sz w:val="20"/>
                <w:szCs w:val="20"/>
                <w:lang w:val="en-US"/>
              </w:rPr>
              <w:t>1.1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8E9C0DA" w14:textId="2EC08D83" w:rsidR="00DE14A7" w:rsidRPr="00BD315E" w:rsidRDefault="0004530F" w:rsidP="00D41D4D">
            <w:pPr>
              <w:pStyle w:val="Normal1"/>
              <w:spacing w:line="240" w:lineRule="auto"/>
              <w:rPr>
                <w:sz w:val="20"/>
                <w:szCs w:val="20"/>
                <w:lang w:val="en-US"/>
              </w:rPr>
            </w:pPr>
            <w:r>
              <w:rPr>
                <w:sz w:val="20"/>
                <w:szCs w:val="20"/>
                <w:lang w:val="en-US"/>
              </w:rPr>
              <w:t>26 August</w:t>
            </w:r>
            <w:r w:rsidR="00DE14A7">
              <w:rPr>
                <w:sz w:val="20"/>
                <w:szCs w:val="20"/>
                <w:lang w:val="en-US"/>
              </w:rPr>
              <w:t xml:space="preserve"> 2019</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A984D80" w14:textId="214DBE22" w:rsidR="00DE14A7" w:rsidRDefault="00A32DAC" w:rsidP="00D41D4D">
            <w:pPr>
              <w:pStyle w:val="Normal1"/>
              <w:spacing w:line="240" w:lineRule="auto"/>
              <w:rPr>
                <w:sz w:val="20"/>
                <w:szCs w:val="20"/>
                <w:lang w:val="en-US"/>
              </w:rPr>
            </w:pPr>
            <w:r>
              <w:rPr>
                <w:sz w:val="20"/>
                <w:szCs w:val="20"/>
                <w:lang w:val="en-US"/>
              </w:rPr>
              <w:t>Amended in response to</w:t>
            </w:r>
            <w:r w:rsidR="00DE14A7">
              <w:rPr>
                <w:sz w:val="20"/>
                <w:szCs w:val="20"/>
                <w:lang w:val="en-US"/>
              </w:rPr>
              <w:t xml:space="preserve"> consultation feedback.</w:t>
            </w:r>
          </w:p>
        </w:tc>
      </w:tr>
    </w:tbl>
    <w:p w14:paraId="4E262396" w14:textId="77777777" w:rsidR="00BD3792" w:rsidRPr="00573F98" w:rsidRDefault="00BD3792" w:rsidP="00BD3792">
      <w:pPr>
        <w:spacing w:before="0" w:after="200" w:line="276" w:lineRule="auto"/>
        <w:rPr>
          <w:b/>
        </w:rPr>
      </w:pPr>
    </w:p>
    <w:p w14:paraId="283003D7" w14:textId="77777777" w:rsidR="006C328D" w:rsidRPr="00BD3792" w:rsidRDefault="006C328D" w:rsidP="00BD3792"/>
    <w:sectPr w:rsidR="006C328D" w:rsidRPr="00BD3792" w:rsidSect="00FF2540">
      <w:headerReference w:type="even" r:id="rId12"/>
      <w:headerReference w:type="default" r:id="rId13"/>
      <w:footerReference w:type="default" r:id="rId14"/>
      <w:headerReference w:type="firs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B5E9B" w14:textId="77777777" w:rsidR="0057605D" w:rsidRDefault="0057605D" w:rsidP="006C328D">
      <w:pPr>
        <w:spacing w:before="0" w:after="0"/>
      </w:pPr>
      <w:r>
        <w:separator/>
      </w:r>
    </w:p>
  </w:endnote>
  <w:endnote w:type="continuationSeparator" w:id="0">
    <w:p w14:paraId="755164D9" w14:textId="77777777" w:rsidR="0057605D" w:rsidRDefault="0057605D"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03A5F33D" w14:textId="16160ADF"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FF7EC3">
              <w:rPr>
                <w:b/>
                <w:bCs/>
                <w:noProof/>
                <w:color w:val="00847E" w:themeColor="accent1"/>
                <w:sz w:val="20"/>
                <w:szCs w:val="20"/>
              </w:rPr>
              <w:t>5</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FF7EC3">
              <w:rPr>
                <w:b/>
                <w:bCs/>
                <w:noProof/>
                <w:color w:val="00847E" w:themeColor="accent1"/>
                <w:sz w:val="20"/>
                <w:szCs w:val="20"/>
              </w:rPr>
              <w:t>5</w:t>
            </w:r>
            <w:r w:rsidRPr="00FF2540">
              <w:rPr>
                <w:b/>
                <w:bCs/>
                <w:color w:val="00847E" w:themeColor="accent1"/>
                <w:sz w:val="20"/>
                <w:szCs w:val="20"/>
              </w:rPr>
              <w:fldChar w:fldCharType="end"/>
            </w:r>
          </w:p>
        </w:sdtContent>
      </w:sdt>
    </w:sdtContent>
  </w:sdt>
  <w:p w14:paraId="10710C48"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695DF" w14:textId="77777777" w:rsidR="0057605D" w:rsidRDefault="0057605D" w:rsidP="006C328D">
      <w:pPr>
        <w:spacing w:before="0" w:after="0"/>
      </w:pPr>
      <w:r>
        <w:separator/>
      </w:r>
    </w:p>
  </w:footnote>
  <w:footnote w:type="continuationSeparator" w:id="0">
    <w:p w14:paraId="5B5DF1A2" w14:textId="77777777" w:rsidR="0057605D" w:rsidRDefault="0057605D"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2151" w14:textId="77777777" w:rsidR="00947DD5" w:rsidRDefault="0057605D">
    <w:pPr>
      <w:pStyle w:val="Header"/>
    </w:pPr>
    <w:r>
      <w:rPr>
        <w:noProof/>
      </w:rPr>
      <w:pict w14:anchorId="1480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7358" o:spid="_x0000_s2050"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Arial&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75EB" w14:textId="34D2D981"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322B7F9E" wp14:editId="49CBA478">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247161CB" wp14:editId="2CC16630">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9AA4" w14:textId="77777777" w:rsidR="00947DD5" w:rsidRDefault="0057605D">
    <w:pPr>
      <w:pStyle w:val="Header"/>
    </w:pPr>
    <w:r>
      <w:rPr>
        <w:noProof/>
      </w:rPr>
      <w:pict w14:anchorId="127A1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7357" o:spid="_x0000_s2049"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Arial&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75pt" o:bullet="t">
        <v:imagedata r:id="rId1" o:title="Teal-Triangles"/>
      </v:shape>
    </w:pict>
  </w:numPicBullet>
  <w:numPicBullet w:numPicBulletId="1">
    <w:pict>
      <v:shape id="_x0000_i1036" type="#_x0000_t75" style="width:1in;height:36.75pt" o:bullet="t">
        <v:imagedata r:id="rId2" o:title="Pink-Triangles"/>
      </v:shape>
    </w:pict>
  </w:numPicBullet>
  <w:numPicBullet w:numPicBulletId="2">
    <w:pict>
      <v:shape id="_x0000_i1037" type="#_x0000_t75" style="width:1in;height:36.75pt" o:bullet="t">
        <v:imagedata r:id="rId3" o:title="Yellow-Triangles"/>
      </v:shape>
    </w:pict>
  </w:numPicBullet>
  <w:abstractNum w:abstractNumId="0" w15:restartNumberingAfterBreak="0">
    <w:nsid w:val="11F801F1"/>
    <w:multiLevelType w:val="hybridMultilevel"/>
    <w:tmpl w:val="639AA450"/>
    <w:lvl w:ilvl="0" w:tplc="4BCEABDA">
      <w:start w:val="1"/>
      <w:numFmt w:val="bullet"/>
      <w:lvlText w:val=""/>
      <w:lvlJc w:val="left"/>
      <w:pPr>
        <w:ind w:left="720" w:hanging="360"/>
      </w:pPr>
      <w:rPr>
        <w:rFonts w:ascii="Symbol" w:hAnsi="Symbol" w:hint="default"/>
        <w:color w:val="00A398"/>
      </w:rPr>
    </w:lvl>
    <w:lvl w:ilvl="1" w:tplc="C296A44A">
      <w:start w:val="1"/>
      <w:numFmt w:val="bullet"/>
      <w:lvlText w:val="4"/>
      <w:lvlJc w:val="left"/>
      <w:pPr>
        <w:ind w:left="1440" w:hanging="360"/>
      </w:pPr>
      <w:rPr>
        <w:rFonts w:ascii="Webdings" w:hAnsi="Webdings" w:hint="default"/>
        <w:color w:val="00A6AA"/>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B2F89"/>
    <w:multiLevelType w:val="hybridMultilevel"/>
    <w:tmpl w:val="CA78FDF2"/>
    <w:lvl w:ilvl="0" w:tplc="4BCEABDA">
      <w:start w:val="1"/>
      <w:numFmt w:val="bullet"/>
      <w:lvlText w:val=""/>
      <w:lvlJc w:val="left"/>
      <w:pPr>
        <w:ind w:left="720" w:hanging="360"/>
      </w:pPr>
      <w:rPr>
        <w:rFonts w:ascii="Symbol" w:hAnsi="Symbol" w:hint="default"/>
        <w:color w:val="00A398"/>
      </w:rPr>
    </w:lvl>
    <w:lvl w:ilvl="1" w:tplc="C296A44A">
      <w:start w:val="1"/>
      <w:numFmt w:val="bullet"/>
      <w:lvlText w:val="4"/>
      <w:lvlJc w:val="left"/>
      <w:pPr>
        <w:ind w:left="1440" w:hanging="360"/>
      </w:pPr>
      <w:rPr>
        <w:rFonts w:ascii="Webdings" w:hAnsi="Webdings" w:hint="default"/>
        <w:color w:val="00A6AA"/>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5E156D"/>
    <w:multiLevelType w:val="hybridMultilevel"/>
    <w:tmpl w:val="39A4CA68"/>
    <w:lvl w:ilvl="0" w:tplc="4BCEABDA">
      <w:start w:val="1"/>
      <w:numFmt w:val="bullet"/>
      <w:lvlText w:val=""/>
      <w:lvlJc w:val="left"/>
      <w:pPr>
        <w:ind w:left="720" w:hanging="360"/>
      </w:pPr>
      <w:rPr>
        <w:rFonts w:ascii="Symbol" w:hAnsi="Symbol" w:hint="default"/>
        <w:color w:val="00A398"/>
      </w:rPr>
    </w:lvl>
    <w:lvl w:ilvl="1" w:tplc="C296A44A">
      <w:start w:val="1"/>
      <w:numFmt w:val="bullet"/>
      <w:lvlText w:val="4"/>
      <w:lvlJc w:val="left"/>
      <w:pPr>
        <w:ind w:left="1440" w:hanging="360"/>
      </w:pPr>
      <w:rPr>
        <w:rFonts w:ascii="Webdings" w:hAnsi="Webdings" w:hint="default"/>
        <w:color w:val="00A6AA"/>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74AA2"/>
    <w:multiLevelType w:val="hybridMultilevel"/>
    <w:tmpl w:val="DFB4B5C6"/>
    <w:lvl w:ilvl="0" w:tplc="4BCEABDA">
      <w:start w:val="1"/>
      <w:numFmt w:val="bullet"/>
      <w:lvlText w:val=""/>
      <w:lvlJc w:val="left"/>
      <w:pPr>
        <w:ind w:left="720" w:hanging="360"/>
      </w:pPr>
      <w:rPr>
        <w:rFonts w:ascii="Symbol" w:hAnsi="Symbol" w:hint="default"/>
        <w:color w:val="00A398"/>
      </w:rPr>
    </w:lvl>
    <w:lvl w:ilvl="1" w:tplc="C296A44A">
      <w:start w:val="1"/>
      <w:numFmt w:val="bullet"/>
      <w:lvlText w:val="4"/>
      <w:lvlJc w:val="left"/>
      <w:pPr>
        <w:ind w:left="1440" w:hanging="360"/>
      </w:pPr>
      <w:rPr>
        <w:rFonts w:ascii="Webdings" w:hAnsi="Webdings" w:hint="default"/>
        <w:color w:val="00A6AA"/>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B219D"/>
    <w:multiLevelType w:val="hybridMultilevel"/>
    <w:tmpl w:val="81620668"/>
    <w:lvl w:ilvl="0" w:tplc="4BCEABDA">
      <w:start w:val="1"/>
      <w:numFmt w:val="bullet"/>
      <w:lvlText w:val=""/>
      <w:lvlJc w:val="left"/>
      <w:pPr>
        <w:ind w:left="720" w:hanging="360"/>
      </w:pPr>
      <w:rPr>
        <w:rFonts w:ascii="Symbol" w:hAnsi="Symbol" w:hint="default"/>
        <w:color w:val="00A398"/>
      </w:rPr>
    </w:lvl>
    <w:lvl w:ilvl="1" w:tplc="C296A44A">
      <w:start w:val="1"/>
      <w:numFmt w:val="bullet"/>
      <w:lvlText w:val="4"/>
      <w:lvlJc w:val="left"/>
      <w:pPr>
        <w:ind w:left="1440" w:hanging="360"/>
      </w:pPr>
      <w:rPr>
        <w:rFonts w:ascii="Webdings" w:hAnsi="Webdings" w:hint="default"/>
        <w:color w:val="00A6AA"/>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D755B"/>
    <w:multiLevelType w:val="hybridMultilevel"/>
    <w:tmpl w:val="F1A4DDE2"/>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B5145B"/>
    <w:multiLevelType w:val="hybridMultilevel"/>
    <w:tmpl w:val="4D6E03F0"/>
    <w:lvl w:ilvl="0" w:tplc="4BCEABDA">
      <w:start w:val="1"/>
      <w:numFmt w:val="bullet"/>
      <w:lvlText w:val=""/>
      <w:lvlJc w:val="left"/>
      <w:pPr>
        <w:ind w:left="720" w:hanging="360"/>
      </w:pPr>
      <w:rPr>
        <w:rFonts w:ascii="Symbol" w:hAnsi="Symbol" w:hint="default"/>
        <w:color w:val="00A398"/>
      </w:rPr>
    </w:lvl>
    <w:lvl w:ilvl="1" w:tplc="C296A44A">
      <w:start w:val="1"/>
      <w:numFmt w:val="bullet"/>
      <w:lvlText w:val="4"/>
      <w:lvlJc w:val="left"/>
      <w:pPr>
        <w:ind w:left="1440" w:hanging="360"/>
      </w:pPr>
      <w:rPr>
        <w:rFonts w:ascii="Webdings" w:hAnsi="Webdings" w:hint="default"/>
        <w:color w:val="00A6AA"/>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A6531"/>
    <w:multiLevelType w:val="hybridMultilevel"/>
    <w:tmpl w:val="BA5843FE"/>
    <w:lvl w:ilvl="0" w:tplc="4BCEABDA">
      <w:start w:val="1"/>
      <w:numFmt w:val="bullet"/>
      <w:lvlText w:val=""/>
      <w:lvlJc w:val="left"/>
      <w:pPr>
        <w:ind w:left="720" w:hanging="360"/>
      </w:pPr>
      <w:rPr>
        <w:rFonts w:ascii="Symbol" w:hAnsi="Symbol" w:hint="default"/>
        <w:color w:val="00A398"/>
      </w:rPr>
    </w:lvl>
    <w:lvl w:ilvl="1" w:tplc="C296A44A">
      <w:start w:val="1"/>
      <w:numFmt w:val="bullet"/>
      <w:lvlText w:val="4"/>
      <w:lvlJc w:val="left"/>
      <w:pPr>
        <w:ind w:left="1440" w:hanging="360"/>
      </w:pPr>
      <w:rPr>
        <w:rFonts w:ascii="Webdings" w:hAnsi="Webdings" w:hint="default"/>
        <w:color w:val="00A6AA"/>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7"/>
  </w:num>
  <w:num w:numId="3">
    <w:abstractNumId w:val="5"/>
  </w:num>
  <w:num w:numId="4">
    <w:abstractNumId w:val="14"/>
  </w:num>
  <w:num w:numId="5">
    <w:abstractNumId w:val="13"/>
  </w:num>
  <w:num w:numId="6">
    <w:abstractNumId w:val="11"/>
  </w:num>
  <w:num w:numId="7">
    <w:abstractNumId w:val="2"/>
  </w:num>
  <w:num w:numId="8">
    <w:abstractNumId w:val="3"/>
  </w:num>
  <w:num w:numId="9">
    <w:abstractNumId w:val="4"/>
  </w:num>
  <w:num w:numId="10">
    <w:abstractNumId w:val="12"/>
  </w:num>
  <w:num w:numId="11">
    <w:abstractNumId w:val="6"/>
  </w:num>
  <w:num w:numId="12">
    <w:abstractNumId w:val="9"/>
  </w:num>
  <w:num w:numId="13">
    <w:abstractNumId w:val="8"/>
  </w:num>
  <w:num w:numId="14">
    <w:abstractNumId w:val="10"/>
  </w:num>
  <w:num w:numId="15">
    <w:abstractNumId w:val="15"/>
  </w:num>
  <w:num w:numId="16">
    <w:abstractNumId w:val="16"/>
  </w:num>
  <w:num w:numId="17">
    <w:abstractNumId w:val="1"/>
  </w:num>
  <w:num w:numId="18">
    <w:abstractNumId w:val="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368FB"/>
    <w:rsid w:val="0004530F"/>
    <w:rsid w:val="000C0170"/>
    <w:rsid w:val="000E7E41"/>
    <w:rsid w:val="00103B96"/>
    <w:rsid w:val="00176266"/>
    <w:rsid w:val="001F39F5"/>
    <w:rsid w:val="00281E49"/>
    <w:rsid w:val="002901BC"/>
    <w:rsid w:val="002E6F44"/>
    <w:rsid w:val="003140A9"/>
    <w:rsid w:val="00352A50"/>
    <w:rsid w:val="0036379C"/>
    <w:rsid w:val="00377C95"/>
    <w:rsid w:val="00431132"/>
    <w:rsid w:val="00495A06"/>
    <w:rsid w:val="004A61A7"/>
    <w:rsid w:val="004E6505"/>
    <w:rsid w:val="00571BFE"/>
    <w:rsid w:val="00572F39"/>
    <w:rsid w:val="0057605D"/>
    <w:rsid w:val="005B458E"/>
    <w:rsid w:val="006C328D"/>
    <w:rsid w:val="00717477"/>
    <w:rsid w:val="007B01C8"/>
    <w:rsid w:val="007F78F7"/>
    <w:rsid w:val="00874578"/>
    <w:rsid w:val="008A7302"/>
    <w:rsid w:val="008B19F5"/>
    <w:rsid w:val="00947DD5"/>
    <w:rsid w:val="00993E02"/>
    <w:rsid w:val="009B769E"/>
    <w:rsid w:val="00A32DAC"/>
    <w:rsid w:val="00A526DD"/>
    <w:rsid w:val="00AD2C3C"/>
    <w:rsid w:val="00AF28FD"/>
    <w:rsid w:val="00BC1177"/>
    <w:rsid w:val="00BD0BB7"/>
    <w:rsid w:val="00BD3792"/>
    <w:rsid w:val="00C41D26"/>
    <w:rsid w:val="00C44595"/>
    <w:rsid w:val="00C97439"/>
    <w:rsid w:val="00CE32BA"/>
    <w:rsid w:val="00D860C6"/>
    <w:rsid w:val="00D9126B"/>
    <w:rsid w:val="00D97894"/>
    <w:rsid w:val="00DA000D"/>
    <w:rsid w:val="00DA10CC"/>
    <w:rsid w:val="00DE14A7"/>
    <w:rsid w:val="00E50427"/>
    <w:rsid w:val="00E81226"/>
    <w:rsid w:val="00EA5411"/>
    <w:rsid w:val="00ED7711"/>
    <w:rsid w:val="00F3594D"/>
    <w:rsid w:val="00F41ED7"/>
    <w:rsid w:val="00F96B6B"/>
    <w:rsid w:val="00FF2540"/>
    <w:rsid w:val="00FF7E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2B16C0"/>
  <w15:docId w15:val="{43F6DF7D-4F3E-411E-80DD-0E074665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BD3792"/>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BD3792"/>
    <w:rPr>
      <w:rFonts w:ascii="Arial" w:hAnsi="Arial"/>
      <w:color w:val="auto"/>
    </w:rPr>
  </w:style>
  <w:style w:type="paragraph" w:styleId="FootnoteText">
    <w:name w:val="footnote text"/>
    <w:basedOn w:val="Normal"/>
    <w:link w:val="FootnoteTextChar"/>
    <w:uiPriority w:val="99"/>
    <w:semiHidden/>
    <w:unhideWhenUsed/>
    <w:rsid w:val="00BD3792"/>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D3792"/>
    <w:rPr>
      <w:color w:val="auto"/>
      <w:sz w:val="20"/>
      <w:szCs w:val="20"/>
      <w:lang w:val="en-GB"/>
    </w:rPr>
  </w:style>
  <w:style w:type="character" w:styleId="FootnoteReference">
    <w:name w:val="footnote reference"/>
    <w:basedOn w:val="DefaultParagraphFont"/>
    <w:uiPriority w:val="99"/>
    <w:semiHidden/>
    <w:unhideWhenUsed/>
    <w:rsid w:val="00BD3792"/>
    <w:rPr>
      <w:vertAlign w:val="superscript"/>
    </w:rPr>
  </w:style>
  <w:style w:type="paragraph" w:customStyle="1" w:styleId="Normal1">
    <w:name w:val="Normal1"/>
    <w:basedOn w:val="Normal"/>
    <w:rsid w:val="00BD3792"/>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36379C"/>
    <w:rPr>
      <w:i/>
      <w:iCs/>
      <w:color w:val="808080" w:themeColor="text1" w:themeTint="7F"/>
    </w:rPr>
  </w:style>
  <w:style w:type="character" w:styleId="Hyperlink">
    <w:name w:val="Hyperlink"/>
    <w:basedOn w:val="DefaultParagraphFont"/>
    <w:uiPriority w:val="99"/>
    <w:unhideWhenUsed/>
    <w:rsid w:val="00717477"/>
    <w:rPr>
      <w:color w:val="00847E" w:themeColor="hyperlink"/>
      <w:u w:val="single"/>
    </w:rPr>
  </w:style>
  <w:style w:type="character" w:styleId="FollowedHyperlink">
    <w:name w:val="FollowedHyperlink"/>
    <w:basedOn w:val="DefaultParagraphFont"/>
    <w:uiPriority w:val="99"/>
    <w:semiHidden/>
    <w:unhideWhenUsed/>
    <w:rsid w:val="00DE14A7"/>
    <w:rPr>
      <w:color w:val="00847E" w:themeColor="followedHyperlink"/>
      <w:u w:val="single"/>
    </w:rPr>
  </w:style>
  <w:style w:type="character" w:styleId="CommentReference">
    <w:name w:val="annotation reference"/>
    <w:basedOn w:val="DefaultParagraphFont"/>
    <w:uiPriority w:val="99"/>
    <w:semiHidden/>
    <w:unhideWhenUsed/>
    <w:rsid w:val="00BC1177"/>
    <w:rPr>
      <w:sz w:val="16"/>
      <w:szCs w:val="16"/>
    </w:rPr>
  </w:style>
  <w:style w:type="paragraph" w:styleId="CommentText">
    <w:name w:val="annotation text"/>
    <w:basedOn w:val="Normal"/>
    <w:link w:val="CommentTextChar"/>
    <w:uiPriority w:val="99"/>
    <w:semiHidden/>
    <w:unhideWhenUsed/>
    <w:rsid w:val="00BC1177"/>
    <w:rPr>
      <w:sz w:val="20"/>
      <w:szCs w:val="20"/>
    </w:rPr>
  </w:style>
  <w:style w:type="character" w:customStyle="1" w:styleId="CommentTextChar">
    <w:name w:val="Comment Text Char"/>
    <w:basedOn w:val="DefaultParagraphFont"/>
    <w:link w:val="CommentText"/>
    <w:uiPriority w:val="99"/>
    <w:semiHidden/>
    <w:rsid w:val="00BC1177"/>
    <w:rPr>
      <w:sz w:val="20"/>
      <w:szCs w:val="20"/>
    </w:rPr>
  </w:style>
  <w:style w:type="paragraph" w:styleId="CommentSubject">
    <w:name w:val="annotation subject"/>
    <w:basedOn w:val="CommentText"/>
    <w:next w:val="CommentText"/>
    <w:link w:val="CommentSubjectChar"/>
    <w:uiPriority w:val="99"/>
    <w:semiHidden/>
    <w:unhideWhenUsed/>
    <w:rsid w:val="00BC1177"/>
    <w:rPr>
      <w:b/>
      <w:bCs/>
    </w:rPr>
  </w:style>
  <w:style w:type="character" w:customStyle="1" w:styleId="CommentSubjectChar">
    <w:name w:val="Comment Subject Char"/>
    <w:basedOn w:val="CommentTextChar"/>
    <w:link w:val="CommentSubject"/>
    <w:uiPriority w:val="99"/>
    <w:semiHidden/>
    <w:rsid w:val="00BC1177"/>
    <w:rPr>
      <w:b/>
      <w:bCs/>
      <w:sz w:val="20"/>
      <w:szCs w:val="20"/>
    </w:rPr>
  </w:style>
  <w:style w:type="paragraph" w:styleId="Revision">
    <w:name w:val="Revision"/>
    <w:hidden/>
    <w:uiPriority w:val="99"/>
    <w:semiHidden/>
    <w:rsid w:val="00BC117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qsa.gov.au/explanations-hes-framework-term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eqsa.gov.au/national-regi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Guidance Note: Varying a Period of Registration or Accreditation</vt:lpstr>
    </vt:vector>
  </TitlesOfParts>
  <Company>Tertiary Education Quality and Standards Agency</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Varying a Period of Registration or Accreditation</dc:title>
  <dc:creator>May, Raphael</dc:creator>
  <cp:lastModifiedBy>Hewitt-McManus, Tom</cp:lastModifiedBy>
  <cp:revision>6</cp:revision>
  <cp:lastPrinted>2019-08-27T05:01:00Z</cp:lastPrinted>
  <dcterms:created xsi:type="dcterms:W3CDTF">2019-08-27T05:01:00Z</dcterms:created>
  <dcterms:modified xsi:type="dcterms:W3CDTF">2020-02-10T02:40:00Z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