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1B14" w:rsidRPr="000E7132" w:rsidRDefault="0024042F" w:rsidP="0024042F">
      <w:pPr>
        <w:pStyle w:val="Heading1"/>
        <w:rPr>
          <w:i/>
          <w:color w:val="00A398"/>
        </w:rPr>
      </w:pPr>
      <w:r w:rsidRPr="000E7132">
        <w:rPr>
          <w:color w:val="00A398"/>
        </w:rPr>
        <w:t xml:space="preserve">Guidance Note: </w:t>
      </w:r>
      <w:r w:rsidRPr="000E7132">
        <w:rPr>
          <w:i/>
          <w:color w:val="00A398"/>
        </w:rPr>
        <w:t>Transnational Higher Education into Australia</w:t>
      </w:r>
    </w:p>
    <w:p w:rsidR="0024042F" w:rsidRPr="00221B14" w:rsidRDefault="00221B14" w:rsidP="00221B14">
      <w:pPr>
        <w:pStyle w:val="Subtitle"/>
      </w:pPr>
      <w:r>
        <w:t>(Including international providers seeking to offer higher education in Australia)</w:t>
      </w:r>
    </w:p>
    <w:p w:rsidR="0024042F" w:rsidRDefault="0066427C" w:rsidP="0024042F">
      <w:pPr>
        <w:rPr>
          <w:rStyle w:val="SubtleEmphasis"/>
        </w:rPr>
      </w:pPr>
      <w:r>
        <w:rPr>
          <w:rStyle w:val="SubtleEmphasis"/>
        </w:rPr>
        <w:t>V</w:t>
      </w:r>
      <w:r w:rsidR="000E7132">
        <w:rPr>
          <w:rStyle w:val="SubtleEmphasis"/>
        </w:rPr>
        <w:t>ersion 1.</w:t>
      </w:r>
      <w:r w:rsidR="007E5C1F">
        <w:rPr>
          <w:rStyle w:val="SubtleEmphasis"/>
        </w:rPr>
        <w:t xml:space="preserve">2 </w:t>
      </w:r>
      <w:r w:rsidR="000E7132">
        <w:rPr>
          <w:rStyle w:val="SubtleEmphasis"/>
        </w:rPr>
        <w:t>(</w:t>
      </w:r>
      <w:r w:rsidR="00094FD7">
        <w:rPr>
          <w:rStyle w:val="SubtleEmphasis"/>
        </w:rPr>
        <w:t>11 October 2017</w:t>
      </w:r>
      <w:r w:rsidR="000E7132">
        <w:rPr>
          <w:rStyle w:val="SubtleEmphasis"/>
        </w:rPr>
        <w:t>)</w:t>
      </w:r>
    </w:p>
    <w:p w:rsidR="000D0701" w:rsidRPr="000D0701" w:rsidRDefault="000D0701" w:rsidP="0024042F">
      <w:pPr>
        <w:rPr>
          <w:rStyle w:val="SubtleEmphasis"/>
          <w:color w:val="000000" w:themeColor="text1"/>
        </w:rPr>
      </w:pPr>
      <w:r w:rsidRPr="000D0701">
        <w:rPr>
          <w:rStyle w:val="SubtleEmphasis"/>
          <w:color w:val="000000" w:themeColor="text1"/>
        </w:rPr>
        <w:t>Providers should note that Guidance Notes are intended to provide guidance only. They are not definitive or binding documents. Nor are they prescriptive. The definitive instruments for regulatory purposes remain the TEQSA Act and the Higher Education Standards Framework as amended from time to time.</w:t>
      </w:r>
    </w:p>
    <w:p w:rsidR="0024042F" w:rsidRDefault="0024042F" w:rsidP="0024042F">
      <w:pPr>
        <w:pStyle w:val="Heading2"/>
      </w:pPr>
      <w:r>
        <w:t>What does transnational higher education into Australia encompass?</w:t>
      </w:r>
    </w:p>
    <w:p w:rsidR="0024042F" w:rsidRDefault="0024042F" w:rsidP="000E7132">
      <w:r>
        <w:t xml:space="preserve">Transnational Education (TNE) into Australia encompasses providers based outside of Australia who provide, or are seeking to provide, education to students located in Australia. For the purposes of this note, ‘TNE’ refers solely to transnational higher education provided or offered </w:t>
      </w:r>
      <w:r w:rsidRPr="004A0147">
        <w:rPr>
          <w:i/>
        </w:rPr>
        <w:t>into</w:t>
      </w:r>
      <w:r>
        <w:t xml:space="preserve"> Australia unless otherwise specified (as distinct from transnational higher education offered overseas by Australian providers, which is covered by a separate guidance note on Third Party Arrangements). </w:t>
      </w:r>
    </w:p>
    <w:p w:rsidR="0024042F" w:rsidRDefault="0024042F" w:rsidP="0024042F">
      <w:pPr>
        <w:pStyle w:val="Heading2"/>
      </w:pPr>
      <w:r>
        <w:t>Does TEQSA regulate TNE?</w:t>
      </w:r>
    </w:p>
    <w:p w:rsidR="0024042F" w:rsidRDefault="0024042F" w:rsidP="000E7132">
      <w:r>
        <w:t xml:space="preserve">Regulation of TNE by TEQSA in the higher education sector is governed by the </w:t>
      </w:r>
      <w:r w:rsidRPr="00837429">
        <w:rPr>
          <w:i/>
          <w:iCs/>
        </w:rPr>
        <w:t>Tertiary Education Quality and Standards Agency Act 2011</w:t>
      </w:r>
      <w:r w:rsidRPr="00837429">
        <w:rPr>
          <w:i/>
        </w:rPr>
        <w:t xml:space="preserve"> </w:t>
      </w:r>
      <w:r>
        <w:t xml:space="preserve">(the TEQSA Act). </w:t>
      </w:r>
      <w:r w:rsidRPr="00364DB3">
        <w:t xml:space="preserve">The extent to which an entity </w:t>
      </w:r>
      <w:r>
        <w:t xml:space="preserve">(i.e. a provider of higher education) </w:t>
      </w:r>
      <w:r w:rsidRPr="00364DB3">
        <w:t xml:space="preserve">is regulated by TEQSA varies based on </w:t>
      </w:r>
      <w:r>
        <w:t xml:space="preserve">a number of </w:t>
      </w:r>
      <w:r w:rsidRPr="00364DB3">
        <w:t>matters including</w:t>
      </w:r>
      <w:r>
        <w:t>,</w:t>
      </w:r>
      <w:r w:rsidRPr="00364DB3">
        <w:t xml:space="preserve"> </w:t>
      </w:r>
      <w:r>
        <w:t xml:space="preserve">in particular, </w:t>
      </w:r>
      <w:r w:rsidRPr="00364DB3">
        <w:t xml:space="preserve">whether </w:t>
      </w:r>
      <w:r>
        <w:t xml:space="preserve">the provider </w:t>
      </w:r>
      <w:r w:rsidRPr="00364DB3">
        <w:t xml:space="preserve">is an Australian or </w:t>
      </w:r>
      <w:r>
        <w:t xml:space="preserve">an </w:t>
      </w:r>
      <w:r w:rsidRPr="00364DB3">
        <w:t xml:space="preserve">overseas entity. </w:t>
      </w:r>
    </w:p>
    <w:p w:rsidR="0024042F" w:rsidRPr="007D0FEC" w:rsidRDefault="0024042F" w:rsidP="000E7132">
      <w:pPr>
        <w:rPr>
          <w:b/>
          <w:i/>
        </w:rPr>
      </w:pPr>
      <w:r w:rsidRPr="007D0FEC">
        <w:rPr>
          <w:b/>
          <w:i/>
        </w:rPr>
        <w:t xml:space="preserve">The TEQSA Act only applies to the operations of overseas higher education providers where the provider offers or confers a higher education qualification for a course of study that is </w:t>
      </w:r>
      <w:r>
        <w:rPr>
          <w:b/>
          <w:i/>
        </w:rPr>
        <w:t>‘</w:t>
      </w:r>
      <w:r w:rsidRPr="007D0FEC">
        <w:rPr>
          <w:b/>
          <w:i/>
        </w:rPr>
        <w:t>provided wholly or mainly from Australian premises</w:t>
      </w:r>
      <w:r>
        <w:rPr>
          <w:b/>
          <w:i/>
        </w:rPr>
        <w:t>’</w:t>
      </w:r>
      <w:r w:rsidRPr="007D0FEC">
        <w:rPr>
          <w:b/>
          <w:i/>
        </w:rPr>
        <w:t>.</w:t>
      </w:r>
    </w:p>
    <w:p w:rsidR="0024042F" w:rsidRPr="00A00ABE" w:rsidRDefault="0024042F" w:rsidP="000E7132">
      <w:pPr>
        <w:rPr>
          <w:rFonts w:ascii="Arial" w:hAnsi="Arial"/>
          <w:b/>
          <w:bCs/>
          <w:color w:val="auto"/>
          <w:lang w:val="en-US"/>
        </w:rPr>
      </w:pPr>
      <w:r w:rsidRPr="00A00ABE">
        <w:rPr>
          <w:rFonts w:ascii="Arial" w:hAnsi="Arial"/>
          <w:color w:val="auto"/>
          <w:lang w:val="en-US"/>
        </w:rPr>
        <w:t xml:space="preserve">In determining whether a course of study is provided mainly from Australian premises, TEQSA will operate from the starting point that provision of more than 50% of a course from Australian premises indicates a course that is provided ‘mainly’ from those premises. However, this will depend on the provider and the nature of the specific course being offered. Importantly, TEQSA will also have regard to the regulatory principles of risk, proportionality and necessity when determining whether regulatory action (in this case registration of an overseas provider) is necessary in the circumstances.    </w:t>
      </w:r>
    </w:p>
    <w:p w:rsidR="0024042F" w:rsidRDefault="0024042F">
      <w:pPr>
        <w:rPr>
          <w:rFonts w:asciiTheme="majorHAnsi" w:eastAsiaTheme="majorEastAsia" w:hAnsiTheme="majorHAnsi" w:cstheme="majorBidi"/>
          <w:color w:val="00A398"/>
          <w:sz w:val="44"/>
          <w:szCs w:val="26"/>
        </w:rPr>
      </w:pPr>
      <w:r>
        <w:br w:type="page"/>
      </w:r>
    </w:p>
    <w:p w:rsidR="0024042F" w:rsidRDefault="0024042F" w:rsidP="0024042F">
      <w:pPr>
        <w:pStyle w:val="Heading2"/>
      </w:pPr>
      <w:r>
        <w:lastRenderedPageBreak/>
        <w:t>Options for provision of TNE into Australia</w:t>
      </w:r>
    </w:p>
    <w:p w:rsidR="0024042F" w:rsidRPr="003F624A" w:rsidRDefault="0024042F" w:rsidP="0024042F">
      <w:pPr>
        <w:pStyle w:val="BulletsL2"/>
        <w:numPr>
          <w:ilvl w:val="0"/>
          <w:numId w:val="0"/>
        </w:numPr>
      </w:pPr>
      <w:r w:rsidRPr="003F624A">
        <w:t>Overseas providers of higher education seeking to offer higher education in Australia may wish to:</w:t>
      </w:r>
    </w:p>
    <w:p w:rsidR="0024042F" w:rsidRPr="007D0FEC" w:rsidRDefault="0024042F" w:rsidP="0024042F">
      <w:pPr>
        <w:pStyle w:val="ListParagraph"/>
        <w:numPr>
          <w:ilvl w:val="0"/>
          <w:numId w:val="48"/>
        </w:numPr>
        <w:contextualSpacing w:val="0"/>
        <w:rPr>
          <w:rFonts w:cs="Arial"/>
        </w:rPr>
      </w:pPr>
      <w:r w:rsidRPr="007D0FEC">
        <w:rPr>
          <w:rFonts w:cs="Arial"/>
        </w:rPr>
        <w:t>establish an Australian campus(</w:t>
      </w:r>
      <w:proofErr w:type="spellStart"/>
      <w:r w:rsidRPr="007D0FEC">
        <w:rPr>
          <w:rFonts w:cs="Arial"/>
        </w:rPr>
        <w:t>es</w:t>
      </w:r>
      <w:proofErr w:type="spellEnd"/>
      <w:r w:rsidRPr="007D0FEC">
        <w:rPr>
          <w:rFonts w:cs="Arial"/>
        </w:rPr>
        <w:t>) at which students will undertake their entire course of study for a higher education qualification</w:t>
      </w:r>
    </w:p>
    <w:p w:rsidR="0024042F" w:rsidRPr="007D0FEC" w:rsidRDefault="0024042F" w:rsidP="0024042F">
      <w:pPr>
        <w:pStyle w:val="ListParagraph"/>
        <w:numPr>
          <w:ilvl w:val="0"/>
          <w:numId w:val="48"/>
        </w:numPr>
        <w:contextualSpacing w:val="0"/>
        <w:rPr>
          <w:rFonts w:cs="Arial"/>
        </w:rPr>
      </w:pPr>
      <w:r w:rsidRPr="007D0FEC">
        <w:rPr>
          <w:rFonts w:cs="Arial"/>
        </w:rPr>
        <w:t xml:space="preserve">establish an Australian subsidiary to solely or jointly deliver the course of study and confer the relevant qualification </w:t>
      </w:r>
    </w:p>
    <w:p w:rsidR="0024042F" w:rsidRPr="007D0FEC" w:rsidRDefault="0024042F" w:rsidP="0024042F">
      <w:pPr>
        <w:pStyle w:val="ListParagraph"/>
        <w:numPr>
          <w:ilvl w:val="0"/>
          <w:numId w:val="48"/>
        </w:numPr>
        <w:contextualSpacing w:val="0"/>
        <w:rPr>
          <w:rFonts w:cs="Arial"/>
        </w:rPr>
      </w:pPr>
      <w:r w:rsidRPr="007D0FEC">
        <w:rPr>
          <w:rFonts w:cs="Arial"/>
        </w:rPr>
        <w:t>enrol Australian students in online courses provided from overseas premises</w:t>
      </w:r>
    </w:p>
    <w:p w:rsidR="0024042F" w:rsidRPr="007D0FEC" w:rsidRDefault="0024042F" w:rsidP="0024042F">
      <w:pPr>
        <w:pStyle w:val="ListParagraph"/>
        <w:numPr>
          <w:ilvl w:val="0"/>
          <w:numId w:val="48"/>
        </w:numPr>
        <w:contextualSpacing w:val="0"/>
        <w:rPr>
          <w:rFonts w:cs="Arial"/>
        </w:rPr>
      </w:pPr>
      <w:r w:rsidRPr="007D0FEC">
        <w:rPr>
          <w:rFonts w:cs="Arial"/>
        </w:rPr>
        <w:t>offer students the opportunity to take classes for shorter periods of time at Australian premises operated by the provider, either:</w:t>
      </w:r>
    </w:p>
    <w:p w:rsidR="0024042F" w:rsidRDefault="0024042F" w:rsidP="0024042F">
      <w:pPr>
        <w:pStyle w:val="BulletsL2"/>
        <w:numPr>
          <w:ilvl w:val="0"/>
          <w:numId w:val="47"/>
        </w:numPr>
        <w:ind w:left="993" w:hanging="284"/>
      </w:pPr>
      <w:r w:rsidRPr="003F624A">
        <w:t xml:space="preserve">as part of a course of study </w:t>
      </w:r>
      <w:r>
        <w:t xml:space="preserve">(such as a ‘study abroad program’) leading to the award of a qualification, </w:t>
      </w:r>
      <w:r w:rsidRPr="003F624A">
        <w:t>that</w:t>
      </w:r>
      <w:r>
        <w:t xml:space="preserve"> </w:t>
      </w:r>
      <w:r w:rsidRPr="003F624A">
        <w:t>is completed mainly overseas</w:t>
      </w:r>
      <w:r>
        <w:t xml:space="preserve">, </w:t>
      </w:r>
      <w:r w:rsidRPr="003F624A">
        <w:t xml:space="preserve">or </w:t>
      </w:r>
    </w:p>
    <w:p w:rsidR="0024042F" w:rsidRPr="003F624A" w:rsidRDefault="0024042F" w:rsidP="0024042F">
      <w:pPr>
        <w:pStyle w:val="BulletsL2"/>
        <w:numPr>
          <w:ilvl w:val="0"/>
          <w:numId w:val="47"/>
        </w:numPr>
        <w:ind w:left="993" w:hanging="284"/>
      </w:pPr>
      <w:r w:rsidRPr="003F624A">
        <w:t>as a stand-alone course</w:t>
      </w:r>
      <w:r>
        <w:t xml:space="preserve"> of study</w:t>
      </w:r>
      <w:r w:rsidRPr="003F624A">
        <w:t xml:space="preserve"> </w:t>
      </w:r>
      <w:r>
        <w:t>that</w:t>
      </w:r>
      <w:r w:rsidRPr="003F624A">
        <w:t xml:space="preserve"> does not involve conferral of</w:t>
      </w:r>
      <w:r>
        <w:t xml:space="preserve"> </w:t>
      </w:r>
      <w:r w:rsidRPr="003F624A">
        <w:t>a</w:t>
      </w:r>
      <w:r>
        <w:t xml:space="preserve"> higher education qualification</w:t>
      </w:r>
    </w:p>
    <w:p w:rsidR="0024042F" w:rsidRPr="007D0FEC" w:rsidRDefault="0024042F" w:rsidP="0024042F">
      <w:pPr>
        <w:pStyle w:val="ListParagraph"/>
        <w:numPr>
          <w:ilvl w:val="0"/>
          <w:numId w:val="48"/>
        </w:numPr>
        <w:contextualSpacing w:val="0"/>
        <w:rPr>
          <w:rFonts w:cs="Arial"/>
        </w:rPr>
      </w:pPr>
      <w:proofErr w:type="gramStart"/>
      <w:r w:rsidRPr="007D0FEC">
        <w:rPr>
          <w:rFonts w:cs="Arial"/>
        </w:rPr>
        <w:t>establish</w:t>
      </w:r>
      <w:proofErr w:type="gramEnd"/>
      <w:r w:rsidRPr="007D0FEC">
        <w:rPr>
          <w:rFonts w:cs="Arial"/>
        </w:rPr>
        <w:t xml:space="preserve"> arrangements with an Australian registered higher education provider where the Australian provider confers the higher education award.</w:t>
      </w:r>
    </w:p>
    <w:p w:rsidR="0024042F" w:rsidRDefault="0024042F" w:rsidP="000E7132">
      <w:r w:rsidRPr="00240532">
        <w:t xml:space="preserve">Option </w:t>
      </w:r>
      <w:r>
        <w:t>‘</w:t>
      </w:r>
      <w:r w:rsidRPr="00240532">
        <w:t>a</w:t>
      </w:r>
      <w:r>
        <w:t>’</w:t>
      </w:r>
      <w:r w:rsidRPr="00240532">
        <w:t xml:space="preserve"> would require the overseas provider to </w:t>
      </w:r>
      <w:r>
        <w:t xml:space="preserve">be registered and regulated by TEQSA. Option ‘b’ would require the subsidiary, but not the overseas provider, </w:t>
      </w:r>
      <w:r w:rsidRPr="00240532">
        <w:t xml:space="preserve">to </w:t>
      </w:r>
      <w:r>
        <w:t xml:space="preserve">be registered and regulated by TEQSA. </w:t>
      </w:r>
      <w:r w:rsidRPr="00240532">
        <w:t>Option</w:t>
      </w:r>
      <w:r>
        <w:t>s</w:t>
      </w:r>
      <w:r w:rsidRPr="00240532">
        <w:t xml:space="preserve"> </w:t>
      </w:r>
      <w:r>
        <w:t>‘</w:t>
      </w:r>
      <w:r w:rsidRPr="00240532">
        <w:t>c</w:t>
      </w:r>
      <w:r>
        <w:t>’</w:t>
      </w:r>
      <w:r w:rsidRPr="00240532">
        <w:t xml:space="preserve">, </w:t>
      </w:r>
      <w:r>
        <w:t>‘</w:t>
      </w:r>
      <w:r w:rsidRPr="00240532">
        <w:t>d</w:t>
      </w:r>
      <w:r>
        <w:t>’</w:t>
      </w:r>
      <w:r w:rsidRPr="00240532">
        <w:t xml:space="preserve"> and </w:t>
      </w:r>
      <w:r>
        <w:t>‘</w:t>
      </w:r>
      <w:r w:rsidRPr="00240532">
        <w:t>e</w:t>
      </w:r>
      <w:r>
        <w:t>’</w:t>
      </w:r>
      <w:r w:rsidRPr="00240532">
        <w:t xml:space="preserve"> would not require the overseas provider to be registered </w:t>
      </w:r>
      <w:r>
        <w:t>or regulated by</w:t>
      </w:r>
      <w:r w:rsidRPr="00240532">
        <w:t xml:space="preserve"> TEQSA, but</w:t>
      </w:r>
      <w:r>
        <w:t xml:space="preserve"> </w:t>
      </w:r>
      <w:r w:rsidRPr="00240532">
        <w:t xml:space="preserve">option </w:t>
      </w:r>
      <w:r>
        <w:t>‘</w:t>
      </w:r>
      <w:r w:rsidRPr="00240532">
        <w:t>e</w:t>
      </w:r>
      <w:r>
        <w:t>’</w:t>
      </w:r>
      <w:r w:rsidRPr="00240532">
        <w:t xml:space="preserve"> would require an arrangement with another entity that is registered with</w:t>
      </w:r>
      <w:r>
        <w:t xml:space="preserve"> and regulated by</w:t>
      </w:r>
      <w:r w:rsidRPr="00240532">
        <w:t xml:space="preserve"> TEQSA.</w:t>
      </w:r>
    </w:p>
    <w:p w:rsidR="0024042F" w:rsidRDefault="0024042F" w:rsidP="0024042F">
      <w:pPr>
        <w:pStyle w:val="BulletsL2"/>
        <w:numPr>
          <w:ilvl w:val="0"/>
          <w:numId w:val="0"/>
        </w:numPr>
      </w:pPr>
      <w:r>
        <w:t>In summary:</w:t>
      </w:r>
    </w:p>
    <w:p w:rsidR="0024042F" w:rsidRPr="000A374A" w:rsidRDefault="0024042F" w:rsidP="0024042F">
      <w:pPr>
        <w:pStyle w:val="ListParagraph"/>
        <w:numPr>
          <w:ilvl w:val="0"/>
          <w:numId w:val="46"/>
        </w:numPr>
        <w:contextualSpacing w:val="0"/>
        <w:rPr>
          <w:rFonts w:cs="Arial"/>
        </w:rPr>
      </w:pPr>
      <w:r w:rsidRPr="000A374A">
        <w:rPr>
          <w:rFonts w:cs="Arial"/>
        </w:rPr>
        <w:t>an overseas entity must be registered by TEQSA if the entity offers or awards higher education qualifications for courses of study that are provided wholly or mainly from Australian premises</w:t>
      </w:r>
      <w:r>
        <w:rPr>
          <w:rFonts w:cs="Arial"/>
        </w:rPr>
        <w:t>,</w:t>
      </w:r>
    </w:p>
    <w:p w:rsidR="0024042F" w:rsidRPr="000A374A" w:rsidRDefault="0024042F" w:rsidP="0024042F">
      <w:pPr>
        <w:pStyle w:val="ListParagraph"/>
        <w:numPr>
          <w:ilvl w:val="0"/>
          <w:numId w:val="46"/>
        </w:numPr>
        <w:contextualSpacing w:val="0"/>
        <w:rPr>
          <w:rFonts w:cs="Arial"/>
        </w:rPr>
      </w:pPr>
      <w:r w:rsidRPr="000A374A">
        <w:rPr>
          <w:rFonts w:cs="Arial"/>
        </w:rPr>
        <w:t>an Australian entity (i.e. including an Australian subsidiary of an overseas provider) must be registered if it offers or confers higher education qualifications, irrespective of the location of the courses of study leading to those qualifications, and</w:t>
      </w:r>
    </w:p>
    <w:p w:rsidR="0024042F" w:rsidRPr="00085AF5" w:rsidRDefault="0024042F" w:rsidP="000E7132">
      <w:r>
        <w:t>I</w:t>
      </w:r>
      <w:r w:rsidRPr="00D92A5A">
        <w:t xml:space="preserve">f a provider offers or confers higher education qualifications to international students studying in Australian </w:t>
      </w:r>
      <w:r w:rsidRPr="00EB545F">
        <w:t xml:space="preserve">on a student visa, the provider must be registered under the ESOS Act (i.e. on CRICOS) and meet the requirements of the National </w:t>
      </w:r>
      <w:r w:rsidRPr="00085AF5">
        <w:t xml:space="preserve">Code. </w:t>
      </w:r>
    </w:p>
    <w:p w:rsidR="0024042F" w:rsidRPr="000E7132" w:rsidRDefault="0024042F" w:rsidP="000E7132">
      <w:pPr>
        <w:rPr>
          <w:b/>
          <w:i/>
        </w:rPr>
      </w:pPr>
      <w:bookmarkStart w:id="0" w:name="bookmark5"/>
      <w:r w:rsidRPr="000E7132">
        <w:rPr>
          <w:b/>
          <w:i/>
        </w:rPr>
        <w:t>Registration and regulation of an overseas provider under the TEQSA Act is not required:</w:t>
      </w:r>
    </w:p>
    <w:p w:rsidR="0024042F" w:rsidRPr="000067E5" w:rsidRDefault="0024042F" w:rsidP="0024042F">
      <w:pPr>
        <w:pStyle w:val="BulletsL2"/>
        <w:numPr>
          <w:ilvl w:val="0"/>
          <w:numId w:val="49"/>
        </w:numPr>
      </w:pPr>
      <w:r>
        <w:rPr>
          <w:rFonts w:cs="Arial"/>
          <w:lang w:val="en-AU"/>
        </w:rPr>
        <w:t xml:space="preserve">for </w:t>
      </w:r>
      <w:r w:rsidRPr="000067E5">
        <w:rPr>
          <w:rFonts w:cs="Arial"/>
          <w:lang w:val="en-AU"/>
        </w:rPr>
        <w:t xml:space="preserve">international online courses offered to Australian students </w:t>
      </w:r>
      <w:r>
        <w:rPr>
          <w:rFonts w:cs="Arial"/>
          <w:lang w:val="en-AU"/>
        </w:rPr>
        <w:t xml:space="preserve">wholly or mainly </w:t>
      </w:r>
      <w:r w:rsidRPr="000067E5">
        <w:rPr>
          <w:rFonts w:cs="Arial"/>
          <w:lang w:val="en-AU"/>
        </w:rPr>
        <w:t>from overseas</w:t>
      </w:r>
    </w:p>
    <w:p w:rsidR="0024042F" w:rsidRDefault="0024042F" w:rsidP="0024042F">
      <w:pPr>
        <w:pStyle w:val="BulletsL2"/>
        <w:numPr>
          <w:ilvl w:val="0"/>
          <w:numId w:val="49"/>
        </w:numPr>
      </w:pPr>
      <w:r>
        <w:rPr>
          <w:rFonts w:cs="Arial"/>
          <w:lang w:val="en-AU"/>
        </w:rPr>
        <w:t xml:space="preserve">for </w:t>
      </w:r>
      <w:r w:rsidRPr="000067E5">
        <w:rPr>
          <w:rFonts w:cs="Arial"/>
          <w:lang w:val="en-AU"/>
        </w:rPr>
        <w:t>short-term study</w:t>
      </w:r>
      <w:r w:rsidRPr="00F83E4E">
        <w:t xml:space="preserve"> abroad arrangements</w:t>
      </w:r>
      <w:r>
        <w:t xml:space="preserve"> in Australia </w:t>
      </w:r>
      <w:r w:rsidRPr="00F83E4E">
        <w:t xml:space="preserve">where the majority of the course is provided outside Australia, or </w:t>
      </w:r>
    </w:p>
    <w:p w:rsidR="0024042F" w:rsidRDefault="0024042F" w:rsidP="0024042F">
      <w:pPr>
        <w:pStyle w:val="BulletsL2"/>
        <w:numPr>
          <w:ilvl w:val="0"/>
          <w:numId w:val="49"/>
        </w:numPr>
      </w:pPr>
      <w:proofErr w:type="gramStart"/>
      <w:r w:rsidRPr="00F83E4E">
        <w:t>where</w:t>
      </w:r>
      <w:proofErr w:type="gramEnd"/>
      <w:r w:rsidRPr="00F83E4E">
        <w:t xml:space="preserve"> no award</w:t>
      </w:r>
      <w:r>
        <w:rPr>
          <w:rStyle w:val="FootnoteReference"/>
        </w:rPr>
        <w:footnoteReference w:id="1"/>
      </w:r>
      <w:r w:rsidRPr="00F83E4E">
        <w:t xml:space="preserve"> is offered or conferred for completion</w:t>
      </w:r>
      <w:r>
        <w:t xml:space="preserve"> </w:t>
      </w:r>
      <w:r w:rsidRPr="00F83E4E">
        <w:t>of the course</w:t>
      </w:r>
      <w:r>
        <w:t>.</w:t>
      </w:r>
    </w:p>
    <w:bookmarkEnd w:id="0"/>
    <w:p w:rsidR="0024042F" w:rsidRDefault="0024042F" w:rsidP="000E7132">
      <w:r>
        <w:lastRenderedPageBreak/>
        <w:t xml:space="preserve">In seeking registration by TEQSA, an overseas entity operating in Australia </w:t>
      </w:r>
      <w:r w:rsidRPr="00F83E4E">
        <w:t xml:space="preserve">could apply </w:t>
      </w:r>
      <w:r>
        <w:t xml:space="preserve">to </w:t>
      </w:r>
      <w:r w:rsidRPr="00F83E4E">
        <w:t>be registered in the Higher Education</w:t>
      </w:r>
      <w:r>
        <w:t xml:space="preserve"> </w:t>
      </w:r>
      <w:r w:rsidRPr="00F83E4E">
        <w:t>Provider (HEP) category or the Overseas University/</w:t>
      </w:r>
      <w:r>
        <w:t xml:space="preserve"> </w:t>
      </w:r>
      <w:r w:rsidRPr="00F83E4E">
        <w:t>Overseas University of Specialisation</w:t>
      </w:r>
      <w:r>
        <w:t xml:space="preserve"> </w:t>
      </w:r>
      <w:r w:rsidRPr="00F83E4E">
        <w:t>categories</w:t>
      </w:r>
      <w:r>
        <w:rPr>
          <w:rStyle w:val="FootnoteReference"/>
        </w:rPr>
        <w:footnoteReference w:id="2"/>
      </w:r>
      <w:r w:rsidRPr="00F83E4E">
        <w:t>.</w:t>
      </w:r>
    </w:p>
    <w:p w:rsidR="0024042F" w:rsidRDefault="0024042F" w:rsidP="000E7132">
      <w:pPr>
        <w:rPr>
          <w:rStyle w:val="MSGENFONTSTYLENAMETEMPLATEROLEMSGENFONTSTYLENAMEBYROLETEXT"/>
        </w:rPr>
      </w:pPr>
      <w:bookmarkStart w:id="1" w:name="bookmark6"/>
      <w:r>
        <w:t xml:space="preserve">Where an overseas provider has an </w:t>
      </w:r>
      <w:r w:rsidRPr="00F83E4E">
        <w:t>Australian subsidiar</w:t>
      </w:r>
      <w:r>
        <w:t>y</w:t>
      </w:r>
      <w:bookmarkEnd w:id="1"/>
      <w:r>
        <w:t xml:space="preserve"> that provides higher education courses, the subsidiary must</w:t>
      </w:r>
      <w:r w:rsidRPr="00F83E4E">
        <w:t xml:space="preserve"> apply to </w:t>
      </w:r>
      <w:r>
        <w:t xml:space="preserve">TEQSA to </w:t>
      </w:r>
      <w:r w:rsidRPr="00F83E4E">
        <w:t xml:space="preserve">be registered in the HEP category or </w:t>
      </w:r>
      <w:r>
        <w:t xml:space="preserve">one of </w:t>
      </w:r>
      <w:r w:rsidRPr="00F83E4E">
        <w:t>the Australian University College</w:t>
      </w:r>
      <w:r>
        <w:t xml:space="preserve"> </w:t>
      </w:r>
      <w:r w:rsidRPr="00F83E4E">
        <w:t>categories.</w:t>
      </w:r>
    </w:p>
    <w:p w:rsidR="0024042F" w:rsidRPr="001F023D" w:rsidRDefault="0024042F" w:rsidP="000E7132">
      <w:r>
        <w:t xml:space="preserve">The Criteria for Classification of Higher Education Provider Categories are given in Part B of the HES Framework. </w:t>
      </w:r>
      <w:r w:rsidRPr="001F023D">
        <w:t xml:space="preserve">Prospective providers should note that </w:t>
      </w:r>
      <w:r w:rsidRPr="000A374A">
        <w:rPr>
          <w:b/>
          <w:i/>
        </w:rPr>
        <w:t>the use of the title ‘university’ is restricted and regulated in Australia</w:t>
      </w:r>
      <w:r>
        <w:rPr>
          <w:rStyle w:val="FootnoteReference"/>
          <w:b/>
          <w:i/>
        </w:rPr>
        <w:footnoteReference w:id="3"/>
      </w:r>
      <w:r>
        <w:t xml:space="preserve">. </w:t>
      </w:r>
    </w:p>
    <w:p w:rsidR="0024042F" w:rsidRDefault="0024042F" w:rsidP="0024042F">
      <w:pPr>
        <w:pStyle w:val="Heading2"/>
      </w:pPr>
      <w:r w:rsidRPr="004A4935">
        <w:t>Relevant Standards</w:t>
      </w:r>
      <w:r>
        <w:t xml:space="preserve"> in the HES Framework </w:t>
      </w:r>
    </w:p>
    <w:p w:rsidR="0024042F" w:rsidRDefault="0024042F" w:rsidP="0024042F">
      <w:r>
        <w:t xml:space="preserve">Where TNE is subject to regulation under the TEQSA Act, the provider must meet and continue to meet all of the requirements of the </w:t>
      </w:r>
      <w:r w:rsidRPr="00A40DAB">
        <w:rPr>
          <w:i/>
        </w:rPr>
        <w:t>Higher Education Standards Framework (Threshold Standards) 2015</w:t>
      </w:r>
      <w:r>
        <w:t xml:space="preserve"> (HES Framework), except for those aspects that are not directly applicable to the provider concerned. Requirements not applicable might include the research standards if a provider is not engaged in research, and the Criteria for Classification of Higher Education Providers that are not applicable to the particular provider. </w:t>
      </w:r>
    </w:p>
    <w:p w:rsidR="0024042F" w:rsidRDefault="0024042F" w:rsidP="0024042F">
      <w:r>
        <w:t xml:space="preserve">If a provider enters into an arrangement with a third party, Section 5.4 of Part A of the HES Framework applies in particular to that arrangement. </w:t>
      </w:r>
    </w:p>
    <w:p w:rsidR="0024042F" w:rsidRDefault="0024042F" w:rsidP="0024042F">
      <w:r>
        <w:t xml:space="preserve">In the event that TNE is offered to international students who are studying in Australia on a student visa, </w:t>
      </w:r>
      <w:r w:rsidRPr="00AD3F73">
        <w:rPr>
          <w:bCs/>
        </w:rPr>
        <w:t xml:space="preserve">both the </w:t>
      </w:r>
      <w:r w:rsidRPr="00C27553">
        <w:rPr>
          <w:bCs/>
          <w:i/>
        </w:rPr>
        <w:t>Education Services for Overseas Students Act 2000</w:t>
      </w:r>
      <w:r w:rsidRPr="00AD3F73">
        <w:rPr>
          <w:bCs/>
        </w:rPr>
        <w:t xml:space="preserve"> </w:t>
      </w:r>
      <w:r>
        <w:rPr>
          <w:bCs/>
        </w:rPr>
        <w:t xml:space="preserve">(the ESOS Act) </w:t>
      </w:r>
      <w:r w:rsidRPr="00AD3F73">
        <w:rPr>
          <w:bCs/>
        </w:rPr>
        <w:t xml:space="preserve">and the </w:t>
      </w:r>
      <w:r w:rsidRPr="00C27553">
        <w:rPr>
          <w:bCs/>
          <w:i/>
        </w:rPr>
        <w:t>National Code of Practice for Providers of Education and Training to Overseas Students 2007</w:t>
      </w:r>
      <w:r w:rsidRPr="00AD3F73">
        <w:rPr>
          <w:rStyle w:val="FootnoteReference"/>
          <w:bCs/>
        </w:rPr>
        <w:footnoteReference w:id="4"/>
      </w:r>
      <w:r>
        <w:rPr>
          <w:bCs/>
        </w:rPr>
        <w:t xml:space="preserve"> (the National Code) would </w:t>
      </w:r>
      <w:r w:rsidRPr="00AD3F73">
        <w:rPr>
          <w:bCs/>
        </w:rPr>
        <w:t>also appl</w:t>
      </w:r>
      <w:r>
        <w:rPr>
          <w:bCs/>
        </w:rPr>
        <w:t>y</w:t>
      </w:r>
      <w:r w:rsidRPr="00AD3F73">
        <w:rPr>
          <w:bCs/>
        </w:rPr>
        <w:t>.</w:t>
      </w:r>
      <w:r>
        <w:t xml:space="preserve"> Among other requirements, the ESOS Act requires a provider to be registered under the ESOS Act and prohibits the marketing of courses to overseas students until the provider and its courses are registered under the ESOS Act. The ESOS Act may also require a provider to be incorporated in Australia. Separate guidance material is being prepared on the requirements of the ESOS Act and related matters. </w:t>
      </w:r>
    </w:p>
    <w:p w:rsidR="0024042F" w:rsidRPr="004A4935" w:rsidRDefault="0024042F" w:rsidP="0024042F">
      <w:pPr>
        <w:pStyle w:val="Heading2"/>
      </w:pPr>
      <w:r w:rsidRPr="004A4935">
        <w:t>Intent of the Standards</w:t>
      </w:r>
      <w:r>
        <w:t xml:space="preserve"> </w:t>
      </w:r>
    </w:p>
    <w:p w:rsidR="0024042F" w:rsidRDefault="0024042F" w:rsidP="0024042F">
      <w:r>
        <w:t xml:space="preserve">The intent of the Standards is to ensure that regulated TNE meets the requirements of the HES Framework in the same way as any other higher education offered in Australia. </w:t>
      </w:r>
    </w:p>
    <w:p w:rsidR="00861501" w:rsidRDefault="00861501">
      <w:pPr>
        <w:rPr>
          <w:rFonts w:asciiTheme="majorHAnsi" w:eastAsiaTheme="majorEastAsia" w:hAnsiTheme="majorHAnsi" w:cstheme="majorBidi"/>
          <w:color w:val="00A398"/>
          <w:sz w:val="44"/>
          <w:szCs w:val="26"/>
        </w:rPr>
      </w:pPr>
      <w:r>
        <w:br w:type="page"/>
      </w:r>
    </w:p>
    <w:p w:rsidR="0024042F" w:rsidRPr="00A71970" w:rsidRDefault="000E7132" w:rsidP="0024042F">
      <w:pPr>
        <w:pStyle w:val="Heading2"/>
      </w:pPr>
      <w:r>
        <w:lastRenderedPageBreak/>
        <w:t xml:space="preserve">Risks to </w:t>
      </w:r>
      <w:r w:rsidR="008E4067">
        <w:t>Quality</w:t>
      </w:r>
    </w:p>
    <w:p w:rsidR="0024042F" w:rsidRDefault="0024042F" w:rsidP="0024042F">
      <w:r>
        <w:t>The risks posed by TNE providers are the same as those posed by all other providers, with the additional risk that overseas providers may have a lower level of understanding of Australian regulatory requirements.</w:t>
      </w:r>
    </w:p>
    <w:p w:rsidR="0024042F" w:rsidRDefault="0024042F" w:rsidP="0024042F">
      <w:pPr>
        <w:pStyle w:val="Heading2"/>
      </w:pPr>
      <w:r w:rsidRPr="00DE59A9">
        <w:t>What will TEQSA look for?</w:t>
      </w:r>
    </w:p>
    <w:p w:rsidR="000E7132" w:rsidRPr="000C7F31" w:rsidRDefault="000E7132" w:rsidP="00094FD7">
      <w:pPr>
        <w:pBdr>
          <w:top w:val="single" w:sz="4" w:space="1" w:color="auto"/>
          <w:left w:val="single" w:sz="4" w:space="4" w:color="auto"/>
          <w:bottom w:val="single" w:sz="4" w:space="6" w:color="auto"/>
          <w:right w:val="single" w:sz="4" w:space="4" w:color="auto"/>
        </w:pBdr>
        <w:shd w:val="clear" w:color="auto" w:fill="A2DADD" w:themeFill="accent5"/>
      </w:pPr>
      <w:r w:rsidRPr="000C7F31">
        <w:t xml:space="preserve">This part of the guidance note covers the full extent of the Standards, and corresponding evidence that TEQSA may require, in relation to </w:t>
      </w:r>
      <w:r>
        <w:t>transnational education into Australia</w:t>
      </w:r>
      <w:r w:rsidRPr="000C7F31">
        <w:t>.</w:t>
      </w:r>
    </w:p>
    <w:p w:rsidR="000E7132" w:rsidRPr="000C7F31" w:rsidRDefault="000E7132" w:rsidP="00094FD7">
      <w:pPr>
        <w:pBdr>
          <w:top w:val="single" w:sz="4" w:space="1" w:color="auto"/>
          <w:left w:val="single" w:sz="4" w:space="4" w:color="auto"/>
          <w:bottom w:val="single" w:sz="4" w:space="6" w:color="auto"/>
          <w:right w:val="single" w:sz="4" w:space="4" w:color="auto"/>
        </w:pBdr>
        <w:shd w:val="clear" w:color="auto" w:fill="A2DADD" w:themeFill="accent5"/>
      </w:pPr>
      <w:r w:rsidRPr="000C7F31">
        <w:t xml:space="preserve">For new applicants seeking initial registration and course accreditation, TEQSA will require evidence to be provided in relation to all relevant Standards. </w:t>
      </w:r>
    </w:p>
    <w:p w:rsidR="000E7132" w:rsidRPr="000C7F31" w:rsidRDefault="000E7132" w:rsidP="00094FD7">
      <w:pPr>
        <w:pBdr>
          <w:top w:val="single" w:sz="4" w:space="1" w:color="auto"/>
          <w:left w:val="single" w:sz="4" w:space="4" w:color="auto"/>
          <w:bottom w:val="single" w:sz="4" w:space="6" w:color="auto"/>
          <w:right w:val="single" w:sz="4" w:space="4" w:color="auto"/>
        </w:pBdr>
        <w:shd w:val="clear" w:color="auto" w:fill="A2DADD" w:themeFill="accent5"/>
      </w:pPr>
      <w:r w:rsidRPr="000C7F31">
        <w:t xml:space="preserve">For existing providers, the scope of Standards to be assessed and the evidence required may vary. This is consistent with the regulatory principles in the TEQSA Act, under which TEQSA has discretion to vary the scope of its assessments and the related evidence required. In exercising this discretion, TEQSA will be guided by the provider’s regulatory history, its risk profile and its track record in delivering high quality higher education. </w:t>
      </w:r>
    </w:p>
    <w:p w:rsidR="000E7132" w:rsidRPr="000C7F31" w:rsidRDefault="000E7132" w:rsidP="00094FD7">
      <w:pPr>
        <w:pBdr>
          <w:top w:val="single" w:sz="4" w:space="1" w:color="auto"/>
          <w:left w:val="single" w:sz="4" w:space="4" w:color="auto"/>
          <w:bottom w:val="single" w:sz="4" w:space="6" w:color="auto"/>
          <w:right w:val="single" w:sz="4" w:space="4" w:color="auto"/>
        </w:pBdr>
        <w:shd w:val="clear" w:color="auto" w:fill="A2DADD" w:themeFill="accent5"/>
      </w:pPr>
      <w:r w:rsidRPr="000C7F31">
        <w:t>TEQSA’s case managers will discuss with providers the scope of assessments and evidence required well ahead of the due date for submitting an application.</w:t>
      </w:r>
    </w:p>
    <w:p w:rsidR="0024042F" w:rsidRDefault="000E7132" w:rsidP="00094FD7">
      <w:pPr>
        <w:pBdr>
          <w:top w:val="single" w:sz="4" w:space="1" w:color="auto"/>
          <w:left w:val="single" w:sz="4" w:space="4" w:color="auto"/>
          <w:bottom w:val="single" w:sz="4" w:space="6" w:color="auto"/>
          <w:right w:val="single" w:sz="4" w:space="4" w:color="auto"/>
        </w:pBdr>
        <w:shd w:val="clear" w:color="auto" w:fill="A2DADD" w:themeFill="accent5"/>
      </w:pPr>
      <w:r w:rsidRPr="000C7F31">
        <w:t xml:space="preserve">The evidence required for particular types of application is available from the Application Guides on the TEQSA website. </w:t>
      </w:r>
    </w:p>
    <w:p w:rsidR="007E5C1F" w:rsidRDefault="007E5C1F" w:rsidP="00094FD7">
      <w:pPr>
        <w:pBdr>
          <w:top w:val="single" w:sz="4" w:space="1" w:color="auto"/>
          <w:left w:val="single" w:sz="4" w:space="4" w:color="auto"/>
          <w:bottom w:val="single" w:sz="4" w:space="6" w:color="auto"/>
          <w:right w:val="single" w:sz="4" w:space="4" w:color="auto"/>
        </w:pBdr>
        <w:shd w:val="clear" w:color="auto" w:fill="A2DADD" w:themeFill="accent5"/>
      </w:pPr>
      <w:r w:rsidRPr="007E5C1F">
        <w:t>Providers are required to comply with the Standards at all times, not just at the time of application, and TEQSA may seek evidence of compliance at other times if a risk of non-compliance is identified.</w:t>
      </w:r>
    </w:p>
    <w:p w:rsidR="0024042F" w:rsidRPr="001C1F24" w:rsidRDefault="0024042F" w:rsidP="0024042F">
      <w:pPr>
        <w:spacing w:before="160"/>
      </w:pPr>
      <w:r>
        <w:t xml:space="preserve">In the first stages of engagement, </w:t>
      </w:r>
      <w:r w:rsidRPr="001C1F24">
        <w:t xml:space="preserve">TEQSA will wish to understand the nature of </w:t>
      </w:r>
      <w:r>
        <w:t>a prospective</w:t>
      </w:r>
      <w:r w:rsidRPr="001C1F24">
        <w:t xml:space="preserve"> </w:t>
      </w:r>
      <w:r>
        <w:t xml:space="preserve">provider’s </w:t>
      </w:r>
      <w:r w:rsidRPr="001C1F24">
        <w:t xml:space="preserve">proposed operations </w:t>
      </w:r>
      <w:r>
        <w:t xml:space="preserve">in Australia </w:t>
      </w:r>
      <w:r w:rsidRPr="001C1F24">
        <w:t>and their regulatory implications</w:t>
      </w:r>
      <w:r>
        <w:t xml:space="preserve"> under the TEQSA Act and, if applicable, under the ESOS Act as well.</w:t>
      </w:r>
      <w:r w:rsidRPr="001C1F24">
        <w:t xml:space="preserve"> </w:t>
      </w:r>
      <w:r>
        <w:t xml:space="preserve">TEQSA will take account of a prospective provider’s standing in its home jurisdiction and may seek information from the provider’s home regulator. </w:t>
      </w:r>
    </w:p>
    <w:p w:rsidR="0024042F" w:rsidRDefault="0024042F" w:rsidP="0024042F">
      <w:pPr>
        <w:spacing w:after="200"/>
      </w:pPr>
      <w:r w:rsidRPr="001C1F24">
        <w:t xml:space="preserve">Overseas providers who may be interested in offering a course of study wholly or mainly in Australia should </w:t>
      </w:r>
      <w:hyperlink r:id="rId10" w:history="1">
        <w:r w:rsidRPr="001D4685">
          <w:rPr>
            <w:rStyle w:val="Hyperlink"/>
          </w:rPr>
          <w:t>contact TEQSA</w:t>
        </w:r>
      </w:hyperlink>
      <w:r w:rsidRPr="001C1F24">
        <w:t xml:space="preserve"> in the first instance</w:t>
      </w:r>
      <w:r>
        <w:t>.</w:t>
      </w:r>
    </w:p>
    <w:p w:rsidR="0024042F" w:rsidRDefault="0024042F">
      <w:pPr>
        <w:rPr>
          <w:rFonts w:asciiTheme="majorHAnsi" w:eastAsiaTheme="majorEastAsia" w:hAnsiTheme="majorHAnsi" w:cstheme="majorBidi"/>
          <w:color w:val="00A398"/>
          <w:sz w:val="32"/>
          <w:szCs w:val="24"/>
        </w:rPr>
      </w:pPr>
      <w:r>
        <w:br w:type="page"/>
      </w:r>
    </w:p>
    <w:p w:rsidR="0024042F" w:rsidRPr="00863630" w:rsidRDefault="0024042F" w:rsidP="000E7132">
      <w:pPr>
        <w:pStyle w:val="Heading2"/>
      </w:pPr>
      <w:r>
        <w:lastRenderedPageBreak/>
        <w:t>Resources and references</w:t>
      </w:r>
    </w:p>
    <w:p w:rsidR="0024042F" w:rsidRDefault="0024042F" w:rsidP="0024042F">
      <w:r>
        <w:t xml:space="preserve">TEQSA (2016), </w:t>
      </w:r>
      <w:r w:rsidRPr="00A61069">
        <w:rPr>
          <w:i/>
        </w:rPr>
        <w:t>Application Guide for Registration in any University Category</w:t>
      </w:r>
      <w:r>
        <w:rPr>
          <w:i/>
        </w:rPr>
        <w:t>, &lt;</w:t>
      </w:r>
      <w:hyperlink r:id="rId11" w:history="1">
        <w:r w:rsidRPr="00A61069">
          <w:rPr>
            <w:rStyle w:val="Hyperlink"/>
          </w:rPr>
          <w:t>http://www.teqsa.gov.au/applying-under-the-new-standards</w:t>
        </w:r>
      </w:hyperlink>
      <w:r w:rsidRPr="00A61069">
        <w:t>&gt;.</w:t>
      </w:r>
    </w:p>
    <w:p w:rsidR="0024042F" w:rsidRDefault="0024042F" w:rsidP="0024042F">
      <w:pPr>
        <w:rPr>
          <w:rFonts w:cstheme="minorHAnsi"/>
          <w:iCs/>
        </w:rPr>
      </w:pPr>
      <w:r>
        <w:rPr>
          <w:rFonts w:cstheme="minorHAnsi"/>
          <w:iCs/>
        </w:rPr>
        <w:t xml:space="preserve">TEQSA (2016), </w:t>
      </w:r>
      <w:r w:rsidRPr="00760A2C">
        <w:rPr>
          <w:rFonts w:cstheme="minorHAnsi"/>
          <w:i/>
          <w:iCs/>
        </w:rPr>
        <w:t>Explanations of terms in Part A of the HES Framework 2015</w:t>
      </w:r>
      <w:r>
        <w:rPr>
          <w:rFonts w:cstheme="minorHAnsi"/>
          <w:iCs/>
        </w:rPr>
        <w:t>, &lt;</w:t>
      </w:r>
      <w:hyperlink r:id="rId12" w:history="1">
        <w:r w:rsidRPr="00C639FE">
          <w:rPr>
            <w:rStyle w:val="Hyperlink"/>
          </w:rPr>
          <w:t>http://www.teqsa.gov.au/explanations-hes-framework-terms</w:t>
        </w:r>
      </w:hyperlink>
      <w:r>
        <w:rPr>
          <w:rFonts w:cstheme="minorHAnsi"/>
          <w:iCs/>
        </w:rPr>
        <w:t xml:space="preserve">&gt;. </w:t>
      </w:r>
    </w:p>
    <w:p w:rsidR="0024042F" w:rsidRDefault="0024042F" w:rsidP="0024042F">
      <w:r w:rsidRPr="008C6137">
        <w:t xml:space="preserve">TEQSA </w:t>
      </w:r>
      <w:r>
        <w:t>g</w:t>
      </w:r>
      <w:r w:rsidRPr="008C6137">
        <w:t>uidance material relating to ESOS (under development).</w:t>
      </w:r>
      <w:r>
        <w:t xml:space="preserve"> </w:t>
      </w:r>
    </w:p>
    <w:p w:rsidR="0024042F" w:rsidRDefault="0024042F" w:rsidP="0024042F">
      <w:r>
        <w:t xml:space="preserve">TEQSA (2016), Guidance Note on </w:t>
      </w:r>
      <w:r w:rsidRPr="00A61069">
        <w:rPr>
          <w:i/>
        </w:rPr>
        <w:t>Third-Party Arrangements</w:t>
      </w:r>
      <w:r>
        <w:t>, &lt;</w:t>
      </w:r>
      <w:hyperlink r:id="rId13" w:history="1">
        <w:r w:rsidRPr="00E2448B">
          <w:rPr>
            <w:rStyle w:val="Hyperlink"/>
          </w:rPr>
          <w:t>http://www.teqsa.gov.au/hesf-2015-specific-guidance-notes</w:t>
        </w:r>
      </w:hyperlink>
      <w:r>
        <w:t xml:space="preserve">&gt;.  </w:t>
      </w:r>
    </w:p>
    <w:p w:rsidR="0024042F" w:rsidRDefault="0024042F" w:rsidP="0024042F">
      <w:r>
        <w:t>UNESCO</w:t>
      </w:r>
      <w:r w:rsidRPr="00827BEA">
        <w:t xml:space="preserve">/Council </w:t>
      </w:r>
      <w:proofErr w:type="gramStart"/>
      <w:r w:rsidRPr="00827BEA">
        <w:t>Of</w:t>
      </w:r>
      <w:proofErr w:type="gramEnd"/>
      <w:r w:rsidRPr="00827BEA">
        <w:t xml:space="preserve"> Europe </w:t>
      </w:r>
      <w:r>
        <w:t>(</w:t>
      </w:r>
      <w:r w:rsidRPr="00AE366C">
        <w:t>2002</w:t>
      </w:r>
      <w:r>
        <w:t xml:space="preserve">), </w:t>
      </w:r>
      <w:r w:rsidRPr="00A61069">
        <w:rPr>
          <w:i/>
        </w:rPr>
        <w:t>Code Of Good Practice In The Provision Of Transnational Education</w:t>
      </w:r>
      <w:r>
        <w:t>, &lt;</w:t>
      </w:r>
      <w:hyperlink r:id="rId14" w:history="1">
        <w:r w:rsidRPr="00B27759">
          <w:rPr>
            <w:rStyle w:val="Hyperlink"/>
          </w:rPr>
          <w:t>http://www.coe.int/t/dg4/highereducation/recognition/Code%20of%20good%20practice_EN.asp</w:t>
        </w:r>
      </w:hyperlink>
      <w:r>
        <w:t>&gt;.</w:t>
      </w:r>
    </w:p>
    <w:p w:rsidR="000D0701" w:rsidRDefault="000D0701" w:rsidP="0024042F"/>
    <w:p w:rsidR="000D0701" w:rsidRPr="000D0701" w:rsidRDefault="000D0701" w:rsidP="0024042F">
      <w:pPr>
        <w:rPr>
          <w:i/>
        </w:rPr>
      </w:pPr>
      <w:bookmarkStart w:id="2" w:name="_GoBack"/>
      <w:r w:rsidRPr="000D0701">
        <w:rPr>
          <w:i/>
        </w:rPr>
        <w:t>TEQSA welcomes the diversity of educational delivery across the sector and acknowledges that its Guidance Notes may not encompass all of the circumstances seen in the sector. TEQSA also recognises that the requirements of the HESF can be met in different ways according to the circumstances of the provider. Provided the requirements of the HESF are met, TEQSA will not prescribe how they are met. If in doubt, please consult your TEQSA case manager.</w:t>
      </w:r>
    </w:p>
    <w:bookmarkEnd w:id="2"/>
    <w:p w:rsidR="0024042F" w:rsidRDefault="0024042F" w:rsidP="0024042F"/>
    <w:tbl>
      <w:tblPr>
        <w:tblStyle w:val="TableGrid"/>
        <w:tblW w:w="0" w:type="auto"/>
        <w:tblLook w:val="04A0" w:firstRow="1" w:lastRow="0" w:firstColumn="1" w:lastColumn="0" w:noHBand="0" w:noVBand="1"/>
      </w:tblPr>
      <w:tblGrid>
        <w:gridCol w:w="1368"/>
        <w:gridCol w:w="1945"/>
        <w:gridCol w:w="5703"/>
      </w:tblGrid>
      <w:tr w:rsidR="0024042F" w:rsidTr="00094FD7">
        <w:tc>
          <w:tcPr>
            <w:tcW w:w="1384" w:type="dxa"/>
            <w:shd w:val="clear" w:color="auto" w:fill="003B45" w:themeFill="text2"/>
          </w:tcPr>
          <w:p w:rsidR="0024042F" w:rsidRPr="000E7132" w:rsidRDefault="00861501" w:rsidP="00094FD7">
            <w:pPr>
              <w:spacing w:before="60" w:after="60"/>
              <w:rPr>
                <w:color w:val="FFFFFF" w:themeColor="background1"/>
              </w:rPr>
            </w:pPr>
            <w:r w:rsidRPr="000E7132">
              <w:rPr>
                <w:color w:val="FFFFFF" w:themeColor="background1"/>
              </w:rPr>
              <w:t>Version #</w:t>
            </w:r>
          </w:p>
        </w:tc>
        <w:tc>
          <w:tcPr>
            <w:tcW w:w="1985" w:type="dxa"/>
            <w:shd w:val="clear" w:color="auto" w:fill="003B45" w:themeFill="text2"/>
          </w:tcPr>
          <w:p w:rsidR="0024042F" w:rsidRPr="000E7132" w:rsidRDefault="00861501" w:rsidP="00094FD7">
            <w:pPr>
              <w:spacing w:before="60" w:after="60"/>
              <w:rPr>
                <w:color w:val="FFFFFF" w:themeColor="background1"/>
              </w:rPr>
            </w:pPr>
            <w:r w:rsidRPr="000E7132">
              <w:rPr>
                <w:color w:val="FFFFFF" w:themeColor="background1"/>
              </w:rPr>
              <w:t>Date</w:t>
            </w:r>
          </w:p>
        </w:tc>
        <w:tc>
          <w:tcPr>
            <w:tcW w:w="5873" w:type="dxa"/>
            <w:shd w:val="clear" w:color="auto" w:fill="003B45" w:themeFill="text2"/>
          </w:tcPr>
          <w:p w:rsidR="0024042F" w:rsidRPr="000E7132" w:rsidRDefault="00861501" w:rsidP="00094FD7">
            <w:pPr>
              <w:spacing w:before="60" w:after="60"/>
              <w:rPr>
                <w:color w:val="FFFFFF" w:themeColor="background1"/>
              </w:rPr>
            </w:pPr>
            <w:r w:rsidRPr="000E7132">
              <w:rPr>
                <w:color w:val="FFFFFF" w:themeColor="background1"/>
              </w:rPr>
              <w:t>Key changes</w:t>
            </w:r>
          </w:p>
        </w:tc>
      </w:tr>
      <w:tr w:rsidR="0024042F" w:rsidRPr="007E5C1F" w:rsidTr="00094FD7">
        <w:tc>
          <w:tcPr>
            <w:tcW w:w="1384" w:type="dxa"/>
          </w:tcPr>
          <w:p w:rsidR="0024042F" w:rsidRPr="00094FD7" w:rsidRDefault="00861501" w:rsidP="00094FD7">
            <w:pPr>
              <w:spacing w:before="60" w:after="60"/>
              <w:rPr>
                <w:sz w:val="20"/>
                <w:szCs w:val="20"/>
              </w:rPr>
            </w:pPr>
            <w:r w:rsidRPr="00094FD7">
              <w:rPr>
                <w:sz w:val="20"/>
                <w:szCs w:val="20"/>
              </w:rPr>
              <w:t>1.0</w:t>
            </w:r>
          </w:p>
        </w:tc>
        <w:tc>
          <w:tcPr>
            <w:tcW w:w="1985" w:type="dxa"/>
          </w:tcPr>
          <w:p w:rsidR="0024042F" w:rsidRPr="00094FD7" w:rsidRDefault="00861501" w:rsidP="00094FD7">
            <w:pPr>
              <w:spacing w:before="60" w:after="60"/>
              <w:rPr>
                <w:sz w:val="20"/>
                <w:szCs w:val="20"/>
              </w:rPr>
            </w:pPr>
            <w:r w:rsidRPr="00094FD7">
              <w:rPr>
                <w:sz w:val="20"/>
                <w:szCs w:val="20"/>
              </w:rPr>
              <w:t xml:space="preserve">19 August </w:t>
            </w:r>
            <w:r w:rsidR="008153C9" w:rsidRPr="00094FD7">
              <w:rPr>
                <w:sz w:val="20"/>
                <w:szCs w:val="20"/>
              </w:rPr>
              <w:t>201</w:t>
            </w:r>
            <w:r w:rsidR="008153C9">
              <w:rPr>
                <w:sz w:val="20"/>
                <w:szCs w:val="20"/>
              </w:rPr>
              <w:t>6</w:t>
            </w:r>
          </w:p>
        </w:tc>
        <w:tc>
          <w:tcPr>
            <w:tcW w:w="5873" w:type="dxa"/>
          </w:tcPr>
          <w:p w:rsidR="0024042F" w:rsidRPr="00094FD7" w:rsidRDefault="00861501" w:rsidP="00094FD7">
            <w:pPr>
              <w:spacing w:before="60" w:after="60"/>
              <w:rPr>
                <w:sz w:val="20"/>
                <w:szCs w:val="20"/>
              </w:rPr>
            </w:pPr>
            <w:r w:rsidRPr="00094FD7">
              <w:rPr>
                <w:sz w:val="20"/>
                <w:szCs w:val="20"/>
              </w:rPr>
              <w:t>Made available as beta version for consultation</w:t>
            </w:r>
          </w:p>
        </w:tc>
      </w:tr>
      <w:tr w:rsidR="00861501" w:rsidRPr="007E5C1F" w:rsidTr="00094FD7">
        <w:tc>
          <w:tcPr>
            <w:tcW w:w="1384" w:type="dxa"/>
          </w:tcPr>
          <w:p w:rsidR="00861501" w:rsidRPr="00094FD7" w:rsidRDefault="00861501" w:rsidP="00094FD7">
            <w:pPr>
              <w:spacing w:before="60" w:after="60"/>
              <w:rPr>
                <w:sz w:val="20"/>
                <w:szCs w:val="20"/>
              </w:rPr>
            </w:pPr>
            <w:r w:rsidRPr="00094FD7">
              <w:rPr>
                <w:sz w:val="20"/>
                <w:szCs w:val="20"/>
              </w:rPr>
              <w:t>1.1</w:t>
            </w:r>
          </w:p>
        </w:tc>
        <w:tc>
          <w:tcPr>
            <w:tcW w:w="1985" w:type="dxa"/>
          </w:tcPr>
          <w:p w:rsidR="00861501" w:rsidRPr="00094FD7" w:rsidRDefault="00861501" w:rsidP="00094FD7">
            <w:pPr>
              <w:spacing w:before="60" w:after="60"/>
              <w:rPr>
                <w:sz w:val="20"/>
                <w:szCs w:val="20"/>
              </w:rPr>
            </w:pPr>
            <w:r w:rsidRPr="00094FD7">
              <w:rPr>
                <w:sz w:val="20"/>
                <w:szCs w:val="20"/>
              </w:rPr>
              <w:t>20 October 2016</w:t>
            </w:r>
          </w:p>
        </w:tc>
        <w:tc>
          <w:tcPr>
            <w:tcW w:w="5873" w:type="dxa"/>
          </w:tcPr>
          <w:p w:rsidR="00861501" w:rsidRPr="00094FD7" w:rsidRDefault="00861501" w:rsidP="00094FD7">
            <w:pPr>
              <w:spacing w:before="60" w:after="60"/>
              <w:rPr>
                <w:sz w:val="20"/>
                <w:szCs w:val="20"/>
              </w:rPr>
            </w:pPr>
            <w:r w:rsidRPr="00094FD7">
              <w:rPr>
                <w:sz w:val="20"/>
                <w:szCs w:val="20"/>
              </w:rPr>
              <w:t>Internal enhancement</w:t>
            </w:r>
          </w:p>
        </w:tc>
      </w:tr>
      <w:tr w:rsidR="007E5C1F" w:rsidRPr="007E5C1F" w:rsidTr="007E5C1F">
        <w:tc>
          <w:tcPr>
            <w:tcW w:w="1384" w:type="dxa"/>
          </w:tcPr>
          <w:p w:rsidR="007E5C1F" w:rsidRPr="007E5C1F" w:rsidRDefault="007E5C1F" w:rsidP="007E5C1F">
            <w:pPr>
              <w:spacing w:before="60" w:after="60"/>
              <w:rPr>
                <w:sz w:val="20"/>
                <w:szCs w:val="20"/>
              </w:rPr>
            </w:pPr>
            <w:r>
              <w:rPr>
                <w:sz w:val="20"/>
                <w:szCs w:val="20"/>
                <w:lang w:val="en-US"/>
              </w:rPr>
              <w:t>1.2</w:t>
            </w:r>
          </w:p>
        </w:tc>
        <w:tc>
          <w:tcPr>
            <w:tcW w:w="1985" w:type="dxa"/>
          </w:tcPr>
          <w:p w:rsidR="007E5C1F" w:rsidRPr="007E5C1F" w:rsidRDefault="00094FD7" w:rsidP="007E5C1F">
            <w:pPr>
              <w:spacing w:before="60" w:after="60"/>
              <w:rPr>
                <w:sz w:val="20"/>
                <w:szCs w:val="20"/>
              </w:rPr>
            </w:pPr>
            <w:r>
              <w:rPr>
                <w:sz w:val="20"/>
                <w:szCs w:val="20"/>
                <w:lang w:val="en-US"/>
              </w:rPr>
              <w:t>11 October 2017</w:t>
            </w:r>
          </w:p>
        </w:tc>
        <w:tc>
          <w:tcPr>
            <w:tcW w:w="5873" w:type="dxa"/>
          </w:tcPr>
          <w:p w:rsidR="007E5C1F" w:rsidRPr="007E5C1F" w:rsidRDefault="007E5C1F" w:rsidP="007E5C1F">
            <w:pPr>
              <w:spacing w:before="60" w:after="60"/>
              <w:rPr>
                <w:sz w:val="20"/>
                <w:szCs w:val="20"/>
              </w:rPr>
            </w:pPr>
            <w:r>
              <w:rPr>
                <w:sz w:val="20"/>
                <w:szCs w:val="20"/>
                <w:lang w:val="en-US"/>
              </w:rPr>
              <w:t>Addition to ‘What will TEQSA look for?” text box.</w:t>
            </w:r>
          </w:p>
        </w:tc>
      </w:tr>
    </w:tbl>
    <w:p w:rsidR="006C328D" w:rsidRPr="006C328D" w:rsidRDefault="006C328D" w:rsidP="007B01C8"/>
    <w:sectPr w:rsidR="006C328D" w:rsidRPr="006C328D" w:rsidSect="00FF2540">
      <w:headerReference w:type="even" r:id="rId15"/>
      <w:headerReference w:type="default" r:id="rId16"/>
      <w:footerReference w:type="default" r:id="rId17"/>
      <w:headerReference w:type="first" r:id="rId18"/>
      <w:pgSz w:w="11906" w:h="16838"/>
      <w:pgMar w:top="1440" w:right="1440" w:bottom="1440"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06E6" w:rsidRDefault="009406E6" w:rsidP="006C328D">
      <w:pPr>
        <w:spacing w:before="0" w:after="0"/>
      </w:pPr>
      <w:r>
        <w:separator/>
      </w:r>
    </w:p>
  </w:endnote>
  <w:endnote w:type="continuationSeparator" w:id="0">
    <w:p w:rsidR="009406E6" w:rsidRDefault="009406E6" w:rsidP="006C328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00847E" w:themeColor="accent1"/>
        <w:sz w:val="20"/>
        <w:szCs w:val="20"/>
      </w:rPr>
      <w:id w:val="-1988930592"/>
      <w:docPartObj>
        <w:docPartGallery w:val="Page Numbers (Bottom of Page)"/>
        <w:docPartUnique/>
      </w:docPartObj>
    </w:sdtPr>
    <w:sdtEndPr/>
    <w:sdtContent>
      <w:sdt>
        <w:sdtPr>
          <w:rPr>
            <w:color w:val="00847E" w:themeColor="accent1"/>
            <w:sz w:val="20"/>
            <w:szCs w:val="20"/>
          </w:rPr>
          <w:id w:val="860082579"/>
          <w:docPartObj>
            <w:docPartGallery w:val="Page Numbers (Top of Page)"/>
            <w:docPartUnique/>
          </w:docPartObj>
        </w:sdtPr>
        <w:sdtEndPr/>
        <w:sdtContent>
          <w:p w:rsidR="00FF2540" w:rsidRPr="00FF2540" w:rsidRDefault="00FF2540">
            <w:pPr>
              <w:pStyle w:val="Footer"/>
              <w:jc w:val="right"/>
              <w:rPr>
                <w:color w:val="00847E" w:themeColor="accent1"/>
                <w:sz w:val="20"/>
                <w:szCs w:val="20"/>
              </w:rPr>
            </w:pPr>
            <w:r w:rsidRPr="00FF2540">
              <w:rPr>
                <w:color w:val="00847E" w:themeColor="accent1"/>
                <w:sz w:val="20"/>
                <w:szCs w:val="20"/>
              </w:rPr>
              <w:t xml:space="preserve">Page </w:t>
            </w:r>
            <w:r w:rsidRPr="00FF2540">
              <w:rPr>
                <w:b/>
                <w:bCs/>
                <w:color w:val="00847E" w:themeColor="accent1"/>
                <w:sz w:val="20"/>
                <w:szCs w:val="20"/>
              </w:rPr>
              <w:fldChar w:fldCharType="begin"/>
            </w:r>
            <w:r w:rsidRPr="00FF2540">
              <w:rPr>
                <w:b/>
                <w:bCs/>
                <w:color w:val="00847E" w:themeColor="accent1"/>
                <w:sz w:val="20"/>
                <w:szCs w:val="20"/>
              </w:rPr>
              <w:instrText xml:space="preserve"> PAGE </w:instrText>
            </w:r>
            <w:r w:rsidRPr="00FF2540">
              <w:rPr>
                <w:b/>
                <w:bCs/>
                <w:color w:val="00847E" w:themeColor="accent1"/>
                <w:sz w:val="20"/>
                <w:szCs w:val="20"/>
              </w:rPr>
              <w:fldChar w:fldCharType="separate"/>
            </w:r>
            <w:r w:rsidR="000D0701">
              <w:rPr>
                <w:b/>
                <w:bCs/>
                <w:noProof/>
                <w:color w:val="00847E" w:themeColor="accent1"/>
                <w:sz w:val="20"/>
                <w:szCs w:val="20"/>
              </w:rPr>
              <w:t>5</w:t>
            </w:r>
            <w:r w:rsidRPr="00FF2540">
              <w:rPr>
                <w:b/>
                <w:bCs/>
                <w:color w:val="00847E" w:themeColor="accent1"/>
                <w:sz w:val="20"/>
                <w:szCs w:val="20"/>
              </w:rPr>
              <w:fldChar w:fldCharType="end"/>
            </w:r>
            <w:r w:rsidRPr="00FF2540">
              <w:rPr>
                <w:color w:val="00847E" w:themeColor="accent1"/>
                <w:sz w:val="20"/>
                <w:szCs w:val="20"/>
              </w:rPr>
              <w:t xml:space="preserve"> of </w:t>
            </w:r>
            <w:r w:rsidRPr="00FF2540">
              <w:rPr>
                <w:b/>
                <w:bCs/>
                <w:color w:val="00847E" w:themeColor="accent1"/>
                <w:sz w:val="20"/>
                <w:szCs w:val="20"/>
              </w:rPr>
              <w:fldChar w:fldCharType="begin"/>
            </w:r>
            <w:r w:rsidRPr="00FF2540">
              <w:rPr>
                <w:b/>
                <w:bCs/>
                <w:color w:val="00847E" w:themeColor="accent1"/>
                <w:sz w:val="20"/>
                <w:szCs w:val="20"/>
              </w:rPr>
              <w:instrText xml:space="preserve"> NUMPAGES  </w:instrText>
            </w:r>
            <w:r w:rsidRPr="00FF2540">
              <w:rPr>
                <w:b/>
                <w:bCs/>
                <w:color w:val="00847E" w:themeColor="accent1"/>
                <w:sz w:val="20"/>
                <w:szCs w:val="20"/>
              </w:rPr>
              <w:fldChar w:fldCharType="separate"/>
            </w:r>
            <w:r w:rsidR="000D0701">
              <w:rPr>
                <w:b/>
                <w:bCs/>
                <w:noProof/>
                <w:color w:val="00847E" w:themeColor="accent1"/>
                <w:sz w:val="20"/>
                <w:szCs w:val="20"/>
              </w:rPr>
              <w:t>5</w:t>
            </w:r>
            <w:r w:rsidRPr="00FF2540">
              <w:rPr>
                <w:b/>
                <w:bCs/>
                <w:color w:val="00847E" w:themeColor="accent1"/>
                <w:sz w:val="20"/>
                <w:szCs w:val="20"/>
              </w:rPr>
              <w:fldChar w:fldCharType="end"/>
            </w:r>
          </w:p>
        </w:sdtContent>
      </w:sdt>
    </w:sdtContent>
  </w:sdt>
  <w:p w:rsidR="00FF2540" w:rsidRDefault="00FF25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06E6" w:rsidRDefault="009406E6" w:rsidP="006C328D">
      <w:pPr>
        <w:spacing w:before="0" w:after="0"/>
      </w:pPr>
      <w:r>
        <w:separator/>
      </w:r>
    </w:p>
  </w:footnote>
  <w:footnote w:type="continuationSeparator" w:id="0">
    <w:p w:rsidR="009406E6" w:rsidRDefault="009406E6" w:rsidP="006C328D">
      <w:pPr>
        <w:spacing w:before="0" w:after="0"/>
      </w:pPr>
      <w:r>
        <w:continuationSeparator/>
      </w:r>
    </w:p>
  </w:footnote>
  <w:footnote w:id="1">
    <w:p w:rsidR="0024042F" w:rsidRPr="003112DA" w:rsidRDefault="0024042F" w:rsidP="0024042F">
      <w:pPr>
        <w:pStyle w:val="FootnoteText"/>
        <w:rPr>
          <w:lang w:val="en-AU"/>
        </w:rPr>
      </w:pPr>
      <w:r>
        <w:rPr>
          <w:rStyle w:val="FootnoteReference"/>
        </w:rPr>
        <w:footnoteRef/>
      </w:r>
      <w:r>
        <w:t xml:space="preserve"> </w:t>
      </w:r>
      <w:r>
        <w:rPr>
          <w:lang w:val="en-AU"/>
        </w:rPr>
        <w:t xml:space="preserve">Note that the ESOS Act applies to non-award courses. </w:t>
      </w:r>
    </w:p>
  </w:footnote>
  <w:footnote w:id="2">
    <w:p w:rsidR="0024042F" w:rsidRPr="003112DA" w:rsidRDefault="0024042F" w:rsidP="0024042F">
      <w:pPr>
        <w:pStyle w:val="FootnoteText"/>
        <w:rPr>
          <w:lang w:val="en-AU"/>
        </w:rPr>
      </w:pPr>
      <w:r>
        <w:rPr>
          <w:rStyle w:val="FootnoteReference"/>
        </w:rPr>
        <w:footnoteRef/>
      </w:r>
      <w:r>
        <w:t xml:space="preserve"> </w:t>
      </w:r>
      <w:r>
        <w:rPr>
          <w:lang w:val="en-AU"/>
        </w:rPr>
        <w:t>See Part B1 of the HES Framework for the requirements for different categories of higher education provider.</w:t>
      </w:r>
    </w:p>
  </w:footnote>
  <w:footnote w:id="3">
    <w:p w:rsidR="0024042F" w:rsidRPr="003A02CD" w:rsidRDefault="0024042F" w:rsidP="0024042F">
      <w:pPr>
        <w:pStyle w:val="FootnoteText"/>
        <w:rPr>
          <w:lang w:val="en-US"/>
        </w:rPr>
      </w:pPr>
      <w:r>
        <w:rPr>
          <w:rStyle w:val="FootnoteReference"/>
        </w:rPr>
        <w:footnoteRef/>
      </w:r>
      <w:r>
        <w:t xml:space="preserve"> </w:t>
      </w:r>
      <w:hyperlink r:id="rId1" w:history="1">
        <w:r w:rsidRPr="00B27759">
          <w:rPr>
            <w:rStyle w:val="Hyperlink"/>
          </w:rPr>
          <w:t>https://www.education.gov.au/guidelines-use-word-university</w:t>
        </w:r>
      </w:hyperlink>
      <w:r>
        <w:t>.</w:t>
      </w:r>
    </w:p>
  </w:footnote>
  <w:footnote w:id="4">
    <w:p w:rsidR="0024042F" w:rsidRPr="00AE145E" w:rsidRDefault="0024042F" w:rsidP="0024042F">
      <w:pPr>
        <w:pStyle w:val="FootnoteText"/>
        <w:rPr>
          <w:lang w:val="en-AU"/>
        </w:rPr>
      </w:pPr>
      <w:r>
        <w:rPr>
          <w:rStyle w:val="FootnoteReference"/>
        </w:rPr>
        <w:footnoteRef/>
      </w:r>
      <w:r>
        <w:t xml:space="preserve"> </w:t>
      </w:r>
      <w:r>
        <w:rPr>
          <w:lang w:val="en-AU"/>
        </w:rPr>
        <w:t>Both the ESOS Act and the National Code were under review at the time of writing this guidance note.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042F" w:rsidRDefault="009406E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67159" o:spid="_x0000_s2050" type="#_x0000_t136" style="position:absolute;margin-left:0;margin-top:0;width:575.25pt;height:80.25pt;rotation:315;z-index:-251655168;mso-position-horizontal:center;mso-position-horizontal-relative:margin;mso-position-vertical:center;mso-position-vertical-relative:margin" o:allowincell="f" fillcolor="silver" stroked="f">
          <v:fill opacity=".5"/>
          <v:textpath style="font-family:&quot;Arial&quot;;font-size:1in" string="Consultation 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328D" w:rsidRPr="006C328D" w:rsidRDefault="006C328D" w:rsidP="006C328D">
    <w:pPr>
      <w:pStyle w:val="Header"/>
      <w:spacing w:after="240"/>
      <w:jc w:val="right"/>
      <w:rPr>
        <w:rFonts w:ascii="Georgia" w:hAnsi="Georgia" w:cs="Arial"/>
        <w:b/>
        <w:noProof/>
        <w:color w:val="004855"/>
        <w:sz w:val="28"/>
        <w:szCs w:val="28"/>
        <w:lang w:eastAsia="en-AU"/>
      </w:rPr>
    </w:pPr>
    <w:r>
      <w:rPr>
        <w:rFonts w:ascii="Georgia" w:hAnsi="Georgia" w:cs="Arial"/>
        <w:b/>
        <w:noProof/>
        <w:color w:val="004855"/>
        <w:sz w:val="28"/>
        <w:szCs w:val="28"/>
        <w:lang w:eastAsia="en-AU"/>
      </w:rPr>
      <w:t xml:space="preserve"> </w:t>
    </w:r>
    <w:r>
      <w:rPr>
        <w:rFonts w:ascii="Georgia" w:hAnsi="Georgia" w:cs="Arial"/>
        <w:b/>
        <w:noProof/>
        <w:color w:val="004855"/>
        <w:sz w:val="28"/>
        <w:szCs w:val="28"/>
        <w:lang w:eastAsia="en-AU"/>
      </w:rPr>
      <w:drawing>
        <wp:inline distT="0" distB="0" distL="0" distR="0" wp14:anchorId="365D6C54" wp14:editId="3911B007">
          <wp:extent cx="3228975" cy="476067"/>
          <wp:effectExtent l="0" t="0" r="0" b="635"/>
          <wp:docPr id="7" name="Picture 7" descr="I:\Corporate\Communications\Logos\2017 New Brand Logo\Crest logo\PNG\TEQSA-Crest-Nav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Corporate\Communications\Logos\2017 New Brand Logo\Crest logo\PNG\TEQSA-Crest-Navy.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3972" cy="476804"/>
                  </a:xfrm>
                  <a:prstGeom prst="rect">
                    <a:avLst/>
                  </a:prstGeom>
                  <a:noFill/>
                  <a:ln>
                    <a:noFill/>
                  </a:ln>
                </pic:spPr>
              </pic:pic>
            </a:graphicData>
          </a:graphic>
        </wp:inline>
      </w:drawing>
    </w:r>
    <w:r>
      <w:rPr>
        <w:rFonts w:ascii="Georgia" w:hAnsi="Georgia" w:cs="Arial"/>
        <w:b/>
        <w:noProof/>
        <w:color w:val="004855"/>
        <w:sz w:val="28"/>
        <w:szCs w:val="28"/>
        <w:lang w:eastAsia="en-AU"/>
      </w:rPr>
      <w:tab/>
    </w:r>
    <w:r>
      <w:rPr>
        <w:rFonts w:ascii="Georgia" w:hAnsi="Georgia" w:cs="Arial"/>
        <w:b/>
        <w:noProof/>
        <w:color w:val="004855"/>
        <w:sz w:val="28"/>
        <w:szCs w:val="28"/>
        <w:lang w:eastAsia="en-AU"/>
      </w:rPr>
      <w:drawing>
        <wp:inline distT="0" distB="0" distL="0" distR="0" wp14:anchorId="769ACA64" wp14:editId="2B5353F8">
          <wp:extent cx="1428750" cy="353174"/>
          <wp:effectExtent l="0" t="0" r="0" b="8890"/>
          <wp:docPr id="8" name="Picture 8" descr="I:\Corporate\Communications\Logos\2017 New Brand Logo\Wordmark\PNG\TEQSA-WM-t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orporate\Communications\Logos\2017 New Brand Logo\Wordmark\PNG\TEQSA-WM-teal.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9107" cy="353262"/>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042F" w:rsidRDefault="009406E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67158" o:spid="_x0000_s2049" type="#_x0000_t136" style="position:absolute;margin-left:0;margin-top:0;width:575.25pt;height:80.25pt;rotation:315;z-index:-251657216;mso-position-horizontal:center;mso-position-horizontal-relative:margin;mso-position-vertical:center;mso-position-vertical-relative:margin" o:allowincell="f" fillcolor="silver" stroked="f">
          <v:fill opacity=".5"/>
          <v:textpath style="font-family:&quot;Arial&quot;;font-size:1in" string="Consultation 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in;height:36pt" o:bullet="t">
        <v:imagedata r:id="rId1" o:title="Teal-Triangles"/>
      </v:shape>
    </w:pict>
  </w:numPicBullet>
  <w:numPicBullet w:numPicBulletId="1">
    <w:pict>
      <v:shape id="_x0000_i1036" type="#_x0000_t75" style="width:1in;height:36pt" o:bullet="t">
        <v:imagedata r:id="rId2" o:title="Pink-Triangles"/>
      </v:shape>
    </w:pict>
  </w:numPicBullet>
  <w:numPicBullet w:numPicBulletId="2">
    <w:pict>
      <v:shape id="_x0000_i1037" type="#_x0000_t75" style="width:1in;height:36pt" o:bullet="t">
        <v:imagedata r:id="rId3" o:title="Yellow-Triangles"/>
      </v:shape>
    </w:pict>
  </w:numPicBullet>
  <w:abstractNum w:abstractNumId="0" w15:restartNumberingAfterBreak="0">
    <w:nsid w:val="0FC107CB"/>
    <w:multiLevelType w:val="hybridMultilevel"/>
    <w:tmpl w:val="6B3A0000"/>
    <w:lvl w:ilvl="0" w:tplc="3B408FD0">
      <w:start w:val="1"/>
      <w:numFmt w:val="lowerRoman"/>
      <w:lvlText w:val="%1."/>
      <w:lvlJc w:val="left"/>
      <w:pPr>
        <w:ind w:left="1806" w:hanging="360"/>
      </w:pPr>
      <w:rPr>
        <w:rFonts w:hint="default"/>
      </w:rPr>
    </w:lvl>
    <w:lvl w:ilvl="1" w:tplc="08090003" w:tentative="1">
      <w:start w:val="1"/>
      <w:numFmt w:val="bullet"/>
      <w:lvlText w:val="o"/>
      <w:lvlJc w:val="left"/>
      <w:pPr>
        <w:ind w:left="2526" w:hanging="360"/>
      </w:pPr>
      <w:rPr>
        <w:rFonts w:ascii="Courier New" w:hAnsi="Courier New" w:cs="Courier New" w:hint="default"/>
      </w:rPr>
    </w:lvl>
    <w:lvl w:ilvl="2" w:tplc="08090005" w:tentative="1">
      <w:start w:val="1"/>
      <w:numFmt w:val="bullet"/>
      <w:lvlText w:val=""/>
      <w:lvlJc w:val="left"/>
      <w:pPr>
        <w:ind w:left="3246" w:hanging="360"/>
      </w:pPr>
      <w:rPr>
        <w:rFonts w:ascii="Wingdings" w:hAnsi="Wingdings" w:hint="default"/>
      </w:rPr>
    </w:lvl>
    <w:lvl w:ilvl="3" w:tplc="08090001" w:tentative="1">
      <w:start w:val="1"/>
      <w:numFmt w:val="bullet"/>
      <w:lvlText w:val=""/>
      <w:lvlJc w:val="left"/>
      <w:pPr>
        <w:ind w:left="3966" w:hanging="360"/>
      </w:pPr>
      <w:rPr>
        <w:rFonts w:ascii="Symbol" w:hAnsi="Symbol" w:hint="default"/>
      </w:rPr>
    </w:lvl>
    <w:lvl w:ilvl="4" w:tplc="08090003" w:tentative="1">
      <w:start w:val="1"/>
      <w:numFmt w:val="bullet"/>
      <w:lvlText w:val="o"/>
      <w:lvlJc w:val="left"/>
      <w:pPr>
        <w:ind w:left="4686" w:hanging="360"/>
      </w:pPr>
      <w:rPr>
        <w:rFonts w:ascii="Courier New" w:hAnsi="Courier New" w:cs="Courier New" w:hint="default"/>
      </w:rPr>
    </w:lvl>
    <w:lvl w:ilvl="5" w:tplc="08090005" w:tentative="1">
      <w:start w:val="1"/>
      <w:numFmt w:val="bullet"/>
      <w:lvlText w:val=""/>
      <w:lvlJc w:val="left"/>
      <w:pPr>
        <w:ind w:left="5406" w:hanging="360"/>
      </w:pPr>
      <w:rPr>
        <w:rFonts w:ascii="Wingdings" w:hAnsi="Wingdings" w:hint="default"/>
      </w:rPr>
    </w:lvl>
    <w:lvl w:ilvl="6" w:tplc="08090001" w:tentative="1">
      <w:start w:val="1"/>
      <w:numFmt w:val="bullet"/>
      <w:lvlText w:val=""/>
      <w:lvlJc w:val="left"/>
      <w:pPr>
        <w:ind w:left="6126" w:hanging="360"/>
      </w:pPr>
      <w:rPr>
        <w:rFonts w:ascii="Symbol" w:hAnsi="Symbol" w:hint="default"/>
      </w:rPr>
    </w:lvl>
    <w:lvl w:ilvl="7" w:tplc="08090003" w:tentative="1">
      <w:start w:val="1"/>
      <w:numFmt w:val="bullet"/>
      <w:lvlText w:val="o"/>
      <w:lvlJc w:val="left"/>
      <w:pPr>
        <w:ind w:left="6846" w:hanging="360"/>
      </w:pPr>
      <w:rPr>
        <w:rFonts w:ascii="Courier New" w:hAnsi="Courier New" w:cs="Courier New" w:hint="default"/>
      </w:rPr>
    </w:lvl>
    <w:lvl w:ilvl="8" w:tplc="08090005" w:tentative="1">
      <w:start w:val="1"/>
      <w:numFmt w:val="bullet"/>
      <w:lvlText w:val=""/>
      <w:lvlJc w:val="left"/>
      <w:pPr>
        <w:ind w:left="7566" w:hanging="360"/>
      </w:pPr>
      <w:rPr>
        <w:rFonts w:ascii="Wingdings" w:hAnsi="Wingdings" w:hint="default"/>
      </w:rPr>
    </w:lvl>
  </w:abstractNum>
  <w:abstractNum w:abstractNumId="1" w15:restartNumberingAfterBreak="0">
    <w:nsid w:val="215A2E56"/>
    <w:multiLevelType w:val="hybridMultilevel"/>
    <w:tmpl w:val="3A9CDA22"/>
    <w:lvl w:ilvl="0" w:tplc="F50EB21A">
      <w:start w:val="1"/>
      <w:numFmt w:val="bullet"/>
      <w:pStyle w:val="BulletsL2"/>
      <w:lvlText w:val="4"/>
      <w:lvlJc w:val="left"/>
      <w:pPr>
        <w:ind w:left="1146" w:hanging="360"/>
      </w:pPr>
      <w:rPr>
        <w:rFonts w:ascii="Webdings" w:hAnsi="Webdings" w:hint="default"/>
        <w:color w:val="00A6AA"/>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2" w15:restartNumberingAfterBreak="0">
    <w:nsid w:val="26D50250"/>
    <w:multiLevelType w:val="hybridMultilevel"/>
    <w:tmpl w:val="62A492F2"/>
    <w:lvl w:ilvl="0" w:tplc="CA78D74C">
      <w:start w:val="1"/>
      <w:numFmt w:val="bullet"/>
      <w:pStyle w:val="PullOut-Teal"/>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D890E47"/>
    <w:multiLevelType w:val="hybridMultilevel"/>
    <w:tmpl w:val="E628387E"/>
    <w:lvl w:ilvl="0" w:tplc="6B982C78">
      <w:start w:val="1"/>
      <w:numFmt w:val="decimal"/>
      <w:pStyle w:val="SourceNotesNumbered"/>
      <w:lvlText w:val="%1."/>
      <w:lvlJc w:val="left"/>
      <w:pPr>
        <w:ind w:left="720" w:hanging="360"/>
      </w:pPr>
      <w:rPr>
        <w:rFonts w:hint="default"/>
        <w:caps w:val="0"/>
        <w:vanish w:val="0"/>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E1761EE"/>
    <w:multiLevelType w:val="multilevel"/>
    <w:tmpl w:val="131EEC6C"/>
    <w:lvl w:ilvl="0">
      <w:start w:val="1"/>
      <w:numFmt w:val="decimal"/>
      <w:pStyle w:val="TableTitle"/>
      <w:lvlText w:val="Table %1."/>
      <w:lvlJc w:val="left"/>
      <w:pPr>
        <w:ind w:left="1134" w:hanging="1134"/>
      </w:pPr>
      <w:rPr>
        <w:rFonts w:hint="default"/>
        <w:b w:val="0"/>
        <w:i w:val="0"/>
        <w:caps w:val="0"/>
        <w:color w:val="00847E"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EA53E99"/>
    <w:multiLevelType w:val="hybridMultilevel"/>
    <w:tmpl w:val="B99C3180"/>
    <w:lvl w:ilvl="0" w:tplc="467EC5C4">
      <w:start w:val="1"/>
      <w:numFmt w:val="bullet"/>
      <w:lvlText w:val=""/>
      <w:lvlJc w:val="left"/>
      <w:pPr>
        <w:ind w:left="780" w:hanging="360"/>
      </w:pPr>
      <w:rPr>
        <w:rFonts w:ascii="Symbol" w:hAnsi="Symbol" w:hint="default"/>
        <w:color w:val="00847E" w:themeColor="accent1"/>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6" w15:restartNumberingAfterBreak="0">
    <w:nsid w:val="335A332E"/>
    <w:multiLevelType w:val="multilevel"/>
    <w:tmpl w:val="EDDCBB3C"/>
    <w:lvl w:ilvl="0">
      <w:start w:val="1"/>
      <w:numFmt w:val="bullet"/>
      <w:pStyle w:val="Bullet1"/>
      <w:lvlText w:val=""/>
      <w:lvlJc w:val="left"/>
      <w:pPr>
        <w:ind w:left="284" w:hanging="284"/>
      </w:pPr>
      <w:rPr>
        <w:rFonts w:ascii="Symbol" w:hAnsi="Symbol" w:hint="default"/>
        <w:color w:val="00847E" w:themeColor="accent1"/>
      </w:rPr>
    </w:lvl>
    <w:lvl w:ilvl="1">
      <w:start w:val="1"/>
      <w:numFmt w:val="bullet"/>
      <w:pStyle w:val="Bullet2"/>
      <w:lvlText w:val="–"/>
      <w:lvlJc w:val="left"/>
      <w:pPr>
        <w:ind w:left="568" w:hanging="284"/>
      </w:pPr>
      <w:rPr>
        <w:rFonts w:ascii="Arial" w:hAnsi="Arial" w:hint="default"/>
        <w:color w:val="00847E" w:themeColor="accent1"/>
      </w:rPr>
    </w:lvl>
    <w:lvl w:ilvl="2">
      <w:start w:val="1"/>
      <w:numFmt w:val="bullet"/>
      <w:pStyle w:val="Bullet3"/>
      <w:lvlText w:val="»"/>
      <w:lvlJc w:val="left"/>
      <w:pPr>
        <w:ind w:left="852" w:hanging="284"/>
      </w:pPr>
      <w:rPr>
        <w:rFonts w:ascii="Arial" w:hAnsi="Arial" w:hint="default"/>
        <w:color w:val="00847E" w:themeColor="accent1"/>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7" w15:restartNumberingAfterBreak="0">
    <w:nsid w:val="3C2D47AE"/>
    <w:multiLevelType w:val="hybridMultilevel"/>
    <w:tmpl w:val="43C43536"/>
    <w:lvl w:ilvl="0" w:tplc="93243402">
      <w:start w:val="1"/>
      <w:numFmt w:val="bullet"/>
      <w:pStyle w:val="PullOut-Yellow"/>
      <w:lvlText w:val=""/>
      <w:lvlPicBulletId w:val="2"/>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D754C5D"/>
    <w:multiLevelType w:val="hybridMultilevel"/>
    <w:tmpl w:val="358E1B60"/>
    <w:lvl w:ilvl="0" w:tplc="98E29D12">
      <w:start w:val="1"/>
      <w:numFmt w:val="lowerLetter"/>
      <w:lvlText w:val="%1."/>
      <w:lvlJc w:val="left"/>
      <w:pPr>
        <w:ind w:left="720" w:hanging="360"/>
      </w:pPr>
      <w:rPr>
        <w:rFont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8615703"/>
    <w:multiLevelType w:val="multilevel"/>
    <w:tmpl w:val="803CF862"/>
    <w:lvl w:ilvl="0">
      <w:start w:val="1"/>
      <w:numFmt w:val="decimal"/>
      <w:pStyle w:val="List1Numbered1"/>
      <w:lvlText w:val="%1."/>
      <w:lvlJc w:val="left"/>
      <w:pPr>
        <w:ind w:left="284" w:hanging="284"/>
      </w:pPr>
      <w:rPr>
        <w:rFonts w:hint="default"/>
        <w:b w:val="0"/>
        <w:i w:val="0"/>
        <w:color w:val="auto"/>
      </w:rPr>
    </w:lvl>
    <w:lvl w:ilvl="1">
      <w:start w:val="1"/>
      <w:numFmt w:val="lowerLetter"/>
      <w:pStyle w:val="List1Numbered2"/>
      <w:lvlText w:val="%2."/>
      <w:lvlJc w:val="left"/>
      <w:pPr>
        <w:ind w:left="568" w:hanging="284"/>
      </w:pPr>
      <w:rPr>
        <w:rFonts w:hint="default"/>
      </w:rPr>
    </w:lvl>
    <w:lvl w:ilvl="2">
      <w:start w:val="1"/>
      <w:numFmt w:val="lowerRoman"/>
      <w:pStyle w:val="List1Numbered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0" w15:restartNumberingAfterBreak="0">
    <w:nsid w:val="594F6627"/>
    <w:multiLevelType w:val="hybridMultilevel"/>
    <w:tmpl w:val="77D82B46"/>
    <w:lvl w:ilvl="0" w:tplc="B66A71E0">
      <w:start w:val="1"/>
      <w:numFmt w:val="bullet"/>
      <w:pStyle w:val="PullOut-Pink"/>
      <w:lvlText w:val=""/>
      <w:lvlPicBulletId w:val="1"/>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BF51665"/>
    <w:multiLevelType w:val="multilevel"/>
    <w:tmpl w:val="BA4CA9E6"/>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851" w:hanging="851"/>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418" w:hanging="1418"/>
      </w:pPr>
      <w:rPr>
        <w:rFonts w:hint="default"/>
      </w:rPr>
    </w:lvl>
    <w:lvl w:ilvl="5">
      <w:start w:val="1"/>
      <w:numFmt w:val="decimal"/>
      <w:pStyle w:val="Heading6Numbered"/>
      <w:lvlText w:val="%1.%2.%3.%4.%5.%6"/>
      <w:lvlJc w:val="left"/>
      <w:pPr>
        <w:ind w:left="1701" w:hanging="1701"/>
      </w:pPr>
      <w:rPr>
        <w:rFonts w:hint="default"/>
      </w:rPr>
    </w:lvl>
    <w:lvl w:ilvl="6">
      <w:start w:val="1"/>
      <w:numFmt w:val="decimal"/>
      <w:pStyle w:val="Heading7Numbered"/>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5C283B55"/>
    <w:multiLevelType w:val="multilevel"/>
    <w:tmpl w:val="B29223F6"/>
    <w:lvl w:ilvl="0">
      <w:start w:val="1"/>
      <w:numFmt w:val="decimal"/>
      <w:pStyle w:val="FigureTitle"/>
      <w:lvlText w:val="Figure %1."/>
      <w:lvlJc w:val="left"/>
      <w:pPr>
        <w:ind w:left="1134" w:hanging="1134"/>
      </w:pPr>
      <w:rPr>
        <w:rFonts w:hint="default"/>
        <w:b w:val="0"/>
        <w:i w:val="0"/>
        <w:caps w:val="0"/>
        <w:color w:val="00847E"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6850040B"/>
    <w:multiLevelType w:val="hybridMultilevel"/>
    <w:tmpl w:val="A4283302"/>
    <w:lvl w:ilvl="0" w:tplc="1E225B1A">
      <w:start w:val="1"/>
      <w:numFmt w:val="bullet"/>
      <w:lvlText w:val=""/>
      <w:lvlJc w:val="left"/>
      <w:pPr>
        <w:ind w:left="720" w:hanging="360"/>
      </w:pPr>
      <w:rPr>
        <w:rFonts w:ascii="Symbol" w:hAnsi="Symbol" w:hint="default"/>
        <w:color w:val="00847E"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90B67C4"/>
    <w:multiLevelType w:val="multilevel"/>
    <w:tmpl w:val="FE688822"/>
    <w:lvl w:ilvl="0">
      <w:start w:val="1"/>
      <w:numFmt w:val="bullet"/>
      <w:pStyle w:val="Boxed1Bullet"/>
      <w:lvlText w:val=""/>
      <w:lvlJc w:val="left"/>
      <w:pPr>
        <w:tabs>
          <w:tab w:val="num" w:pos="284"/>
        </w:tabs>
        <w:ind w:left="567" w:hanging="283"/>
      </w:pPr>
      <w:rPr>
        <w:rFonts w:ascii="Symbol" w:hAnsi="Symbol" w:hint="default"/>
        <w:color w:val="auto"/>
      </w:rPr>
    </w:lvl>
    <w:lvl w:ilvl="1">
      <w:start w:val="1"/>
      <w:numFmt w:val="bullet"/>
      <w:pStyle w:val="Boxed2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003B45" w:themeColor="text2"/>
      </w:rPr>
    </w:lvl>
    <w:lvl w:ilvl="3">
      <w:start w:val="1"/>
      <w:numFmt w:val="bullet"/>
      <w:lvlText w:val="»"/>
      <w:lvlJc w:val="left"/>
      <w:pPr>
        <w:ind w:left="794" w:hanging="510"/>
      </w:pPr>
      <w:rPr>
        <w:rFonts w:ascii="Arial" w:hAnsi="Arial" w:hint="default"/>
        <w:color w:val="003B45"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15" w15:restartNumberingAfterBreak="0">
    <w:nsid w:val="7EE44065"/>
    <w:multiLevelType w:val="multilevel"/>
    <w:tmpl w:val="CC9AB0EE"/>
    <w:lvl w:ilvl="0">
      <w:start w:val="1"/>
      <w:numFmt w:val="upperLetter"/>
      <w:pStyle w:val="AppendixNumbered"/>
      <w:suff w:val="space"/>
      <w:lvlText w:val="Appendix %1 –"/>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5"/>
  </w:num>
  <w:num w:numId="2">
    <w:abstractNumId w:val="14"/>
  </w:num>
  <w:num w:numId="3">
    <w:abstractNumId w:val="14"/>
  </w:num>
  <w:num w:numId="4">
    <w:abstractNumId w:val="6"/>
  </w:num>
  <w:num w:numId="5">
    <w:abstractNumId w:val="6"/>
  </w:num>
  <w:num w:numId="6">
    <w:abstractNumId w:val="6"/>
  </w:num>
  <w:num w:numId="7">
    <w:abstractNumId w:val="12"/>
  </w:num>
  <w:num w:numId="8">
    <w:abstractNumId w:val="11"/>
  </w:num>
  <w:num w:numId="9">
    <w:abstractNumId w:val="11"/>
  </w:num>
  <w:num w:numId="10">
    <w:abstractNumId w:val="11"/>
  </w:num>
  <w:num w:numId="11">
    <w:abstractNumId w:val="11"/>
  </w:num>
  <w:num w:numId="12">
    <w:abstractNumId w:val="11"/>
  </w:num>
  <w:num w:numId="13">
    <w:abstractNumId w:val="11"/>
  </w:num>
  <w:num w:numId="14">
    <w:abstractNumId w:val="11"/>
  </w:num>
  <w:num w:numId="15">
    <w:abstractNumId w:val="9"/>
  </w:num>
  <w:num w:numId="16">
    <w:abstractNumId w:val="9"/>
  </w:num>
  <w:num w:numId="17">
    <w:abstractNumId w:val="9"/>
  </w:num>
  <w:num w:numId="18">
    <w:abstractNumId w:val="2"/>
  </w:num>
  <w:num w:numId="19">
    <w:abstractNumId w:val="3"/>
  </w:num>
  <w:num w:numId="20">
    <w:abstractNumId w:val="4"/>
  </w:num>
  <w:num w:numId="21">
    <w:abstractNumId w:val="10"/>
  </w:num>
  <w:num w:numId="22">
    <w:abstractNumId w:val="7"/>
  </w:num>
  <w:num w:numId="23">
    <w:abstractNumId w:val="15"/>
  </w:num>
  <w:num w:numId="24">
    <w:abstractNumId w:val="14"/>
  </w:num>
  <w:num w:numId="25">
    <w:abstractNumId w:val="14"/>
  </w:num>
  <w:num w:numId="26">
    <w:abstractNumId w:val="6"/>
  </w:num>
  <w:num w:numId="27">
    <w:abstractNumId w:val="6"/>
  </w:num>
  <w:num w:numId="28">
    <w:abstractNumId w:val="6"/>
  </w:num>
  <w:num w:numId="29">
    <w:abstractNumId w:val="12"/>
  </w:num>
  <w:num w:numId="30">
    <w:abstractNumId w:val="11"/>
  </w:num>
  <w:num w:numId="31">
    <w:abstractNumId w:val="11"/>
  </w:num>
  <w:num w:numId="32">
    <w:abstractNumId w:val="11"/>
  </w:num>
  <w:num w:numId="33">
    <w:abstractNumId w:val="11"/>
  </w:num>
  <w:num w:numId="34">
    <w:abstractNumId w:val="11"/>
  </w:num>
  <w:num w:numId="35">
    <w:abstractNumId w:val="11"/>
  </w:num>
  <w:num w:numId="36">
    <w:abstractNumId w:val="11"/>
  </w:num>
  <w:num w:numId="37">
    <w:abstractNumId w:val="9"/>
  </w:num>
  <w:num w:numId="38">
    <w:abstractNumId w:val="9"/>
  </w:num>
  <w:num w:numId="39">
    <w:abstractNumId w:val="9"/>
  </w:num>
  <w:num w:numId="40">
    <w:abstractNumId w:val="2"/>
  </w:num>
  <w:num w:numId="41">
    <w:abstractNumId w:val="3"/>
  </w:num>
  <w:num w:numId="42">
    <w:abstractNumId w:val="4"/>
  </w:num>
  <w:num w:numId="43">
    <w:abstractNumId w:val="10"/>
  </w:num>
  <w:num w:numId="44">
    <w:abstractNumId w:val="7"/>
  </w:num>
  <w:num w:numId="45">
    <w:abstractNumId w:val="1"/>
  </w:num>
  <w:num w:numId="46">
    <w:abstractNumId w:val="13"/>
  </w:num>
  <w:num w:numId="47">
    <w:abstractNumId w:val="0"/>
  </w:num>
  <w:num w:numId="48">
    <w:abstractNumId w:val="8"/>
  </w:num>
  <w:num w:numId="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28D"/>
    <w:rsid w:val="00094FD7"/>
    <w:rsid w:val="000D0701"/>
    <w:rsid w:val="000E7132"/>
    <w:rsid w:val="001D4685"/>
    <w:rsid w:val="001F39F5"/>
    <w:rsid w:val="00221B14"/>
    <w:rsid w:val="0024042F"/>
    <w:rsid w:val="004A12DC"/>
    <w:rsid w:val="004B2B4E"/>
    <w:rsid w:val="005B458E"/>
    <w:rsid w:val="0066427C"/>
    <w:rsid w:val="006C328D"/>
    <w:rsid w:val="007B01C8"/>
    <w:rsid w:val="007E5C1F"/>
    <w:rsid w:val="007F78F7"/>
    <w:rsid w:val="00812A83"/>
    <w:rsid w:val="008153C9"/>
    <w:rsid w:val="00861501"/>
    <w:rsid w:val="008E4067"/>
    <w:rsid w:val="009406E6"/>
    <w:rsid w:val="009B769E"/>
    <w:rsid w:val="00A1609F"/>
    <w:rsid w:val="00A4344F"/>
    <w:rsid w:val="00B738D6"/>
    <w:rsid w:val="00FF25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096FB70"/>
  <w15:docId w15:val="{376DCE4C-561B-470D-A645-D6A2DA7B6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000000" w:themeColor="text1"/>
        <w:sz w:val="22"/>
        <w:szCs w:val="22"/>
        <w:lang w:val="en-AU"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3" w:qFormat="1"/>
    <w:lsdException w:name="Emphasis" w:uiPriority="3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33"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458E"/>
  </w:style>
  <w:style w:type="paragraph" w:styleId="Heading1">
    <w:name w:val="heading 1"/>
    <w:basedOn w:val="Normal"/>
    <w:next w:val="Normal"/>
    <w:link w:val="Heading1Char"/>
    <w:uiPriority w:val="9"/>
    <w:qFormat/>
    <w:rsid w:val="005B458E"/>
    <w:pPr>
      <w:keepNext/>
      <w:keepLines/>
      <w:pageBreakBefore/>
      <w:spacing w:before="0" w:after="1800" w:line="540" w:lineRule="atLeast"/>
      <w:outlineLvl w:val="0"/>
    </w:pPr>
    <w:rPr>
      <w:rFonts w:asciiTheme="majorHAnsi" w:eastAsiaTheme="majorEastAsia" w:hAnsiTheme="majorHAnsi" w:cstheme="majorBidi"/>
      <w:b/>
      <w:color w:val="00847E" w:themeColor="accent1"/>
      <w:sz w:val="48"/>
      <w:szCs w:val="32"/>
    </w:rPr>
  </w:style>
  <w:style w:type="paragraph" w:styleId="Heading2">
    <w:name w:val="heading 2"/>
    <w:basedOn w:val="Normal"/>
    <w:next w:val="Normal"/>
    <w:link w:val="Heading2Char"/>
    <w:uiPriority w:val="9"/>
    <w:qFormat/>
    <w:rsid w:val="007F78F7"/>
    <w:pPr>
      <w:keepNext/>
      <w:keepLines/>
      <w:spacing w:before="480" w:after="240" w:line="500" w:lineRule="atLeast"/>
      <w:outlineLvl w:val="1"/>
    </w:pPr>
    <w:rPr>
      <w:rFonts w:asciiTheme="majorHAnsi" w:eastAsiaTheme="majorEastAsia" w:hAnsiTheme="majorHAnsi" w:cstheme="majorBidi"/>
      <w:color w:val="00A398"/>
      <w:sz w:val="44"/>
      <w:szCs w:val="26"/>
    </w:rPr>
  </w:style>
  <w:style w:type="paragraph" w:styleId="Heading3">
    <w:name w:val="heading 3"/>
    <w:basedOn w:val="Normal"/>
    <w:next w:val="Normal"/>
    <w:link w:val="Heading3Char"/>
    <w:uiPriority w:val="9"/>
    <w:qFormat/>
    <w:rsid w:val="007F78F7"/>
    <w:pPr>
      <w:keepNext/>
      <w:keepLines/>
      <w:spacing w:before="480" w:after="240" w:line="380" w:lineRule="atLeast"/>
      <w:outlineLvl w:val="2"/>
    </w:pPr>
    <w:rPr>
      <w:rFonts w:asciiTheme="majorHAnsi" w:eastAsiaTheme="majorEastAsia" w:hAnsiTheme="majorHAnsi" w:cstheme="majorBidi"/>
      <w:color w:val="00A398"/>
      <w:sz w:val="32"/>
      <w:szCs w:val="24"/>
    </w:rPr>
  </w:style>
  <w:style w:type="paragraph" w:styleId="Heading4">
    <w:name w:val="heading 4"/>
    <w:basedOn w:val="Normal"/>
    <w:next w:val="Normal"/>
    <w:link w:val="Heading4Char"/>
    <w:uiPriority w:val="9"/>
    <w:qFormat/>
    <w:rsid w:val="005B458E"/>
    <w:pPr>
      <w:keepNext/>
      <w:keepLines/>
      <w:spacing w:before="360" w:after="180" w:line="280" w:lineRule="exact"/>
      <w:outlineLvl w:val="3"/>
    </w:pPr>
    <w:rPr>
      <w:rFonts w:eastAsiaTheme="majorEastAsia" w:cstheme="majorBidi"/>
      <w:b/>
      <w:iCs/>
      <w:color w:val="auto"/>
      <w:sz w:val="24"/>
    </w:rPr>
  </w:style>
  <w:style w:type="paragraph" w:styleId="Heading5">
    <w:name w:val="heading 5"/>
    <w:basedOn w:val="Normal"/>
    <w:next w:val="Normal"/>
    <w:link w:val="Heading5Char"/>
    <w:uiPriority w:val="9"/>
    <w:qFormat/>
    <w:rsid w:val="005B458E"/>
    <w:pPr>
      <w:keepNext/>
      <w:keepLines/>
      <w:spacing w:before="240"/>
      <w:outlineLvl w:val="4"/>
    </w:pPr>
    <w:rPr>
      <w:rFonts w:eastAsiaTheme="majorEastAsia" w:cstheme="majorBidi"/>
      <w:b/>
      <w:i/>
      <w:color w:val="auto"/>
    </w:rPr>
  </w:style>
  <w:style w:type="paragraph" w:styleId="Heading6">
    <w:name w:val="heading 6"/>
    <w:basedOn w:val="Normal"/>
    <w:next w:val="Normal"/>
    <w:link w:val="Heading6Char"/>
    <w:uiPriority w:val="9"/>
    <w:qFormat/>
    <w:rsid w:val="005B458E"/>
    <w:pPr>
      <w:keepNext/>
      <w:keepLines/>
      <w:outlineLvl w:val="5"/>
    </w:pPr>
    <w:rPr>
      <w:rFonts w:eastAsiaTheme="majorEastAsia" w:cstheme="majorBidi"/>
      <w:b/>
      <w:i/>
      <w:sz w:val="20"/>
      <w:szCs w:val="20"/>
    </w:rPr>
  </w:style>
  <w:style w:type="paragraph" w:styleId="Heading7">
    <w:name w:val="heading 7"/>
    <w:basedOn w:val="Normal"/>
    <w:next w:val="Normal"/>
    <w:link w:val="Heading7Char"/>
    <w:uiPriority w:val="9"/>
    <w:qFormat/>
    <w:rsid w:val="005B458E"/>
    <w:pPr>
      <w:keepNext/>
      <w:keepLines/>
      <w:outlineLvl w:val="6"/>
    </w:pPr>
    <w:rPr>
      <w:rFonts w:eastAsiaTheme="majorEastAsia"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endixNumbered">
    <w:name w:val="Appendix Numbered"/>
    <w:basedOn w:val="Heading2"/>
    <w:uiPriority w:val="11"/>
    <w:qFormat/>
    <w:rsid w:val="005B458E"/>
    <w:pPr>
      <w:pageBreakBefore/>
      <w:numPr>
        <w:numId w:val="23"/>
      </w:numPr>
    </w:pPr>
    <w:rPr>
      <w:b/>
    </w:rPr>
  </w:style>
  <w:style w:type="character" w:customStyle="1" w:styleId="Heading2Char">
    <w:name w:val="Heading 2 Char"/>
    <w:basedOn w:val="DefaultParagraphFont"/>
    <w:link w:val="Heading2"/>
    <w:uiPriority w:val="9"/>
    <w:rsid w:val="007F78F7"/>
    <w:rPr>
      <w:rFonts w:asciiTheme="majorHAnsi" w:eastAsiaTheme="majorEastAsia" w:hAnsiTheme="majorHAnsi" w:cstheme="majorBidi"/>
      <w:color w:val="00A398"/>
      <w:sz w:val="44"/>
      <w:szCs w:val="26"/>
    </w:rPr>
  </w:style>
  <w:style w:type="paragraph" w:customStyle="1" w:styleId="Boxed1Text">
    <w:name w:val="Boxed 1 Text"/>
    <w:basedOn w:val="Normal"/>
    <w:uiPriority w:val="29"/>
    <w:qFormat/>
    <w:rsid w:val="005B458E"/>
    <w:pPr>
      <w:pBdr>
        <w:top w:val="single" w:sz="4" w:space="14" w:color="B3FFFB" w:themeColor="accent1" w:themeTint="33"/>
        <w:left w:val="single" w:sz="4" w:space="14" w:color="B3FFFB" w:themeColor="accent1" w:themeTint="33"/>
        <w:bottom w:val="single" w:sz="4" w:space="14" w:color="B3FFFB" w:themeColor="accent1" w:themeTint="33"/>
        <w:right w:val="single" w:sz="4" w:space="14" w:color="B3FFFB" w:themeColor="accent1" w:themeTint="33"/>
      </w:pBdr>
      <w:shd w:val="clear" w:color="auto" w:fill="B3FFFB" w:themeFill="accent1" w:themeFillTint="33"/>
      <w:spacing w:after="60" w:line="240" w:lineRule="atLeast"/>
      <w:ind w:left="284" w:right="284"/>
    </w:pPr>
  </w:style>
  <w:style w:type="paragraph" w:customStyle="1" w:styleId="Boxed1Bullet">
    <w:name w:val="Boxed 1 Bullet"/>
    <w:basedOn w:val="Boxed1Text"/>
    <w:uiPriority w:val="30"/>
    <w:qFormat/>
    <w:rsid w:val="005B458E"/>
    <w:pPr>
      <w:numPr>
        <w:numId w:val="25"/>
      </w:numPr>
    </w:pPr>
  </w:style>
  <w:style w:type="paragraph" w:customStyle="1" w:styleId="Boxed1Heading">
    <w:name w:val="Boxed 1 Heading"/>
    <w:basedOn w:val="Boxed1Text"/>
    <w:uiPriority w:val="29"/>
    <w:qFormat/>
    <w:rsid w:val="005B458E"/>
    <w:pPr>
      <w:keepNext/>
    </w:pPr>
    <w:rPr>
      <w:b/>
    </w:rPr>
  </w:style>
  <w:style w:type="paragraph" w:customStyle="1" w:styleId="Boxed2Text">
    <w:name w:val="Boxed 2 Text"/>
    <w:basedOn w:val="Boxed1Text"/>
    <w:uiPriority w:val="31"/>
    <w:qFormat/>
    <w:rsid w:val="005B458E"/>
    <w:pPr>
      <w:pBdr>
        <w:top w:val="single" w:sz="4" w:space="14" w:color="00847E" w:themeColor="accent1"/>
        <w:left w:val="single" w:sz="4" w:space="14" w:color="00847E" w:themeColor="accent1"/>
        <w:bottom w:val="single" w:sz="4" w:space="14" w:color="00847E" w:themeColor="accent1"/>
        <w:right w:val="single" w:sz="4" w:space="14" w:color="00847E" w:themeColor="accent1"/>
      </w:pBdr>
      <w:shd w:val="clear" w:color="auto" w:fill="auto"/>
    </w:pPr>
  </w:style>
  <w:style w:type="paragraph" w:customStyle="1" w:styleId="Boxed2Bullet">
    <w:name w:val="Boxed 2 Bullet"/>
    <w:basedOn w:val="Boxed2Text"/>
    <w:uiPriority w:val="32"/>
    <w:qFormat/>
    <w:rsid w:val="005B458E"/>
    <w:pPr>
      <w:numPr>
        <w:ilvl w:val="1"/>
        <w:numId w:val="25"/>
      </w:numPr>
    </w:pPr>
  </w:style>
  <w:style w:type="paragraph" w:customStyle="1" w:styleId="Boxed2Heading">
    <w:name w:val="Boxed 2 Heading"/>
    <w:basedOn w:val="Boxed2Text"/>
    <w:uiPriority w:val="31"/>
    <w:qFormat/>
    <w:rsid w:val="005B458E"/>
    <w:pPr>
      <w:keepNext/>
    </w:pPr>
    <w:rPr>
      <w:b/>
    </w:rPr>
  </w:style>
  <w:style w:type="paragraph" w:customStyle="1" w:styleId="Bullet1">
    <w:name w:val="Bullet 1"/>
    <w:basedOn w:val="Normal"/>
    <w:uiPriority w:val="2"/>
    <w:qFormat/>
    <w:rsid w:val="005B458E"/>
    <w:pPr>
      <w:numPr>
        <w:numId w:val="28"/>
      </w:numPr>
    </w:pPr>
  </w:style>
  <w:style w:type="paragraph" w:customStyle="1" w:styleId="Bullet2">
    <w:name w:val="Bullet 2"/>
    <w:basedOn w:val="Normal"/>
    <w:uiPriority w:val="2"/>
    <w:qFormat/>
    <w:rsid w:val="005B458E"/>
    <w:pPr>
      <w:numPr>
        <w:ilvl w:val="1"/>
        <w:numId w:val="28"/>
      </w:numPr>
    </w:pPr>
  </w:style>
  <w:style w:type="paragraph" w:customStyle="1" w:styleId="Bullet3">
    <w:name w:val="Bullet 3"/>
    <w:basedOn w:val="Normal"/>
    <w:uiPriority w:val="2"/>
    <w:qFormat/>
    <w:rsid w:val="005B458E"/>
    <w:pPr>
      <w:numPr>
        <w:ilvl w:val="2"/>
        <w:numId w:val="28"/>
      </w:numPr>
    </w:pPr>
  </w:style>
  <w:style w:type="paragraph" w:customStyle="1" w:styleId="FigureTitle">
    <w:name w:val="Figure Title"/>
    <w:basedOn w:val="Normal"/>
    <w:uiPriority w:val="12"/>
    <w:qFormat/>
    <w:rsid w:val="005B458E"/>
    <w:pPr>
      <w:keepNext/>
      <w:numPr>
        <w:numId w:val="29"/>
      </w:numPr>
      <w:spacing w:before="240"/>
    </w:pPr>
    <w:rPr>
      <w:rFonts w:asciiTheme="majorHAnsi" w:hAnsiTheme="majorHAnsi"/>
      <w:color w:val="00847E" w:themeColor="accent1"/>
    </w:rPr>
  </w:style>
  <w:style w:type="paragraph" w:customStyle="1" w:styleId="Heading1Numbered">
    <w:name w:val="Heading 1 Numbered"/>
    <w:basedOn w:val="Heading1"/>
    <w:uiPriority w:val="10"/>
    <w:qFormat/>
    <w:rsid w:val="005B458E"/>
    <w:pPr>
      <w:numPr>
        <w:numId w:val="36"/>
      </w:numPr>
    </w:pPr>
  </w:style>
  <w:style w:type="character" w:customStyle="1" w:styleId="Heading1Char">
    <w:name w:val="Heading 1 Char"/>
    <w:basedOn w:val="DefaultParagraphFont"/>
    <w:link w:val="Heading1"/>
    <w:uiPriority w:val="9"/>
    <w:rsid w:val="005B458E"/>
    <w:rPr>
      <w:rFonts w:asciiTheme="majorHAnsi" w:eastAsiaTheme="majorEastAsia" w:hAnsiTheme="majorHAnsi" w:cstheme="majorBidi"/>
      <w:b/>
      <w:color w:val="00847E" w:themeColor="accent1"/>
      <w:sz w:val="48"/>
      <w:szCs w:val="32"/>
    </w:rPr>
  </w:style>
  <w:style w:type="paragraph" w:customStyle="1" w:styleId="Heading2Numbered">
    <w:name w:val="Heading 2 Numbered"/>
    <w:basedOn w:val="Heading2"/>
    <w:uiPriority w:val="10"/>
    <w:qFormat/>
    <w:rsid w:val="005B458E"/>
    <w:pPr>
      <w:numPr>
        <w:ilvl w:val="1"/>
        <w:numId w:val="36"/>
      </w:numPr>
    </w:pPr>
  </w:style>
  <w:style w:type="paragraph" w:customStyle="1" w:styleId="Heading3Numbered">
    <w:name w:val="Heading 3 Numbered"/>
    <w:basedOn w:val="Heading3"/>
    <w:uiPriority w:val="10"/>
    <w:qFormat/>
    <w:rsid w:val="005B458E"/>
    <w:pPr>
      <w:numPr>
        <w:ilvl w:val="2"/>
        <w:numId w:val="36"/>
      </w:numPr>
    </w:pPr>
  </w:style>
  <w:style w:type="character" w:customStyle="1" w:styleId="Heading3Char">
    <w:name w:val="Heading 3 Char"/>
    <w:basedOn w:val="DefaultParagraphFont"/>
    <w:link w:val="Heading3"/>
    <w:uiPriority w:val="9"/>
    <w:rsid w:val="007F78F7"/>
    <w:rPr>
      <w:rFonts w:asciiTheme="majorHAnsi" w:eastAsiaTheme="majorEastAsia" w:hAnsiTheme="majorHAnsi" w:cstheme="majorBidi"/>
      <w:color w:val="00A398"/>
      <w:sz w:val="32"/>
      <w:szCs w:val="24"/>
    </w:rPr>
  </w:style>
  <w:style w:type="paragraph" w:customStyle="1" w:styleId="Heading4Numbered">
    <w:name w:val="Heading 4 Numbered"/>
    <w:basedOn w:val="Heading4"/>
    <w:uiPriority w:val="10"/>
    <w:qFormat/>
    <w:rsid w:val="005B458E"/>
    <w:pPr>
      <w:numPr>
        <w:ilvl w:val="3"/>
        <w:numId w:val="36"/>
      </w:numPr>
    </w:pPr>
  </w:style>
  <w:style w:type="character" w:customStyle="1" w:styleId="Heading4Char">
    <w:name w:val="Heading 4 Char"/>
    <w:basedOn w:val="DefaultParagraphFont"/>
    <w:link w:val="Heading4"/>
    <w:uiPriority w:val="9"/>
    <w:rsid w:val="005B458E"/>
    <w:rPr>
      <w:rFonts w:eastAsiaTheme="majorEastAsia" w:cstheme="majorBidi"/>
      <w:b/>
      <w:iCs/>
      <w:color w:val="auto"/>
      <w:sz w:val="24"/>
    </w:rPr>
  </w:style>
  <w:style w:type="paragraph" w:customStyle="1" w:styleId="Heading5Numbered">
    <w:name w:val="Heading 5 Numbered"/>
    <w:basedOn w:val="Heading5"/>
    <w:uiPriority w:val="10"/>
    <w:qFormat/>
    <w:rsid w:val="005B458E"/>
    <w:pPr>
      <w:keepNext w:val="0"/>
      <w:numPr>
        <w:ilvl w:val="4"/>
        <w:numId w:val="36"/>
      </w:numPr>
    </w:pPr>
  </w:style>
  <w:style w:type="character" w:customStyle="1" w:styleId="Heading5Char">
    <w:name w:val="Heading 5 Char"/>
    <w:basedOn w:val="DefaultParagraphFont"/>
    <w:link w:val="Heading5"/>
    <w:uiPriority w:val="9"/>
    <w:rsid w:val="005B458E"/>
    <w:rPr>
      <w:rFonts w:eastAsiaTheme="majorEastAsia" w:cstheme="majorBidi"/>
      <w:b/>
      <w:i/>
      <w:color w:val="auto"/>
    </w:rPr>
  </w:style>
  <w:style w:type="paragraph" w:customStyle="1" w:styleId="Heading6Numbered">
    <w:name w:val="Heading 6 Numbered"/>
    <w:basedOn w:val="Heading6"/>
    <w:uiPriority w:val="10"/>
    <w:qFormat/>
    <w:rsid w:val="005B458E"/>
    <w:pPr>
      <w:keepNext w:val="0"/>
      <w:numPr>
        <w:ilvl w:val="5"/>
        <w:numId w:val="36"/>
      </w:numPr>
    </w:pPr>
    <w:rPr>
      <w:sz w:val="22"/>
      <w:szCs w:val="22"/>
    </w:rPr>
  </w:style>
  <w:style w:type="character" w:customStyle="1" w:styleId="Heading6Char">
    <w:name w:val="Heading 6 Char"/>
    <w:basedOn w:val="DefaultParagraphFont"/>
    <w:link w:val="Heading6"/>
    <w:uiPriority w:val="9"/>
    <w:rsid w:val="005B458E"/>
    <w:rPr>
      <w:rFonts w:eastAsiaTheme="majorEastAsia" w:cstheme="majorBidi"/>
      <w:b/>
      <w:i/>
      <w:sz w:val="20"/>
      <w:szCs w:val="20"/>
    </w:rPr>
  </w:style>
  <w:style w:type="paragraph" w:customStyle="1" w:styleId="Heading7Numbered">
    <w:name w:val="Heading 7 Numbered"/>
    <w:basedOn w:val="Heading7"/>
    <w:uiPriority w:val="10"/>
    <w:qFormat/>
    <w:rsid w:val="005B458E"/>
    <w:pPr>
      <w:numPr>
        <w:ilvl w:val="6"/>
        <w:numId w:val="36"/>
      </w:numPr>
    </w:pPr>
    <w:rPr>
      <w:sz w:val="22"/>
      <w:szCs w:val="22"/>
    </w:rPr>
  </w:style>
  <w:style w:type="character" w:customStyle="1" w:styleId="Heading7Char">
    <w:name w:val="Heading 7 Char"/>
    <w:basedOn w:val="DefaultParagraphFont"/>
    <w:link w:val="Heading7"/>
    <w:uiPriority w:val="9"/>
    <w:rsid w:val="005B458E"/>
    <w:rPr>
      <w:rFonts w:eastAsiaTheme="majorEastAsia" w:cstheme="majorBidi"/>
      <w:i/>
      <w:iCs/>
      <w:sz w:val="20"/>
      <w:szCs w:val="20"/>
    </w:rPr>
  </w:style>
  <w:style w:type="paragraph" w:customStyle="1" w:styleId="IntroPara">
    <w:name w:val="Intro Para"/>
    <w:basedOn w:val="Normal"/>
    <w:uiPriority w:val="1"/>
    <w:qFormat/>
    <w:rsid w:val="005B458E"/>
    <w:pPr>
      <w:spacing w:before="240" w:after="240"/>
      <w:contextualSpacing/>
    </w:pPr>
    <w:rPr>
      <w:rFonts w:asciiTheme="majorHAnsi" w:hAnsiTheme="majorHAnsi"/>
      <w:color w:val="00847E" w:themeColor="accent1"/>
    </w:rPr>
  </w:style>
  <w:style w:type="paragraph" w:customStyle="1" w:styleId="List1Numbered1">
    <w:name w:val="List 1 Numbered 1"/>
    <w:basedOn w:val="Normal"/>
    <w:uiPriority w:val="2"/>
    <w:qFormat/>
    <w:rsid w:val="005B458E"/>
    <w:pPr>
      <w:numPr>
        <w:numId w:val="39"/>
      </w:numPr>
    </w:pPr>
  </w:style>
  <w:style w:type="paragraph" w:customStyle="1" w:styleId="List1Numbered2">
    <w:name w:val="List 1 Numbered 2"/>
    <w:basedOn w:val="Normal"/>
    <w:uiPriority w:val="2"/>
    <w:qFormat/>
    <w:rsid w:val="005B458E"/>
    <w:pPr>
      <w:numPr>
        <w:ilvl w:val="1"/>
        <w:numId w:val="39"/>
      </w:numPr>
    </w:pPr>
  </w:style>
  <w:style w:type="paragraph" w:customStyle="1" w:styleId="List1Numbered3">
    <w:name w:val="List 1 Numbered 3"/>
    <w:basedOn w:val="Normal"/>
    <w:uiPriority w:val="2"/>
    <w:qFormat/>
    <w:rsid w:val="005B458E"/>
    <w:pPr>
      <w:numPr>
        <w:ilvl w:val="2"/>
        <w:numId w:val="39"/>
      </w:numPr>
    </w:pPr>
  </w:style>
  <w:style w:type="paragraph" w:customStyle="1" w:styleId="NormalIndent5mm">
    <w:name w:val="Normal Indent 5mm"/>
    <w:basedOn w:val="Normal"/>
    <w:qFormat/>
    <w:rsid w:val="005B458E"/>
    <w:pPr>
      <w:ind w:left="284"/>
    </w:pPr>
  </w:style>
  <w:style w:type="paragraph" w:customStyle="1" w:styleId="PullOut-Teal">
    <w:name w:val="Pull Out - Teal"/>
    <w:basedOn w:val="Normal"/>
    <w:uiPriority w:val="22"/>
    <w:qFormat/>
    <w:rsid w:val="005B458E"/>
    <w:pPr>
      <w:numPr>
        <w:numId w:val="40"/>
      </w:numPr>
      <w:spacing w:before="480" w:after="480" w:line="340" w:lineRule="atLeast"/>
    </w:pPr>
    <w:rPr>
      <w:color w:val="003B45" w:themeColor="text2"/>
      <w:sz w:val="28"/>
    </w:rPr>
  </w:style>
  <w:style w:type="paragraph" w:customStyle="1" w:styleId="SourceNotes">
    <w:name w:val="Source Notes"/>
    <w:basedOn w:val="Normal"/>
    <w:uiPriority w:val="21"/>
    <w:qFormat/>
    <w:rsid w:val="005B458E"/>
    <w:pPr>
      <w:spacing w:before="60" w:after="60"/>
    </w:pPr>
    <w:rPr>
      <w:sz w:val="16"/>
    </w:rPr>
  </w:style>
  <w:style w:type="paragraph" w:customStyle="1" w:styleId="SourceNotesHeading">
    <w:name w:val="Source Notes Heading"/>
    <w:basedOn w:val="SourceNotes"/>
    <w:uiPriority w:val="20"/>
    <w:qFormat/>
    <w:rsid w:val="005B458E"/>
    <w:pPr>
      <w:spacing w:before="120"/>
    </w:pPr>
    <w:rPr>
      <w:rFonts w:asciiTheme="majorHAnsi" w:hAnsiTheme="majorHAnsi"/>
      <w:b/>
    </w:rPr>
  </w:style>
  <w:style w:type="paragraph" w:customStyle="1" w:styleId="SourceNotesNumbered">
    <w:name w:val="Source Notes Numbered"/>
    <w:basedOn w:val="SourceNotes"/>
    <w:uiPriority w:val="21"/>
    <w:qFormat/>
    <w:rsid w:val="005B458E"/>
    <w:pPr>
      <w:numPr>
        <w:numId w:val="41"/>
      </w:numPr>
    </w:pPr>
  </w:style>
  <w:style w:type="paragraph" w:customStyle="1" w:styleId="TableTitle">
    <w:name w:val="Table Title"/>
    <w:basedOn w:val="FigureTitle"/>
    <w:uiPriority w:val="12"/>
    <w:qFormat/>
    <w:rsid w:val="005B458E"/>
    <w:pPr>
      <w:numPr>
        <w:numId w:val="42"/>
      </w:numPr>
    </w:pPr>
  </w:style>
  <w:style w:type="paragraph" w:customStyle="1" w:styleId="PullOut-Pink">
    <w:name w:val="Pull Out - Pink"/>
    <w:basedOn w:val="PullOut-Teal"/>
    <w:uiPriority w:val="22"/>
    <w:qFormat/>
    <w:rsid w:val="005B458E"/>
    <w:pPr>
      <w:numPr>
        <w:numId w:val="43"/>
      </w:numPr>
    </w:pPr>
  </w:style>
  <w:style w:type="paragraph" w:customStyle="1" w:styleId="PullOut-Yellow">
    <w:name w:val="Pull Out - Yellow"/>
    <w:basedOn w:val="PullOut-Teal"/>
    <w:qFormat/>
    <w:rsid w:val="005B458E"/>
    <w:pPr>
      <w:numPr>
        <w:numId w:val="44"/>
      </w:numPr>
    </w:pPr>
  </w:style>
  <w:style w:type="paragraph" w:styleId="Caption">
    <w:name w:val="caption"/>
    <w:basedOn w:val="Normal"/>
    <w:next w:val="Normal"/>
    <w:uiPriority w:val="19"/>
    <w:qFormat/>
    <w:rsid w:val="005B458E"/>
    <w:pPr>
      <w:spacing w:before="180" w:after="480" w:line="200" w:lineRule="atLeast"/>
      <w:ind w:right="2268"/>
    </w:pPr>
    <w:rPr>
      <w:rFonts w:asciiTheme="majorHAnsi" w:hAnsiTheme="majorHAnsi"/>
      <w:iCs/>
      <w:color w:val="00847E" w:themeColor="accent1"/>
      <w:sz w:val="16"/>
      <w:szCs w:val="18"/>
    </w:rPr>
  </w:style>
  <w:style w:type="paragraph" w:styleId="Title">
    <w:name w:val="Title"/>
    <w:basedOn w:val="Normal"/>
    <w:next w:val="Normal"/>
    <w:link w:val="TitleChar"/>
    <w:uiPriority w:val="22"/>
    <w:qFormat/>
    <w:rsid w:val="005B458E"/>
    <w:pPr>
      <w:keepLines/>
      <w:spacing w:before="0" w:after="360" w:line="640" w:lineRule="exact"/>
      <w:contextualSpacing/>
      <w:outlineLvl w:val="0"/>
    </w:pPr>
    <w:rPr>
      <w:rFonts w:asciiTheme="majorHAnsi" w:eastAsiaTheme="majorEastAsia" w:hAnsiTheme="majorHAnsi" w:cstheme="majorBidi"/>
      <w:color w:val="00847E" w:themeColor="accent1"/>
      <w:kern w:val="28"/>
      <w:sz w:val="60"/>
      <w:szCs w:val="56"/>
    </w:rPr>
  </w:style>
  <w:style w:type="character" w:customStyle="1" w:styleId="TitleChar">
    <w:name w:val="Title Char"/>
    <w:basedOn w:val="DefaultParagraphFont"/>
    <w:link w:val="Title"/>
    <w:uiPriority w:val="22"/>
    <w:rsid w:val="005B458E"/>
    <w:rPr>
      <w:rFonts w:asciiTheme="majorHAnsi" w:eastAsiaTheme="majorEastAsia" w:hAnsiTheme="majorHAnsi" w:cstheme="majorBidi"/>
      <w:color w:val="00847E" w:themeColor="accent1"/>
      <w:kern w:val="28"/>
      <w:sz w:val="60"/>
      <w:szCs w:val="56"/>
    </w:rPr>
  </w:style>
  <w:style w:type="paragraph" w:styleId="Subtitle">
    <w:name w:val="Subtitle"/>
    <w:basedOn w:val="Normal"/>
    <w:next w:val="Normal"/>
    <w:link w:val="SubtitleChar"/>
    <w:uiPriority w:val="23"/>
    <w:qFormat/>
    <w:rsid w:val="005B458E"/>
    <w:pPr>
      <w:keepLines/>
      <w:numPr>
        <w:ilvl w:val="1"/>
      </w:numPr>
      <w:spacing w:before="360" w:after="360" w:line="280" w:lineRule="exact"/>
      <w:contextualSpacing/>
    </w:pPr>
    <w:rPr>
      <w:rFonts w:eastAsiaTheme="minorEastAsia"/>
      <w:color w:val="00847E" w:themeColor="accent1"/>
      <w:sz w:val="24"/>
    </w:rPr>
  </w:style>
  <w:style w:type="character" w:customStyle="1" w:styleId="SubtitleChar">
    <w:name w:val="Subtitle Char"/>
    <w:basedOn w:val="DefaultParagraphFont"/>
    <w:link w:val="Subtitle"/>
    <w:uiPriority w:val="23"/>
    <w:rsid w:val="005B458E"/>
    <w:rPr>
      <w:rFonts w:eastAsiaTheme="minorEastAsia"/>
      <w:color w:val="00847E" w:themeColor="accent1"/>
      <w:sz w:val="24"/>
    </w:rPr>
  </w:style>
  <w:style w:type="character" w:styleId="Strong">
    <w:name w:val="Strong"/>
    <w:basedOn w:val="DefaultParagraphFont"/>
    <w:uiPriority w:val="33"/>
    <w:qFormat/>
    <w:rsid w:val="005B458E"/>
    <w:rPr>
      <w:b/>
      <w:bCs/>
    </w:rPr>
  </w:style>
  <w:style w:type="character" w:styleId="Emphasis">
    <w:name w:val="Emphasis"/>
    <w:basedOn w:val="DefaultParagraphFont"/>
    <w:uiPriority w:val="33"/>
    <w:qFormat/>
    <w:rsid w:val="005B458E"/>
    <w:rPr>
      <w:i/>
      <w:iCs/>
    </w:rPr>
  </w:style>
  <w:style w:type="paragraph" w:styleId="NoSpacing">
    <w:name w:val="No Spacing"/>
    <w:uiPriority w:val="1"/>
    <w:qFormat/>
    <w:rsid w:val="005B458E"/>
    <w:pPr>
      <w:spacing w:after="0"/>
    </w:pPr>
  </w:style>
  <w:style w:type="character" w:styleId="IntenseEmphasis">
    <w:name w:val="Intense Emphasis"/>
    <w:basedOn w:val="DefaultParagraphFont"/>
    <w:uiPriority w:val="33"/>
    <w:qFormat/>
    <w:rsid w:val="005B458E"/>
    <w:rPr>
      <w:b/>
      <w:i/>
      <w:iCs/>
      <w:color w:val="000000" w:themeColor="text1"/>
    </w:rPr>
  </w:style>
  <w:style w:type="paragraph" w:styleId="TOCHeading">
    <w:name w:val="TOC Heading"/>
    <w:basedOn w:val="Heading1"/>
    <w:next w:val="Normal"/>
    <w:uiPriority w:val="39"/>
    <w:qFormat/>
    <w:rsid w:val="005B458E"/>
    <w:pPr>
      <w:outlineLvl w:val="9"/>
    </w:pPr>
  </w:style>
  <w:style w:type="paragraph" w:styleId="Header">
    <w:name w:val="header"/>
    <w:basedOn w:val="Normal"/>
    <w:link w:val="HeaderChar"/>
    <w:uiPriority w:val="99"/>
    <w:unhideWhenUsed/>
    <w:rsid w:val="006C328D"/>
    <w:pPr>
      <w:tabs>
        <w:tab w:val="center" w:pos="4513"/>
        <w:tab w:val="right" w:pos="9026"/>
      </w:tabs>
      <w:spacing w:before="0" w:after="0"/>
    </w:pPr>
  </w:style>
  <w:style w:type="character" w:customStyle="1" w:styleId="HeaderChar">
    <w:name w:val="Header Char"/>
    <w:basedOn w:val="DefaultParagraphFont"/>
    <w:link w:val="Header"/>
    <w:uiPriority w:val="99"/>
    <w:rsid w:val="006C328D"/>
  </w:style>
  <w:style w:type="paragraph" w:styleId="Footer">
    <w:name w:val="footer"/>
    <w:basedOn w:val="Normal"/>
    <w:link w:val="FooterChar"/>
    <w:uiPriority w:val="99"/>
    <w:unhideWhenUsed/>
    <w:rsid w:val="006C328D"/>
    <w:pPr>
      <w:tabs>
        <w:tab w:val="center" w:pos="4513"/>
        <w:tab w:val="right" w:pos="9026"/>
      </w:tabs>
      <w:spacing w:before="0" w:after="0"/>
    </w:pPr>
  </w:style>
  <w:style w:type="character" w:customStyle="1" w:styleId="FooterChar">
    <w:name w:val="Footer Char"/>
    <w:basedOn w:val="DefaultParagraphFont"/>
    <w:link w:val="Footer"/>
    <w:uiPriority w:val="99"/>
    <w:rsid w:val="006C328D"/>
  </w:style>
  <w:style w:type="paragraph" w:styleId="BalloonText">
    <w:name w:val="Balloon Text"/>
    <w:basedOn w:val="Normal"/>
    <w:link w:val="BalloonTextChar"/>
    <w:uiPriority w:val="99"/>
    <w:semiHidden/>
    <w:unhideWhenUsed/>
    <w:rsid w:val="006C328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328D"/>
    <w:rPr>
      <w:rFonts w:ascii="Tahoma" w:hAnsi="Tahoma" w:cs="Tahoma"/>
      <w:sz w:val="16"/>
      <w:szCs w:val="16"/>
    </w:rPr>
  </w:style>
  <w:style w:type="paragraph" w:styleId="ListParagraph">
    <w:name w:val="List Paragraph"/>
    <w:basedOn w:val="Normal"/>
    <w:link w:val="ListParagraphChar"/>
    <w:uiPriority w:val="34"/>
    <w:qFormat/>
    <w:rsid w:val="0024042F"/>
    <w:pPr>
      <w:spacing w:before="40" w:after="160" w:line="280" w:lineRule="exact"/>
      <w:ind w:left="720"/>
      <w:contextualSpacing/>
    </w:pPr>
    <w:rPr>
      <w:rFonts w:ascii="Arial" w:hAnsi="Arial"/>
      <w:color w:val="auto"/>
    </w:rPr>
  </w:style>
  <w:style w:type="paragraph" w:customStyle="1" w:styleId="BulletsL2">
    <w:name w:val="Bullets L2"/>
    <w:basedOn w:val="Normal"/>
    <w:link w:val="BulletsL2Char"/>
    <w:qFormat/>
    <w:rsid w:val="0024042F"/>
    <w:pPr>
      <w:numPr>
        <w:numId w:val="45"/>
      </w:numPr>
      <w:spacing w:before="40" w:line="280" w:lineRule="exact"/>
    </w:pPr>
    <w:rPr>
      <w:rFonts w:ascii="Arial" w:hAnsi="Arial"/>
      <w:color w:val="auto"/>
      <w:lang w:val="en-US"/>
    </w:rPr>
  </w:style>
  <w:style w:type="character" w:customStyle="1" w:styleId="ListParagraphChar">
    <w:name w:val="List Paragraph Char"/>
    <w:basedOn w:val="DefaultParagraphFont"/>
    <w:link w:val="ListParagraph"/>
    <w:uiPriority w:val="34"/>
    <w:rsid w:val="0024042F"/>
    <w:rPr>
      <w:rFonts w:ascii="Arial" w:hAnsi="Arial"/>
      <w:color w:val="auto"/>
    </w:rPr>
  </w:style>
  <w:style w:type="character" w:customStyle="1" w:styleId="BulletsL2Char">
    <w:name w:val="Bullets L2 Char"/>
    <w:basedOn w:val="DefaultParagraphFont"/>
    <w:link w:val="BulletsL2"/>
    <w:rsid w:val="0024042F"/>
    <w:rPr>
      <w:rFonts w:ascii="Arial" w:hAnsi="Arial"/>
      <w:color w:val="auto"/>
      <w:lang w:val="en-US"/>
    </w:rPr>
  </w:style>
  <w:style w:type="paragraph" w:styleId="FootnoteText">
    <w:name w:val="footnote text"/>
    <w:basedOn w:val="Normal"/>
    <w:link w:val="FootnoteTextChar"/>
    <w:uiPriority w:val="99"/>
    <w:semiHidden/>
    <w:unhideWhenUsed/>
    <w:rsid w:val="0024042F"/>
    <w:pPr>
      <w:spacing w:before="0" w:after="0"/>
    </w:pPr>
    <w:rPr>
      <w:color w:val="auto"/>
      <w:sz w:val="20"/>
      <w:szCs w:val="20"/>
      <w:lang w:val="en-GB"/>
    </w:rPr>
  </w:style>
  <w:style w:type="character" w:customStyle="1" w:styleId="FootnoteTextChar">
    <w:name w:val="Footnote Text Char"/>
    <w:basedOn w:val="DefaultParagraphFont"/>
    <w:link w:val="FootnoteText"/>
    <w:uiPriority w:val="99"/>
    <w:semiHidden/>
    <w:rsid w:val="0024042F"/>
    <w:rPr>
      <w:color w:val="auto"/>
      <w:sz w:val="20"/>
      <w:szCs w:val="20"/>
      <w:lang w:val="en-GB"/>
    </w:rPr>
  </w:style>
  <w:style w:type="character" w:styleId="FootnoteReference">
    <w:name w:val="footnote reference"/>
    <w:basedOn w:val="DefaultParagraphFont"/>
    <w:uiPriority w:val="99"/>
    <w:semiHidden/>
    <w:unhideWhenUsed/>
    <w:rsid w:val="0024042F"/>
    <w:rPr>
      <w:vertAlign w:val="superscript"/>
    </w:rPr>
  </w:style>
  <w:style w:type="character" w:styleId="Hyperlink">
    <w:name w:val="Hyperlink"/>
    <w:basedOn w:val="DefaultParagraphFont"/>
    <w:uiPriority w:val="99"/>
    <w:unhideWhenUsed/>
    <w:rsid w:val="0024042F"/>
    <w:rPr>
      <w:color w:val="00847E" w:themeColor="hyperlink"/>
      <w:u w:val="single"/>
    </w:rPr>
  </w:style>
  <w:style w:type="character" w:customStyle="1" w:styleId="MSGENFONTSTYLENAMETEMPLATEROLEMSGENFONTSTYLENAMEBYROLETEXT">
    <w:name w:val="MSG_EN_FONT_STYLE_NAME_TEMPLATE_ROLE MSG_EN_FONT_STYLE_NAME_BY_ROLE_TEXT_"/>
    <w:basedOn w:val="DefaultParagraphFont"/>
    <w:link w:val="MSGENFONTSTYLENAMETEMPLATEROLEMSGENFONTSTYLENAMEBYROLETEXT0"/>
    <w:rsid w:val="0024042F"/>
    <w:rPr>
      <w:rFonts w:ascii="Arial" w:eastAsia="Arial" w:hAnsi="Arial" w:cs="Arial"/>
      <w:sz w:val="19"/>
      <w:szCs w:val="19"/>
      <w:shd w:val="clear" w:color="auto" w:fill="FFFFFF"/>
    </w:rPr>
  </w:style>
  <w:style w:type="paragraph" w:customStyle="1" w:styleId="MSGENFONTSTYLENAMETEMPLATEROLEMSGENFONTSTYLENAMEBYROLETEXT0">
    <w:name w:val="MSG_EN_FONT_STYLE_NAME_TEMPLATE_ROLE MSG_EN_FONT_STYLE_NAME_BY_ROLE_TEXT"/>
    <w:basedOn w:val="Normal"/>
    <w:link w:val="MSGENFONTSTYLENAMETEMPLATEROLEMSGENFONTSTYLENAMEBYROLETEXT"/>
    <w:rsid w:val="0024042F"/>
    <w:pPr>
      <w:widowControl w:val="0"/>
      <w:shd w:val="clear" w:color="auto" w:fill="FFFFFF"/>
      <w:spacing w:before="0" w:line="298" w:lineRule="exact"/>
      <w:ind w:hanging="340"/>
    </w:pPr>
    <w:rPr>
      <w:rFonts w:ascii="Arial" w:eastAsia="Arial" w:hAnsi="Arial" w:cs="Arial"/>
      <w:sz w:val="19"/>
      <w:szCs w:val="19"/>
    </w:rPr>
  </w:style>
  <w:style w:type="character" w:styleId="SubtleEmphasis">
    <w:name w:val="Subtle Emphasis"/>
    <w:basedOn w:val="DefaultParagraphFont"/>
    <w:uiPriority w:val="19"/>
    <w:qFormat/>
    <w:rsid w:val="0024042F"/>
    <w:rPr>
      <w:i/>
      <w:iCs/>
      <w:color w:val="808080" w:themeColor="text1" w:themeTint="7F"/>
    </w:rPr>
  </w:style>
  <w:style w:type="table" w:styleId="TableGrid">
    <w:name w:val="Table Grid"/>
    <w:basedOn w:val="TableNormal"/>
    <w:uiPriority w:val="59"/>
    <w:rsid w:val="0024042F"/>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2144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teqsa.gov.au/hesf-2015-specific-guidance-notes" TargetMode="Externa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teqsa.gov.au/explanations-hes-framework-term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teqsa.gov.au/applying-under-the-new-standards"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enquiries@teqsa.gov.au"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coe.int/t/dg4/highereducation/recognition/Code%20of%20good%20practice_EN.asp"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education.gov.au/guidelines-use-word-university"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TEQSA">
      <a:dk1>
        <a:srgbClr val="000000"/>
      </a:dk1>
      <a:lt1>
        <a:sysClr val="window" lastClr="FFFFFF"/>
      </a:lt1>
      <a:dk2>
        <a:srgbClr val="003B45"/>
      </a:dk2>
      <a:lt2>
        <a:srgbClr val="E7E6E6"/>
      </a:lt2>
      <a:accent1>
        <a:srgbClr val="00847E"/>
      </a:accent1>
      <a:accent2>
        <a:srgbClr val="003B45"/>
      </a:accent2>
      <a:accent3>
        <a:srgbClr val="F37A8A"/>
      </a:accent3>
      <a:accent4>
        <a:srgbClr val="FEC553"/>
      </a:accent4>
      <a:accent5>
        <a:srgbClr val="A2DADD"/>
      </a:accent5>
      <a:accent6>
        <a:srgbClr val="ED7D31"/>
      </a:accent6>
      <a:hlink>
        <a:srgbClr val="00847E"/>
      </a:hlink>
      <a:folHlink>
        <a:srgbClr val="00847E"/>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7dac4e8-3feb-44f4-96ca-b86e7c14d0f6">
      <Value>45</Value>
    </TaxCatchAll>
    <DocumentOwner xmlns="c7dac4e8-3feb-44f4-96ca-b86e7c14d0f6">
      <UserInfo>
        <DisplayName>Treloar, Karen</DisplayName>
        <AccountId>397</AccountId>
        <AccountType/>
      </UserInfo>
    </DocumentOwner>
    <DatePublished xmlns="c7dac4e8-3feb-44f4-96ca-b86e7c14d0f6">2017-08-06T14:00:00+00:00</DatePublished>
    <FormOrTemplate xmlns="c7dac4e8-3feb-44f4-96ca-b86e7c14d0f6">Template</FormOrTemplate>
    <e6aacab2b3734039bc8633068afcfbf5 xmlns="c7dac4e8-3feb-44f4-96ca-b86e7c14d0f6">
      <Terms xmlns="http://schemas.microsoft.com/office/infopath/2007/PartnerControls">
        <TermInfo xmlns="http://schemas.microsoft.com/office/infopath/2007/PartnerControls">
          <TermName xmlns="http://schemas.microsoft.com/office/infopath/2007/PartnerControls">Comms and International</TermName>
          <TermId xmlns="http://schemas.microsoft.com/office/infopath/2007/PartnerControls">f1db5572-7306-443e-a442-d56c9f2c52d1</TermId>
        </TermInfo>
      </Terms>
    </e6aacab2b3734039bc8633068afcfbf5>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orms and Templates" ma:contentTypeID="0x0101008B12DBA0513E054CBBB1E0A6BA75A4240300D297527A5029E444B0C317D38D273153" ma:contentTypeVersion="4" ma:contentTypeDescription="" ma:contentTypeScope="" ma:versionID="2e25f12e526be21e8e57d9281c7f5faa">
  <xsd:schema xmlns:xsd="http://www.w3.org/2001/XMLSchema" xmlns:xs="http://www.w3.org/2001/XMLSchema" xmlns:p="http://schemas.microsoft.com/office/2006/metadata/properties" xmlns:ns2="c7dac4e8-3feb-44f4-96ca-b86e7c14d0f6" targetNamespace="http://schemas.microsoft.com/office/2006/metadata/properties" ma:root="true" ma:fieldsID="73f842c38cd15afe6ce6e7cf45703cde" ns2:_="">
    <xsd:import namespace="c7dac4e8-3feb-44f4-96ca-b86e7c14d0f6"/>
    <xsd:element name="properties">
      <xsd:complexType>
        <xsd:sequence>
          <xsd:element name="documentManagement">
            <xsd:complexType>
              <xsd:all>
                <xsd:element ref="ns2:e6aacab2b3734039bc8633068afcfbf5" minOccurs="0"/>
                <xsd:element ref="ns2:TaxCatchAll" minOccurs="0"/>
                <xsd:element ref="ns2:TaxCatchAllLabel" minOccurs="0"/>
                <xsd:element ref="ns2:DocumentOwner"/>
                <xsd:element ref="ns2:DatePublished"/>
                <xsd:element ref="ns2:FormOrTemplat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dac4e8-3feb-44f4-96ca-b86e7c14d0f6" elementFormDefault="qualified">
    <xsd:import namespace="http://schemas.microsoft.com/office/2006/documentManagement/types"/>
    <xsd:import namespace="http://schemas.microsoft.com/office/infopath/2007/PartnerControls"/>
    <xsd:element name="e6aacab2b3734039bc8633068afcfbf5" ma:index="8" nillable="true" ma:taxonomy="true" ma:internalName="e6aacab2b3734039bc8633068afcfbf5" ma:taxonomyFieldName="Team" ma:displayName="Team" ma:default="" ma:fieldId="{e6aacab2-b373-4039-bc86-33068afcfbf5}" ma:taxonomyMulti="true" ma:sspId="be8905b2-f52b-44de-a206-1b32cf4e62f6" ma:termSetId="106e9e8c-657b-438c-9955-5d7da1bc388e"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83f939d1-56bc-40c0-957d-36b9f39c0f6e}" ma:internalName="TaxCatchAll" ma:showField="CatchAllData" ma:web="c7dac4e8-3feb-44f4-96ca-b86e7c14d0f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83f939d1-56bc-40c0-957d-36b9f39c0f6e}" ma:internalName="TaxCatchAllLabel" ma:readOnly="true" ma:showField="CatchAllDataLabel" ma:web="c7dac4e8-3feb-44f4-96ca-b86e7c14d0f6">
      <xsd:complexType>
        <xsd:complexContent>
          <xsd:extension base="dms:MultiChoiceLookup">
            <xsd:sequence>
              <xsd:element name="Value" type="dms:Lookup" maxOccurs="unbounded" minOccurs="0" nillable="true"/>
            </xsd:sequence>
          </xsd:extension>
        </xsd:complexContent>
      </xsd:complexType>
    </xsd:element>
    <xsd:element name="DocumentOwner" ma:index="12" ma:displayName="Document Owner" ma:list="UserInfo" ma:SharePointGroup="0" ma:internalName="Document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atePublished" ma:index="13" ma:displayName="Date Published" ma:default="[today]" ma:format="DateOnly" ma:internalName="DatePublished" ma:readOnly="false">
      <xsd:simpleType>
        <xsd:restriction base="dms:DateTime"/>
      </xsd:simpleType>
    </xsd:element>
    <xsd:element name="FormOrTemplate" ma:index="14" ma:displayName="Form/Template" ma:format="Dropdown" ma:internalName="FormOrTemplate" ma:readOnly="false">
      <xsd:simpleType>
        <xsd:restriction base="dms:Choice">
          <xsd:enumeration value="Form"/>
          <xsd:enumeration value="Templ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2E1C12-8773-409A-B29D-4FC4E6BF5F01}">
  <ds:schemaRefs>
    <ds:schemaRef ds:uri="http://schemas.microsoft.com/office/2006/metadata/properties"/>
    <ds:schemaRef ds:uri="http://schemas.microsoft.com/office/infopath/2007/PartnerControls"/>
    <ds:schemaRef ds:uri="c7dac4e8-3feb-44f4-96ca-b86e7c14d0f6"/>
  </ds:schemaRefs>
</ds:datastoreItem>
</file>

<file path=customXml/itemProps2.xml><?xml version="1.0" encoding="utf-8"?>
<ds:datastoreItem xmlns:ds="http://schemas.openxmlformats.org/officeDocument/2006/customXml" ds:itemID="{226614D6-DA47-4A88-BB0E-7C89098DA12E}">
  <ds:schemaRefs>
    <ds:schemaRef ds:uri="http://schemas.microsoft.com/sharepoint/v3/contenttype/forms"/>
  </ds:schemaRefs>
</ds:datastoreItem>
</file>

<file path=customXml/itemProps3.xml><?xml version="1.0" encoding="utf-8"?>
<ds:datastoreItem xmlns:ds="http://schemas.openxmlformats.org/officeDocument/2006/customXml" ds:itemID="{B0E73932-8B59-49A4-AA6D-1679CC7BA8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dac4e8-3feb-44f4-96ca-b86e7c14d0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1617</Words>
  <Characters>9222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Guidance Note: Transnational Higher Education into Australia</vt:lpstr>
    </vt:vector>
  </TitlesOfParts>
  <Company>Tertiary Education Quality and Standards Agency</Company>
  <LinksUpToDate>false</LinksUpToDate>
  <CharactersWithSpaces>10818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Note: Transnational Higher Education into Australia</dc:title>
  <dc:creator>May, Raphael</dc:creator>
  <cp:lastModifiedBy>Hewitt-McManus, Tom</cp:lastModifiedBy>
  <cp:revision>3</cp:revision>
  <cp:lastPrinted>2017-10-11T01:15:00Z</cp:lastPrinted>
  <dcterms:created xsi:type="dcterms:W3CDTF">2019-04-15T00:50:00Z</dcterms:created>
  <dcterms:modified xsi:type="dcterms:W3CDTF">2020-02-10T02:38:00Z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0x0101008B12DBA0513E054CBBB1E0A6BA75A4240300D297527A5029E444B0C317D38D273153</vt:lpwstr>
  </property>
  <property fmtid="{D5CDD505-2E9C-101B-9397-08002B2CF9AE}" pid="3" name="Team">
    <vt:lpwstr>45;#Comms and International|f1db5572-7306-443e-a442-d56c9f2c52d1</vt:lpwstr>
  </property>
</Properties>
</file>