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C17A" w14:textId="77777777" w:rsidR="001B0CB1" w:rsidRPr="00957337" w:rsidRDefault="001B0CB1" w:rsidP="001B0CB1">
      <w:pPr>
        <w:pStyle w:val="Heading1"/>
      </w:pPr>
      <w:r w:rsidRPr="00496C18">
        <w:rPr>
          <w:color w:val="00A398"/>
        </w:rPr>
        <w:t xml:space="preserve">Guidance Note: </w:t>
      </w:r>
      <w:r>
        <w:rPr>
          <w:color w:val="00A398"/>
        </w:rPr>
        <w:t xml:space="preserve">Monitoring and Analysis of Student Performance </w:t>
      </w:r>
    </w:p>
    <w:p w14:paraId="2757EF73" w14:textId="5512555F" w:rsidR="00F061CC" w:rsidRDefault="00307115" w:rsidP="00F061CC">
      <w:pPr>
        <w:pStyle w:val="Subtitle"/>
        <w:rPr>
          <w:rStyle w:val="SubtleEmphasis"/>
        </w:rPr>
      </w:pPr>
      <w:r w:rsidRPr="00F246C9">
        <w:rPr>
          <w:rStyle w:val="SubtleEmphasis"/>
        </w:rPr>
        <w:t>Draft</w:t>
      </w:r>
      <w:r w:rsidR="009B6D1E" w:rsidRPr="00F246C9">
        <w:rPr>
          <w:rStyle w:val="SubtleEmphasis"/>
        </w:rPr>
        <w:t xml:space="preserve"> </w:t>
      </w:r>
      <w:r w:rsidR="00BC684A" w:rsidRPr="00F246C9">
        <w:rPr>
          <w:rStyle w:val="SubtleEmphasis"/>
        </w:rPr>
        <w:t xml:space="preserve">Beta </w:t>
      </w:r>
      <w:r w:rsidR="009B6D1E" w:rsidRPr="00F246C9">
        <w:rPr>
          <w:rStyle w:val="SubtleEmphasis"/>
        </w:rPr>
        <w:t xml:space="preserve">version </w:t>
      </w:r>
      <w:r w:rsidR="00BC684A" w:rsidRPr="00F246C9">
        <w:rPr>
          <w:rStyle w:val="SubtleEmphasis"/>
        </w:rPr>
        <w:t>1</w:t>
      </w:r>
      <w:r w:rsidR="00EE2A38" w:rsidRPr="00F246C9">
        <w:rPr>
          <w:rStyle w:val="SubtleEmphasis"/>
        </w:rPr>
        <w:t>.0</w:t>
      </w:r>
      <w:r w:rsidR="00D30ACE" w:rsidRPr="00F246C9">
        <w:rPr>
          <w:rStyle w:val="SubtleEmphasis"/>
        </w:rPr>
        <w:t xml:space="preserve"> </w:t>
      </w:r>
      <w:r w:rsidR="00F061CC" w:rsidRPr="00F246C9">
        <w:rPr>
          <w:rStyle w:val="SubtleEmphasis"/>
        </w:rPr>
        <w:t>(</w:t>
      </w:r>
      <w:r w:rsidR="008679A0" w:rsidRPr="00F246C9">
        <w:rPr>
          <w:rStyle w:val="SubtleEmphasis"/>
        </w:rPr>
        <w:t>6 January 2020</w:t>
      </w:r>
      <w:r w:rsidR="00F061CC" w:rsidRPr="00F246C9">
        <w:rPr>
          <w:rStyle w:val="SubtleEmphasis"/>
        </w:rPr>
        <w:t>)</w:t>
      </w:r>
    </w:p>
    <w:p w14:paraId="3B61EF42" w14:textId="6CAD144F" w:rsidR="009838E1" w:rsidRPr="009838E1" w:rsidRDefault="009838E1" w:rsidP="009838E1">
      <w:pPr>
        <w:rPr>
          <w:i/>
        </w:rPr>
      </w:pPr>
      <w:r w:rsidRPr="009838E1">
        <w:rPr>
          <w:i/>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36A310FA" w14:textId="77777777" w:rsidR="001B0CB1" w:rsidRDefault="001B0CB1" w:rsidP="001B0CB1">
      <w:pPr>
        <w:pStyle w:val="Heading2"/>
      </w:pPr>
      <w:r>
        <w:t>Context</w:t>
      </w:r>
    </w:p>
    <w:p w14:paraId="63A8218E" w14:textId="48FF14AB" w:rsidR="000D2091" w:rsidRDefault="001B0CB1" w:rsidP="001B0CB1">
      <w:r>
        <w:t xml:space="preserve">While </w:t>
      </w:r>
      <w:r w:rsidR="00E718A6">
        <w:t>many</w:t>
      </w:r>
      <w:r>
        <w:t xml:space="preserve"> </w:t>
      </w:r>
      <w:r w:rsidR="00E718A6">
        <w:t xml:space="preserve">higher education </w:t>
      </w:r>
      <w:r>
        <w:t xml:space="preserve">providers monitor </w:t>
      </w:r>
      <w:r w:rsidR="00590D82">
        <w:t>and analys</w:t>
      </w:r>
      <w:r w:rsidR="00E718A6">
        <w:t>e</w:t>
      </w:r>
      <w:r w:rsidR="00590D82">
        <w:t xml:space="preserve"> </w:t>
      </w:r>
      <w:r>
        <w:t>student performance</w:t>
      </w:r>
      <w:r w:rsidR="00E718A6">
        <w:t xml:space="preserve"> data in some form,</w:t>
      </w:r>
      <w:r>
        <w:t xml:space="preserve"> TEQSA</w:t>
      </w:r>
      <w:r w:rsidR="00E718A6">
        <w:t xml:space="preserve"> has</w:t>
      </w:r>
      <w:r>
        <w:t xml:space="preserve"> identifie</w:t>
      </w:r>
      <w:r w:rsidR="00E718A6">
        <w:t>d that</w:t>
      </w:r>
      <w:r w:rsidR="000D2091">
        <w:t>,</w:t>
      </w:r>
      <w:r w:rsidR="00E718A6">
        <w:t xml:space="preserve"> in many instances</w:t>
      </w:r>
      <w:r w:rsidR="000D2091">
        <w:t>,</w:t>
      </w:r>
      <w:r w:rsidR="00E718A6">
        <w:t xml:space="preserve"> student performance data could be enhanced and used more effectively by providers to identify</w:t>
      </w:r>
      <w:r>
        <w:t xml:space="preserve"> </w:t>
      </w:r>
      <w:r w:rsidR="008D5A01">
        <w:t>problems</w:t>
      </w:r>
      <w:r w:rsidR="00E718A6">
        <w:t xml:space="preserve"> and risks early. This includes</w:t>
      </w:r>
      <w:r w:rsidR="000D2091">
        <w:t xml:space="preserve">, for example, </w:t>
      </w:r>
      <w:r w:rsidR="00E718A6">
        <w:t>identifying problems with English language admissions settings, agents,</w:t>
      </w:r>
      <w:r w:rsidR="00402D56">
        <w:t xml:space="preserve"> course delivery,</w:t>
      </w:r>
      <w:r w:rsidR="00E718A6">
        <w:t xml:space="preserve"> or academic integrity risks</w:t>
      </w:r>
      <w:r w:rsidR="00402D56">
        <w:t xml:space="preserve"> (among many others)</w:t>
      </w:r>
      <w:r w:rsidR="00E718A6">
        <w:t xml:space="preserve">.  </w:t>
      </w:r>
    </w:p>
    <w:p w14:paraId="4665FBB5" w14:textId="3D35A1F1" w:rsidR="00402D56" w:rsidRDefault="00E718A6" w:rsidP="001B0CB1">
      <w:r>
        <w:t xml:space="preserve">The Higher Education Standards Framework (HES Framework) requires providers to monitor and analyse student performance data. </w:t>
      </w:r>
      <w:r w:rsidR="00402D56">
        <w:t>TEQSA considers this as a key component of a provider’s self-assurance processes.</w:t>
      </w:r>
      <w:r>
        <w:t xml:space="preserve"> </w:t>
      </w:r>
      <w:r w:rsidR="001B0CB1">
        <w:t xml:space="preserve"> </w:t>
      </w:r>
    </w:p>
    <w:p w14:paraId="35C97657" w14:textId="7C73B9FF" w:rsidR="00ED099D" w:rsidRDefault="000D2091" w:rsidP="00402D56">
      <w:r>
        <w:rPr>
          <w:noProof/>
          <w:lang w:eastAsia="en-AU"/>
        </w:rPr>
        <mc:AlternateContent>
          <mc:Choice Requires="wps">
            <w:drawing>
              <wp:anchor distT="45720" distB="45720" distL="114300" distR="114300" simplePos="0" relativeHeight="251661312" behindDoc="0" locked="0" layoutInCell="1" allowOverlap="1" wp14:anchorId="1A3B3FE5" wp14:editId="6AFC3AB3">
                <wp:simplePos x="0" y="0"/>
                <wp:positionH relativeFrom="column">
                  <wp:posOffset>69850</wp:posOffset>
                </wp:positionH>
                <wp:positionV relativeFrom="paragraph">
                  <wp:posOffset>1037590</wp:posOffset>
                </wp:positionV>
                <wp:extent cx="5471795" cy="1404620"/>
                <wp:effectExtent l="0" t="0" r="1460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404620"/>
                        </a:xfrm>
                        <a:prstGeom prst="rect">
                          <a:avLst/>
                        </a:prstGeom>
                        <a:solidFill>
                          <a:srgbClr val="FFFFFF"/>
                        </a:solidFill>
                        <a:ln w="9525">
                          <a:solidFill>
                            <a:srgbClr val="000000"/>
                          </a:solidFill>
                          <a:miter lim="800000"/>
                          <a:headEnd/>
                          <a:tailEnd/>
                        </a:ln>
                      </wps:spPr>
                      <wps:txbx>
                        <w:txbxContent>
                          <w:p w14:paraId="264108EF" w14:textId="4423FEE9" w:rsidR="001B0CB1" w:rsidRPr="00FE3F5B" w:rsidRDefault="001B0CB1" w:rsidP="001B0CB1">
                            <w:pPr>
                              <w:rPr>
                                <w:sz w:val="18"/>
                                <w:szCs w:val="18"/>
                              </w:rPr>
                            </w:pPr>
                            <w:r w:rsidRPr="00FE3F5B">
                              <w:rPr>
                                <w:i/>
                                <w:sz w:val="18"/>
                                <w:szCs w:val="18"/>
                              </w:rPr>
                              <w:t>TEQSA Guidance Notes:</w:t>
                            </w:r>
                            <w:r w:rsidRPr="00FE3F5B">
                              <w:rPr>
                                <w:sz w:val="18"/>
                                <w:szCs w:val="18"/>
                              </w:rPr>
                              <w:t xml:space="preserve"> Providers should note that Guidance Notes are intended to provide guidance only. They are not definitive or binding documents. Nor are they prescriptive. The definitive instruments for regulatory purposes remain the </w:t>
                            </w:r>
                            <w:r w:rsidRPr="00FE3F5B">
                              <w:rPr>
                                <w:i/>
                                <w:sz w:val="18"/>
                                <w:szCs w:val="18"/>
                              </w:rPr>
                              <w:t>TEQSA Act 2011</w:t>
                            </w:r>
                            <w:r>
                              <w:rPr>
                                <w:sz w:val="18"/>
                                <w:szCs w:val="18"/>
                              </w:rPr>
                              <w:t xml:space="preserve"> </w:t>
                            </w:r>
                            <w:r w:rsidRPr="00FE3F5B">
                              <w:rPr>
                                <w:sz w:val="18"/>
                                <w:szCs w:val="18"/>
                              </w:rPr>
                              <w:t xml:space="preserve">and the </w:t>
                            </w:r>
                            <w:r w:rsidRPr="00FE3F5B">
                              <w:rPr>
                                <w:i/>
                                <w:sz w:val="18"/>
                                <w:szCs w:val="18"/>
                              </w:rPr>
                              <w:t>Higher Education Standards Framework</w:t>
                            </w:r>
                            <w:r w:rsidR="00752505">
                              <w:rPr>
                                <w:i/>
                                <w:sz w:val="18"/>
                                <w:szCs w:val="18"/>
                              </w:rPr>
                              <w:t>,</w:t>
                            </w:r>
                            <w:r w:rsidRPr="00FE3F5B">
                              <w:rPr>
                                <w:sz w:val="18"/>
                                <w:szCs w:val="18"/>
                              </w:rPr>
                              <w:t xml:space="preserve"> as amended from time to time.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3FE5" id="_x0000_t202" coordsize="21600,21600" o:spt="202" path="m,l,21600r21600,l21600,xe">
                <v:stroke joinstyle="miter"/>
                <v:path gradientshapeok="t" o:connecttype="rect"/>
              </v:shapetype>
              <v:shape id="Text Box 2" o:spid="_x0000_s1026" type="#_x0000_t202" style="position:absolute;margin-left:5.5pt;margin-top:81.7pt;width:43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">
                <v:textbox style="mso-fit-shape-to-text:t">
                  <w:txbxContent>
                    <w:p w14:paraId="264108EF" w14:textId="4423FEE9" w:rsidR="001B0CB1" w:rsidRPr="00FE3F5B" w:rsidRDefault="001B0CB1" w:rsidP="001B0CB1">
                      <w:pPr>
                        <w:rPr>
                          <w:sz w:val="18"/>
                          <w:szCs w:val="18"/>
                        </w:rPr>
                      </w:pPr>
                      <w:r w:rsidRPr="00FE3F5B">
                        <w:rPr>
                          <w:i/>
                          <w:sz w:val="18"/>
                          <w:szCs w:val="18"/>
                        </w:rPr>
                        <w:t>TEQSA Guidance Notes:</w:t>
                      </w:r>
                      <w:r w:rsidRPr="00FE3F5B">
                        <w:rPr>
                          <w:sz w:val="18"/>
                          <w:szCs w:val="18"/>
                        </w:rPr>
                        <w:t xml:space="preserve"> Providers should note that Guidance Notes are intended to provide guidance only. They are not definitive or binding documents. Nor are they prescriptive. The definitive instruments for regulatory purposes remain the </w:t>
                      </w:r>
                      <w:r w:rsidRPr="00FE3F5B">
                        <w:rPr>
                          <w:i/>
                          <w:sz w:val="18"/>
                          <w:szCs w:val="18"/>
                        </w:rPr>
                        <w:t>TEQSA Act 2011</w:t>
                      </w:r>
                      <w:r>
                        <w:rPr>
                          <w:sz w:val="18"/>
                          <w:szCs w:val="18"/>
                        </w:rPr>
                        <w:t xml:space="preserve"> </w:t>
                      </w:r>
                      <w:r w:rsidRPr="00FE3F5B">
                        <w:rPr>
                          <w:sz w:val="18"/>
                          <w:szCs w:val="18"/>
                        </w:rPr>
                        <w:t xml:space="preserve">and the </w:t>
                      </w:r>
                      <w:r w:rsidRPr="00FE3F5B">
                        <w:rPr>
                          <w:i/>
                          <w:sz w:val="18"/>
                          <w:szCs w:val="18"/>
                        </w:rPr>
                        <w:t>Higher Education Standards Framework</w:t>
                      </w:r>
                      <w:r w:rsidR="00752505">
                        <w:rPr>
                          <w:i/>
                          <w:sz w:val="18"/>
                          <w:szCs w:val="18"/>
                        </w:rPr>
                        <w:t>,</w:t>
                      </w:r>
                      <w:r w:rsidRPr="00FE3F5B">
                        <w:rPr>
                          <w:sz w:val="18"/>
                          <w:szCs w:val="18"/>
                        </w:rPr>
                        <w:t xml:space="preserve"> as amended from time to time. </w:t>
                      </w:r>
                    </w:p>
                  </w:txbxContent>
                </v:textbox>
                <w10:wrap type="square"/>
              </v:shape>
            </w:pict>
          </mc:Fallback>
        </mc:AlternateContent>
      </w:r>
      <w:r w:rsidR="00ED099D">
        <w:t xml:space="preserve">This guidance aims to assist providers in </w:t>
      </w:r>
      <w:r w:rsidR="00833664">
        <w:t xml:space="preserve">undertaking </w:t>
      </w:r>
      <w:r w:rsidR="00ED099D">
        <w:t>monitoring and analysi</w:t>
      </w:r>
      <w:r w:rsidR="00833664">
        <w:t>s</w:t>
      </w:r>
      <w:r w:rsidR="00ED099D">
        <w:t xml:space="preserve"> </w:t>
      </w:r>
      <w:r w:rsidR="00833664">
        <w:t xml:space="preserve">of </w:t>
      </w:r>
      <w:r w:rsidR="00ED099D">
        <w:t>student data</w:t>
      </w:r>
      <w:r w:rsidR="00833664">
        <w:t xml:space="preserve"> in line with the requirements of the </w:t>
      </w:r>
      <w:r w:rsidR="00871E72">
        <w:t>Standards</w:t>
      </w:r>
      <w:r w:rsidR="00356396">
        <w:t xml:space="preserve">. </w:t>
      </w:r>
      <w:r w:rsidR="00402D56">
        <w:t xml:space="preserve">TEQSA recognises that every provider is different and compliance with the HES Framework can be demonstrated in different ways according </w:t>
      </w:r>
      <w:r w:rsidR="00356396">
        <w:t>to the context of the provider.</w:t>
      </w:r>
      <w:r w:rsidR="00402D56">
        <w:t xml:space="preserve"> </w:t>
      </w:r>
      <w:r w:rsidR="00ED099D">
        <w:t>Each provider should determine the most effective way to implement this type of monitoring and analysis</w:t>
      </w:r>
      <w:r w:rsidR="009406E3">
        <w:t xml:space="preserve"> in its particular circumstances</w:t>
      </w:r>
      <w:r w:rsidR="00ED099D">
        <w:t xml:space="preserve">.  </w:t>
      </w:r>
    </w:p>
    <w:p w14:paraId="267E7934" w14:textId="14B32163" w:rsidR="00FF3312" w:rsidRDefault="00FF3312" w:rsidP="00FF3312">
      <w:pPr>
        <w:pStyle w:val="Heading2"/>
      </w:pPr>
      <w:r>
        <w:t>W</w:t>
      </w:r>
      <w:r w:rsidR="00126E5A">
        <w:t>hat does ‘student performance’ e</w:t>
      </w:r>
      <w:r>
        <w:t>ncompass?</w:t>
      </w:r>
    </w:p>
    <w:p w14:paraId="6033BC19" w14:textId="18DFE7FB" w:rsidR="00AD6DEE" w:rsidRDefault="00AD6DEE" w:rsidP="00FF3312">
      <w:r>
        <w:t>All providers want their students to perform well and achieve t</w:t>
      </w:r>
      <w:r w:rsidR="00356396">
        <w:t xml:space="preserve">he expected learning outcomes. </w:t>
      </w:r>
      <w:r>
        <w:t xml:space="preserve">Providers must be able to identify students that are at risk of not performing well (this could be </w:t>
      </w:r>
      <w:r w:rsidR="000D2091">
        <w:t xml:space="preserve">a </w:t>
      </w:r>
      <w:r>
        <w:t xml:space="preserve">predicted risk or </w:t>
      </w:r>
      <w:r w:rsidR="000D2091">
        <w:t xml:space="preserve">an </w:t>
      </w:r>
      <w:r>
        <w:t>observed</w:t>
      </w:r>
      <w:r w:rsidR="000D2091">
        <w:t xml:space="preserve"> risk</w:t>
      </w:r>
      <w:r w:rsidR="00356396">
        <w:t>).</w:t>
      </w:r>
      <w:r>
        <w:t xml:space="preserve"> This enables providers to intervene early, </w:t>
      </w:r>
      <w:r w:rsidR="000D2091">
        <w:t xml:space="preserve">to </w:t>
      </w:r>
      <w:r>
        <w:t xml:space="preserve">support students </w:t>
      </w:r>
      <w:r w:rsidR="000D2091">
        <w:t>and</w:t>
      </w:r>
      <w:r>
        <w:t xml:space="preserve"> mitigate </w:t>
      </w:r>
      <w:r w:rsidR="000D2091">
        <w:t xml:space="preserve">against </w:t>
      </w:r>
      <w:r>
        <w:t xml:space="preserve">these risks occurring in the future. </w:t>
      </w:r>
    </w:p>
    <w:p w14:paraId="5CFC9888" w14:textId="0BA68745" w:rsidR="00FF3312" w:rsidRDefault="00FF3312" w:rsidP="00FF3312">
      <w:r>
        <w:lastRenderedPageBreak/>
        <w:t>Typical indicators of student performance include:</w:t>
      </w:r>
    </w:p>
    <w:p w14:paraId="4AC6B172" w14:textId="13AD8F43" w:rsidR="00FF3312" w:rsidRDefault="00403C0C" w:rsidP="001B6F3D">
      <w:pPr>
        <w:pStyle w:val="ListParagraph"/>
        <w:numPr>
          <w:ilvl w:val="0"/>
          <w:numId w:val="28"/>
        </w:numPr>
      </w:pPr>
      <w:r>
        <w:t>a</w:t>
      </w:r>
      <w:r w:rsidR="00FF3312">
        <w:t>ttrition rates</w:t>
      </w:r>
    </w:p>
    <w:p w14:paraId="43925102" w14:textId="068D3DB7" w:rsidR="00FF3312" w:rsidRDefault="00403C0C" w:rsidP="001B6F3D">
      <w:pPr>
        <w:pStyle w:val="ListParagraph"/>
        <w:numPr>
          <w:ilvl w:val="0"/>
          <w:numId w:val="28"/>
        </w:numPr>
      </w:pPr>
      <w:r>
        <w:t>p</w:t>
      </w:r>
      <w:r w:rsidR="00B0041C">
        <w:t>rogress</w:t>
      </w:r>
      <w:r w:rsidR="00FF3312">
        <w:t xml:space="preserve"> rates</w:t>
      </w:r>
    </w:p>
    <w:p w14:paraId="4700266A" w14:textId="237CC525" w:rsidR="003F1155" w:rsidRDefault="00403C0C" w:rsidP="001B6F3D">
      <w:pPr>
        <w:pStyle w:val="ListParagraph"/>
        <w:numPr>
          <w:ilvl w:val="0"/>
          <w:numId w:val="28"/>
        </w:numPr>
      </w:pPr>
      <w:r>
        <w:t>c</w:t>
      </w:r>
      <w:r w:rsidR="003F1155">
        <w:t>ompletion rates</w:t>
      </w:r>
    </w:p>
    <w:p w14:paraId="0CCB266E" w14:textId="2FF442FE" w:rsidR="00D50BED" w:rsidRDefault="00403C0C" w:rsidP="001B6F3D">
      <w:pPr>
        <w:pStyle w:val="ListParagraph"/>
        <w:numPr>
          <w:ilvl w:val="0"/>
          <w:numId w:val="28"/>
        </w:numPr>
      </w:pPr>
      <w:r>
        <w:t>g</w:t>
      </w:r>
      <w:r w:rsidR="00FF3312">
        <w:t>rade distributions</w:t>
      </w:r>
    </w:p>
    <w:p w14:paraId="056D06A3" w14:textId="0624E717" w:rsidR="00B0041C" w:rsidRDefault="00403C0C" w:rsidP="001B6F3D">
      <w:pPr>
        <w:pStyle w:val="ListParagraph"/>
        <w:numPr>
          <w:ilvl w:val="0"/>
          <w:numId w:val="28"/>
        </w:numPr>
      </w:pPr>
      <w:r>
        <w:t>s</w:t>
      </w:r>
      <w:r w:rsidR="00D50BED">
        <w:t>tudent satisfaction</w:t>
      </w:r>
    </w:p>
    <w:p w14:paraId="5F3A9776" w14:textId="69DBD898" w:rsidR="00FF3312" w:rsidRDefault="00403C0C" w:rsidP="001B6F3D">
      <w:pPr>
        <w:pStyle w:val="ListParagraph"/>
        <w:numPr>
          <w:ilvl w:val="0"/>
          <w:numId w:val="28"/>
        </w:numPr>
      </w:pPr>
      <w:proofErr w:type="gramStart"/>
      <w:r>
        <w:t>g</w:t>
      </w:r>
      <w:r w:rsidR="00B0041C">
        <w:t>raduate</w:t>
      </w:r>
      <w:proofErr w:type="gramEnd"/>
      <w:r w:rsidR="00B0041C">
        <w:t xml:space="preserve"> success</w:t>
      </w:r>
      <w:r w:rsidR="00FF3312">
        <w:t>.</w:t>
      </w:r>
    </w:p>
    <w:p w14:paraId="347E0B12" w14:textId="701CA3AE" w:rsidR="00590D82" w:rsidRDefault="00833664" w:rsidP="00590D82">
      <w:pPr>
        <w:pStyle w:val="Heading2"/>
      </w:pPr>
      <w:r>
        <w:t>An</w:t>
      </w:r>
      <w:r w:rsidR="00126E5A">
        <w:t>alysis of student performance: H</w:t>
      </w:r>
      <w:r>
        <w:t>ow it relates to quality</w:t>
      </w:r>
    </w:p>
    <w:p w14:paraId="627B7280" w14:textId="511F068D" w:rsidR="00590D82" w:rsidRDefault="00D50BED" w:rsidP="00590D82">
      <w:r>
        <w:t xml:space="preserve">Understanding student performance </w:t>
      </w:r>
      <w:r w:rsidR="00590D82">
        <w:t xml:space="preserve">through monitoring and analysis </w:t>
      </w:r>
      <w:r>
        <w:t>is</w:t>
      </w:r>
      <w:r w:rsidR="00590D82">
        <w:t xml:space="preserve"> </w:t>
      </w:r>
      <w:r>
        <w:t>c</w:t>
      </w:r>
      <w:r w:rsidR="00AD6DEE">
        <w:t>ritical</w:t>
      </w:r>
      <w:r>
        <w:t xml:space="preserve"> to successful higher education. The </w:t>
      </w:r>
      <w:r w:rsidR="00AD6DEE">
        <w:t xml:space="preserve">insights and </w:t>
      </w:r>
      <w:r>
        <w:t xml:space="preserve">benefits are </w:t>
      </w:r>
      <w:r w:rsidR="00AD6DEE">
        <w:t>considerable</w:t>
      </w:r>
      <w:r w:rsidR="00590D82">
        <w:t>, including</w:t>
      </w:r>
      <w:r w:rsidR="007206F3">
        <w:t xml:space="preserve"> enabling</w:t>
      </w:r>
      <w:r w:rsidR="00590D82">
        <w:t>:</w:t>
      </w:r>
    </w:p>
    <w:p w14:paraId="7F1340D4" w14:textId="47EE4711" w:rsidR="000C6B42" w:rsidRDefault="000C6B42" w:rsidP="001B6F3D">
      <w:pPr>
        <w:pStyle w:val="ListParagraph"/>
        <w:numPr>
          <w:ilvl w:val="0"/>
          <w:numId w:val="29"/>
        </w:numPr>
      </w:pPr>
      <w:r>
        <w:t>early identification of problems</w:t>
      </w:r>
      <w:r w:rsidR="00356FE0">
        <w:t>,</w:t>
      </w:r>
      <w:r>
        <w:t xml:space="preserve"> allow</w:t>
      </w:r>
      <w:r w:rsidR="00356FE0">
        <w:t>ing</w:t>
      </w:r>
      <w:r>
        <w:t xml:space="preserve"> remedial action to be taken to</w:t>
      </w:r>
      <w:r w:rsidR="00B0041C">
        <w:t xml:space="preserve"> </w:t>
      </w:r>
      <w:r w:rsidR="003F1155">
        <w:t xml:space="preserve">avoid </w:t>
      </w:r>
      <w:r w:rsidR="00B0041C">
        <w:t>a lasting adverse impact</w:t>
      </w:r>
      <w:r>
        <w:t xml:space="preserve"> </w:t>
      </w:r>
    </w:p>
    <w:p w14:paraId="64BB49DC" w14:textId="0ABDCF1B" w:rsidR="00535822" w:rsidRDefault="007206F3" w:rsidP="001B6F3D">
      <w:pPr>
        <w:pStyle w:val="ListParagraph"/>
        <w:numPr>
          <w:ilvl w:val="0"/>
          <w:numId w:val="29"/>
        </w:numPr>
      </w:pPr>
      <w:r>
        <w:t xml:space="preserve">identification </w:t>
      </w:r>
      <w:r w:rsidR="00590D82">
        <w:t xml:space="preserve">(and support) </w:t>
      </w:r>
      <w:r>
        <w:t xml:space="preserve">of </w:t>
      </w:r>
      <w:r w:rsidR="00590D82">
        <w:t>students at educational risk, especially</w:t>
      </w:r>
      <w:r w:rsidR="000C6B42">
        <w:t xml:space="preserve"> previously</w:t>
      </w:r>
      <w:r w:rsidR="00590D82">
        <w:t xml:space="preserve"> unpredicted or unm</w:t>
      </w:r>
      <w:r w:rsidR="000C6B42">
        <w:t>itigated</w:t>
      </w:r>
      <w:r w:rsidR="00590D82">
        <w:t xml:space="preserve"> risks</w:t>
      </w:r>
    </w:p>
    <w:p w14:paraId="3DC94556" w14:textId="7152B945" w:rsidR="00590D82" w:rsidRDefault="007206F3" w:rsidP="001B6F3D">
      <w:pPr>
        <w:pStyle w:val="ListParagraph"/>
        <w:numPr>
          <w:ilvl w:val="0"/>
          <w:numId w:val="29"/>
        </w:numPr>
      </w:pPr>
      <w:r>
        <w:t>testing/validation of</w:t>
      </w:r>
      <w:r w:rsidR="00590D82">
        <w:t xml:space="preserve"> a provider’s capability in predicting risks for particular groups of students</w:t>
      </w:r>
    </w:p>
    <w:p w14:paraId="6D75B92C" w14:textId="4940EC40" w:rsidR="00590D82" w:rsidRDefault="007206F3" w:rsidP="001B6F3D">
      <w:pPr>
        <w:pStyle w:val="ListParagraph"/>
        <w:numPr>
          <w:ilvl w:val="0"/>
          <w:numId w:val="29"/>
        </w:numPr>
      </w:pPr>
      <w:r>
        <w:t>evaluation of</w:t>
      </w:r>
      <w:r w:rsidR="00590D82">
        <w:t xml:space="preserve"> </w:t>
      </w:r>
      <w:r w:rsidR="00FF3312">
        <w:t xml:space="preserve">the effectiveness of </w:t>
      </w:r>
      <w:r w:rsidR="00590D82">
        <w:t>a provider’s management of predicted risks</w:t>
      </w:r>
    </w:p>
    <w:p w14:paraId="584DD162" w14:textId="6FDE2E26" w:rsidR="00590D82" w:rsidRDefault="007206F3" w:rsidP="001B6F3D">
      <w:pPr>
        <w:pStyle w:val="ListParagraph"/>
        <w:numPr>
          <w:ilvl w:val="0"/>
          <w:numId w:val="29"/>
        </w:numPr>
      </w:pPr>
      <w:r>
        <w:t xml:space="preserve">identification and correction of </w:t>
      </w:r>
      <w:r w:rsidR="00590D82">
        <w:t xml:space="preserve">underlying causes of poor achievement </w:t>
      </w:r>
    </w:p>
    <w:p w14:paraId="3C6674F1" w14:textId="1A7F3FEB" w:rsidR="00590D82" w:rsidRDefault="007206F3" w:rsidP="001B6F3D">
      <w:pPr>
        <w:pStyle w:val="ListParagraph"/>
        <w:numPr>
          <w:ilvl w:val="0"/>
          <w:numId w:val="29"/>
        </w:numPr>
      </w:pPr>
      <w:r>
        <w:t>development of an</w:t>
      </w:r>
      <w:r w:rsidR="00590D82">
        <w:t xml:space="preserve"> evidence-based </w:t>
      </w:r>
      <w:r w:rsidR="008D5A01">
        <w:t xml:space="preserve">diagnostic </w:t>
      </w:r>
      <w:r w:rsidR="00590D82">
        <w:t>understanding of risks and causal factors to improve performance and prevent future under</w:t>
      </w:r>
      <w:r w:rsidR="003F1155">
        <w:t>-</w:t>
      </w:r>
      <w:r w:rsidR="00590D82">
        <w:t>performance</w:t>
      </w:r>
    </w:p>
    <w:p w14:paraId="41A1214F" w14:textId="1DD037F6" w:rsidR="00590D82" w:rsidRDefault="007206F3" w:rsidP="001B6F3D">
      <w:pPr>
        <w:pStyle w:val="ListParagraph"/>
        <w:numPr>
          <w:ilvl w:val="0"/>
          <w:numId w:val="29"/>
        </w:numPr>
      </w:pPr>
      <w:proofErr w:type="gramStart"/>
      <w:r>
        <w:t>demonstration</w:t>
      </w:r>
      <w:proofErr w:type="gramEnd"/>
      <w:r>
        <w:t xml:space="preserve"> </w:t>
      </w:r>
      <w:r w:rsidR="00590D82">
        <w:t xml:space="preserve">that a provider meets, and can continue to meet, the requirements of the HES Framework in relation to student achievements. </w:t>
      </w:r>
    </w:p>
    <w:p w14:paraId="20334689" w14:textId="37A73B1B" w:rsidR="00590D82" w:rsidRDefault="00AD6DEE" w:rsidP="00BD5663">
      <w:r>
        <w:t>Together,</w:t>
      </w:r>
      <w:r w:rsidR="00590D82">
        <w:t xml:space="preserve"> these benefits </w:t>
      </w:r>
      <w:r w:rsidR="000C6B42">
        <w:t>can</w:t>
      </w:r>
      <w:r w:rsidR="00590D82">
        <w:t xml:space="preserve"> enhance outcomes for students</w:t>
      </w:r>
      <w:r w:rsidR="00BD5663">
        <w:t>,</w:t>
      </w:r>
      <w:r w:rsidR="00590D82">
        <w:t xml:space="preserve"> </w:t>
      </w:r>
      <w:r w:rsidR="009047AE">
        <w:t xml:space="preserve">with consequent </w:t>
      </w:r>
      <w:r w:rsidR="00590D82">
        <w:t xml:space="preserve">enhancement of the reputation of </w:t>
      </w:r>
      <w:r w:rsidR="00FF3312">
        <w:t xml:space="preserve">both </w:t>
      </w:r>
      <w:r w:rsidR="00590D82">
        <w:t xml:space="preserve">the provider and Australian higher education overall. </w:t>
      </w:r>
    </w:p>
    <w:p w14:paraId="1A9E23B7" w14:textId="7057B50B" w:rsidR="001B0CB1" w:rsidRDefault="001B0CB1" w:rsidP="002C533B">
      <w:pPr>
        <w:pStyle w:val="Heading2"/>
      </w:pPr>
      <w:r>
        <w:t xml:space="preserve">What do </w:t>
      </w:r>
      <w:r w:rsidR="009D1F80">
        <w:t>‘</w:t>
      </w:r>
      <w:r w:rsidR="00126E5A">
        <w:t>monitoring and a</w:t>
      </w:r>
      <w:r>
        <w:t>nalysis</w:t>
      </w:r>
      <w:r w:rsidR="009D1F80">
        <w:t>’</w:t>
      </w:r>
      <w:r w:rsidR="00126E5A">
        <w:t xml:space="preserve"> e</w:t>
      </w:r>
      <w:r>
        <w:t>ncompass?</w:t>
      </w:r>
    </w:p>
    <w:p w14:paraId="33E27665" w14:textId="1DC1C9CB" w:rsidR="00477B29" w:rsidRDefault="009D1F80" w:rsidP="001B0CB1">
      <w:r>
        <w:t xml:space="preserve">For the purposes of this Note, ‘monitoring’ encompasses the regular collection of data on student performance </w:t>
      </w:r>
      <w:r w:rsidR="009047AE">
        <w:t>as required by the HES Framework</w:t>
      </w:r>
      <w:r w:rsidR="009406E3">
        <w:t>.</w:t>
      </w:r>
      <w:r w:rsidR="009D45D2">
        <w:t xml:space="preserve"> The</w:t>
      </w:r>
      <w:r w:rsidR="009406E3">
        <w:t xml:space="preserve"> </w:t>
      </w:r>
      <w:r>
        <w:t xml:space="preserve">data </w:t>
      </w:r>
      <w:r w:rsidR="009D45D2">
        <w:t xml:space="preserve">will encompass data sets that are </w:t>
      </w:r>
      <w:r w:rsidR="00477B29">
        <w:t>routinely</w:t>
      </w:r>
      <w:r w:rsidR="009406E3">
        <w:t xml:space="preserve"> collected by the provider, </w:t>
      </w:r>
      <w:r w:rsidR="009D45D2">
        <w:t xml:space="preserve">data </w:t>
      </w:r>
      <w:r>
        <w:t>from national data bases</w:t>
      </w:r>
      <w:r w:rsidR="000C6B42">
        <w:t xml:space="preserve"> such as</w:t>
      </w:r>
      <w:r>
        <w:t xml:space="preserve"> </w:t>
      </w:r>
      <w:r w:rsidR="0066095F">
        <w:t xml:space="preserve">the Higher Education Information Management System </w:t>
      </w:r>
      <w:r w:rsidR="001C17F6">
        <w:t>(</w:t>
      </w:r>
      <w:r>
        <w:t>HEIMS</w:t>
      </w:r>
      <w:r w:rsidR="001C17F6">
        <w:t>)</w:t>
      </w:r>
      <w:r>
        <w:t xml:space="preserve"> </w:t>
      </w:r>
      <w:r w:rsidR="009406E3">
        <w:t>and</w:t>
      </w:r>
      <w:r w:rsidR="00477B29">
        <w:t xml:space="preserve"> </w:t>
      </w:r>
      <w:r>
        <w:t xml:space="preserve">data collected by the provider for </w:t>
      </w:r>
      <w:r w:rsidR="00D50BED">
        <w:t xml:space="preserve">particular </w:t>
      </w:r>
      <w:r>
        <w:t>purposes</w:t>
      </w:r>
      <w:r w:rsidR="00477B29">
        <w:t xml:space="preserve"> (such as</w:t>
      </w:r>
      <w:r w:rsidR="004D291A">
        <w:t xml:space="preserve"> monitoring breaches of academic integrity, </w:t>
      </w:r>
      <w:r w:rsidR="000C6B42">
        <w:t xml:space="preserve">agent performance </w:t>
      </w:r>
      <w:r w:rsidR="004D291A">
        <w:t>or students at risk).</w:t>
      </w:r>
    </w:p>
    <w:p w14:paraId="4E3471C8" w14:textId="62B644FE" w:rsidR="009047AE" w:rsidRDefault="00477B29" w:rsidP="001B0CB1">
      <w:r>
        <w:t xml:space="preserve">‘Analysis’ encompasses the provider’s approach to understanding </w:t>
      </w:r>
      <w:r w:rsidR="008D5A01">
        <w:t xml:space="preserve">the underlying patterns and causes of </w:t>
      </w:r>
      <w:r w:rsidR="00503C84">
        <w:t xml:space="preserve">any identified </w:t>
      </w:r>
      <w:r w:rsidR="008715C2">
        <w:t xml:space="preserve">lapses or </w:t>
      </w:r>
      <w:r w:rsidR="00503C84">
        <w:t>deteriorations</w:t>
      </w:r>
      <w:r>
        <w:t xml:space="preserve"> in stu</w:t>
      </w:r>
      <w:r w:rsidR="007206F3">
        <w:t>dent performance</w:t>
      </w:r>
      <w:r w:rsidR="0066095F">
        <w:t xml:space="preserve"> (</w:t>
      </w:r>
      <w:r w:rsidR="00710893">
        <w:t xml:space="preserve">i.e. </w:t>
      </w:r>
      <w:r w:rsidR="0066095F">
        <w:t>whet</w:t>
      </w:r>
      <w:r w:rsidR="003F1155">
        <w:t xml:space="preserve">her they are </w:t>
      </w:r>
      <w:r w:rsidR="00710893">
        <w:t xml:space="preserve">apparently </w:t>
      </w:r>
      <w:r w:rsidR="000D2091">
        <w:t>temporary or part of longer-</w:t>
      </w:r>
      <w:r w:rsidR="0066095F">
        <w:t>term trends)</w:t>
      </w:r>
      <w:r w:rsidR="008D5A01">
        <w:t>,</w:t>
      </w:r>
      <w:r w:rsidR="007206F3">
        <w:t xml:space="preserve"> as a foundation for </w:t>
      </w:r>
      <w:r>
        <w:t>corrective and preventive action</w:t>
      </w:r>
      <w:r w:rsidR="007206F3">
        <w:t>s</w:t>
      </w:r>
      <w:r>
        <w:t>.</w:t>
      </w:r>
      <w:r w:rsidR="009D1F80">
        <w:t xml:space="preserve"> </w:t>
      </w:r>
      <w:r>
        <w:t>Such analysis</w:t>
      </w:r>
      <w:r w:rsidR="004D291A">
        <w:t xml:space="preserve"> ideally includes</w:t>
      </w:r>
      <w:r w:rsidR="009047AE">
        <w:t>:</w:t>
      </w:r>
    </w:p>
    <w:p w14:paraId="30339913" w14:textId="4B952191" w:rsidR="009047AE" w:rsidRDefault="004D291A" w:rsidP="001B6F3D">
      <w:pPr>
        <w:pStyle w:val="ListParagraph"/>
        <w:numPr>
          <w:ilvl w:val="0"/>
          <w:numId w:val="30"/>
        </w:numPr>
      </w:pPr>
      <w:r>
        <w:t xml:space="preserve">predetermined elements such as routine analysis of </w:t>
      </w:r>
      <w:r w:rsidR="009047AE">
        <w:t xml:space="preserve">data from </w:t>
      </w:r>
      <w:r>
        <w:t xml:space="preserve">pre-identified </w:t>
      </w:r>
      <w:r w:rsidR="003F1155">
        <w:t>groups</w:t>
      </w:r>
      <w:r>
        <w:t xml:space="preserve"> of students, e.g. </w:t>
      </w:r>
      <w:r w:rsidR="007F226D">
        <w:t xml:space="preserve">international students, </w:t>
      </w:r>
      <w:r>
        <w:t>annual intakes to a course of study</w:t>
      </w:r>
      <w:r w:rsidR="007F226D">
        <w:t xml:space="preserve"> or students studying within a particular field of education</w:t>
      </w:r>
      <w:r w:rsidR="009047AE">
        <w:t>,</w:t>
      </w:r>
      <w:r>
        <w:t xml:space="preserve"> and </w:t>
      </w:r>
    </w:p>
    <w:p w14:paraId="4D0B6596" w14:textId="6D165579" w:rsidR="00274B8C" w:rsidRDefault="008E4C03" w:rsidP="001B6F3D">
      <w:pPr>
        <w:pStyle w:val="ListParagraph"/>
        <w:numPr>
          <w:ilvl w:val="0"/>
          <w:numId w:val="30"/>
        </w:numPr>
      </w:pPr>
      <w:r>
        <w:lastRenderedPageBreak/>
        <w:t>‘</w:t>
      </w:r>
      <w:r w:rsidR="004D291A">
        <w:t>data-driven</w:t>
      </w:r>
      <w:r>
        <w:t>’</w:t>
      </w:r>
      <w:r w:rsidR="004D291A">
        <w:t xml:space="preserve"> analysis </w:t>
      </w:r>
      <w:r w:rsidR="007206F3">
        <w:t xml:space="preserve">of performance data </w:t>
      </w:r>
      <w:r w:rsidR="004D291A">
        <w:t xml:space="preserve">aimed at detecting </w:t>
      </w:r>
      <w:r w:rsidR="000C6B42">
        <w:t>areas of risk</w:t>
      </w:r>
      <w:r w:rsidR="004D291A">
        <w:t xml:space="preserve"> that are not necessarily pre-determined or anticipated</w:t>
      </w:r>
      <w:r w:rsidR="00274B8C">
        <w:t>, for example</w:t>
      </w:r>
      <w:r w:rsidR="003F1155">
        <w:t>,</w:t>
      </w:r>
      <w:r w:rsidR="00274B8C">
        <w:t xml:space="preserve"> detecting a group of underperforming international students who have been handled by a particular agent or a cluster of students with academic integrity breaches with a similar profile – country of origin, agent used, basis of English language admission</w:t>
      </w:r>
      <w:r w:rsidR="000D2091">
        <w:t xml:space="preserve"> etc</w:t>
      </w:r>
      <w:r w:rsidR="00274B8C">
        <w:t>.</w:t>
      </w:r>
      <w:r w:rsidR="000C6B42">
        <w:t xml:space="preserve"> </w:t>
      </w:r>
    </w:p>
    <w:p w14:paraId="118FB910" w14:textId="15475BC5" w:rsidR="00477B29" w:rsidRDefault="00A7076E">
      <w:r>
        <w:t xml:space="preserve">TEQSA acknowledges that the scope and depth of monitoring and analysis that can be undertaken </w:t>
      </w:r>
      <w:r w:rsidR="009047AE">
        <w:t>by a provider</w:t>
      </w:r>
      <w:r w:rsidR="002B7789">
        <w:t xml:space="preserve"> will be</w:t>
      </w:r>
      <w:r>
        <w:t xml:space="preserve"> determined in part by the scale of the provider and the types of methods </w:t>
      </w:r>
      <w:r w:rsidR="009047AE">
        <w:t xml:space="preserve">that are </w:t>
      </w:r>
      <w:r>
        <w:t xml:space="preserve">applicable to that scale. For example, a large provider may be able to obtain large data samples that are amenable to </w:t>
      </w:r>
      <w:r w:rsidR="00CE3886">
        <w:t xml:space="preserve">sophisticated </w:t>
      </w:r>
      <w:r>
        <w:t>statistical analyses and</w:t>
      </w:r>
      <w:r w:rsidR="00CE3886">
        <w:t>/or</w:t>
      </w:r>
      <w:r>
        <w:t xml:space="preserve"> data-drive</w:t>
      </w:r>
      <w:r w:rsidR="00CE3886">
        <w:t>n</w:t>
      </w:r>
      <w:r>
        <w:t xml:space="preserve"> business </w:t>
      </w:r>
      <w:r w:rsidR="00CE3886">
        <w:t>intelligence</w:t>
      </w:r>
      <w:r>
        <w:t xml:space="preserve"> systems, while a small provider may need to place greater emphasis on a detailed understanding of individual circumstances in relatively small groups of students. </w:t>
      </w:r>
      <w:r w:rsidR="007B0041">
        <w:t>Despite such variations in scale and approach to analysis, all providers must</w:t>
      </w:r>
      <w:r w:rsidR="006F4647">
        <w:t xml:space="preserve"> analyse and</w:t>
      </w:r>
      <w:r w:rsidR="007B0041">
        <w:t xml:space="preserve"> </w:t>
      </w:r>
      <w:r w:rsidR="006F4647">
        <w:t>understand the performance of their students to address risks</w:t>
      </w:r>
      <w:r w:rsidR="001C17F6">
        <w:t>,</w:t>
      </w:r>
      <w:r w:rsidR="006F4647">
        <w:t xml:space="preserve"> inform continual improvement </w:t>
      </w:r>
      <w:r w:rsidR="001C17F6">
        <w:t xml:space="preserve">and continue to </w:t>
      </w:r>
      <w:r w:rsidR="007B0041">
        <w:t>meet the requirements of the HES</w:t>
      </w:r>
      <w:r w:rsidR="0066095F">
        <w:t xml:space="preserve"> </w:t>
      </w:r>
      <w:r w:rsidR="007B0041">
        <w:t>F</w:t>
      </w:r>
      <w:r w:rsidR="0066095F">
        <w:t>ramework</w:t>
      </w:r>
      <w:r w:rsidR="007B0041">
        <w:t>.</w:t>
      </w:r>
      <w:r>
        <w:t xml:space="preserve"> </w:t>
      </w:r>
      <w:r w:rsidR="004D291A">
        <w:t xml:space="preserve">  </w:t>
      </w:r>
      <w:r w:rsidR="00477B29">
        <w:t xml:space="preserve"> </w:t>
      </w:r>
    </w:p>
    <w:p w14:paraId="7389DAC0" w14:textId="32E9C2DA" w:rsidR="002C533B" w:rsidRDefault="002C533B" w:rsidP="002C533B">
      <w:pPr>
        <w:pStyle w:val="Heading2"/>
      </w:pPr>
      <w:r>
        <w:t xml:space="preserve">What </w:t>
      </w:r>
      <w:r w:rsidR="00805E7A">
        <w:t xml:space="preserve">are </w:t>
      </w:r>
      <w:r w:rsidR="00126E5A">
        <w:t>i</w:t>
      </w:r>
      <w:r w:rsidR="00215AC6">
        <w:t xml:space="preserve">dentified </w:t>
      </w:r>
      <w:r w:rsidR="00126E5A">
        <w:t>student c</w:t>
      </w:r>
      <w:r w:rsidR="00805E7A">
        <w:t>ohorts</w:t>
      </w:r>
      <w:r>
        <w:t>?</w:t>
      </w:r>
    </w:p>
    <w:p w14:paraId="64324302" w14:textId="23DD72A2" w:rsidR="00EB118F" w:rsidRDefault="00215AC6" w:rsidP="00215AC6">
      <w:r>
        <w:t xml:space="preserve">For the purposes of this Note, </w:t>
      </w:r>
      <w:r w:rsidR="007B0041">
        <w:t>‘</w:t>
      </w:r>
      <w:r>
        <w:t>identified student cohorts</w:t>
      </w:r>
      <w:r w:rsidR="003F1155">
        <w:rPr>
          <w:rStyle w:val="FootnoteReference"/>
        </w:rPr>
        <w:footnoteReference w:id="1"/>
      </w:r>
      <w:r w:rsidR="007B0041">
        <w:t>’</w:t>
      </w:r>
      <w:r>
        <w:t xml:space="preserve"> are groups of students</w:t>
      </w:r>
      <w:r w:rsidR="000C36E2">
        <w:t xml:space="preserve"> whose members are identified as sharing </w:t>
      </w:r>
      <w:r>
        <w:t xml:space="preserve">some particular characteristics </w:t>
      </w:r>
      <w:r w:rsidR="004B461D">
        <w:t>that may have a bearing on their success in a proposed course of study</w:t>
      </w:r>
      <w:r w:rsidR="00EB118F">
        <w:t>, such as a particular educational background</w:t>
      </w:r>
      <w:r w:rsidR="008B22A2">
        <w:t>,</w:t>
      </w:r>
      <w:r w:rsidR="00EB118F">
        <w:t xml:space="preserve"> for example</w:t>
      </w:r>
      <w:r>
        <w:t xml:space="preserve">. </w:t>
      </w:r>
      <w:r w:rsidR="00AE20A7">
        <w:t>In general, ‘cohorts’ are typically identified prospectively and monitored routinely</w:t>
      </w:r>
      <w:r w:rsidR="0066095F">
        <w:t xml:space="preserve">, although retrospective identification of commonalities may </w:t>
      </w:r>
      <w:r w:rsidR="001C17F6">
        <w:t xml:space="preserve">also </w:t>
      </w:r>
      <w:r w:rsidR="0066095F">
        <w:t xml:space="preserve">occur as a result of data-driven analyses (see </w:t>
      </w:r>
      <w:r w:rsidR="001C17F6">
        <w:t xml:space="preserve">‘Other Identified Students’ </w:t>
      </w:r>
      <w:r w:rsidR="0066095F">
        <w:t>below)</w:t>
      </w:r>
      <w:r w:rsidR="00AE20A7">
        <w:t xml:space="preserve">. </w:t>
      </w:r>
    </w:p>
    <w:p w14:paraId="64D9D7EB" w14:textId="6AFC6E31" w:rsidR="00752505" w:rsidRPr="00062809" w:rsidRDefault="001C17F6" w:rsidP="006A6E0F">
      <w:pPr>
        <w:rPr>
          <w:rFonts w:ascii="Arial" w:hAnsi="Arial"/>
          <w:color w:val="auto"/>
        </w:rPr>
      </w:pPr>
      <w:r>
        <w:t>Identified co</w:t>
      </w:r>
      <w:r w:rsidR="00215AC6">
        <w:t xml:space="preserve">horts typically fall into one </w:t>
      </w:r>
      <w:r w:rsidR="00D50BED">
        <w:t xml:space="preserve">or more of the following classes: </w:t>
      </w:r>
    </w:p>
    <w:p w14:paraId="326DA748" w14:textId="79FF8523" w:rsidR="00215AC6" w:rsidRDefault="00C73AB9" w:rsidP="00D50BED">
      <w:pPr>
        <w:pStyle w:val="ListParagraph"/>
        <w:numPr>
          <w:ilvl w:val="0"/>
          <w:numId w:val="16"/>
        </w:numPr>
        <w:ind w:left="567" w:hanging="283"/>
      </w:pPr>
      <w:r>
        <w:t xml:space="preserve">pre-determined </w:t>
      </w:r>
      <w:r w:rsidR="00414357">
        <w:t>c</w:t>
      </w:r>
      <w:r w:rsidR="00215AC6">
        <w:t xml:space="preserve">ohorts that are traditionally identified in the Australian education system, such as </w:t>
      </w:r>
      <w:r w:rsidR="00752505">
        <w:t xml:space="preserve">students in </w:t>
      </w:r>
      <w:r w:rsidR="008E4C03">
        <w:t xml:space="preserve">individual </w:t>
      </w:r>
      <w:r w:rsidR="00F459CF">
        <w:t xml:space="preserve">fields of education, </w:t>
      </w:r>
      <w:r w:rsidR="009D1F80">
        <w:t xml:space="preserve">courses </w:t>
      </w:r>
      <w:r w:rsidR="008D5A01">
        <w:t xml:space="preserve">or units </w:t>
      </w:r>
      <w:r w:rsidR="009D1F80">
        <w:t xml:space="preserve">of study, </w:t>
      </w:r>
      <w:r w:rsidR="00215AC6">
        <w:t>international students, mature-age students, socially disadvantaged students</w:t>
      </w:r>
      <w:r w:rsidR="007365D7">
        <w:t xml:space="preserve">, Indigenous students, annual </w:t>
      </w:r>
      <w:r w:rsidR="007B0041">
        <w:t>intake</w:t>
      </w:r>
      <w:r w:rsidR="006A6E0F">
        <w:t>s</w:t>
      </w:r>
      <w:r w:rsidR="00752505">
        <w:t xml:space="preserve"> and</w:t>
      </w:r>
      <w:r w:rsidR="00477B29">
        <w:t xml:space="preserve"> </w:t>
      </w:r>
      <w:r w:rsidR="00D50BED">
        <w:t xml:space="preserve">students at </w:t>
      </w:r>
      <w:r w:rsidR="00477B29">
        <w:t xml:space="preserve">different locations </w:t>
      </w:r>
      <w:r w:rsidR="00D50BED">
        <w:t xml:space="preserve">or participating in different modes </w:t>
      </w:r>
      <w:r w:rsidR="00477B29">
        <w:t>of study</w:t>
      </w:r>
      <w:r w:rsidR="006A6E0F">
        <w:t xml:space="preserve"> (ideally the performance of such groups is monitored over time, i.e. cohort analysis in the formal sense)</w:t>
      </w:r>
    </w:p>
    <w:p w14:paraId="2FC5ED59" w14:textId="6918A480" w:rsidR="00261298" w:rsidRDefault="00414357" w:rsidP="00215AC6">
      <w:pPr>
        <w:pStyle w:val="ListParagraph"/>
        <w:numPr>
          <w:ilvl w:val="0"/>
          <w:numId w:val="16"/>
        </w:numPr>
        <w:ind w:left="567" w:hanging="283"/>
      </w:pPr>
      <w:r>
        <w:t>c</w:t>
      </w:r>
      <w:r w:rsidR="007365D7">
        <w:t xml:space="preserve">ohorts that </w:t>
      </w:r>
      <w:r w:rsidR="006E38CB">
        <w:t xml:space="preserve">providers </w:t>
      </w:r>
      <w:r w:rsidR="00576585">
        <w:t xml:space="preserve">should </w:t>
      </w:r>
      <w:r w:rsidR="007365D7">
        <w:t>deliberately and predictively identif</w:t>
      </w:r>
      <w:r w:rsidR="006E38CB">
        <w:t>y</w:t>
      </w:r>
      <w:r w:rsidR="007365D7">
        <w:t xml:space="preserve"> in the course of admission, such as students</w:t>
      </w:r>
      <w:r w:rsidR="00AE20A7">
        <w:t xml:space="preserve"> in diversity groups (e.g. Indigenous students), students </w:t>
      </w:r>
      <w:r w:rsidR="007365D7">
        <w:t xml:space="preserve">who may have some </w:t>
      </w:r>
      <w:r w:rsidR="00AE20A7">
        <w:t xml:space="preserve">potential </w:t>
      </w:r>
      <w:r w:rsidR="007365D7">
        <w:t xml:space="preserve">educational </w:t>
      </w:r>
      <w:r w:rsidR="0051550A">
        <w:t>disadvantage</w:t>
      </w:r>
      <w:r w:rsidR="00752505">
        <w:t xml:space="preserve"> and students who</w:t>
      </w:r>
      <w:r w:rsidR="00AE20A7">
        <w:t xml:space="preserve"> may be at risk </w:t>
      </w:r>
      <w:r w:rsidR="007365D7">
        <w:t xml:space="preserve">and </w:t>
      </w:r>
      <w:r w:rsidR="00261298">
        <w:t xml:space="preserve">are expected to </w:t>
      </w:r>
      <w:r w:rsidR="007365D7">
        <w:t>require additional support after admission</w:t>
      </w:r>
    </w:p>
    <w:p w14:paraId="7D982CEB" w14:textId="13F64F59" w:rsidR="00AE20A7" w:rsidRDefault="006A6E0F" w:rsidP="00215AC6">
      <w:pPr>
        <w:pStyle w:val="ListParagraph"/>
        <w:numPr>
          <w:ilvl w:val="0"/>
          <w:numId w:val="16"/>
        </w:numPr>
        <w:ind w:left="567" w:hanging="283"/>
      </w:pPr>
      <w:r>
        <w:t>students</w:t>
      </w:r>
      <w:r w:rsidR="00261298">
        <w:t xml:space="preserve"> who have been offered substantial credit for prior learning (e.g. a third or more of the course of study)</w:t>
      </w:r>
      <w:r w:rsidR="007474FB">
        <w:t xml:space="preserve"> </w:t>
      </w:r>
      <w:r w:rsidR="00752505">
        <w:t xml:space="preserve">through a </w:t>
      </w:r>
      <w:r w:rsidR="007474FB">
        <w:t>standing arrangement or other mechanism</w:t>
      </w:r>
    </w:p>
    <w:p w14:paraId="2356DA01" w14:textId="21D50D7D" w:rsidR="00AE20A7" w:rsidRDefault="00AE20A7" w:rsidP="00215AC6">
      <w:pPr>
        <w:pStyle w:val="ListParagraph"/>
        <w:numPr>
          <w:ilvl w:val="0"/>
          <w:numId w:val="16"/>
        </w:numPr>
        <w:ind w:left="567" w:hanging="283"/>
      </w:pPr>
      <w:proofErr w:type="gramStart"/>
      <w:r>
        <w:t>other</w:t>
      </w:r>
      <w:proofErr w:type="gramEnd"/>
      <w:r>
        <w:t xml:space="preserve"> routinely predetermined </w:t>
      </w:r>
      <w:r w:rsidR="00B8378E">
        <w:t>groups</w:t>
      </w:r>
      <w:r>
        <w:t xml:space="preserve"> of significance to particular providers</w:t>
      </w:r>
      <w:r w:rsidR="00752505">
        <w:t>,</w:t>
      </w:r>
      <w:r w:rsidR="008E4C03">
        <w:t xml:space="preserve"> such as students with particular post-graduate requirements</w:t>
      </w:r>
      <w:r w:rsidR="007B0041">
        <w:t>,</w:t>
      </w:r>
      <w:r w:rsidR="008E4C03">
        <w:t xml:space="preserve"> e.g. initial teacher education.</w:t>
      </w:r>
      <w:r>
        <w:t xml:space="preserve"> </w:t>
      </w:r>
    </w:p>
    <w:p w14:paraId="62EBD4DB" w14:textId="77777777" w:rsidR="008E4C03" w:rsidRDefault="008E4C03" w:rsidP="008E4C03">
      <w:r>
        <w:t xml:space="preserve">The matters raised in this Note generally apply to the individuals within a cohort as well as to the cohort as a whole.   </w:t>
      </w:r>
    </w:p>
    <w:p w14:paraId="2BA72B16" w14:textId="7E75729D" w:rsidR="00AE20A7" w:rsidRDefault="00126E5A" w:rsidP="00AE20A7">
      <w:pPr>
        <w:pStyle w:val="Heading2"/>
      </w:pPr>
      <w:r>
        <w:lastRenderedPageBreak/>
        <w:t>Other identified s</w:t>
      </w:r>
      <w:r w:rsidR="00AE20A7">
        <w:t>tudent</w:t>
      </w:r>
      <w:r w:rsidR="008E4C03">
        <w:t>s</w:t>
      </w:r>
    </w:p>
    <w:p w14:paraId="2AC09C03" w14:textId="3E4C8E47" w:rsidR="007365D7" w:rsidRDefault="008E4C03" w:rsidP="00AE20A7">
      <w:r>
        <w:t xml:space="preserve">In addition to prospective identification of cohorts, a provider’s monitoring and retrospective analysis of its overall student performance data (so called ‘data-driven’ analysis) may reveal other groups/individuals who demonstrate poor performance that was not necessarily anticipated, such as:   </w:t>
      </w:r>
      <w:r w:rsidR="00261298">
        <w:t xml:space="preserve"> </w:t>
      </w:r>
    </w:p>
    <w:p w14:paraId="49D56188" w14:textId="020B5DB9" w:rsidR="00B362E1" w:rsidRDefault="007474FB" w:rsidP="007474FB">
      <w:pPr>
        <w:pStyle w:val="ListParagraph"/>
        <w:numPr>
          <w:ilvl w:val="0"/>
          <w:numId w:val="27"/>
        </w:numPr>
        <w:ind w:left="567" w:hanging="283"/>
      </w:pPr>
      <w:r>
        <w:t xml:space="preserve">groups of </w:t>
      </w:r>
      <w:r w:rsidR="006E38CB">
        <w:t xml:space="preserve">students </w:t>
      </w:r>
      <w:r w:rsidR="0086295E">
        <w:t xml:space="preserve">(or individuals) </w:t>
      </w:r>
      <w:r w:rsidR="007365D7">
        <w:t>that are identified by</w:t>
      </w:r>
      <w:r w:rsidR="009B6D1E">
        <w:t xml:space="preserve"> </w:t>
      </w:r>
      <w:r w:rsidR="0077275F">
        <w:t xml:space="preserve">either </w:t>
      </w:r>
      <w:r w:rsidR="009B6D1E">
        <w:t>an episode</w:t>
      </w:r>
      <w:r>
        <w:t>,</w:t>
      </w:r>
      <w:r w:rsidR="009B6D1E">
        <w:t xml:space="preserve"> or </w:t>
      </w:r>
      <w:r w:rsidR="0077275F">
        <w:t xml:space="preserve">a </w:t>
      </w:r>
      <w:r w:rsidR="00EB118F">
        <w:t xml:space="preserve">continuing </w:t>
      </w:r>
      <w:r w:rsidR="009B6D1E">
        <w:t>history</w:t>
      </w:r>
      <w:r>
        <w:t>,</w:t>
      </w:r>
      <w:r w:rsidR="009B6D1E">
        <w:t xml:space="preserve"> of</w:t>
      </w:r>
      <w:r w:rsidR="007365D7">
        <w:t xml:space="preserve"> low academic achievements, including poor performance in early assessments, failure in other assessments, slow completion</w:t>
      </w:r>
      <w:r w:rsidR="009B6D1E">
        <w:t>s or attrition</w:t>
      </w:r>
    </w:p>
    <w:p w14:paraId="29B58302" w14:textId="5AC51F54" w:rsidR="007474FB" w:rsidRDefault="003D6376" w:rsidP="007474FB">
      <w:pPr>
        <w:pStyle w:val="ListParagraph"/>
        <w:numPr>
          <w:ilvl w:val="0"/>
          <w:numId w:val="27"/>
        </w:numPr>
        <w:ind w:left="567" w:hanging="283"/>
      </w:pPr>
      <w:r>
        <w:t xml:space="preserve">previously </w:t>
      </w:r>
      <w:r w:rsidR="00B362E1">
        <w:t>un</w:t>
      </w:r>
      <w:r>
        <w:t>recognised</w:t>
      </w:r>
      <w:r w:rsidR="00B362E1">
        <w:t xml:space="preserve"> </w:t>
      </w:r>
      <w:r w:rsidR="007474FB">
        <w:t xml:space="preserve">groups or individuals </w:t>
      </w:r>
      <w:r>
        <w:t>that are identified in d</w:t>
      </w:r>
      <w:r w:rsidR="00B362E1">
        <w:t>iagnostic analyses of performance</w:t>
      </w:r>
      <w:r w:rsidR="006E38CB">
        <w:t xml:space="preserve"> (e.g. where a provider’s assumptions about educational preparedness </w:t>
      </w:r>
      <w:r>
        <w:t xml:space="preserve">of a particular </w:t>
      </w:r>
      <w:r w:rsidR="00752505">
        <w:t xml:space="preserve">group </w:t>
      </w:r>
      <w:r w:rsidR="006E38CB">
        <w:t>are not realised)</w:t>
      </w:r>
    </w:p>
    <w:p w14:paraId="3C149545" w14:textId="07E68191" w:rsidR="00E02579" w:rsidRDefault="007474FB" w:rsidP="007474FB">
      <w:pPr>
        <w:pStyle w:val="ListParagraph"/>
        <w:numPr>
          <w:ilvl w:val="0"/>
          <w:numId w:val="27"/>
        </w:numPr>
        <w:ind w:left="567" w:hanging="283"/>
      </w:pPr>
      <w:r>
        <w:t xml:space="preserve">low performing students that can be associated with </w:t>
      </w:r>
      <w:r w:rsidRPr="007474FB">
        <w:t xml:space="preserve">particular market niches (e.g. a new international market, admission by </w:t>
      </w:r>
      <w:r>
        <w:t xml:space="preserve">particular </w:t>
      </w:r>
      <w:r w:rsidRPr="007474FB">
        <w:t>mode of instruction, admission by type of English language proficiency evidence, admission through particular agents</w:t>
      </w:r>
      <w:r w:rsidR="001C17F6">
        <w:t xml:space="preserve"> or particular pathway providers, both onshore and offshore</w:t>
      </w:r>
      <w:r w:rsidRPr="007474FB">
        <w:t>)</w:t>
      </w:r>
    </w:p>
    <w:p w14:paraId="3EA2A880" w14:textId="2D770191" w:rsidR="007474FB" w:rsidRPr="007474FB" w:rsidRDefault="00E02579" w:rsidP="007474FB">
      <w:pPr>
        <w:pStyle w:val="ListParagraph"/>
        <w:numPr>
          <w:ilvl w:val="0"/>
          <w:numId w:val="27"/>
        </w:numPr>
        <w:ind w:left="567" w:hanging="283"/>
      </w:pPr>
      <w:proofErr w:type="gramStart"/>
      <w:r>
        <w:t>students</w:t>
      </w:r>
      <w:proofErr w:type="gramEnd"/>
      <w:r>
        <w:t xml:space="preserve"> who are demonstrating particular difficulties that are affecting their education </w:t>
      </w:r>
      <w:r w:rsidR="00B8378E">
        <w:t>(</w:t>
      </w:r>
      <w:r>
        <w:t>e.g. breaches of academic integrity</w:t>
      </w:r>
      <w:r w:rsidR="00B8378E">
        <w:t>, or</w:t>
      </w:r>
      <w:r>
        <w:t xml:space="preserve"> </w:t>
      </w:r>
      <w:r w:rsidR="00B8378E">
        <w:t xml:space="preserve">the emergence of </w:t>
      </w:r>
      <w:r>
        <w:t>particular learning difficulties</w:t>
      </w:r>
      <w:r w:rsidR="00B8378E">
        <w:t>)</w:t>
      </w:r>
      <w:r w:rsidR="007474FB">
        <w:t>.</w:t>
      </w:r>
    </w:p>
    <w:p w14:paraId="5477FFDE" w14:textId="6072DCB3" w:rsidR="00B362E1" w:rsidRDefault="007474FB" w:rsidP="007474FB">
      <w:r>
        <w:t>Such retrospective data-driven analysis, as with prospective cohort analysis,</w:t>
      </w:r>
      <w:r w:rsidR="006F4647">
        <w:t xml:space="preserve"> gives providers important information</w:t>
      </w:r>
      <w:r>
        <w:t xml:space="preserve"> to </w:t>
      </w:r>
      <w:r w:rsidR="00B8378E">
        <w:t xml:space="preserve">help to identify </w:t>
      </w:r>
      <w:r w:rsidR="006F4647">
        <w:t>problems that have occurred</w:t>
      </w:r>
      <w:r w:rsidR="00B8378E">
        <w:t xml:space="preserve"> and their cause. M</w:t>
      </w:r>
      <w:r w:rsidR="006F4647">
        <w:t>ost importantly</w:t>
      </w:r>
      <w:r w:rsidR="00B8378E">
        <w:t>, the analyses should lead to</w:t>
      </w:r>
      <w:r w:rsidR="006F4647">
        <w:t xml:space="preserve"> the </w:t>
      </w:r>
      <w:r>
        <w:t xml:space="preserve">identification </w:t>
      </w:r>
      <w:r w:rsidR="00752505">
        <w:t xml:space="preserve">and correction </w:t>
      </w:r>
      <w:r>
        <w:t>of underlying root causes</w:t>
      </w:r>
      <w:r w:rsidR="00B8378E">
        <w:t>,</w:t>
      </w:r>
      <w:r w:rsidR="006F4647">
        <w:t xml:space="preserve"> so </w:t>
      </w:r>
      <w:r w:rsidR="00B8378E">
        <w:t xml:space="preserve">that </w:t>
      </w:r>
      <w:r w:rsidR="006F4647">
        <w:t>the problems do not continue to occur in the future</w:t>
      </w:r>
      <w:r>
        <w:t>.</w:t>
      </w:r>
      <w:r w:rsidR="007365D7">
        <w:t xml:space="preserve">  </w:t>
      </w:r>
    </w:p>
    <w:p w14:paraId="0A1B5081" w14:textId="77777777" w:rsidR="002C533B" w:rsidRDefault="002C533B" w:rsidP="002C533B">
      <w:pPr>
        <w:pStyle w:val="Heading2"/>
      </w:pPr>
      <w:r>
        <w:t xml:space="preserve">Relevant Standards in the HES Framework </w:t>
      </w:r>
    </w:p>
    <w:p w14:paraId="62CD944A" w14:textId="07AED27F" w:rsidR="00FE2D5B" w:rsidRDefault="00D12CAB" w:rsidP="006C3B1C">
      <w:r>
        <w:t xml:space="preserve">The </w:t>
      </w:r>
      <w:r w:rsidR="00DF3BF3">
        <w:t>HES Framework addresses</w:t>
      </w:r>
      <w:r w:rsidR="00B362E1">
        <w:t xml:space="preserve">, or has a </w:t>
      </w:r>
      <w:r w:rsidR="003D6376">
        <w:t xml:space="preserve">direct </w:t>
      </w:r>
      <w:r w:rsidR="00B362E1">
        <w:t xml:space="preserve">bearing on, </w:t>
      </w:r>
      <w:r w:rsidR="00752505">
        <w:t xml:space="preserve">student </w:t>
      </w:r>
      <w:r w:rsidR="00DF3BF3">
        <w:t xml:space="preserve">performance </w:t>
      </w:r>
      <w:r w:rsidR="00B362E1">
        <w:t xml:space="preserve">in several ways at a number of levels. </w:t>
      </w:r>
      <w:r w:rsidR="0086295E">
        <w:t>This begins with a</w:t>
      </w:r>
      <w:r w:rsidR="00B362E1">
        <w:t xml:space="preserve"> fundamental requirement</w:t>
      </w:r>
      <w:r w:rsidR="0086295E">
        <w:t xml:space="preserve"> </w:t>
      </w:r>
      <w:r w:rsidR="003D6376">
        <w:t xml:space="preserve">of admission </w:t>
      </w:r>
      <w:r w:rsidR="0086295E">
        <w:t xml:space="preserve">that </w:t>
      </w:r>
      <w:r w:rsidR="00DF3BF3">
        <w:t xml:space="preserve">students </w:t>
      </w:r>
      <w:r w:rsidR="0086295E">
        <w:t xml:space="preserve">who are admitted to a provider will have </w:t>
      </w:r>
      <w:r w:rsidR="00DF3BF3">
        <w:t>no known limitations that would impede their progression or completion (1.1.1)</w:t>
      </w:r>
      <w:r w:rsidR="0077275F">
        <w:rPr>
          <w:rStyle w:val="FootnoteReference"/>
        </w:rPr>
        <w:footnoteReference w:id="2"/>
      </w:r>
      <w:r w:rsidR="00DF3BF3">
        <w:t>,</w:t>
      </w:r>
      <w:r w:rsidR="00576585">
        <w:t xml:space="preserve"> as well as</w:t>
      </w:r>
      <w:r w:rsidR="00DF3BF3">
        <w:t xml:space="preserve"> ensuring students are informed </w:t>
      </w:r>
      <w:r w:rsidR="0051550A">
        <w:t>about</w:t>
      </w:r>
      <w:r w:rsidR="00DF3BF3">
        <w:t xml:space="preserve"> their prospective experience and obligations (1.1.2, 7.1.1 – 7.1.5</w:t>
      </w:r>
      <w:r w:rsidR="003D6376">
        <w:t>, 7.2.1 – 7.2.4</w:t>
      </w:r>
      <w:r w:rsidR="00DF3BF3">
        <w:t xml:space="preserve">) and </w:t>
      </w:r>
      <w:r w:rsidR="0051550A">
        <w:t xml:space="preserve">that </w:t>
      </w:r>
      <w:r w:rsidR="00DF3BF3">
        <w:t xml:space="preserve">any credit offered for prior learning does not disadvantage them (1.2.2a). </w:t>
      </w:r>
    </w:p>
    <w:p w14:paraId="59D3056F" w14:textId="2FFAECAB" w:rsidR="00FE2D5B" w:rsidRDefault="00FE2D5B" w:rsidP="006C3B1C">
      <w:r>
        <w:t>Section 1.3 (Orientation and Progression 1.3.1 – 1.3</w:t>
      </w:r>
      <w:r w:rsidR="001F509A">
        <w:t>.</w:t>
      </w:r>
      <w:r>
        <w:t xml:space="preserve">6) sets out the </w:t>
      </w:r>
      <w:r w:rsidR="00DF3BF3">
        <w:t>obligations on provider</w:t>
      </w:r>
      <w:r>
        <w:t>s</w:t>
      </w:r>
      <w:r w:rsidR="00DF3BF3">
        <w:t xml:space="preserve"> to assess the needs of cohorts, </w:t>
      </w:r>
      <w:r>
        <w:t xml:space="preserve">to </w:t>
      </w:r>
      <w:r w:rsidR="00DF3BF3">
        <w:t>provide early</w:t>
      </w:r>
      <w:r>
        <w:t xml:space="preserve"> assessment </w:t>
      </w:r>
      <w:r w:rsidR="00B362E1">
        <w:t xml:space="preserve">of student progress </w:t>
      </w:r>
      <w:r>
        <w:t xml:space="preserve">and </w:t>
      </w:r>
      <w:r w:rsidR="00B362E1">
        <w:t xml:space="preserve">targeted </w:t>
      </w:r>
      <w:r>
        <w:t>support</w:t>
      </w:r>
      <w:r w:rsidR="00B8378E">
        <w:t>,</w:t>
      </w:r>
      <w:r>
        <w:t xml:space="preserve"> if required, and to monitor trends in student performance to enable review and improvement. In particular, this section of the standards notes that students should have equivalent opportunities for progression</w:t>
      </w:r>
      <w:r w:rsidR="0051550A">
        <w:t>,</w:t>
      </w:r>
      <w:r>
        <w:t xml:space="preserve"> irrespective of their background, entry pathway or mode or place of study (1.3.6).</w:t>
      </w:r>
    </w:p>
    <w:p w14:paraId="28DF1221" w14:textId="65BD2ED3" w:rsidR="001F509A" w:rsidRDefault="00FE2D5B" w:rsidP="006C3B1C">
      <w:r>
        <w:t>Section 2.2 (Diversity and Equity 2.2.1 – 2.2.3) deals with accommodation of divers</w:t>
      </w:r>
      <w:r w:rsidR="0051550A">
        <w:t>e groups</w:t>
      </w:r>
      <w:r w:rsidR="00CE3886">
        <w:t xml:space="preserve"> such as Indigenous students and</w:t>
      </w:r>
      <w:r w:rsidR="001F509A">
        <w:t xml:space="preserve"> disadvantaged groups</w:t>
      </w:r>
      <w:r w:rsidR="00EB118F">
        <w:t>,</w:t>
      </w:r>
      <w:r w:rsidR="001F509A">
        <w:t xml:space="preserve"> and imposes specific requirements for monitoring the performance of identified sub-groups</w:t>
      </w:r>
      <w:r w:rsidR="00D56345">
        <w:t xml:space="preserve"> </w:t>
      </w:r>
      <w:r w:rsidR="001F509A">
        <w:t xml:space="preserve">of students and using the findings to improve admissions policies, teaching, learning and support for those groups. </w:t>
      </w:r>
    </w:p>
    <w:p w14:paraId="4FE189CC" w14:textId="756CD7CC" w:rsidR="001F509A" w:rsidRDefault="001F509A" w:rsidP="006C3B1C">
      <w:r>
        <w:lastRenderedPageBreak/>
        <w:t>The HES Framework sets requirements at the institutional level for monitoring and review</w:t>
      </w:r>
      <w:r w:rsidR="00B362E1">
        <w:t xml:space="preserve"> </w:t>
      </w:r>
      <w:r w:rsidR="0079627B">
        <w:t xml:space="preserve">of </w:t>
      </w:r>
      <w:r w:rsidR="00B362E1">
        <w:t>academic performance</w:t>
      </w:r>
      <w:r>
        <w:t xml:space="preserve">, including </w:t>
      </w:r>
      <w:r w:rsidR="0079627B">
        <w:t xml:space="preserve">a requirement </w:t>
      </w:r>
      <w:r>
        <w:t xml:space="preserve">to obtain student feedback (5.3.5) and to use student performance data and feedback to inform </w:t>
      </w:r>
      <w:r w:rsidR="002E601F">
        <w:t xml:space="preserve">both </w:t>
      </w:r>
      <w:r>
        <w:t>admission practices and the</w:t>
      </w:r>
      <w:r w:rsidR="009D45D2">
        <w:t xml:space="preserve"> </w:t>
      </w:r>
      <w:r>
        <w:t xml:space="preserve">provider’s </w:t>
      </w:r>
      <w:r w:rsidR="002E601F">
        <w:t xml:space="preserve">other </w:t>
      </w:r>
      <w:r>
        <w:t>academic approaches (5.3.7).</w:t>
      </w:r>
    </w:p>
    <w:p w14:paraId="75797861" w14:textId="1958DAE4" w:rsidR="00B045BA" w:rsidRDefault="002E601F" w:rsidP="006C3B1C">
      <w:r>
        <w:t>The Standards also specify c</w:t>
      </w:r>
      <w:r w:rsidR="001F509A">
        <w:t xml:space="preserve">orporate and academic governance responsibilities </w:t>
      </w:r>
      <w:r w:rsidR="002532A3">
        <w:t xml:space="preserve">for </w:t>
      </w:r>
      <w:r w:rsidR="0086295E">
        <w:t xml:space="preserve">overarching </w:t>
      </w:r>
      <w:r w:rsidR="002532A3">
        <w:t xml:space="preserve">oversight of the </w:t>
      </w:r>
      <w:r>
        <w:t xml:space="preserve">range of </w:t>
      </w:r>
      <w:r w:rsidR="002532A3">
        <w:t>activities already mentioned</w:t>
      </w:r>
      <w:r w:rsidR="0079627B">
        <w:t xml:space="preserve"> above</w:t>
      </w:r>
      <w:r>
        <w:t>.</w:t>
      </w:r>
      <w:r w:rsidR="002532A3">
        <w:t xml:space="preserve"> These include ensuring that there is corporate oversight of academic governance (6.2.1f), </w:t>
      </w:r>
      <w:r w:rsidR="00B8378E">
        <w:t xml:space="preserve">that </w:t>
      </w:r>
      <w:r w:rsidR="002532A3">
        <w:t>the corporate governing body has identified risks to the provider’s education operations (6.2.1e)</w:t>
      </w:r>
      <w:r w:rsidR="0079627B">
        <w:t xml:space="preserve"> and</w:t>
      </w:r>
      <w:r w:rsidR="002532A3">
        <w:t xml:space="preserve"> that academic oversight of monitoring, review and improvement of academic activities is effective (6.3.2g)</w:t>
      </w:r>
      <w:r w:rsidR="00EF7CB4">
        <w:t xml:space="preserve">. </w:t>
      </w:r>
      <w:r w:rsidR="002532A3">
        <w:t xml:space="preserve"> </w:t>
      </w:r>
      <w:r w:rsidR="00EF7CB4">
        <w:t>The HES Framework also requires e</w:t>
      </w:r>
      <w:r w:rsidR="002532A3">
        <w:t>ffective monitoring and reporting to the corporate governing body on the quality of teaching and research (6.3.2h)</w:t>
      </w:r>
      <w:r w:rsidR="003D6376">
        <w:t>,</w:t>
      </w:r>
      <w:r w:rsidR="00277B4A">
        <w:t xml:space="preserve"> </w:t>
      </w:r>
      <w:r w:rsidR="00EF7CB4">
        <w:t xml:space="preserve">together with </w:t>
      </w:r>
      <w:r w:rsidR="00277B4A">
        <w:t>relev</w:t>
      </w:r>
      <w:r w:rsidR="00EF7CB4">
        <w:t xml:space="preserve">ant delegation of authority (for monitoring and reporting on student performance in this case) </w:t>
      </w:r>
      <w:r w:rsidR="00277B4A">
        <w:t xml:space="preserve">and </w:t>
      </w:r>
      <w:r w:rsidR="00EF7CB4">
        <w:t xml:space="preserve">that </w:t>
      </w:r>
      <w:r w:rsidR="00277B4A">
        <w:t xml:space="preserve">the implementation </w:t>
      </w:r>
      <w:r w:rsidR="00EF7CB4">
        <w:t xml:space="preserve">and effectiveness </w:t>
      </w:r>
      <w:r w:rsidR="00EB118F">
        <w:t>of those delegations are</w:t>
      </w:r>
      <w:r w:rsidR="00277B4A">
        <w:t xml:space="preserve"> monitored</w:t>
      </w:r>
      <w:r w:rsidR="00EF7CB4">
        <w:t xml:space="preserve"> and reviewed</w:t>
      </w:r>
      <w:r w:rsidR="00277B4A">
        <w:t xml:space="preserve"> (6.1.3b)</w:t>
      </w:r>
      <w:r w:rsidR="002532A3">
        <w:t>.</w:t>
      </w:r>
      <w:r w:rsidR="00D16368">
        <w:t xml:space="preserve"> A provider is also expected to set and monitor institutional benchmarks for academic quality and outcomes (6.3.1b); for which monitoring and analysis of student performance is a fundamental requirement. </w:t>
      </w:r>
    </w:p>
    <w:p w14:paraId="3F7408EB" w14:textId="05D501D5" w:rsidR="002532A3" w:rsidRDefault="00EF7CB4" w:rsidP="006C3B1C">
      <w:r>
        <w:t>A</w:t>
      </w:r>
      <w:r w:rsidR="00B045BA">
        <w:t xml:space="preserve"> provider </w:t>
      </w:r>
      <w:r>
        <w:t xml:space="preserve">is required </w:t>
      </w:r>
      <w:r w:rsidR="00B045BA">
        <w:t xml:space="preserve">to maintain accurate and up-to-date records, including data on </w:t>
      </w:r>
      <w:r w:rsidR="007C34FA">
        <w:t xml:space="preserve">enrolments, </w:t>
      </w:r>
      <w:r w:rsidR="00B045BA">
        <w:t>progression and completion</w:t>
      </w:r>
      <w:r w:rsidR="007C34FA">
        <w:t xml:space="preserve"> (7.3.3a) and any lapses in compliance with the HES Framework (7.3.3d).</w:t>
      </w:r>
      <w:r w:rsidR="002532A3">
        <w:t xml:space="preserve"> </w:t>
      </w:r>
    </w:p>
    <w:p w14:paraId="35DD1A64" w14:textId="77777777" w:rsidR="002C533B" w:rsidRDefault="002C533B" w:rsidP="002C533B">
      <w:pPr>
        <w:pStyle w:val="Heading2"/>
      </w:pPr>
      <w:r>
        <w:t xml:space="preserve">Intent of the Standards </w:t>
      </w:r>
    </w:p>
    <w:p w14:paraId="3A8F48B2" w14:textId="0286E9D8" w:rsidR="002E601F" w:rsidRDefault="00C92AB4" w:rsidP="00C92AB4">
      <w:r>
        <w:t xml:space="preserve">The general intent of the Standards </w:t>
      </w:r>
      <w:r w:rsidR="0086295E">
        <w:t>is for providers to develop a</w:t>
      </w:r>
      <w:r w:rsidR="003D6376">
        <w:t xml:space="preserve"> detailed</w:t>
      </w:r>
      <w:r w:rsidR="0086295E">
        <w:t xml:space="preserve"> understanding of the performance of their students and to create an evidence base for improvements to all aspects of the</w:t>
      </w:r>
      <w:r w:rsidR="003D6376">
        <w:t xml:space="preserve"> provider’s </w:t>
      </w:r>
      <w:r w:rsidR="0086295E">
        <w:t>academic activities</w:t>
      </w:r>
      <w:r w:rsidR="003D6376">
        <w:t xml:space="preserve">, </w:t>
      </w:r>
      <w:r w:rsidR="0086295E">
        <w:t xml:space="preserve">both at the local level </w:t>
      </w:r>
      <w:r w:rsidR="00B8378E">
        <w:t xml:space="preserve">(e.g. delivery of a course of study at faculty/departmental level) </w:t>
      </w:r>
      <w:r w:rsidR="0086295E">
        <w:t>and for the provider as a whole</w:t>
      </w:r>
      <w:r w:rsidR="008B22A2">
        <w:t>,</w:t>
      </w:r>
      <w:r w:rsidR="00465217">
        <w:t xml:space="preserve"> through improved oversight and policy refinement</w:t>
      </w:r>
      <w:r w:rsidR="003D6376">
        <w:t xml:space="preserve"> that lead</w:t>
      </w:r>
      <w:r w:rsidR="00E46281">
        <w:t>s</w:t>
      </w:r>
      <w:r w:rsidR="003D6376">
        <w:t xml:space="preserve"> to enhanced student outcomes.</w:t>
      </w:r>
    </w:p>
    <w:p w14:paraId="2DD38BAE" w14:textId="07B6A036" w:rsidR="002E601F" w:rsidRDefault="002E601F" w:rsidP="00C92AB4">
      <w:r>
        <w:t xml:space="preserve">This understanding is expected to be nuanced </w:t>
      </w:r>
      <w:r w:rsidR="00EF7CB4">
        <w:t xml:space="preserve">according to </w:t>
      </w:r>
      <w:r>
        <w:t>identified (or identifiable) cohort</w:t>
      </w:r>
      <w:r w:rsidR="00710552">
        <w:t xml:space="preserve"> data</w:t>
      </w:r>
      <w:r w:rsidR="00E46281">
        <w:t>,</w:t>
      </w:r>
      <w:r>
        <w:t xml:space="preserve"> </w:t>
      </w:r>
      <w:r w:rsidR="00752505">
        <w:t>where</w:t>
      </w:r>
      <w:r w:rsidR="00DF2C11">
        <w:t xml:space="preserve"> </w:t>
      </w:r>
      <w:r w:rsidR="00752505">
        <w:t>relevant</w:t>
      </w:r>
      <w:r w:rsidR="00DF2C11">
        <w:t>,</w:t>
      </w:r>
      <w:r w:rsidR="00752505">
        <w:t xml:space="preserve"> </w:t>
      </w:r>
      <w:r>
        <w:t xml:space="preserve">and </w:t>
      </w:r>
      <w:r w:rsidR="00B362E1">
        <w:t>is</w:t>
      </w:r>
      <w:r w:rsidR="00710552">
        <w:t xml:space="preserve"> </w:t>
      </w:r>
      <w:r w:rsidR="00B362E1">
        <w:t xml:space="preserve">intended </w:t>
      </w:r>
      <w:r w:rsidR="00E902F1">
        <w:t xml:space="preserve">to </w:t>
      </w:r>
      <w:r>
        <w:t>extend to:</w:t>
      </w:r>
    </w:p>
    <w:p w14:paraId="6D0D5F6A" w14:textId="183C6402" w:rsidR="002E601F" w:rsidRDefault="002E601F" w:rsidP="001B6F3D">
      <w:pPr>
        <w:pStyle w:val="ListParagraph"/>
        <w:numPr>
          <w:ilvl w:val="0"/>
          <w:numId w:val="31"/>
        </w:numPr>
      </w:pPr>
      <w:r>
        <w:t>the effectiveness of a provider’s predictions and assumptions that underlie admissions policies and practices, and</w:t>
      </w:r>
    </w:p>
    <w:p w14:paraId="5FD56A88" w14:textId="78013246" w:rsidR="002E601F" w:rsidRDefault="002E601F" w:rsidP="001B6F3D">
      <w:pPr>
        <w:pStyle w:val="ListParagraph"/>
        <w:numPr>
          <w:ilvl w:val="0"/>
          <w:numId w:val="31"/>
        </w:numPr>
      </w:pPr>
      <w:proofErr w:type="gramStart"/>
      <w:r>
        <w:t>the</w:t>
      </w:r>
      <w:proofErr w:type="gramEnd"/>
      <w:r>
        <w:t xml:space="preserve"> </w:t>
      </w:r>
      <w:r w:rsidR="00D56345">
        <w:t xml:space="preserve">causes of poor </w:t>
      </w:r>
      <w:r>
        <w:t>performance of admitted students</w:t>
      </w:r>
      <w:r w:rsidR="00AD262C">
        <w:t>, both in transition to their course of study and throughout</w:t>
      </w:r>
      <w:r w:rsidR="00D56345">
        <w:t xml:space="preserve"> </w:t>
      </w:r>
      <w:r w:rsidR="00710552">
        <w:t xml:space="preserve">their studies </w:t>
      </w:r>
      <w:r w:rsidR="00D56345">
        <w:t>(</w:t>
      </w:r>
      <w:r w:rsidR="00EF7CB4">
        <w:t xml:space="preserve">whether </w:t>
      </w:r>
      <w:r w:rsidR="00D56345">
        <w:t>because of, or irrespective of</w:t>
      </w:r>
      <w:r w:rsidR="00EF7CB4">
        <w:t>,</w:t>
      </w:r>
      <w:r w:rsidR="00D56345">
        <w:t xml:space="preserve"> </w:t>
      </w:r>
      <w:r w:rsidR="0079627B">
        <w:t xml:space="preserve">deficiencies in </w:t>
      </w:r>
      <w:r w:rsidR="00D56345">
        <w:t>admission practices)</w:t>
      </w:r>
      <w:r>
        <w:t xml:space="preserve">. </w:t>
      </w:r>
    </w:p>
    <w:p w14:paraId="5556850B" w14:textId="4F33D9A4" w:rsidR="00710552" w:rsidRDefault="00465217" w:rsidP="002E601F">
      <w:pPr>
        <w:ind w:left="60"/>
      </w:pPr>
      <w:r>
        <w:t xml:space="preserve">The Standards intend that a provider will develop a </w:t>
      </w:r>
      <w:r w:rsidR="008D5A01">
        <w:t xml:space="preserve">sound </w:t>
      </w:r>
      <w:r>
        <w:t>quantitative understanding of student achievements</w:t>
      </w:r>
      <w:r w:rsidR="00AD262C">
        <w:t>, which</w:t>
      </w:r>
      <w:r>
        <w:t xml:space="preserve"> will inform </w:t>
      </w:r>
      <w:r w:rsidR="00AD262C">
        <w:t xml:space="preserve">both established practices and </w:t>
      </w:r>
      <w:r>
        <w:t xml:space="preserve">improvement strategies. </w:t>
      </w:r>
      <w:r w:rsidR="000C36E2">
        <w:t xml:space="preserve">Such an understanding is intended to </w:t>
      </w:r>
      <w:r w:rsidR="00AD262C">
        <w:t>be evidence</w:t>
      </w:r>
      <w:r w:rsidR="008B22A2">
        <w:t>-</w:t>
      </w:r>
      <w:r w:rsidR="00AD262C">
        <w:t xml:space="preserve">based, to be able to demonstrate </w:t>
      </w:r>
      <w:r w:rsidR="000C36E2">
        <w:t>correlations</w:t>
      </w:r>
      <w:r w:rsidR="00AD262C">
        <w:t xml:space="preserve"> and associations, </w:t>
      </w:r>
      <w:r w:rsidR="000C36E2">
        <w:t xml:space="preserve">and </w:t>
      </w:r>
      <w:r w:rsidR="00AD262C">
        <w:t xml:space="preserve">to </w:t>
      </w:r>
      <w:r w:rsidR="000C36E2">
        <w:t>identify</w:t>
      </w:r>
      <w:r w:rsidR="00AD262C">
        <w:t xml:space="preserve"> underlying</w:t>
      </w:r>
      <w:r w:rsidR="000C36E2">
        <w:t xml:space="preserve"> causa</w:t>
      </w:r>
      <w:r w:rsidR="00EF7CB4">
        <w:t>l</w:t>
      </w:r>
      <w:r w:rsidR="000C36E2">
        <w:t xml:space="preserve"> relationships</w:t>
      </w:r>
      <w:r w:rsidR="00AD262C">
        <w:t xml:space="preserve"> that will inform improvements</w:t>
      </w:r>
      <w:r w:rsidR="000C36E2">
        <w:t xml:space="preserve">. </w:t>
      </w:r>
    </w:p>
    <w:p w14:paraId="7112BF3E" w14:textId="208981CB" w:rsidR="002E601F" w:rsidRDefault="000C36E2" w:rsidP="002E601F">
      <w:pPr>
        <w:ind w:left="60"/>
      </w:pPr>
      <w:r>
        <w:t xml:space="preserve">The necessary analyses are </w:t>
      </w:r>
      <w:r w:rsidR="00465217">
        <w:t xml:space="preserve">intended to be nuanced by examination of the needs and performance of identified </w:t>
      </w:r>
      <w:r w:rsidR="00DF2C11">
        <w:t>groups of students</w:t>
      </w:r>
      <w:r w:rsidR="00465217">
        <w:t xml:space="preserve">, while at the same time demonstrating that all </w:t>
      </w:r>
      <w:r w:rsidR="00752505">
        <w:t xml:space="preserve">students </w:t>
      </w:r>
      <w:r w:rsidR="00465217">
        <w:t xml:space="preserve">have equal opportunity </w:t>
      </w:r>
      <w:r w:rsidR="0079627B">
        <w:t xml:space="preserve">for successful progress </w:t>
      </w:r>
      <w:r w:rsidR="00465217">
        <w:t xml:space="preserve">irrespective of background. </w:t>
      </w:r>
      <w:r w:rsidR="002E601F">
        <w:t xml:space="preserve">A provider’s </w:t>
      </w:r>
      <w:r w:rsidR="00752505">
        <w:t xml:space="preserve">data-driven </w:t>
      </w:r>
      <w:r w:rsidR="002E601F">
        <w:t xml:space="preserve">analyses may identify a previously unrecognised </w:t>
      </w:r>
      <w:r w:rsidR="006F4647">
        <w:t>f</w:t>
      </w:r>
      <w:r w:rsidR="00752505">
        <w:t xml:space="preserve">ocus </w:t>
      </w:r>
      <w:r w:rsidR="002E601F">
        <w:t xml:space="preserve">of potential disadvantage. </w:t>
      </w:r>
    </w:p>
    <w:p w14:paraId="4AC89661" w14:textId="416143E2" w:rsidR="00465217" w:rsidRDefault="000C36E2" w:rsidP="002E601F">
      <w:pPr>
        <w:ind w:left="60"/>
      </w:pPr>
      <w:r>
        <w:t>While the S</w:t>
      </w:r>
      <w:r w:rsidR="00465217">
        <w:t xml:space="preserve">tandards </w:t>
      </w:r>
      <w:r w:rsidR="00D56345">
        <w:t xml:space="preserve">seek to </w:t>
      </w:r>
      <w:r w:rsidR="00465217">
        <w:t xml:space="preserve">proscribe admission of students with known impediments to success, this does not preclude admission of students who </w:t>
      </w:r>
      <w:r>
        <w:t>may face additional but m</w:t>
      </w:r>
      <w:r w:rsidR="00465217">
        <w:t xml:space="preserve">anageable risks, e.g. </w:t>
      </w:r>
      <w:r w:rsidR="00AD262C">
        <w:t xml:space="preserve">students who are </w:t>
      </w:r>
      <w:r w:rsidR="00EB118F">
        <w:t>expected</w:t>
      </w:r>
      <w:r w:rsidR="00AD262C">
        <w:t xml:space="preserve"> to need </w:t>
      </w:r>
      <w:r w:rsidR="00465217">
        <w:t xml:space="preserve">additional academic support. This requires sound judgement by a provider, </w:t>
      </w:r>
      <w:r>
        <w:t>including predictive analyses, the</w:t>
      </w:r>
      <w:r w:rsidR="00465217">
        <w:t xml:space="preserve"> </w:t>
      </w:r>
      <w:r w:rsidR="00465217">
        <w:lastRenderedPageBreak/>
        <w:t xml:space="preserve">assumptions of which are expected to be tested through the provider’s </w:t>
      </w:r>
      <w:r w:rsidR="002E601F">
        <w:t xml:space="preserve">subsequent </w:t>
      </w:r>
      <w:r w:rsidR="00D56345">
        <w:t>analyse</w:t>
      </w:r>
      <w:r w:rsidR="00465217">
        <w:t>s of student performance</w:t>
      </w:r>
      <w:r w:rsidR="00DF2C11">
        <w:t>,</w:t>
      </w:r>
      <w:r w:rsidR="00AD262C">
        <w:t xml:space="preserve"> as required by the HES</w:t>
      </w:r>
      <w:r w:rsidR="001C17F6">
        <w:t xml:space="preserve"> </w:t>
      </w:r>
      <w:r w:rsidR="00AD262C">
        <w:t>F</w:t>
      </w:r>
      <w:r w:rsidR="001C17F6">
        <w:t>ramework</w:t>
      </w:r>
      <w:r w:rsidR="00465217">
        <w:t xml:space="preserve">. </w:t>
      </w:r>
      <w:r w:rsidR="007F226D">
        <w:t>It also necessitates that they make t</w:t>
      </w:r>
      <w:r w:rsidR="00DF2C11">
        <w:t>hat additional support available</w:t>
      </w:r>
      <w:r w:rsidR="007F226D">
        <w:t>.</w:t>
      </w:r>
    </w:p>
    <w:p w14:paraId="6290730F" w14:textId="05AC2185" w:rsidR="002C533B" w:rsidRDefault="00496C18" w:rsidP="002C533B">
      <w:pPr>
        <w:pStyle w:val="Heading2"/>
      </w:pPr>
      <w:r>
        <w:t xml:space="preserve">Risks to </w:t>
      </w:r>
      <w:r w:rsidR="00126E5A">
        <w:t>q</w:t>
      </w:r>
      <w:r w:rsidR="00420E56">
        <w:t>uality</w:t>
      </w:r>
    </w:p>
    <w:p w14:paraId="5EB07CB9" w14:textId="21C5A02B" w:rsidR="00AD262C" w:rsidRDefault="002E601F" w:rsidP="00C92AB4">
      <w:r>
        <w:t xml:space="preserve">The principal risks to quality stemming from an insufficient understanding of student </w:t>
      </w:r>
      <w:r w:rsidR="000B3722" w:rsidRPr="00AD262C">
        <w:t xml:space="preserve">performance </w:t>
      </w:r>
      <w:r w:rsidR="00710552">
        <w:t>relate</w:t>
      </w:r>
      <w:r w:rsidR="00D56345">
        <w:t xml:space="preserve"> to poor student outcomes</w:t>
      </w:r>
      <w:r w:rsidR="00EF7CB4">
        <w:t xml:space="preserve"> (with potential reputational risks to the provider and </w:t>
      </w:r>
      <w:r w:rsidR="009C6508">
        <w:t xml:space="preserve">to </w:t>
      </w:r>
      <w:r w:rsidR="00EF7CB4">
        <w:t>Australian higher education)</w:t>
      </w:r>
      <w:r w:rsidR="00D56345">
        <w:t>.  The</w:t>
      </w:r>
      <w:r w:rsidR="00710552">
        <w:t xml:space="preserve"> causes of poor outcomes </w:t>
      </w:r>
      <w:r w:rsidR="00D56345">
        <w:t xml:space="preserve">generally </w:t>
      </w:r>
      <w:r w:rsidR="00AD262C">
        <w:t xml:space="preserve">fall into </w:t>
      </w:r>
      <w:r w:rsidR="007F226D">
        <w:t xml:space="preserve">three </w:t>
      </w:r>
      <w:r w:rsidR="00AD262C">
        <w:t>broad classes:</w:t>
      </w:r>
    </w:p>
    <w:p w14:paraId="5EAF7D0B" w14:textId="736F9C43" w:rsidR="00CE51DB" w:rsidRDefault="00CE51DB" w:rsidP="00CE51DB">
      <w:pPr>
        <w:pStyle w:val="ListParagraph"/>
        <w:numPr>
          <w:ilvl w:val="0"/>
          <w:numId w:val="20"/>
        </w:numPr>
      </w:pPr>
      <w:r>
        <w:t>personal factors</w:t>
      </w:r>
    </w:p>
    <w:p w14:paraId="7D6762A0" w14:textId="578D3177" w:rsidR="00AD262C" w:rsidRDefault="00AD262C" w:rsidP="00AD262C">
      <w:pPr>
        <w:pStyle w:val="ListParagraph"/>
        <w:numPr>
          <w:ilvl w:val="0"/>
          <w:numId w:val="20"/>
        </w:numPr>
      </w:pPr>
      <w:r>
        <w:t xml:space="preserve">admission of students who are inadequately prepared to undertake </w:t>
      </w:r>
      <w:r w:rsidR="00E358BE">
        <w:t xml:space="preserve">their course of study </w:t>
      </w:r>
    </w:p>
    <w:p w14:paraId="09EE8286" w14:textId="07ADE163" w:rsidR="00AD262C" w:rsidRDefault="007F226D">
      <w:pPr>
        <w:pStyle w:val="ListParagraph"/>
        <w:numPr>
          <w:ilvl w:val="0"/>
          <w:numId w:val="20"/>
        </w:numPr>
      </w:pPr>
      <w:proofErr w:type="gramStart"/>
      <w:r>
        <w:t>deficiencies</w:t>
      </w:r>
      <w:proofErr w:type="gramEnd"/>
      <w:r>
        <w:t xml:space="preserve"> in the learning environment </w:t>
      </w:r>
      <w:r w:rsidR="001200A8">
        <w:t>such as inadequate teaching or insufficient access to</w:t>
      </w:r>
      <w:r w:rsidR="00CE3886">
        <w:t>,</w:t>
      </w:r>
      <w:r w:rsidR="001200A8">
        <w:t xml:space="preserve"> or uptake of</w:t>
      </w:r>
      <w:r w:rsidR="00CE3886">
        <w:t>,</w:t>
      </w:r>
      <w:r w:rsidR="001200A8">
        <w:t xml:space="preserve"> student support</w:t>
      </w:r>
      <w:r w:rsidR="00CE3886">
        <w:t xml:space="preserve"> services</w:t>
      </w:r>
      <w:r>
        <w:t>.</w:t>
      </w:r>
    </w:p>
    <w:p w14:paraId="4211C79D" w14:textId="0A17BD73" w:rsidR="00E358BE" w:rsidRDefault="00E358BE" w:rsidP="00E358BE">
      <w:r>
        <w:t xml:space="preserve">TEQSA has identified a number of shortcomings </w:t>
      </w:r>
      <w:r w:rsidR="00710552">
        <w:t xml:space="preserve">among providers </w:t>
      </w:r>
      <w:r>
        <w:t>in relation to understanding student performance</w:t>
      </w:r>
      <w:r w:rsidR="008B22A2">
        <w:t>,</w:t>
      </w:r>
      <w:r>
        <w:t xml:space="preserve"> including:</w:t>
      </w:r>
    </w:p>
    <w:p w14:paraId="634E730E" w14:textId="4D8C41FF" w:rsidR="00E358BE" w:rsidRDefault="00E358BE" w:rsidP="001B6F3D">
      <w:pPr>
        <w:pStyle w:val="ListParagraph"/>
        <w:numPr>
          <w:ilvl w:val="0"/>
          <w:numId w:val="32"/>
        </w:numPr>
      </w:pPr>
      <w:r>
        <w:t xml:space="preserve">paying insufficient attention to, or ignoring, available data to </w:t>
      </w:r>
      <w:r w:rsidR="00B045BA">
        <w:t>detect</w:t>
      </w:r>
      <w:r>
        <w:t xml:space="preserve"> particular risks</w:t>
      </w:r>
      <w:r w:rsidR="005F6C9D">
        <w:t xml:space="preserve"> (e.g. not responding to obvious data that demonstrate poorer performance by a particular </w:t>
      </w:r>
      <w:r w:rsidR="00DF2C11">
        <w:t>group of students</w:t>
      </w:r>
      <w:r w:rsidR="00710552">
        <w:t xml:space="preserve">, which </w:t>
      </w:r>
      <w:r w:rsidR="005F6C9D">
        <w:t>was not predicted by the provider)</w:t>
      </w:r>
    </w:p>
    <w:p w14:paraId="4A4DFBAB" w14:textId="1BDB8B4A" w:rsidR="00E358BE" w:rsidRDefault="00E358BE" w:rsidP="001B6F3D">
      <w:pPr>
        <w:pStyle w:val="ListParagraph"/>
        <w:numPr>
          <w:ilvl w:val="0"/>
          <w:numId w:val="32"/>
        </w:numPr>
      </w:pPr>
      <w:r>
        <w:t xml:space="preserve">failure to establish an evidence base to </w:t>
      </w:r>
      <w:r w:rsidR="005F6C9D">
        <w:t xml:space="preserve">fully understand and </w:t>
      </w:r>
      <w:r>
        <w:t xml:space="preserve">validate a provider’s </w:t>
      </w:r>
      <w:r w:rsidR="00B045BA">
        <w:t xml:space="preserve">policies and </w:t>
      </w:r>
      <w:r>
        <w:t xml:space="preserve">approaches (e.g. admission practices, detection of students at risk, </w:t>
      </w:r>
      <w:r w:rsidR="00B045BA">
        <w:t xml:space="preserve">provision of targeted </w:t>
      </w:r>
      <w:r>
        <w:t>learning support</w:t>
      </w:r>
      <w:r w:rsidR="00710552">
        <w:t xml:space="preserve">, </w:t>
      </w:r>
      <w:r w:rsidR="008D5A01">
        <w:t xml:space="preserve">related </w:t>
      </w:r>
      <w:r w:rsidR="00710552">
        <w:t>institutional policies</w:t>
      </w:r>
      <w:r>
        <w:t xml:space="preserve">) </w:t>
      </w:r>
    </w:p>
    <w:p w14:paraId="36708179" w14:textId="21C9617F" w:rsidR="00E358BE" w:rsidRDefault="00E358BE" w:rsidP="001B6F3D">
      <w:pPr>
        <w:pStyle w:val="ListParagraph"/>
        <w:numPr>
          <w:ilvl w:val="0"/>
          <w:numId w:val="32"/>
        </w:numPr>
      </w:pPr>
      <w:r>
        <w:t>not undertaking sufficient in-depth analyses of cohort performance to identify underlying causes of poor performance</w:t>
      </w:r>
    </w:p>
    <w:p w14:paraId="2486EADB" w14:textId="5984A518" w:rsidR="00E51A76" w:rsidRDefault="00E51A76" w:rsidP="001B6F3D">
      <w:pPr>
        <w:pStyle w:val="ListParagraph"/>
        <w:numPr>
          <w:ilvl w:val="0"/>
          <w:numId w:val="32"/>
        </w:numPr>
      </w:pPr>
      <w:r>
        <w:t xml:space="preserve">failing to track cohorts over time (e.g. systematically tracking and monitoring student performance data based on </w:t>
      </w:r>
      <w:r w:rsidR="005C197D">
        <w:t xml:space="preserve">identified risks such </w:t>
      </w:r>
      <w:r>
        <w:t>English language proficiency or o</w:t>
      </w:r>
      <w:r w:rsidR="005C197D">
        <w:t>n the basis of recruitment and admission</w:t>
      </w:r>
      <w:r>
        <w:t>)</w:t>
      </w:r>
    </w:p>
    <w:p w14:paraId="469D48E8" w14:textId="339E3A1F" w:rsidR="005F6C9D" w:rsidRDefault="00E358BE" w:rsidP="001B6F3D">
      <w:pPr>
        <w:pStyle w:val="ListParagraph"/>
        <w:numPr>
          <w:ilvl w:val="0"/>
          <w:numId w:val="32"/>
        </w:numPr>
      </w:pPr>
      <w:r>
        <w:t>undertaking analyses</w:t>
      </w:r>
      <w:r w:rsidR="00710552">
        <w:t xml:space="preserve"> of performance</w:t>
      </w:r>
      <w:r w:rsidR="005F6C9D">
        <w:t>,</w:t>
      </w:r>
      <w:r>
        <w:t xml:space="preserve"> but not </w:t>
      </w:r>
      <w:r w:rsidR="005F6C9D">
        <w:t>acting on the findings to bring about improvements, particularly through institutional academic governance and quality assurance processes</w:t>
      </w:r>
    </w:p>
    <w:p w14:paraId="3956EBD3" w14:textId="340C59A5" w:rsidR="00DE2E3D" w:rsidRDefault="005F6C9D" w:rsidP="001B6F3D">
      <w:pPr>
        <w:pStyle w:val="ListParagraph"/>
        <w:numPr>
          <w:ilvl w:val="0"/>
          <w:numId w:val="32"/>
        </w:numPr>
      </w:pPr>
      <w:r>
        <w:t xml:space="preserve">deficiencies in academic and corporate governance </w:t>
      </w:r>
      <w:r w:rsidR="00710552">
        <w:t xml:space="preserve">e.g. </w:t>
      </w:r>
      <w:r w:rsidR="00576585">
        <w:t xml:space="preserve">governing bodies </w:t>
      </w:r>
      <w:r>
        <w:t>not seeking sufficient information to understand risks to student performance</w:t>
      </w:r>
      <w:r w:rsidR="00710552">
        <w:t>,</w:t>
      </w:r>
      <w:r>
        <w:t xml:space="preserve"> to be satisfied about </w:t>
      </w:r>
      <w:r w:rsidR="008E2A74">
        <w:t xml:space="preserve">educational </w:t>
      </w:r>
      <w:r>
        <w:t>risk management and</w:t>
      </w:r>
      <w:r w:rsidR="00710552">
        <w:t xml:space="preserve"> to oversee </w:t>
      </w:r>
      <w:r>
        <w:t xml:space="preserve">corrective and preventive actions </w:t>
      </w:r>
      <w:r w:rsidR="00710552">
        <w:t>that are</w:t>
      </w:r>
      <w:r w:rsidR="009C6508">
        <w:t>,</w:t>
      </w:r>
      <w:r w:rsidR="005C197D">
        <w:t xml:space="preserve"> or should be, implemented</w:t>
      </w:r>
    </w:p>
    <w:p w14:paraId="0796A3AB" w14:textId="6526DDBC" w:rsidR="00E358BE" w:rsidRDefault="00DE2E3D" w:rsidP="001B6F3D">
      <w:pPr>
        <w:pStyle w:val="ListParagraph"/>
        <w:numPr>
          <w:ilvl w:val="0"/>
          <w:numId w:val="32"/>
        </w:numPr>
      </w:pPr>
      <w:proofErr w:type="gramStart"/>
      <w:r>
        <w:t>unclear</w:t>
      </w:r>
      <w:proofErr w:type="gramEnd"/>
      <w:r>
        <w:t xml:space="preserve"> or insufficiently accountable delegations of authority for </w:t>
      </w:r>
      <w:r w:rsidR="00DF2C11">
        <w:t>performance</w:t>
      </w:r>
      <w:r>
        <w:t xml:space="preserve"> analyses and tracking</w:t>
      </w:r>
      <w:r w:rsidR="00EF7CB4">
        <w:t>,</w:t>
      </w:r>
      <w:r>
        <w:t xml:space="preserve"> and/or failure to monitor the effectiveness of </w:t>
      </w:r>
      <w:r w:rsidR="00B045BA">
        <w:t>such</w:t>
      </w:r>
      <w:r>
        <w:t xml:space="preserve"> delegations</w:t>
      </w:r>
      <w:r w:rsidR="00B045BA">
        <w:t xml:space="preserve"> in detecting and addressing issue</w:t>
      </w:r>
      <w:r w:rsidR="00710552">
        <w:t>s of concern</w:t>
      </w:r>
      <w:r w:rsidR="005F6C9D">
        <w:t xml:space="preserve">. </w:t>
      </w:r>
    </w:p>
    <w:p w14:paraId="0FB40C43" w14:textId="277DD675" w:rsidR="00E51A76" w:rsidRDefault="00E51A76" w:rsidP="00E51A76">
      <w:r>
        <w:t xml:space="preserve">Particular issues of concern include inadequate analyses and </w:t>
      </w:r>
      <w:r w:rsidR="00B5550A">
        <w:t xml:space="preserve">tracking to </w:t>
      </w:r>
      <w:r>
        <w:t xml:space="preserve">understand </w:t>
      </w:r>
      <w:r w:rsidR="00B5550A">
        <w:t xml:space="preserve">and </w:t>
      </w:r>
      <w:r>
        <w:t>address:</w:t>
      </w:r>
    </w:p>
    <w:p w14:paraId="622EFED9" w14:textId="3D2FA855" w:rsidR="00E51A76" w:rsidRDefault="00E51A76" w:rsidP="001B6F3D">
      <w:pPr>
        <w:pStyle w:val="ListParagraph"/>
        <w:numPr>
          <w:ilvl w:val="0"/>
          <w:numId w:val="33"/>
        </w:numPr>
      </w:pPr>
      <w:r>
        <w:t xml:space="preserve">insufficient English proficiency </w:t>
      </w:r>
      <w:r w:rsidR="00B5550A">
        <w:t xml:space="preserve">that is traceable to </w:t>
      </w:r>
      <w:r>
        <w:t xml:space="preserve">different types of admission (e.g. alternative language testing </w:t>
      </w:r>
      <w:r w:rsidRPr="00DF2C11">
        <w:rPr>
          <w:i/>
        </w:rPr>
        <w:t>vs</w:t>
      </w:r>
      <w:r>
        <w:t xml:space="preserve"> standardised testing such as IELTS, </w:t>
      </w:r>
      <w:r w:rsidR="006F546A">
        <w:t>criteria not based on testing such as language of previous instruction</w:t>
      </w:r>
      <w:r>
        <w:t xml:space="preserve">, </w:t>
      </w:r>
      <w:r w:rsidR="006F546A">
        <w:t xml:space="preserve">exemptions from the normal criteria, </w:t>
      </w:r>
      <w:r>
        <w:t>the effectiveness or otherwise of different agents</w:t>
      </w:r>
      <w:r w:rsidR="00B5550A">
        <w:t>, on-shore and off-shore cohorts</w:t>
      </w:r>
      <w:r>
        <w:t>)</w:t>
      </w:r>
    </w:p>
    <w:p w14:paraId="14D4FF6F" w14:textId="77777777" w:rsidR="00B5550A" w:rsidRDefault="00B5550A" w:rsidP="001B6F3D">
      <w:pPr>
        <w:pStyle w:val="ListParagraph"/>
        <w:numPr>
          <w:ilvl w:val="0"/>
          <w:numId w:val="33"/>
        </w:numPr>
      </w:pPr>
      <w:r>
        <w:lastRenderedPageBreak/>
        <w:t>whether or not a provider’s admission policies or other policies are effective in achieving their intended policy outcomes (e.g. whether the additional support provided to cohorts with known risk on admission are indeed effective and whether the particular approach to admission is tenable in the light of performance data)</w:t>
      </w:r>
    </w:p>
    <w:p w14:paraId="22269E2E" w14:textId="6D3F1FC5" w:rsidR="00634F32" w:rsidRDefault="00B5550A" w:rsidP="001B6F3D">
      <w:pPr>
        <w:pStyle w:val="ListParagraph"/>
        <w:numPr>
          <w:ilvl w:val="0"/>
          <w:numId w:val="33"/>
        </w:numPr>
      </w:pPr>
      <w:r>
        <w:t xml:space="preserve">whether or not all </w:t>
      </w:r>
      <w:r w:rsidR="00256199">
        <w:t>students</w:t>
      </w:r>
      <w:r>
        <w:t xml:space="preserve"> have equivalent chances of success irrespective of their background, mode of entry and mode of </w:t>
      </w:r>
      <w:r w:rsidR="00634F32">
        <w:t>p</w:t>
      </w:r>
      <w:r>
        <w:t>articipation</w:t>
      </w:r>
    </w:p>
    <w:p w14:paraId="42B34E8A" w14:textId="404DE3BB" w:rsidR="00B045BA" w:rsidRDefault="00634F32" w:rsidP="001B6F3D">
      <w:pPr>
        <w:pStyle w:val="ListParagraph"/>
        <w:numPr>
          <w:ilvl w:val="0"/>
          <w:numId w:val="33"/>
        </w:numPr>
      </w:pPr>
      <w:r>
        <w:t xml:space="preserve">whether or not </w:t>
      </w:r>
      <w:r w:rsidR="00256199">
        <w:t xml:space="preserve">groups of students </w:t>
      </w:r>
      <w:r>
        <w:t>were sufficiently informed, or not misinformed, about the requirements of their chose course of study</w:t>
      </w:r>
    </w:p>
    <w:p w14:paraId="7821FDAD" w14:textId="632744B1" w:rsidR="00E51A76" w:rsidRDefault="00B045BA" w:rsidP="001B6F3D">
      <w:pPr>
        <w:pStyle w:val="ListParagraph"/>
        <w:numPr>
          <w:ilvl w:val="0"/>
          <w:numId w:val="33"/>
        </w:numPr>
      </w:pPr>
      <w:proofErr w:type="gramStart"/>
      <w:r>
        <w:t>whether</w:t>
      </w:r>
      <w:proofErr w:type="gramEnd"/>
      <w:r>
        <w:t xml:space="preserve"> or not particular </w:t>
      </w:r>
      <w:r w:rsidR="00256199">
        <w:t>types of students</w:t>
      </w:r>
      <w:r>
        <w:t xml:space="preserve"> are prone to particular concerns e.g. breaches of academic integrity</w:t>
      </w:r>
      <w:r w:rsidR="00634F32">
        <w:t xml:space="preserve">. </w:t>
      </w:r>
      <w:r w:rsidR="00B5550A">
        <w:t xml:space="preserve"> </w:t>
      </w:r>
    </w:p>
    <w:p w14:paraId="7A019960" w14:textId="2E7D888F" w:rsidR="002C533B" w:rsidRDefault="002C533B" w:rsidP="002C533B">
      <w:pPr>
        <w:pStyle w:val="Heading2"/>
      </w:pPr>
      <w:r>
        <w:t>What TEQSA will look for</w:t>
      </w:r>
      <w:r w:rsidR="002F75EE">
        <w:t>?</w:t>
      </w:r>
    </w:p>
    <w:p w14:paraId="2A65E400" w14:textId="3BAE5AC0"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 xml:space="preserve">This part of the guidance note covers the full extent of the Standards, and corresponding evidence that TEQSA may require, in relation to </w:t>
      </w:r>
      <w:r w:rsidR="008B22A2">
        <w:t xml:space="preserve">the </w:t>
      </w:r>
      <w:r w:rsidR="002E601F">
        <w:t>analysis and understanding of student performance</w:t>
      </w:r>
      <w:r>
        <w:t>.</w:t>
      </w:r>
    </w:p>
    <w:p w14:paraId="21E88BAD" w14:textId="77777777"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14:paraId="71431DBF" w14:textId="77777777"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14:paraId="36D9278A" w14:textId="77777777"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TEQSA’s case managers will discuss with providers the scope of assessments and evidence required well ahead of the due date for submitting an application.</w:t>
      </w:r>
    </w:p>
    <w:p w14:paraId="43CEBC6A" w14:textId="77777777" w:rsidR="006C1E6A"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The evidence required for particular types of application is available from the Application Guides on the TEQSA website.</w:t>
      </w:r>
    </w:p>
    <w:p w14:paraId="6D1EFBD5" w14:textId="77777777" w:rsidR="009B69F0" w:rsidRDefault="009B69F0" w:rsidP="00496C18">
      <w:pPr>
        <w:pBdr>
          <w:top w:val="single" w:sz="4" w:space="1" w:color="auto"/>
          <w:left w:val="single" w:sz="4" w:space="4" w:color="auto"/>
          <w:bottom w:val="single" w:sz="4" w:space="1" w:color="auto"/>
          <w:right w:val="single" w:sz="4" w:space="4" w:color="auto"/>
        </w:pBdr>
        <w:shd w:val="clear" w:color="auto" w:fill="A2DADD" w:themeFill="accent5"/>
      </w:pPr>
      <w:r w:rsidRPr="009B69F0">
        <w:t xml:space="preserve">Providers are required to comply with </w:t>
      </w:r>
      <w:r w:rsidR="00D30ACE">
        <w:t>the Standards</w:t>
      </w:r>
      <w:r w:rsidRPr="009B69F0">
        <w:t xml:space="preserve"> at all times, not just at the time of application, and TEQSA may seek evidence of compliance at other times if a risk of non-compliance is identified.</w:t>
      </w:r>
    </w:p>
    <w:p w14:paraId="674B444C" w14:textId="77777777" w:rsidR="00207894" w:rsidRDefault="00207894" w:rsidP="00C92AB4"/>
    <w:p w14:paraId="64CF535F" w14:textId="787DF07B" w:rsidR="00166F62" w:rsidRDefault="00C92AB4" w:rsidP="00FD36EC">
      <w:r>
        <w:t xml:space="preserve">TEQSA </w:t>
      </w:r>
      <w:r w:rsidR="00356C04">
        <w:t>expect</w:t>
      </w:r>
      <w:r w:rsidR="00685FC7">
        <w:t>s</w:t>
      </w:r>
      <w:r w:rsidR="00356C04">
        <w:t xml:space="preserve"> a provider to be able to demonstrate an effective</w:t>
      </w:r>
      <w:r w:rsidR="00277B4A">
        <w:t xml:space="preserve"> system to track and analyse the performance of </w:t>
      </w:r>
      <w:r w:rsidR="000069BE">
        <w:t xml:space="preserve">identified </w:t>
      </w:r>
      <w:r w:rsidR="00277B4A">
        <w:t>student cohorts</w:t>
      </w:r>
      <w:r w:rsidR="000069BE">
        <w:t xml:space="preserve"> </w:t>
      </w:r>
      <w:r w:rsidR="008824DA">
        <w:t xml:space="preserve">and </w:t>
      </w:r>
      <w:r w:rsidR="000069BE">
        <w:t xml:space="preserve">that </w:t>
      </w:r>
      <w:r w:rsidR="008824DA">
        <w:t xml:space="preserve">this </w:t>
      </w:r>
      <w:r w:rsidR="000069BE">
        <w:t>provides an evidence base</w:t>
      </w:r>
      <w:r w:rsidR="005C197D">
        <w:t xml:space="preserve"> sufficient to diagnose, </w:t>
      </w:r>
      <w:r w:rsidR="000069BE">
        <w:t xml:space="preserve">address </w:t>
      </w:r>
      <w:r w:rsidR="005C197D">
        <w:t xml:space="preserve">and prevent </w:t>
      </w:r>
      <w:r w:rsidR="000069BE">
        <w:t>issues with particular cohorts.  The scope of such a system must encompass the relevant sections of the HES Framework (see above) and involve all relevant levels of the organisation</w:t>
      </w:r>
      <w:r w:rsidR="00256199">
        <w:t>,</w:t>
      </w:r>
      <w:r w:rsidR="003E745A">
        <w:t xml:space="preserve"> as required by the HES Framework</w:t>
      </w:r>
      <w:r w:rsidR="000069BE">
        <w:t>.</w:t>
      </w:r>
    </w:p>
    <w:p w14:paraId="22CED02E" w14:textId="0E5D0632" w:rsidR="00D360C0" w:rsidRDefault="00D360C0" w:rsidP="00FD36EC">
      <w:r>
        <w:t xml:space="preserve">An example would be a scenario in which international students in Information Technology had higher and increasing rates of attrition compared to domestic students, and compared to international students in Business. TEQSA would expect management to inquire into the possible causes of this, under the oversight of the governing bodies, and initiate improvements, which might take the form of changes to the </w:t>
      </w:r>
      <w:r w:rsidR="0048230B">
        <w:t xml:space="preserve">relevant </w:t>
      </w:r>
      <w:r>
        <w:t xml:space="preserve">admissions criteria, </w:t>
      </w:r>
      <w:r w:rsidR="0048230B">
        <w:t xml:space="preserve">agent management, delivery or </w:t>
      </w:r>
      <w:r>
        <w:t>assessment</w:t>
      </w:r>
      <w:r w:rsidR="0048230B">
        <w:t>.</w:t>
      </w:r>
      <w:r>
        <w:t xml:space="preserve"> </w:t>
      </w:r>
      <w:r w:rsidR="0048230B">
        <w:t>Any improvements would then be reported back to the governing bodies</w:t>
      </w:r>
      <w:r w:rsidR="002F75EE">
        <w:t xml:space="preserve"> to complete the improvement loop at governance level</w:t>
      </w:r>
      <w:r w:rsidR="0048230B">
        <w:t>.</w:t>
      </w:r>
    </w:p>
    <w:p w14:paraId="0AF656B0" w14:textId="12F140B9" w:rsidR="000069BE" w:rsidRDefault="0048230B" w:rsidP="00FD36EC">
      <w:r>
        <w:lastRenderedPageBreak/>
        <w:t>Overall</w:t>
      </w:r>
      <w:r w:rsidR="00C1331D">
        <w:t xml:space="preserve">, </w:t>
      </w:r>
      <w:r w:rsidR="000069BE">
        <w:t xml:space="preserve">TEQSA </w:t>
      </w:r>
      <w:r w:rsidR="00685FC7">
        <w:t>expects</w:t>
      </w:r>
      <w:r w:rsidR="000069BE">
        <w:t xml:space="preserve"> that a provider is able to demonstrate </w:t>
      </w:r>
      <w:r w:rsidR="009E5629">
        <w:t xml:space="preserve">that there is an established framework of regular review and response to </w:t>
      </w:r>
      <w:r w:rsidR="008824DA">
        <w:t>quantitative</w:t>
      </w:r>
      <w:r w:rsidR="00256199">
        <w:t xml:space="preserve"> analysis</w:t>
      </w:r>
      <w:r w:rsidR="008824DA">
        <w:rPr>
          <w:rStyle w:val="FootnoteReference"/>
        </w:rPr>
        <w:footnoteReference w:id="3"/>
      </w:r>
      <w:r w:rsidR="008824DA">
        <w:t xml:space="preserve"> and </w:t>
      </w:r>
      <w:r w:rsidR="00710552">
        <w:t xml:space="preserve">resultant </w:t>
      </w:r>
      <w:r w:rsidR="000069BE">
        <w:t>evidence to show</w:t>
      </w:r>
      <w:r w:rsidR="003E745A">
        <w:t xml:space="preserve"> that</w:t>
      </w:r>
      <w:r w:rsidR="000069BE">
        <w:t>:</w:t>
      </w:r>
    </w:p>
    <w:p w14:paraId="383E540F" w14:textId="51283ACB" w:rsidR="000069BE" w:rsidRDefault="000069BE" w:rsidP="000069BE">
      <w:pPr>
        <w:pStyle w:val="ListParagraph"/>
        <w:numPr>
          <w:ilvl w:val="0"/>
          <w:numId w:val="23"/>
        </w:numPr>
      </w:pPr>
      <w:r>
        <w:t>the provider knows that admitted student</w:t>
      </w:r>
      <w:r w:rsidR="006E38CB">
        <w:t>s</w:t>
      </w:r>
      <w:r>
        <w:t xml:space="preserve"> have no known impediments to the</w:t>
      </w:r>
      <w:r w:rsidR="00403C0C">
        <w:t>ir prospective progress (1.1.1)</w:t>
      </w:r>
    </w:p>
    <w:p w14:paraId="2AEF94F8" w14:textId="6943A78A" w:rsidR="00166F62" w:rsidRDefault="00166F62" w:rsidP="00166F62">
      <w:pPr>
        <w:pStyle w:val="ListParagraph"/>
        <w:numPr>
          <w:ilvl w:val="0"/>
          <w:numId w:val="23"/>
        </w:numPr>
      </w:pPr>
      <w:r>
        <w:t xml:space="preserve">admitted students have </w:t>
      </w:r>
      <w:r w:rsidR="005C197D">
        <w:t xml:space="preserve">sufficient </w:t>
      </w:r>
      <w:r>
        <w:t xml:space="preserve">academic preparation and proficiency in English to participate in their chosen course of study (1.1.1)  </w:t>
      </w:r>
    </w:p>
    <w:p w14:paraId="4629E379" w14:textId="40CFA274" w:rsidR="000069BE" w:rsidRDefault="000069BE" w:rsidP="000069BE">
      <w:pPr>
        <w:pStyle w:val="ListParagraph"/>
        <w:numPr>
          <w:ilvl w:val="0"/>
          <w:numId w:val="23"/>
        </w:numPr>
      </w:pPr>
      <w:r>
        <w:t xml:space="preserve">student cohorts have been identified meaningfully </w:t>
      </w:r>
      <w:r w:rsidR="00C1331D">
        <w:t xml:space="preserve">and </w:t>
      </w:r>
      <w:r w:rsidR="003E745A">
        <w:t xml:space="preserve">rationally </w:t>
      </w:r>
      <w:r w:rsidR="006F4599">
        <w:t xml:space="preserve">(evidence based) </w:t>
      </w:r>
      <w:r>
        <w:t xml:space="preserve">in the context of the provider’s mission and </w:t>
      </w:r>
      <w:r w:rsidR="006F4599">
        <w:t xml:space="preserve">that </w:t>
      </w:r>
      <w:r>
        <w:t xml:space="preserve">the needs </w:t>
      </w:r>
      <w:r w:rsidR="00C1331D">
        <w:t xml:space="preserve">and risks for those cohorts </w:t>
      </w:r>
      <w:r>
        <w:t xml:space="preserve">are understood </w:t>
      </w:r>
      <w:r w:rsidR="009C6508">
        <w:t xml:space="preserve">and anticipated </w:t>
      </w:r>
      <w:r>
        <w:t>(1.3.2a)</w:t>
      </w:r>
    </w:p>
    <w:p w14:paraId="23A26DFD" w14:textId="29323C5A" w:rsidR="003E745A" w:rsidRDefault="00C1331D" w:rsidP="000069BE">
      <w:pPr>
        <w:pStyle w:val="ListParagraph"/>
        <w:numPr>
          <w:ilvl w:val="0"/>
          <w:numId w:val="23"/>
        </w:numPr>
      </w:pPr>
      <w:r>
        <w:t xml:space="preserve">identified </w:t>
      </w:r>
      <w:r w:rsidR="003E745A">
        <w:t>student cohorts have equivalent opportunity for success, irrespective of their educational background, entry pathway and mode or place of study (1.3.6)</w:t>
      </w:r>
    </w:p>
    <w:p w14:paraId="65BF7C21" w14:textId="60488B0B" w:rsidR="00C1331D" w:rsidRDefault="00166F62" w:rsidP="000069BE">
      <w:pPr>
        <w:pStyle w:val="ListParagraph"/>
        <w:numPr>
          <w:ilvl w:val="0"/>
          <w:numId w:val="23"/>
        </w:numPr>
      </w:pPr>
      <w:r>
        <w:t>the</w:t>
      </w:r>
      <w:r w:rsidR="003E745A">
        <w:t xml:space="preserve">re </w:t>
      </w:r>
      <w:r w:rsidR="00256199">
        <w:t>is</w:t>
      </w:r>
      <w:r>
        <w:t xml:space="preserve"> </w:t>
      </w:r>
      <w:r w:rsidR="003E745A">
        <w:t xml:space="preserve">both an evidence-based </w:t>
      </w:r>
      <w:r>
        <w:t>rational</w:t>
      </w:r>
      <w:r w:rsidR="003E745A">
        <w:t>e</w:t>
      </w:r>
      <w:r>
        <w:t xml:space="preserve"> and </w:t>
      </w:r>
      <w:r w:rsidR="006F4599">
        <w:t xml:space="preserve">a framework of </w:t>
      </w:r>
      <w:r w:rsidR="003E745A">
        <w:t xml:space="preserve">delegated </w:t>
      </w:r>
      <w:r>
        <w:t xml:space="preserve">authority for </w:t>
      </w:r>
      <w:r w:rsidR="008824DA">
        <w:t xml:space="preserve">adopting or </w:t>
      </w:r>
      <w:r>
        <w:t>varying admission requirements for any cohort (</w:t>
      </w:r>
      <w:r w:rsidR="003E745A">
        <w:t>6.1.3b)</w:t>
      </w:r>
      <w:r w:rsidR="00C1331D">
        <w:t>, including the admission of students who have some identified educational disadvantage that is believed (with evidence) to be manageable with additional support</w:t>
      </w:r>
    </w:p>
    <w:p w14:paraId="5F00D4FC" w14:textId="2CDD3FF7" w:rsidR="00166F62" w:rsidRDefault="00C1331D" w:rsidP="000069BE">
      <w:pPr>
        <w:pStyle w:val="ListParagraph"/>
        <w:numPr>
          <w:ilvl w:val="0"/>
          <w:numId w:val="23"/>
        </w:numPr>
      </w:pPr>
      <w:r>
        <w:t xml:space="preserve">additional </w:t>
      </w:r>
      <w:r w:rsidR="005C197D">
        <w:t xml:space="preserve">targeted </w:t>
      </w:r>
      <w:r>
        <w:t xml:space="preserve">support is provided where needed and </w:t>
      </w:r>
      <w:r w:rsidR="006F4599">
        <w:t xml:space="preserve">there is evidence that it </w:t>
      </w:r>
      <w:r>
        <w:t xml:space="preserve">is effective (1.3) </w:t>
      </w:r>
      <w:r w:rsidR="003E745A">
        <w:t xml:space="preserve"> </w:t>
      </w:r>
    </w:p>
    <w:p w14:paraId="6D7ACE46" w14:textId="01E1E820" w:rsidR="003E745A" w:rsidRDefault="003E745A" w:rsidP="000069BE">
      <w:pPr>
        <w:pStyle w:val="ListParagraph"/>
        <w:numPr>
          <w:ilvl w:val="0"/>
          <w:numId w:val="23"/>
        </w:numPr>
      </w:pPr>
      <w:r>
        <w:t>granting of credit for prior learning does not disadvantage any cohort (1.3.2c)</w:t>
      </w:r>
    </w:p>
    <w:p w14:paraId="7529E3BD" w14:textId="4303202D" w:rsidR="00BB4B2F" w:rsidRDefault="00BB4B2F" w:rsidP="000069BE">
      <w:pPr>
        <w:pStyle w:val="ListParagraph"/>
        <w:numPr>
          <w:ilvl w:val="0"/>
          <w:numId w:val="23"/>
        </w:numPr>
      </w:pPr>
      <w:r>
        <w:t>student progression is monitored during transition and throughout their course of study</w:t>
      </w:r>
      <w:r w:rsidR="006F4599">
        <w:t xml:space="preserve"> </w:t>
      </w:r>
      <w:r>
        <w:t>(1.3.5) and the resulting data are used to guide provision of additional support</w:t>
      </w:r>
      <w:r w:rsidR="006F4599">
        <w:t xml:space="preserve"> where needed </w:t>
      </w:r>
      <w:r>
        <w:t>(1.3.2c)</w:t>
      </w:r>
      <w:r w:rsidR="006F4599">
        <w:t xml:space="preserve"> and</w:t>
      </w:r>
      <w:r>
        <w:t xml:space="preserve"> </w:t>
      </w:r>
      <w:r w:rsidR="009C6508">
        <w:t xml:space="preserve">to </w:t>
      </w:r>
      <w:r>
        <w:t xml:space="preserve">inform </w:t>
      </w:r>
      <w:r w:rsidR="006F4599">
        <w:t xml:space="preserve">institutional </w:t>
      </w:r>
      <w:r>
        <w:t>review and improvement (5.3.7)</w:t>
      </w:r>
      <w:r w:rsidR="009B6D1E">
        <w:t>, including improving the effectiveness of policies and procedures that are intended to enhance student achievement</w:t>
      </w:r>
      <w:r>
        <w:t xml:space="preserve">  </w:t>
      </w:r>
    </w:p>
    <w:p w14:paraId="5292B5DE" w14:textId="33D443FF" w:rsidR="00BB4B2F" w:rsidRDefault="00C1331D" w:rsidP="000069BE">
      <w:pPr>
        <w:pStyle w:val="ListParagraph"/>
        <w:numPr>
          <w:ilvl w:val="0"/>
          <w:numId w:val="23"/>
        </w:numPr>
      </w:pPr>
      <w:r>
        <w:t>data on student progression</w:t>
      </w:r>
      <w:r w:rsidR="00BB4B2F">
        <w:t xml:space="preserve"> are considered </w:t>
      </w:r>
      <w:r>
        <w:t xml:space="preserve">and acted on </w:t>
      </w:r>
      <w:r w:rsidR="00BB4B2F">
        <w:t>at the institutional level (</w:t>
      </w:r>
      <w:r>
        <w:t>6.1.3b, 6.2.1e, 6.2.1f, 6.3.2e – h)</w:t>
      </w:r>
    </w:p>
    <w:p w14:paraId="47528FEF" w14:textId="38D61E0C" w:rsidR="00BB4B2F" w:rsidRDefault="006F4599" w:rsidP="000F44B7">
      <w:pPr>
        <w:pStyle w:val="ListParagraph"/>
        <w:numPr>
          <w:ilvl w:val="0"/>
          <w:numId w:val="23"/>
        </w:numPr>
      </w:pPr>
      <w:r>
        <w:t xml:space="preserve">the provider’s </w:t>
      </w:r>
      <w:r w:rsidR="00C1331D">
        <w:t xml:space="preserve">data on </w:t>
      </w:r>
      <w:r w:rsidR="00BB4B2F">
        <w:t xml:space="preserve">student progress </w:t>
      </w:r>
      <w:r w:rsidR="00C1331D">
        <w:t xml:space="preserve">is </w:t>
      </w:r>
      <w:r w:rsidR="009C6508">
        <w:t xml:space="preserve">accurate and </w:t>
      </w:r>
      <w:r w:rsidR="00C1331D">
        <w:t>up-to-date</w:t>
      </w:r>
      <w:r w:rsidR="009C6508">
        <w:t xml:space="preserve"> (as is reasonably practicable)</w:t>
      </w:r>
      <w:r w:rsidR="00C1331D">
        <w:t xml:space="preserve"> (</w:t>
      </w:r>
      <w:r w:rsidR="000F44B7" w:rsidRPr="000F44B7">
        <w:t>7.3.3.a</w:t>
      </w:r>
      <w:r w:rsidR="008824DA">
        <w:t>)</w:t>
      </w:r>
    </w:p>
    <w:p w14:paraId="424BF546" w14:textId="7CB6DF08" w:rsidR="008824DA" w:rsidRDefault="008824DA" w:rsidP="000069BE">
      <w:pPr>
        <w:pStyle w:val="ListParagraph"/>
        <w:numPr>
          <w:ilvl w:val="0"/>
          <w:numId w:val="23"/>
        </w:numPr>
      </w:pPr>
      <w:r>
        <w:t xml:space="preserve">known difficulties with student progress do not reflect deficiencies in the provider’s representation of its offerings (whether directly or via agents) (7.1.1 – 7.1.5) or the information </w:t>
      </w:r>
      <w:r w:rsidR="006F4599">
        <w:t xml:space="preserve">that is </w:t>
      </w:r>
      <w:r>
        <w:t>provided to students (7.2.1 – 7.1.4)</w:t>
      </w:r>
    </w:p>
    <w:p w14:paraId="7AD86A6F" w14:textId="77777777" w:rsidR="006F4599" w:rsidRDefault="008824DA" w:rsidP="000069BE">
      <w:pPr>
        <w:pStyle w:val="ListParagraph"/>
        <w:numPr>
          <w:ilvl w:val="0"/>
          <w:numId w:val="23"/>
        </w:numPr>
      </w:pPr>
      <w:r>
        <w:t>the effectiveness of delegated authority for understanding and reporting on student progress is monitored at institutional level (</w:t>
      </w:r>
      <w:r w:rsidR="006E38CB">
        <w:t>6.1.3b, 6.3.1a-d)</w:t>
      </w:r>
    </w:p>
    <w:p w14:paraId="12077B3F" w14:textId="76528EAC" w:rsidR="009B6D1E" w:rsidRDefault="00774CFD" w:rsidP="000069BE">
      <w:pPr>
        <w:pStyle w:val="ListParagraph"/>
        <w:numPr>
          <w:ilvl w:val="0"/>
          <w:numId w:val="23"/>
        </w:numPr>
      </w:pPr>
      <w:r>
        <w:rPr>
          <w:noProof/>
          <w:lang w:eastAsia="en-AU"/>
        </w:rPr>
        <mc:AlternateContent>
          <mc:Choice Requires="wps">
            <w:drawing>
              <wp:anchor distT="45720" distB="45720" distL="114300" distR="114300" simplePos="0" relativeHeight="251663360" behindDoc="0" locked="0" layoutInCell="1" allowOverlap="1" wp14:anchorId="7040EE64" wp14:editId="3B8F1011">
                <wp:simplePos x="0" y="0"/>
                <wp:positionH relativeFrom="column">
                  <wp:posOffset>42545</wp:posOffset>
                </wp:positionH>
                <wp:positionV relativeFrom="paragraph">
                  <wp:posOffset>640080</wp:posOffset>
                </wp:positionV>
                <wp:extent cx="5962015" cy="8858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885825"/>
                        </a:xfrm>
                        <a:prstGeom prst="rect">
                          <a:avLst/>
                        </a:prstGeom>
                        <a:solidFill>
                          <a:srgbClr val="FFFFFF"/>
                        </a:solidFill>
                        <a:ln w="9525">
                          <a:solidFill>
                            <a:srgbClr val="000000"/>
                          </a:solidFill>
                          <a:miter lim="800000"/>
                          <a:headEnd/>
                          <a:tailEnd/>
                        </a:ln>
                      </wps:spPr>
                      <wps:txbx>
                        <w:txbxContent>
                          <w:p w14:paraId="272BB425" w14:textId="1EFC8532" w:rsidR="00774CFD" w:rsidRPr="00774CFD" w:rsidRDefault="00774CFD" w:rsidP="00774CFD">
                            <w:pPr>
                              <w:rPr>
                                <w:sz w:val="18"/>
                                <w:szCs w:val="18"/>
                              </w:rPr>
                            </w:pPr>
                            <w:r w:rsidRPr="00774CFD">
                              <w:rPr>
                                <w:sz w:val="18"/>
                                <w:szCs w:val="18"/>
                              </w:rPr>
                              <w:t>TEQSA recognises the diversity of educational delivery across the sector and acknowledges that its Guidance Notes may not encompass all of the circumstances seen in the sector. TEQSA also recognises that the requirements of the HES</w:t>
                            </w:r>
                            <w:r>
                              <w:rPr>
                                <w:sz w:val="18"/>
                                <w:szCs w:val="18"/>
                              </w:rPr>
                              <w:t xml:space="preserve"> </w:t>
                            </w:r>
                            <w:r w:rsidRPr="00774CFD">
                              <w:rPr>
                                <w:sz w:val="18"/>
                                <w:szCs w:val="18"/>
                              </w:rPr>
                              <w:t>F</w:t>
                            </w:r>
                            <w:r>
                              <w:rPr>
                                <w:sz w:val="18"/>
                                <w:szCs w:val="18"/>
                              </w:rPr>
                              <w:t>ramework</w:t>
                            </w:r>
                            <w:r w:rsidRPr="00774CFD">
                              <w:rPr>
                                <w:sz w:val="18"/>
                                <w:szCs w:val="18"/>
                              </w:rPr>
                              <w:t xml:space="preserve"> can be met in different ways according to the</w:t>
                            </w:r>
                            <w:r>
                              <w:rPr>
                                <w:sz w:val="18"/>
                                <w:szCs w:val="18"/>
                              </w:rPr>
                              <w:t xml:space="preserve"> circumstances of the provider. </w:t>
                            </w:r>
                            <w:r w:rsidRPr="00774CFD">
                              <w:rPr>
                                <w:sz w:val="18"/>
                                <w:szCs w:val="18"/>
                              </w:rPr>
                              <w:t xml:space="preserve">TEQSA will not prescribe how they are </w:t>
                            </w:r>
                            <w:r>
                              <w:rPr>
                                <w:sz w:val="18"/>
                                <w:szCs w:val="18"/>
                              </w:rPr>
                              <w:t xml:space="preserve">to be </w:t>
                            </w:r>
                            <w:r w:rsidRPr="00774CFD">
                              <w:rPr>
                                <w:sz w:val="18"/>
                                <w:szCs w:val="18"/>
                              </w:rPr>
                              <w:t xml:space="preserve">met. If in doubt, please consult your TEQSA case manager. </w:t>
                            </w:r>
                          </w:p>
                          <w:p w14:paraId="1FF17A90" w14:textId="017AF5BA" w:rsidR="00774CFD" w:rsidRDefault="00774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0EE64" id="_x0000_s1027" type="#_x0000_t202" style="position:absolute;left:0;text-align:left;margin-left:3.35pt;margin-top:50.4pt;width:469.45pt;height:6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">
                <v:textbox>
                  <w:txbxContent>
                    <w:p w14:paraId="272BB425" w14:textId="1EFC8532" w:rsidR="00774CFD" w:rsidRPr="00774CFD" w:rsidRDefault="00774CFD" w:rsidP="00774CFD">
                      <w:pPr>
                        <w:rPr>
                          <w:sz w:val="18"/>
                          <w:szCs w:val="18"/>
                        </w:rPr>
                      </w:pPr>
                      <w:r w:rsidRPr="00774CFD">
                        <w:rPr>
                          <w:sz w:val="18"/>
                          <w:szCs w:val="18"/>
                        </w:rPr>
                        <w:t>TEQSA recognises the diversity of educational delivery across the sector and acknowledges that its Guidance Notes may not encompass all of the circumstances seen in the sector. TEQSA also recognises that the requirements of the HES</w:t>
                      </w:r>
                      <w:r>
                        <w:rPr>
                          <w:sz w:val="18"/>
                          <w:szCs w:val="18"/>
                        </w:rPr>
                        <w:t xml:space="preserve"> </w:t>
                      </w:r>
                      <w:r w:rsidRPr="00774CFD">
                        <w:rPr>
                          <w:sz w:val="18"/>
                          <w:szCs w:val="18"/>
                        </w:rPr>
                        <w:t>F</w:t>
                      </w:r>
                      <w:r>
                        <w:rPr>
                          <w:sz w:val="18"/>
                          <w:szCs w:val="18"/>
                        </w:rPr>
                        <w:t>ramework</w:t>
                      </w:r>
                      <w:r w:rsidRPr="00774CFD">
                        <w:rPr>
                          <w:sz w:val="18"/>
                          <w:szCs w:val="18"/>
                        </w:rPr>
                        <w:t xml:space="preserve"> can be met in different ways according to the</w:t>
                      </w:r>
                      <w:r>
                        <w:rPr>
                          <w:sz w:val="18"/>
                          <w:szCs w:val="18"/>
                        </w:rPr>
                        <w:t xml:space="preserve"> circumstances of the provider. </w:t>
                      </w:r>
                      <w:r w:rsidRPr="00774CFD">
                        <w:rPr>
                          <w:sz w:val="18"/>
                          <w:szCs w:val="18"/>
                        </w:rPr>
                        <w:t xml:space="preserve">TEQSA will not prescribe how they are </w:t>
                      </w:r>
                      <w:r>
                        <w:rPr>
                          <w:sz w:val="18"/>
                          <w:szCs w:val="18"/>
                        </w:rPr>
                        <w:t xml:space="preserve">to be </w:t>
                      </w:r>
                      <w:r w:rsidRPr="00774CFD">
                        <w:rPr>
                          <w:sz w:val="18"/>
                          <w:szCs w:val="18"/>
                        </w:rPr>
                        <w:t xml:space="preserve">met. If in doubt, please consult your TEQSA case manager. </w:t>
                      </w:r>
                    </w:p>
                    <w:p w14:paraId="1FF17A90" w14:textId="017AF5BA" w:rsidR="00774CFD" w:rsidRDefault="00774CFD"/>
                  </w:txbxContent>
                </v:textbox>
                <w10:wrap type="square"/>
              </v:shape>
            </w:pict>
          </mc:Fallback>
        </mc:AlternateContent>
      </w:r>
      <w:proofErr w:type="gramStart"/>
      <w:r w:rsidR="006F4599">
        <w:t>agents</w:t>
      </w:r>
      <w:proofErr w:type="gramEnd"/>
      <w:r w:rsidR="006F4599">
        <w:t xml:space="preserve"> and third-part</w:t>
      </w:r>
      <w:r w:rsidR="00EF7CB4">
        <w:t>y</w:t>
      </w:r>
      <w:r w:rsidR="006F4599">
        <w:t xml:space="preserve"> arrangements </w:t>
      </w:r>
      <w:r w:rsidR="00EF7CB4">
        <w:t xml:space="preserve">operate </w:t>
      </w:r>
      <w:r w:rsidR="006F4599">
        <w:t xml:space="preserve">in the interests of all </w:t>
      </w:r>
      <w:r w:rsidR="00256199">
        <w:t>students</w:t>
      </w:r>
      <w:r w:rsidR="006F4599">
        <w:t xml:space="preserve"> involved </w:t>
      </w:r>
      <w:r w:rsidR="00EF7CB4">
        <w:t xml:space="preserve">with those parties </w:t>
      </w:r>
      <w:r w:rsidR="006F4599">
        <w:t>(5.4.1 – 5.4.2, 7.1.4)</w:t>
      </w:r>
      <w:r w:rsidR="00BD5663">
        <w:t>.</w:t>
      </w:r>
    </w:p>
    <w:p w14:paraId="5B044145" w14:textId="196BEA03" w:rsidR="00BD5663" w:rsidRDefault="00BD5663" w:rsidP="00BD5663"/>
    <w:p w14:paraId="553EF393" w14:textId="1A88BF99" w:rsidR="00774CFD" w:rsidRDefault="00774CFD" w:rsidP="00BD5663"/>
    <w:p w14:paraId="0B2B1153" w14:textId="556CB26C" w:rsidR="00774CFD" w:rsidRDefault="00774CFD" w:rsidP="00BD5663">
      <w:bookmarkStart w:id="0" w:name="_GoBack"/>
      <w:bookmarkEnd w:id="0"/>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2C533B" w14:paraId="54528B1A" w14:textId="77777777" w:rsidTr="006C1E6A">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EA2EAEF" w14:textId="47637B88" w:rsidR="002C533B" w:rsidRDefault="002B7789">
            <w:pPr>
              <w:pStyle w:val="Normal1"/>
              <w:spacing w:line="240" w:lineRule="auto"/>
              <w:rPr>
                <w:b/>
                <w:color w:val="E7E6E6" w:themeColor="background2"/>
                <w:sz w:val="20"/>
                <w:szCs w:val="20"/>
                <w:lang w:val="en-US"/>
              </w:rPr>
            </w:pPr>
            <w:r>
              <w:rPr>
                <w:b/>
                <w:color w:val="E7E6E6" w:themeColor="background2"/>
                <w:sz w:val="20"/>
                <w:szCs w:val="20"/>
                <w:lang w:val="en-US"/>
              </w:rPr>
              <w:lastRenderedPageBreak/>
              <w:t>V</w:t>
            </w:r>
            <w:r w:rsidR="002C533B">
              <w:rPr>
                <w:b/>
                <w:color w:val="E7E6E6" w:themeColor="background2"/>
                <w:sz w:val="20"/>
                <w:szCs w:val="20"/>
                <w:lang w:val="en-US"/>
              </w:rPr>
              <w:t>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3B1B8F71" w14:textId="691BEBCA" w:rsidR="002C533B" w:rsidRDefault="002C533B">
            <w:pPr>
              <w:pStyle w:val="Normal1"/>
              <w:spacing w:line="240" w:lineRule="auto"/>
              <w:rPr>
                <w:b/>
                <w:color w:val="E7E6E6" w:themeColor="background2"/>
                <w:sz w:val="20"/>
                <w:szCs w:val="20"/>
                <w:lang w:val="en-US"/>
              </w:rPr>
            </w:pPr>
            <w:r>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B5AC55F" w14:textId="4EF1EBF3" w:rsidR="002C533B" w:rsidRDefault="002C533B">
            <w:pPr>
              <w:pStyle w:val="Normal1"/>
              <w:spacing w:line="240" w:lineRule="auto"/>
              <w:rPr>
                <w:b/>
                <w:color w:val="E7E6E6" w:themeColor="background2"/>
                <w:sz w:val="20"/>
                <w:szCs w:val="20"/>
                <w:lang w:val="en-US"/>
              </w:rPr>
            </w:pPr>
            <w:r>
              <w:rPr>
                <w:b/>
                <w:color w:val="E7E6E6" w:themeColor="background2"/>
                <w:sz w:val="20"/>
                <w:szCs w:val="20"/>
                <w:lang w:val="en-US"/>
              </w:rPr>
              <w:t>Key changes</w:t>
            </w:r>
          </w:p>
        </w:tc>
      </w:tr>
      <w:tr w:rsidR="002C533B" w14:paraId="7E86FB0F" w14:textId="77777777" w:rsidTr="002C533B">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7DAF4A1F" w14:textId="77777777" w:rsidR="002C533B" w:rsidRDefault="00EE2A38">
            <w:pPr>
              <w:pStyle w:val="Normal1"/>
              <w:spacing w:line="240" w:lineRule="auto"/>
              <w:rPr>
                <w:sz w:val="20"/>
                <w:szCs w:val="20"/>
                <w:lang w:val="en-US"/>
              </w:rPr>
            </w:pPr>
            <w:r>
              <w:rPr>
                <w:sz w:val="20"/>
                <w:szCs w:val="20"/>
                <w:lang w:val="en-US"/>
              </w:rPr>
              <w:t>1</w:t>
            </w:r>
            <w:r w:rsidR="002C533B">
              <w:rPr>
                <w:sz w:val="20"/>
                <w:szCs w:val="20"/>
                <w:lang w:val="en-US"/>
              </w:rPr>
              <w:t>.0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48BB73C2" w14:textId="383EB336" w:rsidR="002C533B" w:rsidRDefault="008679A0" w:rsidP="008679A0">
            <w:pPr>
              <w:pStyle w:val="Normal1"/>
              <w:spacing w:line="240" w:lineRule="auto"/>
              <w:rPr>
                <w:sz w:val="20"/>
                <w:szCs w:val="20"/>
                <w:highlight w:val="yellow"/>
                <w:lang w:val="en-US"/>
              </w:rPr>
            </w:pPr>
            <w:r w:rsidRPr="00F246C9">
              <w:rPr>
                <w:sz w:val="20"/>
                <w:szCs w:val="20"/>
                <w:lang w:val="en-US"/>
              </w:rPr>
              <w:t>6 January 2020</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5A54B3EA" w14:textId="59287F9E" w:rsidR="002C533B" w:rsidRDefault="00EE2A38">
            <w:pPr>
              <w:pStyle w:val="Normal1"/>
              <w:spacing w:line="240" w:lineRule="auto"/>
              <w:rPr>
                <w:sz w:val="20"/>
                <w:szCs w:val="20"/>
                <w:lang w:val="en-US"/>
              </w:rPr>
            </w:pPr>
            <w:r>
              <w:rPr>
                <w:sz w:val="20"/>
                <w:szCs w:val="20"/>
                <w:lang w:val="en-US"/>
              </w:rPr>
              <w:t>M</w:t>
            </w:r>
            <w:r w:rsidR="002C533B">
              <w:rPr>
                <w:sz w:val="20"/>
                <w:szCs w:val="20"/>
                <w:lang w:val="en-US"/>
              </w:rPr>
              <w:t>ade available as beta version for consultation.</w:t>
            </w:r>
          </w:p>
        </w:tc>
      </w:tr>
    </w:tbl>
    <w:p w14:paraId="781185E0" w14:textId="1487D0D6" w:rsidR="006C328D" w:rsidRDefault="006C328D" w:rsidP="009C6508">
      <w:pPr>
        <w:tabs>
          <w:tab w:val="left" w:pos="6105"/>
        </w:tabs>
        <w:rPr>
          <w:rFonts w:cstheme="minorHAnsi"/>
        </w:rPr>
      </w:pPr>
    </w:p>
    <w:p w14:paraId="3DDD6ABF" w14:textId="2F8941BA" w:rsidR="003A4004" w:rsidRDefault="003A4004" w:rsidP="009C6508">
      <w:pPr>
        <w:tabs>
          <w:tab w:val="left" w:pos="6105"/>
        </w:tabs>
        <w:rPr>
          <w:rFonts w:cstheme="minorHAnsi"/>
        </w:rPr>
      </w:pPr>
    </w:p>
    <w:p w14:paraId="6E857622" w14:textId="346E4C9C" w:rsidR="003A4004" w:rsidRPr="009B6D1E" w:rsidRDefault="003A4004" w:rsidP="009C6508">
      <w:pPr>
        <w:tabs>
          <w:tab w:val="left" w:pos="6105"/>
        </w:tabs>
        <w:rPr>
          <w:rFonts w:cstheme="minorHAnsi"/>
        </w:rPr>
      </w:pPr>
    </w:p>
    <w:sectPr w:rsidR="003A4004" w:rsidRPr="009B6D1E" w:rsidSect="00FF2540">
      <w:headerReference w:type="default"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E218" w14:textId="77777777" w:rsidR="006E47E1" w:rsidRDefault="006E47E1" w:rsidP="006C328D">
      <w:pPr>
        <w:spacing w:before="0" w:after="0"/>
      </w:pPr>
      <w:r>
        <w:separator/>
      </w:r>
    </w:p>
  </w:endnote>
  <w:endnote w:type="continuationSeparator" w:id="0">
    <w:p w14:paraId="05388C91" w14:textId="77777777" w:rsidR="006E47E1" w:rsidRDefault="006E47E1"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339D9562" w14:textId="776EF1D1" w:rsidR="00FF2540" w:rsidRPr="00FF2540" w:rsidRDefault="00F817AB" w:rsidP="009B6D1E">
            <w:pPr>
              <w:pStyle w:val="Footer"/>
              <w:rPr>
                <w:color w:val="00847E" w:themeColor="accent1"/>
                <w:sz w:val="20"/>
                <w:szCs w:val="20"/>
              </w:rPr>
            </w:pPr>
            <w:r>
              <w:rPr>
                <w:color w:val="00847E" w:themeColor="accent1"/>
                <w:sz w:val="20"/>
                <w:szCs w:val="20"/>
              </w:rPr>
              <w:t>Beta v1</w:t>
            </w:r>
            <w:r w:rsidR="009B6D1E">
              <w:rPr>
                <w:color w:val="00847E" w:themeColor="accent1"/>
                <w:sz w:val="20"/>
                <w:szCs w:val="20"/>
              </w:rPr>
              <w:t xml:space="preserve">.0 </w:t>
            </w:r>
            <w:r w:rsidR="009B6D1E">
              <w:rPr>
                <w:color w:val="00847E" w:themeColor="accent1"/>
                <w:sz w:val="20"/>
                <w:szCs w:val="20"/>
              </w:rPr>
              <w:tab/>
            </w:r>
            <w:r w:rsidR="009B6D1E">
              <w:rPr>
                <w:color w:val="00847E" w:themeColor="accent1"/>
                <w:sz w:val="20"/>
                <w:szCs w:val="20"/>
              </w:rPr>
              <w:tab/>
            </w:r>
            <w:r w:rsidR="00FF2540" w:rsidRPr="00FF2540">
              <w:rPr>
                <w:color w:val="00847E" w:themeColor="accent1"/>
                <w:sz w:val="20"/>
                <w:szCs w:val="20"/>
              </w:rPr>
              <w:t xml:space="preserve">Page </w:t>
            </w:r>
            <w:r w:rsidR="00FF2540" w:rsidRPr="00FF2540">
              <w:rPr>
                <w:b/>
                <w:bCs/>
                <w:color w:val="00847E" w:themeColor="accent1"/>
                <w:sz w:val="20"/>
                <w:szCs w:val="20"/>
              </w:rPr>
              <w:fldChar w:fldCharType="begin"/>
            </w:r>
            <w:r w:rsidR="00FF2540" w:rsidRPr="00FF2540">
              <w:rPr>
                <w:b/>
                <w:bCs/>
                <w:color w:val="00847E" w:themeColor="accent1"/>
                <w:sz w:val="20"/>
                <w:szCs w:val="20"/>
              </w:rPr>
              <w:instrText xml:space="preserve"> PAGE </w:instrText>
            </w:r>
            <w:r w:rsidR="00FF2540" w:rsidRPr="00FF2540">
              <w:rPr>
                <w:b/>
                <w:bCs/>
                <w:color w:val="00847E" w:themeColor="accent1"/>
                <w:sz w:val="20"/>
                <w:szCs w:val="20"/>
              </w:rPr>
              <w:fldChar w:fldCharType="separate"/>
            </w:r>
            <w:r w:rsidR="009838E1">
              <w:rPr>
                <w:b/>
                <w:bCs/>
                <w:noProof/>
                <w:color w:val="00847E" w:themeColor="accent1"/>
                <w:sz w:val="20"/>
                <w:szCs w:val="20"/>
              </w:rPr>
              <w:t>9</w:t>
            </w:r>
            <w:r w:rsidR="00FF2540" w:rsidRPr="00FF2540">
              <w:rPr>
                <w:b/>
                <w:bCs/>
                <w:color w:val="00847E" w:themeColor="accent1"/>
                <w:sz w:val="20"/>
                <w:szCs w:val="20"/>
              </w:rPr>
              <w:fldChar w:fldCharType="end"/>
            </w:r>
            <w:r w:rsidR="00FF2540" w:rsidRPr="00FF2540">
              <w:rPr>
                <w:color w:val="00847E" w:themeColor="accent1"/>
                <w:sz w:val="20"/>
                <w:szCs w:val="20"/>
              </w:rPr>
              <w:t xml:space="preserve"> of </w:t>
            </w:r>
            <w:r w:rsidR="00FF2540" w:rsidRPr="00FF2540">
              <w:rPr>
                <w:b/>
                <w:bCs/>
                <w:color w:val="00847E" w:themeColor="accent1"/>
                <w:sz w:val="20"/>
                <w:szCs w:val="20"/>
              </w:rPr>
              <w:fldChar w:fldCharType="begin"/>
            </w:r>
            <w:r w:rsidR="00FF2540" w:rsidRPr="00FF2540">
              <w:rPr>
                <w:b/>
                <w:bCs/>
                <w:color w:val="00847E" w:themeColor="accent1"/>
                <w:sz w:val="20"/>
                <w:szCs w:val="20"/>
              </w:rPr>
              <w:instrText xml:space="preserve"> NUMPAGES  </w:instrText>
            </w:r>
            <w:r w:rsidR="00FF2540" w:rsidRPr="00FF2540">
              <w:rPr>
                <w:b/>
                <w:bCs/>
                <w:color w:val="00847E" w:themeColor="accent1"/>
                <w:sz w:val="20"/>
                <w:szCs w:val="20"/>
              </w:rPr>
              <w:fldChar w:fldCharType="separate"/>
            </w:r>
            <w:r w:rsidR="009838E1">
              <w:rPr>
                <w:b/>
                <w:bCs/>
                <w:noProof/>
                <w:color w:val="00847E" w:themeColor="accent1"/>
                <w:sz w:val="20"/>
                <w:szCs w:val="20"/>
              </w:rPr>
              <w:t>9</w:t>
            </w:r>
            <w:r w:rsidR="00FF2540" w:rsidRPr="00FF2540">
              <w:rPr>
                <w:b/>
                <w:bCs/>
                <w:color w:val="00847E" w:themeColor="accent1"/>
                <w:sz w:val="20"/>
                <w:szCs w:val="20"/>
              </w:rPr>
              <w:fldChar w:fldCharType="end"/>
            </w:r>
          </w:p>
        </w:sdtContent>
      </w:sdt>
    </w:sdtContent>
  </w:sdt>
  <w:p w14:paraId="3F78AE90"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84E5" w14:textId="77777777" w:rsidR="006E47E1" w:rsidRDefault="006E47E1" w:rsidP="006C328D">
      <w:pPr>
        <w:spacing w:before="0" w:after="0"/>
      </w:pPr>
      <w:r>
        <w:separator/>
      </w:r>
    </w:p>
  </w:footnote>
  <w:footnote w:type="continuationSeparator" w:id="0">
    <w:p w14:paraId="2A472A8E" w14:textId="77777777" w:rsidR="006E47E1" w:rsidRDefault="006E47E1" w:rsidP="006C328D">
      <w:pPr>
        <w:spacing w:before="0" w:after="0"/>
      </w:pPr>
      <w:r>
        <w:continuationSeparator/>
      </w:r>
    </w:p>
  </w:footnote>
  <w:footnote w:id="1">
    <w:p w14:paraId="018374BE" w14:textId="76FD6263" w:rsidR="003F1155" w:rsidRPr="003F1155" w:rsidRDefault="003F1155">
      <w:pPr>
        <w:pStyle w:val="FootnoteText"/>
        <w:rPr>
          <w:rStyle w:val="FootnoteReference"/>
        </w:rPr>
      </w:pPr>
      <w:r w:rsidRPr="003F1155">
        <w:rPr>
          <w:rStyle w:val="FootnoteReference"/>
          <w:sz w:val="18"/>
          <w:szCs w:val="18"/>
        </w:rPr>
        <w:footnoteRef/>
      </w:r>
      <w:r w:rsidRPr="003F1155">
        <w:rPr>
          <w:sz w:val="18"/>
          <w:szCs w:val="18"/>
        </w:rPr>
        <w:t xml:space="preserve"> </w:t>
      </w:r>
      <w:r w:rsidRPr="003F1155">
        <w:rPr>
          <w:sz w:val="18"/>
          <w:szCs w:val="18"/>
          <w:lang w:val="en-AU"/>
        </w:rPr>
        <w:t>The term ‘cohort’</w:t>
      </w:r>
      <w:r>
        <w:rPr>
          <w:sz w:val="18"/>
          <w:szCs w:val="18"/>
          <w:lang w:val="en-AU"/>
        </w:rPr>
        <w:t xml:space="preserve"> is used more broadly here than in the </w:t>
      </w:r>
      <w:r w:rsidR="006A6E0F">
        <w:rPr>
          <w:sz w:val="18"/>
          <w:szCs w:val="18"/>
          <w:lang w:val="en-AU"/>
        </w:rPr>
        <w:t xml:space="preserve">specific </w:t>
      </w:r>
      <w:r>
        <w:rPr>
          <w:sz w:val="18"/>
          <w:szCs w:val="18"/>
          <w:lang w:val="en-AU"/>
        </w:rPr>
        <w:t xml:space="preserve">technical sense </w:t>
      </w:r>
      <w:r w:rsidR="006A6E0F">
        <w:rPr>
          <w:sz w:val="18"/>
          <w:szCs w:val="18"/>
          <w:lang w:val="en-AU"/>
        </w:rPr>
        <w:t xml:space="preserve">some readers may be familiar with </w:t>
      </w:r>
      <w:r>
        <w:rPr>
          <w:sz w:val="18"/>
          <w:szCs w:val="18"/>
          <w:lang w:val="en-AU"/>
        </w:rPr>
        <w:t xml:space="preserve">in </w:t>
      </w:r>
      <w:r w:rsidR="006A6E0F">
        <w:rPr>
          <w:sz w:val="18"/>
          <w:szCs w:val="18"/>
          <w:lang w:val="en-AU"/>
        </w:rPr>
        <w:t xml:space="preserve">formal </w:t>
      </w:r>
      <w:r>
        <w:rPr>
          <w:sz w:val="18"/>
          <w:szCs w:val="18"/>
          <w:lang w:val="en-AU"/>
        </w:rPr>
        <w:t xml:space="preserve">statistical </w:t>
      </w:r>
      <w:r w:rsidR="006A6E0F">
        <w:rPr>
          <w:sz w:val="18"/>
          <w:szCs w:val="18"/>
          <w:lang w:val="en-AU"/>
        </w:rPr>
        <w:t xml:space="preserve">cohort </w:t>
      </w:r>
      <w:r>
        <w:rPr>
          <w:sz w:val="18"/>
          <w:szCs w:val="18"/>
          <w:lang w:val="en-AU"/>
        </w:rPr>
        <w:t>analyses</w:t>
      </w:r>
      <w:r w:rsidR="006A6E0F">
        <w:rPr>
          <w:sz w:val="18"/>
          <w:szCs w:val="18"/>
          <w:lang w:val="en-AU"/>
        </w:rPr>
        <w:t xml:space="preserve"> – tracking of performance over time)</w:t>
      </w:r>
      <w:r>
        <w:rPr>
          <w:sz w:val="18"/>
          <w:szCs w:val="18"/>
          <w:lang w:val="en-AU"/>
        </w:rPr>
        <w:t>.</w:t>
      </w:r>
      <w:r w:rsidRPr="003F1155">
        <w:rPr>
          <w:rStyle w:val="FootnoteReference"/>
        </w:rPr>
        <w:t xml:space="preserve"> </w:t>
      </w:r>
    </w:p>
  </w:footnote>
  <w:footnote w:id="2">
    <w:p w14:paraId="7AD0564E" w14:textId="5B92CB8A" w:rsidR="0077275F" w:rsidRPr="00E10510" w:rsidRDefault="0077275F">
      <w:pPr>
        <w:pStyle w:val="FootnoteText"/>
        <w:rPr>
          <w:sz w:val="18"/>
          <w:szCs w:val="18"/>
          <w:lang w:val="en-AU"/>
        </w:rPr>
      </w:pPr>
      <w:r w:rsidRPr="00E10510">
        <w:rPr>
          <w:rStyle w:val="FootnoteReference"/>
          <w:sz w:val="18"/>
          <w:szCs w:val="18"/>
        </w:rPr>
        <w:footnoteRef/>
      </w:r>
      <w:r w:rsidRPr="00E10510">
        <w:rPr>
          <w:sz w:val="18"/>
          <w:szCs w:val="18"/>
        </w:rPr>
        <w:t xml:space="preserve"> </w:t>
      </w:r>
      <w:r w:rsidRPr="00E10510">
        <w:rPr>
          <w:sz w:val="18"/>
          <w:szCs w:val="18"/>
          <w:lang w:val="en-AU"/>
        </w:rPr>
        <w:t>Encompassing but not limited to proficiency in English, educational preparedness, appropriate recognition of prior learning.</w:t>
      </w:r>
      <w:r w:rsidR="00E10510">
        <w:rPr>
          <w:sz w:val="18"/>
          <w:szCs w:val="18"/>
          <w:lang w:val="en-AU"/>
        </w:rPr>
        <w:t xml:space="preserve"> The intent of this standard is to ensure that providers actively consider the preparedness of particular </w:t>
      </w:r>
      <w:r w:rsidR="00B8378E">
        <w:rPr>
          <w:sz w:val="18"/>
          <w:szCs w:val="18"/>
          <w:lang w:val="en-AU"/>
        </w:rPr>
        <w:t>types</w:t>
      </w:r>
      <w:r w:rsidR="00E10510">
        <w:rPr>
          <w:sz w:val="18"/>
          <w:szCs w:val="18"/>
          <w:lang w:val="en-AU"/>
        </w:rPr>
        <w:t xml:space="preserve"> of students and predict any likely challenges a </w:t>
      </w:r>
      <w:r w:rsidR="00B8378E">
        <w:rPr>
          <w:sz w:val="18"/>
          <w:szCs w:val="18"/>
          <w:lang w:val="en-AU"/>
        </w:rPr>
        <w:t>group</w:t>
      </w:r>
      <w:r w:rsidR="00E10510">
        <w:rPr>
          <w:sz w:val="18"/>
          <w:szCs w:val="18"/>
          <w:lang w:val="en-AU"/>
        </w:rPr>
        <w:t xml:space="preserve"> may face, with a view to providing targeted support where warranted.</w:t>
      </w:r>
      <w:r w:rsidRPr="00E10510">
        <w:rPr>
          <w:sz w:val="18"/>
          <w:szCs w:val="18"/>
          <w:lang w:val="en-AU"/>
        </w:rPr>
        <w:t xml:space="preserve"> </w:t>
      </w:r>
    </w:p>
  </w:footnote>
  <w:footnote w:id="3">
    <w:p w14:paraId="77F652BF" w14:textId="096FBB49" w:rsidR="008824DA" w:rsidRPr="008824DA" w:rsidRDefault="008824DA">
      <w:pPr>
        <w:pStyle w:val="FootnoteText"/>
        <w:rPr>
          <w:lang w:val="en-AU"/>
        </w:rPr>
      </w:pPr>
      <w:r>
        <w:rPr>
          <w:rStyle w:val="FootnoteReference"/>
        </w:rPr>
        <w:footnoteRef/>
      </w:r>
      <w:r>
        <w:t xml:space="preserve"> </w:t>
      </w:r>
      <w:r>
        <w:rPr>
          <w:lang w:val="en-AU"/>
        </w:rPr>
        <w:t xml:space="preserve">Except in rare circumstances where </w:t>
      </w:r>
      <w:r w:rsidR="005C197D">
        <w:rPr>
          <w:lang w:val="en-AU"/>
        </w:rPr>
        <w:t xml:space="preserve">it is </w:t>
      </w:r>
      <w:r>
        <w:rPr>
          <w:lang w:val="en-AU"/>
        </w:rPr>
        <w:t xml:space="preserve">impractical to do so (such as an immature provider) or </w:t>
      </w:r>
      <w:r w:rsidR="005C197D">
        <w:rPr>
          <w:lang w:val="en-AU"/>
        </w:rPr>
        <w:t xml:space="preserve">when </w:t>
      </w:r>
      <w:r>
        <w:rPr>
          <w:lang w:val="en-AU"/>
        </w:rPr>
        <w:t>qualitative evidence may be more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5CC6" w14:textId="2B4BE9E3"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553912F5" wp14:editId="09993140">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55031B79" wp14:editId="7341C5C6">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36pt" o:bullet="t">
        <v:imagedata r:id="rId1" o:title="Teal-Triangles"/>
      </v:shape>
    </w:pict>
  </w:numPicBullet>
  <w:numPicBullet w:numPicBulletId="1">
    <w:pict>
      <v:shape id="_x0000_i1030" type="#_x0000_t75" style="width:1in;height:36pt" o:bullet="t">
        <v:imagedata r:id="rId2" o:title="Pink-Triangles"/>
      </v:shape>
    </w:pict>
  </w:numPicBullet>
  <w:numPicBullet w:numPicBulletId="2">
    <w:pict>
      <v:shape id="_x0000_i1031" type="#_x0000_t75" style="width:1in;height:36pt" o:bullet="t">
        <v:imagedata r:id="rId3" o:title="Yellow-Triangles"/>
      </v:shape>
    </w:pict>
  </w:numPicBullet>
  <w:abstractNum w:abstractNumId="0" w15:restartNumberingAfterBreak="0">
    <w:nsid w:val="048511A4"/>
    <w:multiLevelType w:val="hybridMultilevel"/>
    <w:tmpl w:val="D3D6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F260B"/>
    <w:multiLevelType w:val="hybridMultilevel"/>
    <w:tmpl w:val="6E4A796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B283484"/>
    <w:multiLevelType w:val="hybridMultilevel"/>
    <w:tmpl w:val="CC767CE4"/>
    <w:lvl w:ilvl="0" w:tplc="F95AB25E">
      <w:start w:val="1"/>
      <w:numFmt w:val="bullet"/>
      <w:lvlText w:val=""/>
      <w:lvlJc w:val="left"/>
      <w:pPr>
        <w:ind w:left="780" w:hanging="360"/>
      </w:pPr>
      <w:rPr>
        <w:rFonts w:ascii="Symbol" w:hAnsi="Symbol" w:hint="default"/>
        <w:color w:val="00A398"/>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E0B7DB9"/>
    <w:multiLevelType w:val="hybridMultilevel"/>
    <w:tmpl w:val="D134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A2FA1"/>
    <w:multiLevelType w:val="hybridMultilevel"/>
    <w:tmpl w:val="F11683CC"/>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FB4950"/>
    <w:multiLevelType w:val="hybridMultilevel"/>
    <w:tmpl w:val="75026D6E"/>
    <w:lvl w:ilvl="0" w:tplc="F95AB25E">
      <w:start w:val="1"/>
      <w:numFmt w:val="bullet"/>
      <w:lvlText w:val=""/>
      <w:lvlJc w:val="left"/>
      <w:pPr>
        <w:ind w:left="780" w:hanging="360"/>
      </w:pPr>
      <w:rPr>
        <w:rFonts w:ascii="Symbol" w:hAnsi="Symbol" w:hint="default"/>
        <w:color w:val="00A398"/>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00B2B7B"/>
    <w:multiLevelType w:val="hybridMultilevel"/>
    <w:tmpl w:val="8CB46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CA7E3F"/>
    <w:multiLevelType w:val="hybridMultilevel"/>
    <w:tmpl w:val="219CA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D65D85"/>
    <w:multiLevelType w:val="hybridMultilevel"/>
    <w:tmpl w:val="1C00A00C"/>
    <w:lvl w:ilvl="0" w:tplc="4BCEABDA">
      <w:start w:val="1"/>
      <w:numFmt w:val="bullet"/>
      <w:lvlText w:val=""/>
      <w:lvlJc w:val="left"/>
      <w:pPr>
        <w:ind w:left="780" w:hanging="360"/>
      </w:pPr>
      <w:rPr>
        <w:rFonts w:ascii="Symbol" w:hAnsi="Symbol" w:hint="default"/>
        <w:color w:val="00A398"/>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9" w15:restartNumberingAfterBreak="0">
    <w:nsid w:val="1F5B2C78"/>
    <w:multiLevelType w:val="hybridMultilevel"/>
    <w:tmpl w:val="7B781A52"/>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30530"/>
    <w:multiLevelType w:val="hybridMultilevel"/>
    <w:tmpl w:val="7E702026"/>
    <w:lvl w:ilvl="0" w:tplc="0C09000F">
      <w:start w:val="1"/>
      <w:numFmt w:val="decimal"/>
      <w:lvlText w:val="%1."/>
      <w:lvlJc w:val="left"/>
      <w:pPr>
        <w:ind w:left="968" w:hanging="360"/>
      </w:pPr>
      <w:rPr>
        <w:rFonts w:hint="default"/>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6" w15:restartNumberingAfterBreak="0">
    <w:nsid w:val="4AC94668"/>
    <w:multiLevelType w:val="hybridMultilevel"/>
    <w:tmpl w:val="AC40A3B6"/>
    <w:lvl w:ilvl="0" w:tplc="EE804BE2">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97941"/>
    <w:multiLevelType w:val="hybridMultilevel"/>
    <w:tmpl w:val="20E2D6C0"/>
    <w:lvl w:ilvl="0" w:tplc="F95AB25E">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9E28F0"/>
    <w:multiLevelType w:val="hybridMultilevel"/>
    <w:tmpl w:val="71C2A5DE"/>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E30F14"/>
    <w:multiLevelType w:val="hybridMultilevel"/>
    <w:tmpl w:val="7E702026"/>
    <w:lvl w:ilvl="0" w:tplc="0C09000F">
      <w:start w:val="1"/>
      <w:numFmt w:val="decimal"/>
      <w:lvlText w:val="%1."/>
      <w:lvlJc w:val="left"/>
      <w:pPr>
        <w:ind w:left="968" w:hanging="360"/>
      </w:pPr>
      <w:rPr>
        <w:rFonts w:hint="default"/>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24" w15:restartNumberingAfterBreak="0">
    <w:nsid w:val="6EC31086"/>
    <w:multiLevelType w:val="hybridMultilevel"/>
    <w:tmpl w:val="2BD033EA"/>
    <w:lvl w:ilvl="0" w:tplc="F95AB25E">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EA2E41"/>
    <w:multiLevelType w:val="hybridMultilevel"/>
    <w:tmpl w:val="5E8691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FF905A5"/>
    <w:multiLevelType w:val="hybridMultilevel"/>
    <w:tmpl w:val="5870255A"/>
    <w:lvl w:ilvl="0" w:tplc="F95AB25E">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222DCA"/>
    <w:multiLevelType w:val="hybridMultilevel"/>
    <w:tmpl w:val="BA6C6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7A4E43B9"/>
    <w:multiLevelType w:val="hybridMultilevel"/>
    <w:tmpl w:val="842E7202"/>
    <w:lvl w:ilvl="0" w:tplc="F95AB25E">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3109F9"/>
    <w:multiLevelType w:val="hybridMultilevel"/>
    <w:tmpl w:val="AA62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0136F5"/>
    <w:multiLevelType w:val="hybridMultilevel"/>
    <w:tmpl w:val="32681F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2"/>
  </w:num>
  <w:num w:numId="2">
    <w:abstractNumId w:val="28"/>
  </w:num>
  <w:num w:numId="3">
    <w:abstractNumId w:val="13"/>
  </w:num>
  <w:num w:numId="4">
    <w:abstractNumId w:val="22"/>
  </w:num>
  <w:num w:numId="5">
    <w:abstractNumId w:val="21"/>
  </w:num>
  <w:num w:numId="6">
    <w:abstractNumId w:val="19"/>
  </w:num>
  <w:num w:numId="7">
    <w:abstractNumId w:val="10"/>
  </w:num>
  <w:num w:numId="8">
    <w:abstractNumId w:val="11"/>
  </w:num>
  <w:num w:numId="9">
    <w:abstractNumId w:val="12"/>
  </w:num>
  <w:num w:numId="10">
    <w:abstractNumId w:val="20"/>
  </w:num>
  <w:num w:numId="11">
    <w:abstractNumId w:val="14"/>
  </w:num>
  <w:num w:numId="12">
    <w:abstractNumId w:val="9"/>
  </w:num>
  <w:num w:numId="13">
    <w:abstractNumId w:val="18"/>
  </w:num>
  <w:num w:numId="14">
    <w:abstractNumId w:val="4"/>
  </w:num>
  <w:num w:numId="15">
    <w:abstractNumId w:val="8"/>
  </w:num>
  <w:num w:numId="16">
    <w:abstractNumId w:val="15"/>
  </w:num>
  <w:num w:numId="17">
    <w:abstractNumId w:val="1"/>
  </w:num>
  <w:num w:numId="18">
    <w:abstractNumId w:val="3"/>
  </w:num>
  <w:num w:numId="19">
    <w:abstractNumId w:val="25"/>
  </w:num>
  <w:num w:numId="20">
    <w:abstractNumId w:val="27"/>
  </w:num>
  <w:num w:numId="21">
    <w:abstractNumId w:val="31"/>
  </w:num>
  <w:num w:numId="22">
    <w:abstractNumId w:val="0"/>
  </w:num>
  <w:num w:numId="23">
    <w:abstractNumId w:val="7"/>
  </w:num>
  <w:num w:numId="24">
    <w:abstractNumId w:val="16"/>
  </w:num>
  <w:num w:numId="25">
    <w:abstractNumId w:val="30"/>
  </w:num>
  <w:num w:numId="26">
    <w:abstractNumId w:val="6"/>
  </w:num>
  <w:num w:numId="27">
    <w:abstractNumId w:val="23"/>
  </w:num>
  <w:num w:numId="28">
    <w:abstractNumId w:val="26"/>
  </w:num>
  <w:num w:numId="29">
    <w:abstractNumId w:val="17"/>
  </w:num>
  <w:num w:numId="30">
    <w:abstractNumId w:val="24"/>
  </w:num>
  <w:num w:numId="31">
    <w:abstractNumId w:val="5"/>
  </w:num>
  <w:num w:numId="32">
    <w:abstractNumId w:val="2"/>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015BC"/>
    <w:rsid w:val="000021C3"/>
    <w:rsid w:val="00003220"/>
    <w:rsid w:val="0000567D"/>
    <w:rsid w:val="000069BE"/>
    <w:rsid w:val="00014998"/>
    <w:rsid w:val="00022E8C"/>
    <w:rsid w:val="00023D19"/>
    <w:rsid w:val="000277F0"/>
    <w:rsid w:val="00035DA5"/>
    <w:rsid w:val="00062809"/>
    <w:rsid w:val="00077B11"/>
    <w:rsid w:val="00082CAC"/>
    <w:rsid w:val="000964B0"/>
    <w:rsid w:val="000B3722"/>
    <w:rsid w:val="000C36E2"/>
    <w:rsid w:val="000C55AC"/>
    <w:rsid w:val="000C6B42"/>
    <w:rsid w:val="000D2091"/>
    <w:rsid w:val="000E6CD7"/>
    <w:rsid w:val="000F44B7"/>
    <w:rsid w:val="00103E84"/>
    <w:rsid w:val="001200A8"/>
    <w:rsid w:val="00126E5A"/>
    <w:rsid w:val="001501D3"/>
    <w:rsid w:val="00163D46"/>
    <w:rsid w:val="00166F62"/>
    <w:rsid w:val="00182D98"/>
    <w:rsid w:val="001842AD"/>
    <w:rsid w:val="00190724"/>
    <w:rsid w:val="001A240A"/>
    <w:rsid w:val="001A7A86"/>
    <w:rsid w:val="001B0CB1"/>
    <w:rsid w:val="001B5B30"/>
    <w:rsid w:val="001B6F3D"/>
    <w:rsid w:val="001C17F6"/>
    <w:rsid w:val="001D32E5"/>
    <w:rsid w:val="001F39F5"/>
    <w:rsid w:val="001F509A"/>
    <w:rsid w:val="00207894"/>
    <w:rsid w:val="00215AC6"/>
    <w:rsid w:val="002518BF"/>
    <w:rsid w:val="002532A3"/>
    <w:rsid w:val="00256199"/>
    <w:rsid w:val="00261298"/>
    <w:rsid w:val="00274B8C"/>
    <w:rsid w:val="00277B4A"/>
    <w:rsid w:val="002A2AEF"/>
    <w:rsid w:val="002B7789"/>
    <w:rsid w:val="002C533B"/>
    <w:rsid w:val="002D2114"/>
    <w:rsid w:val="002E601F"/>
    <w:rsid w:val="002E717C"/>
    <w:rsid w:val="002F75EE"/>
    <w:rsid w:val="0030364C"/>
    <w:rsid w:val="00307115"/>
    <w:rsid w:val="003358F0"/>
    <w:rsid w:val="00336E28"/>
    <w:rsid w:val="00356396"/>
    <w:rsid w:val="00356C04"/>
    <w:rsid w:val="00356FE0"/>
    <w:rsid w:val="003657C1"/>
    <w:rsid w:val="0036700D"/>
    <w:rsid w:val="003820B5"/>
    <w:rsid w:val="00384D67"/>
    <w:rsid w:val="00387F20"/>
    <w:rsid w:val="0039752F"/>
    <w:rsid w:val="003A4004"/>
    <w:rsid w:val="003B7513"/>
    <w:rsid w:val="003C40F4"/>
    <w:rsid w:val="003D2D35"/>
    <w:rsid w:val="003D6376"/>
    <w:rsid w:val="003E745A"/>
    <w:rsid w:val="003F1155"/>
    <w:rsid w:val="00402D56"/>
    <w:rsid w:val="00403C0C"/>
    <w:rsid w:val="00414357"/>
    <w:rsid w:val="00420E56"/>
    <w:rsid w:val="0044649B"/>
    <w:rsid w:val="004579B7"/>
    <w:rsid w:val="00465217"/>
    <w:rsid w:val="00466CC5"/>
    <w:rsid w:val="00466DFA"/>
    <w:rsid w:val="00477B29"/>
    <w:rsid w:val="0048230B"/>
    <w:rsid w:val="00496C18"/>
    <w:rsid w:val="004B3557"/>
    <w:rsid w:val="004B461D"/>
    <w:rsid w:val="004D291A"/>
    <w:rsid w:val="004D64B7"/>
    <w:rsid w:val="004E24D2"/>
    <w:rsid w:val="004F0E15"/>
    <w:rsid w:val="00503C84"/>
    <w:rsid w:val="00510D35"/>
    <w:rsid w:val="0051550A"/>
    <w:rsid w:val="00527C67"/>
    <w:rsid w:val="0053466F"/>
    <w:rsid w:val="00535822"/>
    <w:rsid w:val="00537E5A"/>
    <w:rsid w:val="00553B34"/>
    <w:rsid w:val="00562492"/>
    <w:rsid w:val="00576585"/>
    <w:rsid w:val="00581626"/>
    <w:rsid w:val="00590D82"/>
    <w:rsid w:val="005A279C"/>
    <w:rsid w:val="005B458E"/>
    <w:rsid w:val="005C197D"/>
    <w:rsid w:val="005C4403"/>
    <w:rsid w:val="005C506C"/>
    <w:rsid w:val="005D5A29"/>
    <w:rsid w:val="005E1413"/>
    <w:rsid w:val="005F6C9D"/>
    <w:rsid w:val="00634F32"/>
    <w:rsid w:val="00657C14"/>
    <w:rsid w:val="0066095F"/>
    <w:rsid w:val="00685FC7"/>
    <w:rsid w:val="00694C76"/>
    <w:rsid w:val="0069587A"/>
    <w:rsid w:val="006A6E0F"/>
    <w:rsid w:val="006C1E6A"/>
    <w:rsid w:val="006C328D"/>
    <w:rsid w:val="006C3B1C"/>
    <w:rsid w:val="006D73FA"/>
    <w:rsid w:val="006E2647"/>
    <w:rsid w:val="006E38CB"/>
    <w:rsid w:val="006E47E1"/>
    <w:rsid w:val="006F4599"/>
    <w:rsid w:val="006F4647"/>
    <w:rsid w:val="006F546A"/>
    <w:rsid w:val="00705699"/>
    <w:rsid w:val="00710552"/>
    <w:rsid w:val="00710893"/>
    <w:rsid w:val="00713359"/>
    <w:rsid w:val="007138F8"/>
    <w:rsid w:val="007206F3"/>
    <w:rsid w:val="0073332C"/>
    <w:rsid w:val="007365D7"/>
    <w:rsid w:val="00746979"/>
    <w:rsid w:val="007474FB"/>
    <w:rsid w:val="00752505"/>
    <w:rsid w:val="0076734C"/>
    <w:rsid w:val="007718CC"/>
    <w:rsid w:val="00771984"/>
    <w:rsid w:val="0077275F"/>
    <w:rsid w:val="00774CFD"/>
    <w:rsid w:val="00782DDF"/>
    <w:rsid w:val="00787768"/>
    <w:rsid w:val="0079627B"/>
    <w:rsid w:val="007A08A9"/>
    <w:rsid w:val="007A10EC"/>
    <w:rsid w:val="007B0041"/>
    <w:rsid w:val="007B01C8"/>
    <w:rsid w:val="007C34FA"/>
    <w:rsid w:val="007D7C20"/>
    <w:rsid w:val="007E42C1"/>
    <w:rsid w:val="007F226D"/>
    <w:rsid w:val="007F4578"/>
    <w:rsid w:val="007F78F7"/>
    <w:rsid w:val="00805E7A"/>
    <w:rsid w:val="00833664"/>
    <w:rsid w:val="00834B9B"/>
    <w:rsid w:val="00850500"/>
    <w:rsid w:val="0086295E"/>
    <w:rsid w:val="008657C8"/>
    <w:rsid w:val="008679A0"/>
    <w:rsid w:val="008715C2"/>
    <w:rsid w:val="00871E72"/>
    <w:rsid w:val="00880616"/>
    <w:rsid w:val="008824DA"/>
    <w:rsid w:val="00896D6D"/>
    <w:rsid w:val="008A73F0"/>
    <w:rsid w:val="008B22A2"/>
    <w:rsid w:val="008C31B5"/>
    <w:rsid w:val="008D5A01"/>
    <w:rsid w:val="008E2A74"/>
    <w:rsid w:val="008E4C03"/>
    <w:rsid w:val="0090465F"/>
    <w:rsid w:val="009047AE"/>
    <w:rsid w:val="009406E3"/>
    <w:rsid w:val="00944050"/>
    <w:rsid w:val="0095190E"/>
    <w:rsid w:val="00957337"/>
    <w:rsid w:val="00970B0F"/>
    <w:rsid w:val="009772DB"/>
    <w:rsid w:val="009838E1"/>
    <w:rsid w:val="00987807"/>
    <w:rsid w:val="009946C4"/>
    <w:rsid w:val="009B373C"/>
    <w:rsid w:val="009B69F0"/>
    <w:rsid w:val="009B6D1E"/>
    <w:rsid w:val="009B769E"/>
    <w:rsid w:val="009C6508"/>
    <w:rsid w:val="009D1F80"/>
    <w:rsid w:val="009D2661"/>
    <w:rsid w:val="009D45D2"/>
    <w:rsid w:val="009D7568"/>
    <w:rsid w:val="009E5629"/>
    <w:rsid w:val="009E6A70"/>
    <w:rsid w:val="00A00CAD"/>
    <w:rsid w:val="00A02974"/>
    <w:rsid w:val="00A07842"/>
    <w:rsid w:val="00A42DFA"/>
    <w:rsid w:val="00A64464"/>
    <w:rsid w:val="00A7076E"/>
    <w:rsid w:val="00A80BE9"/>
    <w:rsid w:val="00A909D2"/>
    <w:rsid w:val="00A973CB"/>
    <w:rsid w:val="00AB22F3"/>
    <w:rsid w:val="00AD262C"/>
    <w:rsid w:val="00AD6DEE"/>
    <w:rsid w:val="00AE0174"/>
    <w:rsid w:val="00AE086C"/>
    <w:rsid w:val="00AE20A7"/>
    <w:rsid w:val="00B0041C"/>
    <w:rsid w:val="00B045BA"/>
    <w:rsid w:val="00B275E0"/>
    <w:rsid w:val="00B362E1"/>
    <w:rsid w:val="00B53CF4"/>
    <w:rsid w:val="00B5550A"/>
    <w:rsid w:val="00B800EB"/>
    <w:rsid w:val="00B81A1D"/>
    <w:rsid w:val="00B8378E"/>
    <w:rsid w:val="00BB0CA1"/>
    <w:rsid w:val="00BB4B2F"/>
    <w:rsid w:val="00BC4C74"/>
    <w:rsid w:val="00BC684A"/>
    <w:rsid w:val="00BD00E3"/>
    <w:rsid w:val="00BD5663"/>
    <w:rsid w:val="00BD5F6B"/>
    <w:rsid w:val="00BF3A57"/>
    <w:rsid w:val="00C1331D"/>
    <w:rsid w:val="00C73AB9"/>
    <w:rsid w:val="00C92AB4"/>
    <w:rsid w:val="00CA185D"/>
    <w:rsid w:val="00CC0B7A"/>
    <w:rsid w:val="00CE3886"/>
    <w:rsid w:val="00CE51DB"/>
    <w:rsid w:val="00CE6D2C"/>
    <w:rsid w:val="00CF511D"/>
    <w:rsid w:val="00D12CAB"/>
    <w:rsid w:val="00D16368"/>
    <w:rsid w:val="00D30ACE"/>
    <w:rsid w:val="00D3423E"/>
    <w:rsid w:val="00D360C0"/>
    <w:rsid w:val="00D50BED"/>
    <w:rsid w:val="00D56345"/>
    <w:rsid w:val="00D658E5"/>
    <w:rsid w:val="00D763AD"/>
    <w:rsid w:val="00D86235"/>
    <w:rsid w:val="00D9022D"/>
    <w:rsid w:val="00D911DD"/>
    <w:rsid w:val="00DE2E3D"/>
    <w:rsid w:val="00DF1BAC"/>
    <w:rsid w:val="00DF2790"/>
    <w:rsid w:val="00DF2C11"/>
    <w:rsid w:val="00DF3BF3"/>
    <w:rsid w:val="00E02579"/>
    <w:rsid w:val="00E10510"/>
    <w:rsid w:val="00E143F1"/>
    <w:rsid w:val="00E278F9"/>
    <w:rsid w:val="00E311F0"/>
    <w:rsid w:val="00E358BE"/>
    <w:rsid w:val="00E40649"/>
    <w:rsid w:val="00E46281"/>
    <w:rsid w:val="00E51A76"/>
    <w:rsid w:val="00E653C9"/>
    <w:rsid w:val="00E718A6"/>
    <w:rsid w:val="00E84DC4"/>
    <w:rsid w:val="00E902F1"/>
    <w:rsid w:val="00EB118F"/>
    <w:rsid w:val="00ED099D"/>
    <w:rsid w:val="00ED5378"/>
    <w:rsid w:val="00EE0417"/>
    <w:rsid w:val="00EE2A38"/>
    <w:rsid w:val="00EE30F8"/>
    <w:rsid w:val="00EF4142"/>
    <w:rsid w:val="00EF7CB4"/>
    <w:rsid w:val="00F061CC"/>
    <w:rsid w:val="00F13A1C"/>
    <w:rsid w:val="00F246C9"/>
    <w:rsid w:val="00F259BF"/>
    <w:rsid w:val="00F459CF"/>
    <w:rsid w:val="00F54315"/>
    <w:rsid w:val="00F64015"/>
    <w:rsid w:val="00F817AB"/>
    <w:rsid w:val="00FD36EC"/>
    <w:rsid w:val="00FD7CE7"/>
    <w:rsid w:val="00FE2505"/>
    <w:rsid w:val="00FE2D5B"/>
    <w:rsid w:val="00FE3F5B"/>
    <w:rsid w:val="00FE695F"/>
    <w:rsid w:val="00FF2540"/>
    <w:rsid w:val="00FF3312"/>
    <w:rsid w:val="00FF61C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AC72"/>
  <w15:docId w15:val="{2E3E73FC-ECD3-48DA-BA8E-0D0FCD50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2C533B"/>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2C533B"/>
    <w:rPr>
      <w:rFonts w:ascii="Arial" w:hAnsi="Arial"/>
      <w:color w:val="auto"/>
    </w:rPr>
  </w:style>
  <w:style w:type="paragraph" w:styleId="FootnoteText">
    <w:name w:val="footnote text"/>
    <w:basedOn w:val="Normal"/>
    <w:link w:val="FootnoteTextChar"/>
    <w:uiPriority w:val="99"/>
    <w:unhideWhenUsed/>
    <w:rsid w:val="002C533B"/>
    <w:pPr>
      <w:spacing w:before="0" w:after="0"/>
    </w:pPr>
    <w:rPr>
      <w:color w:val="auto"/>
      <w:sz w:val="20"/>
      <w:szCs w:val="20"/>
      <w:lang w:val="en-GB"/>
    </w:rPr>
  </w:style>
  <w:style w:type="character" w:customStyle="1" w:styleId="FootnoteTextChar">
    <w:name w:val="Footnote Text Char"/>
    <w:basedOn w:val="DefaultParagraphFont"/>
    <w:link w:val="FootnoteText"/>
    <w:uiPriority w:val="99"/>
    <w:rsid w:val="002C533B"/>
    <w:rPr>
      <w:color w:val="auto"/>
      <w:sz w:val="20"/>
      <w:szCs w:val="20"/>
      <w:lang w:val="en-GB"/>
    </w:rPr>
  </w:style>
  <w:style w:type="character" w:styleId="FootnoteReference">
    <w:name w:val="footnote reference"/>
    <w:basedOn w:val="DefaultParagraphFont"/>
    <w:uiPriority w:val="99"/>
    <w:semiHidden/>
    <w:unhideWhenUsed/>
    <w:rsid w:val="002C533B"/>
    <w:rPr>
      <w:vertAlign w:val="superscript"/>
    </w:rPr>
  </w:style>
  <w:style w:type="character" w:styleId="Hyperlink">
    <w:name w:val="Hyperlink"/>
    <w:basedOn w:val="DefaultParagraphFont"/>
    <w:uiPriority w:val="99"/>
    <w:unhideWhenUsed/>
    <w:rsid w:val="002C533B"/>
    <w:rPr>
      <w:color w:val="00847E" w:themeColor="hyperlink"/>
      <w:u w:val="single"/>
    </w:rPr>
  </w:style>
  <w:style w:type="paragraph" w:customStyle="1" w:styleId="Normal1">
    <w:name w:val="Normal1"/>
    <w:basedOn w:val="Normal"/>
    <w:rsid w:val="002C533B"/>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7A08A9"/>
    <w:rPr>
      <w:i/>
      <w:iCs/>
      <w:color w:val="808080" w:themeColor="text1" w:themeTint="7F"/>
    </w:rPr>
  </w:style>
  <w:style w:type="table" w:styleId="TableGrid">
    <w:name w:val="Table Grid"/>
    <w:basedOn w:val="TableNormal"/>
    <w:uiPriority w:val="59"/>
    <w:rsid w:val="006C1E6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2AB4"/>
    <w:rPr>
      <w:color w:val="00847E" w:themeColor="followedHyperlink"/>
      <w:u w:val="single"/>
    </w:rPr>
  </w:style>
  <w:style w:type="character" w:styleId="CommentReference">
    <w:name w:val="annotation reference"/>
    <w:basedOn w:val="DefaultParagraphFont"/>
    <w:uiPriority w:val="99"/>
    <w:semiHidden/>
    <w:unhideWhenUsed/>
    <w:rsid w:val="00CA185D"/>
    <w:rPr>
      <w:sz w:val="16"/>
      <w:szCs w:val="16"/>
    </w:rPr>
  </w:style>
  <w:style w:type="paragraph" w:styleId="CommentText">
    <w:name w:val="annotation text"/>
    <w:basedOn w:val="Normal"/>
    <w:link w:val="CommentTextChar"/>
    <w:uiPriority w:val="99"/>
    <w:semiHidden/>
    <w:unhideWhenUsed/>
    <w:rsid w:val="00CA185D"/>
    <w:rPr>
      <w:sz w:val="20"/>
      <w:szCs w:val="20"/>
    </w:rPr>
  </w:style>
  <w:style w:type="character" w:customStyle="1" w:styleId="CommentTextChar">
    <w:name w:val="Comment Text Char"/>
    <w:basedOn w:val="DefaultParagraphFont"/>
    <w:link w:val="CommentText"/>
    <w:uiPriority w:val="99"/>
    <w:semiHidden/>
    <w:rsid w:val="00CA185D"/>
    <w:rPr>
      <w:sz w:val="20"/>
      <w:szCs w:val="20"/>
    </w:rPr>
  </w:style>
  <w:style w:type="paragraph" w:styleId="CommentSubject">
    <w:name w:val="annotation subject"/>
    <w:basedOn w:val="CommentText"/>
    <w:next w:val="CommentText"/>
    <w:link w:val="CommentSubjectChar"/>
    <w:uiPriority w:val="99"/>
    <w:semiHidden/>
    <w:unhideWhenUsed/>
    <w:rsid w:val="00CA185D"/>
    <w:rPr>
      <w:b/>
      <w:bCs/>
    </w:rPr>
  </w:style>
  <w:style w:type="character" w:customStyle="1" w:styleId="CommentSubjectChar">
    <w:name w:val="Comment Subject Char"/>
    <w:basedOn w:val="CommentTextChar"/>
    <w:link w:val="CommentSubject"/>
    <w:uiPriority w:val="99"/>
    <w:semiHidden/>
    <w:rsid w:val="00CA185D"/>
    <w:rPr>
      <w:b/>
      <w:bCs/>
      <w:sz w:val="20"/>
      <w:szCs w:val="20"/>
    </w:rPr>
  </w:style>
  <w:style w:type="character" w:customStyle="1" w:styleId="fontstyle01">
    <w:name w:val="fontstyle01"/>
    <w:basedOn w:val="DefaultParagraphFont"/>
    <w:rsid w:val="00277B4A"/>
    <w:rPr>
      <w:rFonts w:ascii="ArialMT" w:hAnsi="ArialMT" w:hint="default"/>
      <w:b w:val="0"/>
      <w:bCs w:val="0"/>
      <w:i w:val="0"/>
      <w:iCs w:val="0"/>
      <w:color w:val="000000"/>
      <w:sz w:val="22"/>
      <w:szCs w:val="22"/>
    </w:rPr>
  </w:style>
  <w:style w:type="character" w:customStyle="1" w:styleId="fontstyle21">
    <w:name w:val="fontstyle21"/>
    <w:basedOn w:val="DefaultParagraphFont"/>
    <w:rsid w:val="00277B4A"/>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7919">
      <w:bodyDiv w:val="1"/>
      <w:marLeft w:val="0"/>
      <w:marRight w:val="0"/>
      <w:marTop w:val="0"/>
      <w:marBottom w:val="0"/>
      <w:divBdr>
        <w:top w:val="none" w:sz="0" w:space="0" w:color="auto"/>
        <w:left w:val="none" w:sz="0" w:space="0" w:color="auto"/>
        <w:bottom w:val="none" w:sz="0" w:space="0" w:color="auto"/>
        <w:right w:val="none" w:sz="0" w:space="0" w:color="auto"/>
      </w:divBdr>
    </w:div>
    <w:div w:id="490602876">
      <w:bodyDiv w:val="1"/>
      <w:marLeft w:val="0"/>
      <w:marRight w:val="0"/>
      <w:marTop w:val="0"/>
      <w:marBottom w:val="0"/>
      <w:divBdr>
        <w:top w:val="none" w:sz="0" w:space="0" w:color="auto"/>
        <w:left w:val="none" w:sz="0" w:space="0" w:color="auto"/>
        <w:bottom w:val="none" w:sz="0" w:space="0" w:color="auto"/>
        <w:right w:val="none" w:sz="0" w:space="0" w:color="auto"/>
      </w:divBdr>
    </w:div>
    <w:div w:id="933441527">
      <w:bodyDiv w:val="1"/>
      <w:marLeft w:val="0"/>
      <w:marRight w:val="0"/>
      <w:marTop w:val="0"/>
      <w:marBottom w:val="0"/>
      <w:divBdr>
        <w:top w:val="none" w:sz="0" w:space="0" w:color="auto"/>
        <w:left w:val="none" w:sz="0" w:space="0" w:color="auto"/>
        <w:bottom w:val="none" w:sz="0" w:space="0" w:color="auto"/>
        <w:right w:val="none" w:sz="0" w:space="0" w:color="auto"/>
      </w:divBdr>
    </w:div>
    <w:div w:id="11370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4.xml><?xml version="1.0" encoding="utf-8"?>
<ds:datastoreItem xmlns:ds="http://schemas.openxmlformats.org/officeDocument/2006/customXml" ds:itemID="{FC16850C-6D82-412A-B25F-40921151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Guidance Note: Monitoring and Analysis of Student Performance</vt:lpstr>
    </vt:vector>
  </TitlesOfParts>
  <Company>Tertiary Education Quality and Standards Agency</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Monitoring and Analysis of Student Performance</dc:title>
  <dc:creator>May, Raphael</dc:creator>
  <cp:lastModifiedBy>Hewitt-McManus, Tom</cp:lastModifiedBy>
  <cp:revision>13</cp:revision>
  <cp:lastPrinted>2020-01-06T03:56:00Z</cp:lastPrinted>
  <dcterms:created xsi:type="dcterms:W3CDTF">2020-01-06T02:30:00Z</dcterms:created>
  <dcterms:modified xsi:type="dcterms:W3CDTF">2020-02-10T02:29:00Z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y fmtid="{D5CDD505-2E9C-101B-9397-08002B2CF9AE}" pid="4" name="TitusGUID">
    <vt:lpwstr>1bf37330-a0eb-40fa-bf55-5f75f10be177</vt:lpwstr>
  </property>
</Properties>
</file>