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50" w:rsidRPr="00E202F0" w:rsidRDefault="00B02850" w:rsidP="00B02850">
      <w:pPr>
        <w:pStyle w:val="Heading1"/>
        <w:rPr>
          <w:i/>
          <w:color w:val="00A299"/>
        </w:rPr>
      </w:pPr>
      <w:r w:rsidRPr="00E202F0">
        <w:rPr>
          <w:color w:val="00A299"/>
        </w:rPr>
        <w:t xml:space="preserve">Guidance Note: </w:t>
      </w:r>
      <w:r w:rsidRPr="00E202F0">
        <w:rPr>
          <w:i/>
          <w:color w:val="00A299"/>
        </w:rPr>
        <w:t>Financial Standing</w:t>
      </w:r>
    </w:p>
    <w:p w:rsidR="00B02850" w:rsidRDefault="008D22FC" w:rsidP="00B02850">
      <w:pPr>
        <w:rPr>
          <w:rStyle w:val="SubtleEmphasis"/>
        </w:rPr>
      </w:pPr>
      <w:r>
        <w:rPr>
          <w:rStyle w:val="SubtleEmphasis"/>
        </w:rPr>
        <w:t>V</w:t>
      </w:r>
      <w:r w:rsidR="00B02850" w:rsidRPr="00B02850">
        <w:rPr>
          <w:rStyle w:val="SubtleEmphasis"/>
        </w:rPr>
        <w:t>ersion 2.</w:t>
      </w:r>
      <w:r>
        <w:rPr>
          <w:rStyle w:val="SubtleEmphasis"/>
        </w:rPr>
        <w:t>2</w:t>
      </w:r>
      <w:r w:rsidRPr="00B02850">
        <w:rPr>
          <w:rStyle w:val="SubtleEmphasis"/>
        </w:rPr>
        <w:t xml:space="preserve"> </w:t>
      </w:r>
      <w:r w:rsidR="00B02850" w:rsidRPr="00B02850">
        <w:rPr>
          <w:rStyle w:val="SubtleEmphasis"/>
        </w:rPr>
        <w:t>(</w:t>
      </w:r>
      <w:r w:rsidR="00C33975">
        <w:rPr>
          <w:rStyle w:val="SubtleEmphasis"/>
        </w:rPr>
        <w:t>11</w:t>
      </w:r>
      <w:r>
        <w:rPr>
          <w:rStyle w:val="SubtleEmphasis"/>
        </w:rPr>
        <w:t xml:space="preserve"> </w:t>
      </w:r>
      <w:r w:rsidR="0073304B">
        <w:rPr>
          <w:rStyle w:val="SubtleEmphasis"/>
        </w:rPr>
        <w:t>April</w:t>
      </w:r>
      <w:r>
        <w:rPr>
          <w:rStyle w:val="SubtleEmphasis"/>
        </w:rPr>
        <w:t xml:space="preserve"> 2019</w:t>
      </w:r>
      <w:r w:rsidR="00B02850" w:rsidRPr="00B02850">
        <w:rPr>
          <w:rStyle w:val="SubtleEmphasis"/>
        </w:rPr>
        <w:t>)</w:t>
      </w:r>
      <w:r w:rsidR="004C174F">
        <w:rPr>
          <w:rStyle w:val="SubtleEmphasis"/>
        </w:rPr>
        <w:t xml:space="preserve"> </w:t>
      </w:r>
    </w:p>
    <w:p w:rsidR="00343908" w:rsidRPr="00343908" w:rsidRDefault="00343908" w:rsidP="00B02850">
      <w:pPr>
        <w:rPr>
          <w:rStyle w:val="SubtleEmphasis"/>
          <w:color w:val="000000" w:themeColor="text1"/>
        </w:rPr>
      </w:pPr>
      <w:bookmarkStart w:id="0" w:name="_GoBack"/>
      <w:r w:rsidRPr="00343908">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bookmarkEnd w:id="0"/>
    <w:p w:rsidR="00B02850" w:rsidRDefault="00B02850" w:rsidP="00B02850">
      <w:pPr>
        <w:pStyle w:val="Heading2"/>
      </w:pPr>
      <w:r>
        <w:t>What is financial standing?</w:t>
      </w:r>
    </w:p>
    <w:p w:rsidR="00B02850" w:rsidRDefault="00B02850" w:rsidP="00B02850">
      <w:r>
        <w:t xml:space="preserve">Financial standing is a broad term which can take on different meanings depending on the context within which it is being applied. </w:t>
      </w:r>
    </w:p>
    <w:p w:rsidR="00B02850" w:rsidRDefault="00B02850" w:rsidP="002264E2">
      <w:r>
        <w:t xml:space="preserve">For the purposes of the </w:t>
      </w:r>
      <w:r w:rsidRPr="00D74B8F">
        <w:rPr>
          <w:i/>
        </w:rPr>
        <w:t>Higher Education Standards Framework (Threshold Standards) 2015</w:t>
      </w:r>
      <w:r>
        <w:t xml:space="preserve"> (HES Framework), financial standing relates to the core financial information a stakeholder would need access to in order to make an informed decision about whether to </w:t>
      </w:r>
      <w:proofErr w:type="gramStart"/>
      <w:r>
        <w:t>enter</w:t>
      </w:r>
      <w:proofErr w:type="gramEnd"/>
      <w:r>
        <w:t xml:space="preserve"> into an agreement with a higher education provider. This applies in particular to students seeking to undertake a course of study. </w:t>
      </w:r>
    </w:p>
    <w:p w:rsidR="00B02850" w:rsidRDefault="00B02850" w:rsidP="00B02850">
      <w:pPr>
        <w:pStyle w:val="Heading2"/>
      </w:pPr>
      <w:r w:rsidRPr="004A4935">
        <w:t xml:space="preserve">Relevant </w:t>
      </w:r>
      <w:r>
        <w:t xml:space="preserve">Standards in the HES Framework </w:t>
      </w:r>
    </w:p>
    <w:p w:rsidR="00B02850" w:rsidRDefault="00B02850" w:rsidP="002264E2">
      <w:r>
        <w:t>The principal Standards concerned with financial standing are in Part A</w:t>
      </w:r>
      <w:r w:rsidRPr="00EA042E">
        <w:t xml:space="preserve"> </w:t>
      </w:r>
      <w:r>
        <w:t xml:space="preserve">of the </w:t>
      </w:r>
      <w:r w:rsidRPr="00835C3B">
        <w:t>HES Framework</w:t>
      </w:r>
      <w:r>
        <w:t>: 7.3.1d and 7.3.1k. These Standards require a provider to publish information about its ‘financial standing’, and providers that are required to prepare public annual reports should make these available. These Standards in turn have links to other related Standards concerning corporate governance (</w:t>
      </w:r>
      <w:r w:rsidR="00C40CD5">
        <w:t xml:space="preserve">6.2.1b, </w:t>
      </w:r>
      <w:r>
        <w:t xml:space="preserve">6.2.1c and 6.2.1d) and the provision of information to students (7.2.1). </w:t>
      </w:r>
    </w:p>
    <w:p w:rsidR="00B02850" w:rsidRPr="004A4935" w:rsidRDefault="00B02850" w:rsidP="00B02850">
      <w:pPr>
        <w:pStyle w:val="Heading2"/>
      </w:pPr>
      <w:r w:rsidRPr="004A4935">
        <w:t xml:space="preserve">Intent of the </w:t>
      </w:r>
      <w:r>
        <w:t xml:space="preserve">Standards </w:t>
      </w:r>
    </w:p>
    <w:p w:rsidR="00B02850" w:rsidRPr="00D74B8F" w:rsidRDefault="00B02850" w:rsidP="002264E2">
      <w:pPr>
        <w:rPr>
          <w:rFonts w:cs="Arial"/>
        </w:rPr>
      </w:pPr>
      <w:r w:rsidRPr="00EE333E">
        <w:rPr>
          <w:rFonts w:cs="Arial"/>
        </w:rPr>
        <w:t xml:space="preserve">The intent of </w:t>
      </w:r>
      <w:r>
        <w:rPr>
          <w:rFonts w:cs="Arial"/>
        </w:rPr>
        <w:t>Standard 7.3.1</w:t>
      </w:r>
      <w:r w:rsidRPr="00EE333E">
        <w:rPr>
          <w:rFonts w:cs="Arial"/>
        </w:rPr>
        <w:t xml:space="preserve"> is to establish a set of information </w:t>
      </w:r>
      <w:r>
        <w:rPr>
          <w:rFonts w:cs="Arial"/>
        </w:rPr>
        <w:t xml:space="preserve">about the provider and its courses </w:t>
      </w:r>
      <w:r w:rsidRPr="00EE333E">
        <w:rPr>
          <w:rFonts w:cs="Arial"/>
        </w:rPr>
        <w:t xml:space="preserve">which can be accessed by, and meet the </w:t>
      </w:r>
      <w:r>
        <w:rPr>
          <w:rFonts w:cs="Arial"/>
        </w:rPr>
        <w:t>needs</w:t>
      </w:r>
      <w:r w:rsidRPr="00EE333E">
        <w:rPr>
          <w:rFonts w:cs="Arial"/>
        </w:rPr>
        <w:t xml:space="preserve"> of</w:t>
      </w:r>
      <w:r>
        <w:rPr>
          <w:rFonts w:cs="Arial"/>
        </w:rPr>
        <w:t xml:space="preserve"> stakeholders most importantly</w:t>
      </w:r>
      <w:r w:rsidRPr="00EE333E">
        <w:rPr>
          <w:rFonts w:cs="Arial"/>
        </w:rPr>
        <w:t xml:space="preserve"> current and prospective students. </w:t>
      </w:r>
    </w:p>
    <w:p w:rsidR="00B02850" w:rsidRPr="00EE333E" w:rsidRDefault="00B02850" w:rsidP="002264E2">
      <w:pPr>
        <w:rPr>
          <w:rFonts w:cs="Arial"/>
        </w:rPr>
      </w:pPr>
      <w:r w:rsidRPr="00EE333E">
        <w:rPr>
          <w:rFonts w:cs="Arial"/>
        </w:rPr>
        <w:t>From a financial perspective</w:t>
      </w:r>
      <w:r>
        <w:rPr>
          <w:rFonts w:cs="Arial"/>
        </w:rPr>
        <w:t>,</w:t>
      </w:r>
      <w:r w:rsidRPr="00EE333E">
        <w:rPr>
          <w:rFonts w:cs="Arial"/>
        </w:rPr>
        <w:t xml:space="preserve"> students need to be satisfied that a provider </w:t>
      </w:r>
      <w:r>
        <w:rPr>
          <w:rFonts w:cs="Arial"/>
        </w:rPr>
        <w:t>is in a position to continue as a going concern and</w:t>
      </w:r>
      <w:r w:rsidRPr="00EE333E">
        <w:rPr>
          <w:rFonts w:cs="Arial"/>
        </w:rPr>
        <w:t xml:space="preserve"> to deliver the advertised course of study, consistent with the requirements of the </w:t>
      </w:r>
      <w:r>
        <w:rPr>
          <w:rFonts w:cs="Arial"/>
        </w:rPr>
        <w:t>HES Framework</w:t>
      </w:r>
      <w:r w:rsidRPr="00EE333E">
        <w:rPr>
          <w:rFonts w:cs="Arial"/>
        </w:rPr>
        <w:t xml:space="preserve">, until they graduate. </w:t>
      </w:r>
      <w:r>
        <w:rPr>
          <w:rFonts w:cs="Arial"/>
        </w:rPr>
        <w:t>Higher education providers that do not publish their annual financial statements can best provide assurances about these matters to stakeholders through a Statement of Financial Standing.</w:t>
      </w:r>
    </w:p>
    <w:p w:rsidR="00B02850" w:rsidRPr="00A71970" w:rsidRDefault="00B02850" w:rsidP="00B02850">
      <w:r>
        <w:t>How can registered providers meet the requirements?</w:t>
      </w:r>
    </w:p>
    <w:p w:rsidR="00B02850" w:rsidRDefault="00B02850" w:rsidP="00B02850">
      <w:pPr>
        <w:rPr>
          <w:rFonts w:cs="Arial"/>
        </w:rPr>
      </w:pPr>
      <w:r>
        <w:rPr>
          <w:rFonts w:cs="Arial"/>
        </w:rPr>
        <w:t xml:space="preserve">The requirements can be met by publishing on the provider’s website </w:t>
      </w:r>
      <w:r w:rsidRPr="00413D23">
        <w:rPr>
          <w:rFonts w:cs="Arial"/>
          <w:b/>
        </w:rPr>
        <w:t>either</w:t>
      </w:r>
      <w:r>
        <w:rPr>
          <w:rFonts w:cs="Arial"/>
        </w:rPr>
        <w:t>:</w:t>
      </w:r>
    </w:p>
    <w:p w:rsidR="00B02850" w:rsidRDefault="00B02850" w:rsidP="00AD2763">
      <w:pPr>
        <w:pStyle w:val="Bullet1"/>
        <w:ind w:left="993"/>
      </w:pPr>
      <w:r>
        <w:lastRenderedPageBreak/>
        <w:t>a provider’s audited annual financial statements OR</w:t>
      </w:r>
    </w:p>
    <w:p w:rsidR="00B02850" w:rsidRPr="00780DCD" w:rsidRDefault="00B02850" w:rsidP="00AD2763">
      <w:pPr>
        <w:pStyle w:val="Bullet1"/>
        <w:ind w:left="993"/>
      </w:pPr>
      <w:proofErr w:type="gramStart"/>
      <w:r>
        <w:t>a</w:t>
      </w:r>
      <w:proofErr w:type="gramEnd"/>
      <w:r>
        <w:t xml:space="preserve"> statement of financial standing.</w:t>
      </w:r>
    </w:p>
    <w:p w:rsidR="00B02850" w:rsidRDefault="00B02850" w:rsidP="00B02850">
      <w:pPr>
        <w:rPr>
          <w:rFonts w:cs="Arial"/>
        </w:rPr>
      </w:pPr>
      <w:r>
        <w:rPr>
          <w:rFonts w:cs="Arial"/>
        </w:rPr>
        <w:t>Some providers publish their annual audited financial statements, which provide sufficient information for stakeholders to form a view about their status as a going concern. Providers that rely on publication of their annual financial statements to fulfil the requirement to make their financial standing publicly available should ensure that stakeholders, in particular students, can easily access them, for example by including a prominent link to them from the most visible and accessible webpage with general information about the provider.</w:t>
      </w:r>
    </w:p>
    <w:p w:rsidR="00B02850" w:rsidRDefault="00B02850" w:rsidP="002264E2">
      <w:pPr>
        <w:rPr>
          <w:rFonts w:cs="Arial"/>
        </w:rPr>
      </w:pPr>
      <w:r>
        <w:rPr>
          <w:rFonts w:cs="Arial"/>
        </w:rPr>
        <w:t>N</w:t>
      </w:r>
      <w:r w:rsidRPr="00EE333E">
        <w:rPr>
          <w:rFonts w:cs="Arial"/>
        </w:rPr>
        <w:t>ot all providers</w:t>
      </w:r>
      <w:r>
        <w:rPr>
          <w:rFonts w:cs="Arial"/>
        </w:rPr>
        <w:t xml:space="preserve"> however</w:t>
      </w:r>
      <w:r w:rsidRPr="00EE333E">
        <w:rPr>
          <w:rFonts w:cs="Arial"/>
        </w:rPr>
        <w:t xml:space="preserve"> are required to publish financial statements</w:t>
      </w:r>
      <w:r>
        <w:rPr>
          <w:rFonts w:cs="Arial"/>
        </w:rPr>
        <w:t>. This reflects</w:t>
      </w:r>
      <w:r w:rsidRPr="00EE333E">
        <w:rPr>
          <w:rFonts w:cs="Arial"/>
        </w:rPr>
        <w:t xml:space="preserve"> current Australian accounting standards</w:t>
      </w:r>
      <w:r>
        <w:rPr>
          <w:rFonts w:cs="Arial"/>
        </w:rPr>
        <w:t xml:space="preserve"> and legal</w:t>
      </w:r>
      <w:r w:rsidRPr="00EE333E">
        <w:rPr>
          <w:rFonts w:cs="Arial"/>
        </w:rPr>
        <w:t xml:space="preserve"> requirements.</w:t>
      </w:r>
      <w:r>
        <w:rPr>
          <w:rFonts w:cs="Arial"/>
        </w:rPr>
        <w:t xml:space="preserve"> It is not the intention of the Standards to impose requirements on providers that are inconsistent with accounting standards and legal requirements. </w:t>
      </w:r>
    </w:p>
    <w:p w:rsidR="00B02850" w:rsidRDefault="00B02850" w:rsidP="002264E2">
      <w:r>
        <w:rPr>
          <w:rFonts w:cs="Arial"/>
        </w:rPr>
        <w:t xml:space="preserve">A Statement of Financial Standing should summarise the key points in their respective financial statements, which are important in informing a decision about financial standing. </w:t>
      </w:r>
    </w:p>
    <w:p w:rsidR="00B02850" w:rsidRDefault="00B02850" w:rsidP="00B02850">
      <w:pPr>
        <w:rPr>
          <w:rFonts w:cs="Arial"/>
        </w:rPr>
      </w:pPr>
      <w:r w:rsidRPr="00EE333E">
        <w:rPr>
          <w:rFonts w:cs="Arial"/>
        </w:rPr>
        <w:t xml:space="preserve">TEQSA’s guidance to providers </w:t>
      </w:r>
      <w:r>
        <w:rPr>
          <w:rFonts w:cs="Arial"/>
        </w:rPr>
        <w:t>for</w:t>
      </w:r>
      <w:r w:rsidRPr="00EE333E">
        <w:rPr>
          <w:rFonts w:cs="Arial"/>
        </w:rPr>
        <w:t xml:space="preserve"> meeting </w:t>
      </w:r>
      <w:r>
        <w:rPr>
          <w:rFonts w:cs="Arial"/>
        </w:rPr>
        <w:t>Standard</w:t>
      </w:r>
      <w:r w:rsidRPr="00EE333E">
        <w:rPr>
          <w:rFonts w:cs="Arial"/>
        </w:rPr>
        <w:t xml:space="preserve"> 7.3.1d </w:t>
      </w:r>
      <w:r>
        <w:rPr>
          <w:rFonts w:cs="Arial"/>
        </w:rPr>
        <w:t>aims to</w:t>
      </w:r>
      <w:r w:rsidRPr="00EE333E">
        <w:rPr>
          <w:rFonts w:cs="Arial"/>
        </w:rPr>
        <w:t xml:space="preserve"> address the core information needs of stakeholders, in particular students, </w:t>
      </w:r>
      <w:r>
        <w:rPr>
          <w:rFonts w:cs="Arial"/>
        </w:rPr>
        <w:t>without imposing excessive burdens</w:t>
      </w:r>
      <w:r w:rsidRPr="00EE333E">
        <w:rPr>
          <w:rFonts w:cs="Arial"/>
        </w:rPr>
        <w:t xml:space="preserve"> on providers.</w:t>
      </w:r>
    </w:p>
    <w:p w:rsidR="000E3B24" w:rsidRDefault="00B02850" w:rsidP="002264E2">
      <w:pPr>
        <w:pStyle w:val="Bullet1"/>
        <w:ind w:left="993"/>
      </w:pPr>
      <w:r w:rsidRPr="00AD2763">
        <w:t>For newly</w:t>
      </w:r>
      <w:r w:rsidRPr="00530260">
        <w:t xml:space="preserve"> registered </w:t>
      </w:r>
      <w:r>
        <w:t xml:space="preserve">higher education </w:t>
      </w:r>
      <w:r w:rsidRPr="00530260">
        <w:t xml:space="preserve">providers that are yet to have prepared a set of financial statements, TEQSA would expect the provider to publish items 1 and 3 of Appendix A. </w:t>
      </w:r>
    </w:p>
    <w:p w:rsidR="00B02850" w:rsidRPr="00530260" w:rsidRDefault="00B02850" w:rsidP="00AD2763">
      <w:pPr>
        <w:pStyle w:val="Bullet1"/>
        <w:ind w:left="993"/>
      </w:pPr>
      <w:r w:rsidRPr="005A07BA">
        <w:rPr>
          <w:rFonts w:cs="Arial"/>
        </w:rPr>
        <w:t>Newly</w:t>
      </w:r>
      <w:r w:rsidRPr="00530260">
        <w:t xml:space="preserve"> registered </w:t>
      </w:r>
      <w:r w:rsidR="005A07BA">
        <w:t xml:space="preserve">higher education </w:t>
      </w:r>
      <w:r w:rsidRPr="00530260">
        <w:t>providers with pre-existing operations (e.g. as a R</w:t>
      </w:r>
      <w:r>
        <w:t xml:space="preserve">egistered </w:t>
      </w:r>
      <w:r w:rsidRPr="00530260">
        <w:t>T</w:t>
      </w:r>
      <w:r>
        <w:t xml:space="preserve">raining </w:t>
      </w:r>
      <w:r w:rsidRPr="00530260">
        <w:t>O</w:t>
      </w:r>
      <w:r>
        <w:t>rganisation</w:t>
      </w:r>
      <w:r w:rsidRPr="00530260">
        <w:t>) should prepare the Statement of Financial Standing in full as described in Appendix A, noting that the audited accounts refer to the entity as it was p</w:t>
      </w:r>
      <w:r>
        <w:t>rior to higher education</w:t>
      </w:r>
      <w:r w:rsidRPr="00530260">
        <w:t xml:space="preserve"> registration.</w:t>
      </w:r>
    </w:p>
    <w:p w:rsidR="00B0464B" w:rsidRPr="00B0464B" w:rsidRDefault="00B02850" w:rsidP="00B02850">
      <w:pPr>
        <w:rPr>
          <w:b/>
        </w:rPr>
      </w:pPr>
      <w:r>
        <w:t>C</w:t>
      </w:r>
      <w:r w:rsidRPr="00530260">
        <w:t xml:space="preserve">ontact your case manager for additional specific guidance on how to comply with the relevant </w:t>
      </w:r>
      <w:r>
        <w:t>S</w:t>
      </w:r>
      <w:r w:rsidRPr="00530260">
        <w:t>tandard in the HES Framework (Part A of the HES Framework: 7.3.1d).</w:t>
      </w:r>
    </w:p>
    <w:p w:rsidR="00B02850" w:rsidRDefault="00B02850" w:rsidP="00B02850">
      <w:pPr>
        <w:pStyle w:val="Heading2"/>
      </w:pPr>
      <w:r w:rsidRPr="00DE59A9">
        <w:t xml:space="preserve">What TEQSA </w:t>
      </w:r>
      <w:r>
        <w:t xml:space="preserve">will </w:t>
      </w:r>
      <w:r w:rsidRPr="00DE59A9">
        <w:t>look for</w:t>
      </w:r>
      <w:r>
        <w:t xml:space="preserve"> in a Statement of Financial Standing?</w:t>
      </w:r>
    </w:p>
    <w:p w:rsidR="00B02850" w:rsidRDefault="00B02850" w:rsidP="00B02850">
      <w:r w:rsidRPr="00490D04">
        <w:t xml:space="preserve">This </w:t>
      </w:r>
      <w:r>
        <w:t>section</w:t>
      </w:r>
      <w:r w:rsidRPr="00490D04">
        <w:t xml:space="preserve"> </w:t>
      </w:r>
      <w:r>
        <w:t xml:space="preserve">provides guidance on the content of a Statement of Financial Standing that TEQSA would accept as meeting the requirements of Standard 7.3.1d. An example statement has been included at Appendix A. </w:t>
      </w:r>
    </w:p>
    <w:p w:rsidR="00B02850" w:rsidRDefault="00B02850" w:rsidP="00B02850">
      <w:r>
        <w:t xml:space="preserve">The model Statement of Financial Standing draws on existing disclosures that </w:t>
      </w:r>
      <w:r w:rsidRPr="001C6B4C">
        <w:t>most</w:t>
      </w:r>
      <w:r>
        <w:t xml:space="preserve"> providers are already required to make in order to satisfy other legislative require</w:t>
      </w:r>
      <w:r w:rsidRPr="00731930">
        <w:t>ments</w:t>
      </w:r>
      <w:r>
        <w:t>. TEQSA expects that such a Statement and any other relevant information about the provider’s financial standing would be made available on the provider’s website. An appropriate Statement of Financial Standing would contain the following 3 sections:</w:t>
      </w:r>
    </w:p>
    <w:p w:rsidR="00B02850" w:rsidRPr="00136557" w:rsidRDefault="00B02850" w:rsidP="00AD2763">
      <w:pPr>
        <w:pStyle w:val="List1Numbered1"/>
        <w:ind w:left="709"/>
      </w:pPr>
      <w:r w:rsidRPr="00136557">
        <w:t>Directors</w:t>
      </w:r>
      <w:r>
        <w:t>’</w:t>
      </w:r>
      <w:r w:rsidRPr="00136557">
        <w:t xml:space="preserve"> declaration</w:t>
      </w:r>
      <w:r>
        <w:t xml:space="preserve"> or equivalent (such as</w:t>
      </w:r>
      <w:r w:rsidRPr="00136557">
        <w:t xml:space="preserve"> </w:t>
      </w:r>
      <w:r>
        <w:t>Statement by Appointed Officers or Statement by Members of the Board). Refer to Table 1 below for further guidance.</w:t>
      </w:r>
    </w:p>
    <w:p w:rsidR="00B02850" w:rsidRPr="00136557" w:rsidRDefault="00B02850" w:rsidP="00AD2763">
      <w:pPr>
        <w:pStyle w:val="List1Numbered1"/>
        <w:ind w:left="709"/>
      </w:pPr>
      <w:r w:rsidRPr="00136557">
        <w:t>Auditor’s opinion</w:t>
      </w:r>
      <w:r>
        <w:t xml:space="preserve"> (where an auditor’s opinion relies on a going concern note in the financial statements, the note should also be reproduced)</w:t>
      </w:r>
      <w:r w:rsidRPr="00136557">
        <w:t>,</w:t>
      </w:r>
      <w:r>
        <w:t xml:space="preserve"> and</w:t>
      </w:r>
    </w:p>
    <w:p w:rsidR="00B02850" w:rsidRDefault="00B02850" w:rsidP="00AD2763">
      <w:pPr>
        <w:pStyle w:val="List1Numbered1"/>
        <w:ind w:left="709"/>
      </w:pPr>
      <w:r w:rsidRPr="00136557">
        <w:t xml:space="preserve">Tuition </w:t>
      </w:r>
      <w:r w:rsidR="00221841">
        <w:t>a</w:t>
      </w:r>
      <w:r w:rsidRPr="00136557">
        <w:t xml:space="preserve">ssurance </w:t>
      </w:r>
      <w:r w:rsidR="00221841">
        <w:t>a</w:t>
      </w:r>
      <w:r w:rsidR="00B0464B">
        <w:t xml:space="preserve">rrangement </w:t>
      </w:r>
      <w:r w:rsidRPr="00136557">
        <w:t>details</w:t>
      </w:r>
      <w:r>
        <w:t>.</w:t>
      </w:r>
    </w:p>
    <w:p w:rsidR="00B02850" w:rsidRPr="00077914" w:rsidRDefault="00B02850" w:rsidP="00221841">
      <w:pPr>
        <w:spacing w:before="0" w:after="200" w:line="240" w:lineRule="exact"/>
        <w:rPr>
          <w:rFonts w:cs="Arial"/>
          <w:szCs w:val="20"/>
        </w:rPr>
      </w:pPr>
      <w:r>
        <w:rPr>
          <w:rFonts w:cs="Arial"/>
          <w:szCs w:val="20"/>
        </w:rPr>
        <w:t>Where a provider is required to make its financial statements public, the fourth item below would also be included:</w:t>
      </w:r>
      <w:r w:rsidR="000E3B24">
        <w:rPr>
          <w:rFonts w:cs="Arial"/>
          <w:szCs w:val="20"/>
        </w:rPr>
        <w:t xml:space="preserve"> </w:t>
      </w:r>
    </w:p>
    <w:p w:rsidR="00B02850" w:rsidRDefault="00B02850" w:rsidP="00AD2763">
      <w:pPr>
        <w:pStyle w:val="List1Numbered1"/>
        <w:ind w:left="709"/>
      </w:pPr>
      <w:r w:rsidRPr="00B93C3C">
        <w:lastRenderedPageBreak/>
        <w:t>A hyperlink to the location of the provider’s financial statements (Standard</w:t>
      </w:r>
      <w:r>
        <w:t xml:space="preserve"> </w:t>
      </w:r>
      <w:r w:rsidRPr="00B93C3C">
        <w:t>7.3.1k).</w:t>
      </w:r>
      <w:r>
        <w:br/>
      </w:r>
    </w:p>
    <w:p w:rsidR="00B02850" w:rsidRPr="00F8789C" w:rsidRDefault="00B02850" w:rsidP="00B02850">
      <w:pPr>
        <w:pStyle w:val="TableTitle"/>
      </w:pPr>
      <w:r w:rsidRPr="00F8789C">
        <w:t xml:space="preserve"> Examples of </w:t>
      </w:r>
      <w:r>
        <w:t>Directors’ Declaration or equivalent</w:t>
      </w:r>
      <w:r w:rsidRPr="00F8789C">
        <w:t xml:space="preserve"> for different entity types</w:t>
      </w:r>
    </w:p>
    <w:tbl>
      <w:tblPr>
        <w:tblStyle w:val="TEQSAtables"/>
        <w:tblW w:w="5000" w:type="pct"/>
        <w:tblLook w:val="04A0" w:firstRow="1" w:lastRow="0" w:firstColumn="1" w:lastColumn="0" w:noHBand="0" w:noVBand="1"/>
      </w:tblPr>
      <w:tblGrid>
        <w:gridCol w:w="2029"/>
        <w:gridCol w:w="2032"/>
        <w:gridCol w:w="2887"/>
        <w:gridCol w:w="2068"/>
      </w:tblGrid>
      <w:tr w:rsidR="00B02850" w:rsidTr="00B02850">
        <w:trPr>
          <w:cnfStyle w:val="100000000000" w:firstRow="1" w:lastRow="0" w:firstColumn="0" w:lastColumn="0" w:oddVBand="0" w:evenVBand="0" w:oddHBand="0" w:evenHBand="0" w:firstRowFirstColumn="0" w:firstRowLastColumn="0" w:lastRowFirstColumn="0" w:lastRowLastColumn="0"/>
          <w:tblHeader/>
        </w:trPr>
        <w:tc>
          <w:tcPr>
            <w:tcW w:w="1125" w:type="pct"/>
          </w:tcPr>
          <w:p w:rsidR="00B02850" w:rsidRDefault="00B02850" w:rsidP="0035194A">
            <w:r>
              <w:t>Company Proprietary Limited</w:t>
            </w:r>
          </w:p>
        </w:tc>
        <w:tc>
          <w:tcPr>
            <w:tcW w:w="1127" w:type="pct"/>
          </w:tcPr>
          <w:p w:rsidR="00B02850" w:rsidRDefault="00B02850" w:rsidP="0035194A">
            <w:r>
              <w:t>Company Limited by Guarantee</w:t>
            </w:r>
          </w:p>
        </w:tc>
        <w:tc>
          <w:tcPr>
            <w:tcW w:w="1601" w:type="pct"/>
          </w:tcPr>
          <w:p w:rsidR="00B02850" w:rsidRDefault="00B02850" w:rsidP="0035194A">
            <w:r>
              <w:t>University</w:t>
            </w:r>
          </w:p>
        </w:tc>
        <w:tc>
          <w:tcPr>
            <w:tcW w:w="1147" w:type="pct"/>
          </w:tcPr>
          <w:p w:rsidR="00B02850" w:rsidRDefault="00B02850" w:rsidP="0035194A">
            <w:r>
              <w:t>Incorporated Association</w:t>
            </w:r>
          </w:p>
        </w:tc>
      </w:tr>
      <w:tr w:rsidR="00B02850" w:rsidTr="0035194A">
        <w:tc>
          <w:tcPr>
            <w:tcW w:w="1125" w:type="pct"/>
          </w:tcPr>
          <w:p w:rsidR="00B02850" w:rsidRDefault="00B02850" w:rsidP="0035194A">
            <w:pPr>
              <w:jc w:val="left"/>
            </w:pPr>
            <w:r>
              <w:t>Directors’ declaration</w:t>
            </w:r>
          </w:p>
        </w:tc>
        <w:tc>
          <w:tcPr>
            <w:tcW w:w="1127" w:type="pct"/>
          </w:tcPr>
          <w:p w:rsidR="00B02850" w:rsidRDefault="00B02850" w:rsidP="0035194A">
            <w:pPr>
              <w:jc w:val="left"/>
            </w:pPr>
            <w:r>
              <w:t>Directors’ Declaration</w:t>
            </w:r>
          </w:p>
        </w:tc>
        <w:tc>
          <w:tcPr>
            <w:tcW w:w="1601" w:type="pct"/>
          </w:tcPr>
          <w:p w:rsidR="00B02850" w:rsidRDefault="00B02850" w:rsidP="0035194A">
            <w:pPr>
              <w:jc w:val="left"/>
            </w:pPr>
            <w:r>
              <w:t>Financial Statement Certification/Statement by the Vice-Chancellor and Chief Financial Officer</w:t>
            </w:r>
          </w:p>
        </w:tc>
        <w:tc>
          <w:tcPr>
            <w:tcW w:w="1147" w:type="pct"/>
          </w:tcPr>
          <w:p w:rsidR="00B02850" w:rsidRDefault="00B02850" w:rsidP="0035194A">
            <w:pPr>
              <w:jc w:val="left"/>
            </w:pPr>
            <w:r>
              <w:t>Statement by Members of the Board</w:t>
            </w:r>
          </w:p>
        </w:tc>
      </w:tr>
    </w:tbl>
    <w:p w:rsidR="00B02850" w:rsidRDefault="00B02850" w:rsidP="00B02850">
      <w:pPr>
        <w:spacing w:after="200" w:line="276" w:lineRule="auto"/>
      </w:pPr>
      <w:r w:rsidRPr="00B93C3C">
        <w:rPr>
          <w:b/>
        </w:rPr>
        <w:t>Note:</w:t>
      </w:r>
      <w:r>
        <w:t xml:space="preserve"> The examples listed above are not exhaustive and terminology differences may exist between providers. </w:t>
      </w:r>
    </w:p>
    <w:p w:rsidR="00B02850" w:rsidRPr="00863630" w:rsidRDefault="00B02850" w:rsidP="00B02850">
      <w:pPr>
        <w:pStyle w:val="Heading2"/>
      </w:pPr>
      <w:r>
        <w:t>Resources and references</w:t>
      </w:r>
    </w:p>
    <w:p w:rsidR="00B02850" w:rsidRDefault="00B02850" w:rsidP="00B02850">
      <w:pPr>
        <w:spacing w:after="200" w:line="276" w:lineRule="auto"/>
      </w:pPr>
      <w:r>
        <w:rPr>
          <w:rFonts w:cstheme="minorHAnsi"/>
          <w:iCs/>
        </w:rPr>
        <w:t xml:space="preserve">Australian Government, </w:t>
      </w:r>
      <w:r w:rsidRPr="003C6F59">
        <w:rPr>
          <w:rFonts w:cstheme="minorHAnsi"/>
          <w:i/>
          <w:iCs/>
        </w:rPr>
        <w:t>Corporations Act</w:t>
      </w:r>
      <w:r>
        <w:rPr>
          <w:rFonts w:cstheme="minorHAnsi"/>
          <w:iCs/>
        </w:rPr>
        <w:t xml:space="preserve"> </w:t>
      </w:r>
      <w:r w:rsidRPr="00D74B8F">
        <w:rPr>
          <w:rFonts w:cstheme="minorHAnsi"/>
          <w:i/>
          <w:iCs/>
        </w:rPr>
        <w:t>2001</w:t>
      </w:r>
      <w:r>
        <w:rPr>
          <w:rFonts w:cstheme="minorHAnsi"/>
          <w:iCs/>
        </w:rPr>
        <w:t>, section 295.</w:t>
      </w:r>
    </w:p>
    <w:p w:rsidR="00B02850" w:rsidRDefault="00B02850" w:rsidP="00B02850">
      <w:pPr>
        <w:spacing w:after="200" w:line="276" w:lineRule="auto"/>
        <w:rPr>
          <w:rFonts w:cstheme="minorHAnsi"/>
          <w:iCs/>
        </w:rPr>
      </w:pPr>
      <w:r w:rsidRPr="005D2422">
        <w:rPr>
          <w:rFonts w:cstheme="minorHAnsi"/>
          <w:iCs/>
        </w:rPr>
        <w:t>TEQSA</w:t>
      </w:r>
      <w:r>
        <w:rPr>
          <w:rFonts w:cstheme="minorHAnsi"/>
          <w:iCs/>
        </w:rPr>
        <w:t xml:space="preserve"> (2016)</w:t>
      </w:r>
      <w:r w:rsidRPr="005D2422">
        <w:rPr>
          <w:rFonts w:cstheme="minorHAnsi"/>
          <w:iCs/>
        </w:rPr>
        <w:t xml:space="preserve">, </w:t>
      </w:r>
      <w:r w:rsidRPr="005D2422">
        <w:rPr>
          <w:rFonts w:cstheme="minorHAnsi"/>
          <w:i/>
          <w:iCs/>
        </w:rPr>
        <w:t>Explanations of terms in Part A of the HES Framework 2015</w:t>
      </w:r>
      <w:r w:rsidRPr="005D2422">
        <w:rPr>
          <w:rFonts w:cstheme="minorHAnsi"/>
          <w:iCs/>
        </w:rPr>
        <w:t>, &lt;</w:t>
      </w:r>
      <w:hyperlink r:id="rId11" w:history="1">
        <w:r w:rsidRPr="005D2422">
          <w:rPr>
            <w:rStyle w:val="Hyperlink"/>
          </w:rPr>
          <w:t>http://www.teqsa.gov.au/explanations-hes-framework-terms</w:t>
        </w:r>
      </w:hyperlink>
      <w:r w:rsidRPr="005D2422">
        <w:rPr>
          <w:rFonts w:cstheme="minorHAnsi"/>
          <w:iCs/>
        </w:rPr>
        <w:t>&gt;.</w:t>
      </w:r>
    </w:p>
    <w:p w:rsidR="00343908" w:rsidRPr="00343908" w:rsidRDefault="00343908" w:rsidP="00B02850">
      <w:pPr>
        <w:spacing w:after="200" w:line="276" w:lineRule="auto"/>
        <w:rPr>
          <w:rFonts w:cstheme="minorHAnsi"/>
          <w:i/>
          <w:iCs/>
        </w:rPr>
      </w:pPr>
    </w:p>
    <w:p w:rsidR="00343908" w:rsidRPr="00343908" w:rsidRDefault="00343908" w:rsidP="00B02850">
      <w:pPr>
        <w:spacing w:after="200" w:line="276" w:lineRule="auto"/>
        <w:rPr>
          <w:rFonts w:cstheme="minorHAnsi"/>
          <w:i/>
          <w:iCs/>
        </w:rPr>
      </w:pPr>
      <w:r w:rsidRPr="00343908">
        <w:rPr>
          <w:rFonts w:cstheme="minorHAnsi"/>
          <w:i/>
          <w:iCs/>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rsidR="00B02850" w:rsidRDefault="00B02850" w:rsidP="00B02850">
      <w:pPr>
        <w:spacing w:after="200" w:line="276" w:lineRule="auto"/>
        <w:rPr>
          <w:rFonts w:cstheme="minorHAnsi"/>
          <w:iC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02850" w:rsidRPr="00110318" w:rsidTr="0073304B">
        <w:trPr>
          <w:tblHeader/>
        </w:trPr>
        <w:tc>
          <w:tcPr>
            <w:tcW w:w="1276" w:type="dxa"/>
            <w:tcBorders>
              <w:top w:val="single" w:sz="8" w:space="0" w:color="999999"/>
              <w:left w:val="single" w:sz="8" w:space="0" w:color="999999"/>
              <w:bottom w:val="single" w:sz="4" w:space="0" w:color="auto"/>
              <w:right w:val="single" w:sz="8" w:space="0" w:color="999999"/>
            </w:tcBorders>
            <w:shd w:val="clear" w:color="auto" w:fill="003B45" w:themeFill="accent2"/>
            <w:tcMar>
              <w:top w:w="100" w:type="dxa"/>
              <w:left w:w="100" w:type="dxa"/>
              <w:bottom w:w="100" w:type="dxa"/>
              <w:right w:w="100" w:type="dxa"/>
            </w:tcMar>
            <w:hideMark/>
          </w:tcPr>
          <w:p w:rsidR="00B02850" w:rsidRPr="009C4E44" w:rsidRDefault="00B02850" w:rsidP="0035194A">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rsidR="00B02850" w:rsidRPr="009C4E44" w:rsidRDefault="00B02850" w:rsidP="0035194A">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rsidR="00B02850" w:rsidRPr="009C4E44" w:rsidRDefault="00B02850" w:rsidP="0035194A">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B02850" w:rsidTr="0073304B">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02850" w:rsidRDefault="00B02850" w:rsidP="0035194A">
            <w:pPr>
              <w:pStyle w:val="Normal1"/>
              <w:spacing w:line="240" w:lineRule="auto"/>
              <w:rPr>
                <w:sz w:val="20"/>
                <w:szCs w:val="20"/>
                <w:lang w:val="en-US"/>
              </w:rPr>
            </w:pPr>
            <w:r>
              <w:rPr>
                <w:sz w:val="20"/>
                <w:szCs w:val="20"/>
                <w:lang w:val="en-US"/>
              </w:rPr>
              <w:t>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02850" w:rsidRDefault="00B02850" w:rsidP="0035194A">
            <w:pPr>
              <w:pStyle w:val="Normal1"/>
              <w:spacing w:line="240" w:lineRule="auto"/>
              <w:rPr>
                <w:sz w:val="20"/>
                <w:szCs w:val="20"/>
                <w:lang w:val="en-US"/>
              </w:rPr>
            </w:pPr>
            <w:r w:rsidRPr="006A22F0">
              <w:rPr>
                <w:sz w:val="20"/>
                <w:szCs w:val="20"/>
                <w:lang w:val="en-US"/>
              </w:rPr>
              <w:t>19 August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02850" w:rsidRDefault="00B02850" w:rsidP="0035194A">
            <w:pPr>
              <w:pStyle w:val="Normal1"/>
              <w:tabs>
                <w:tab w:val="left" w:pos="1739"/>
              </w:tabs>
              <w:spacing w:line="240" w:lineRule="auto"/>
              <w:rPr>
                <w:sz w:val="20"/>
                <w:szCs w:val="20"/>
                <w:lang w:val="en-US"/>
              </w:rPr>
            </w:pPr>
            <w:r>
              <w:rPr>
                <w:sz w:val="20"/>
                <w:szCs w:val="20"/>
                <w:lang w:val="en-US"/>
              </w:rPr>
              <w:t>M</w:t>
            </w:r>
            <w:r w:rsidRPr="00A30291">
              <w:rPr>
                <w:sz w:val="20"/>
                <w:szCs w:val="20"/>
                <w:lang w:val="en-US"/>
              </w:rPr>
              <w:t>ade available as beta version for consultation.</w:t>
            </w:r>
            <w:r>
              <w:rPr>
                <w:sz w:val="20"/>
                <w:szCs w:val="20"/>
                <w:lang w:val="en-US"/>
              </w:rPr>
              <w:tab/>
            </w:r>
          </w:p>
        </w:tc>
      </w:tr>
      <w:tr w:rsidR="00B02850" w:rsidTr="0073304B">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02850" w:rsidRDefault="00B02850" w:rsidP="0035194A">
            <w:pPr>
              <w:pStyle w:val="Normal1"/>
              <w:spacing w:line="240" w:lineRule="auto"/>
              <w:rPr>
                <w:sz w:val="20"/>
                <w:szCs w:val="20"/>
                <w:lang w:val="en-US"/>
              </w:rPr>
            </w:pPr>
            <w:r>
              <w:rPr>
                <w:sz w:val="20"/>
                <w:szCs w:val="20"/>
                <w:lang w:val="en-US"/>
              </w:rPr>
              <w:t>2.0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02850" w:rsidRPr="006A22F0" w:rsidRDefault="00B02850" w:rsidP="0035194A">
            <w:pPr>
              <w:pStyle w:val="Normal1"/>
              <w:spacing w:line="240" w:lineRule="auto"/>
              <w:rPr>
                <w:sz w:val="20"/>
                <w:szCs w:val="20"/>
                <w:lang w:val="en-US"/>
              </w:rPr>
            </w:pPr>
            <w:r>
              <w:rPr>
                <w:sz w:val="20"/>
                <w:szCs w:val="20"/>
                <w:lang w:val="en-US"/>
              </w:rPr>
              <w:t>4 November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02850" w:rsidRDefault="00B02850" w:rsidP="0035194A">
            <w:pPr>
              <w:pStyle w:val="Normal1"/>
              <w:tabs>
                <w:tab w:val="left" w:pos="1739"/>
              </w:tabs>
              <w:spacing w:line="240" w:lineRule="auto"/>
              <w:rPr>
                <w:sz w:val="20"/>
                <w:szCs w:val="20"/>
                <w:lang w:val="en-US"/>
              </w:rPr>
            </w:pPr>
            <w:r>
              <w:rPr>
                <w:sz w:val="20"/>
                <w:szCs w:val="20"/>
                <w:lang w:val="en-US"/>
              </w:rPr>
              <w:t>Further elaboration provided in the ‘</w:t>
            </w:r>
            <w:r w:rsidRPr="00064417">
              <w:rPr>
                <w:i/>
                <w:sz w:val="20"/>
                <w:szCs w:val="20"/>
                <w:lang w:val="en-US"/>
              </w:rPr>
              <w:t>How can providers meet the requirements?</w:t>
            </w:r>
            <w:r>
              <w:rPr>
                <w:i/>
                <w:sz w:val="20"/>
                <w:szCs w:val="20"/>
                <w:lang w:val="en-US"/>
              </w:rPr>
              <w:t>’</w:t>
            </w:r>
            <w:r>
              <w:rPr>
                <w:sz w:val="20"/>
                <w:szCs w:val="20"/>
                <w:lang w:val="en-US"/>
              </w:rPr>
              <w:t xml:space="preserve"> section.</w:t>
            </w:r>
          </w:p>
        </w:tc>
      </w:tr>
      <w:tr w:rsidR="00B02850" w:rsidTr="0073304B">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02850" w:rsidRDefault="00B02850" w:rsidP="0035194A">
            <w:pPr>
              <w:pStyle w:val="Normal1"/>
              <w:spacing w:line="240" w:lineRule="auto"/>
              <w:rPr>
                <w:sz w:val="20"/>
                <w:szCs w:val="20"/>
                <w:lang w:val="en-US"/>
              </w:rPr>
            </w:pPr>
            <w:r>
              <w:rPr>
                <w:sz w:val="20"/>
                <w:szCs w:val="20"/>
                <w:lang w:val="en-US"/>
              </w:rPr>
              <w:t>2.1</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02850" w:rsidRDefault="00B02850" w:rsidP="0035194A">
            <w:pPr>
              <w:pStyle w:val="Normal1"/>
              <w:spacing w:line="240" w:lineRule="auto"/>
              <w:rPr>
                <w:sz w:val="20"/>
                <w:szCs w:val="20"/>
                <w:lang w:val="en-US"/>
              </w:rPr>
            </w:pPr>
            <w:r>
              <w:rPr>
                <w:sz w:val="20"/>
                <w:szCs w:val="20"/>
                <w:lang w:val="en-US"/>
              </w:rPr>
              <w:t>13 December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02850" w:rsidRDefault="00B02850" w:rsidP="0035194A">
            <w:pPr>
              <w:pStyle w:val="Normal1"/>
              <w:tabs>
                <w:tab w:val="left" w:pos="1739"/>
              </w:tabs>
              <w:spacing w:line="240" w:lineRule="auto"/>
              <w:rPr>
                <w:sz w:val="20"/>
                <w:szCs w:val="20"/>
                <w:lang w:val="en-US"/>
              </w:rPr>
            </w:pPr>
            <w:r>
              <w:rPr>
                <w:sz w:val="20"/>
                <w:szCs w:val="20"/>
                <w:lang w:val="en-US"/>
              </w:rPr>
              <w:t>Requirements for newly registered providers clarified.</w:t>
            </w:r>
          </w:p>
        </w:tc>
      </w:tr>
      <w:tr w:rsidR="00864F61" w:rsidTr="0073304B">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64F61" w:rsidRDefault="00864F61" w:rsidP="0035194A">
            <w:pPr>
              <w:pStyle w:val="Normal1"/>
              <w:spacing w:line="240" w:lineRule="auto"/>
              <w:rPr>
                <w:sz w:val="20"/>
                <w:szCs w:val="20"/>
                <w:lang w:val="en-US"/>
              </w:rPr>
            </w:pPr>
            <w:r>
              <w:rPr>
                <w:sz w:val="20"/>
                <w:szCs w:val="20"/>
                <w:lang w:val="en-US"/>
              </w:rPr>
              <w:t>2.2</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64F61" w:rsidRDefault="00C33975" w:rsidP="0035194A">
            <w:pPr>
              <w:pStyle w:val="Normal1"/>
              <w:spacing w:line="240" w:lineRule="auto"/>
              <w:rPr>
                <w:sz w:val="20"/>
                <w:szCs w:val="20"/>
                <w:lang w:val="en-US"/>
              </w:rPr>
            </w:pPr>
            <w:r>
              <w:rPr>
                <w:sz w:val="20"/>
                <w:szCs w:val="20"/>
                <w:lang w:val="en-US"/>
              </w:rPr>
              <w:t>11</w:t>
            </w:r>
            <w:r w:rsidR="007C2729">
              <w:rPr>
                <w:sz w:val="20"/>
                <w:szCs w:val="20"/>
                <w:lang w:val="en-US"/>
              </w:rPr>
              <w:t xml:space="preserve"> April</w:t>
            </w:r>
            <w:r w:rsidR="00864F61">
              <w:rPr>
                <w:sz w:val="20"/>
                <w:szCs w:val="20"/>
                <w:lang w:val="en-US"/>
              </w:rPr>
              <w:t xml:space="preserve"> 2019</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64F61" w:rsidRDefault="00864F61" w:rsidP="0035194A">
            <w:pPr>
              <w:pStyle w:val="Normal1"/>
              <w:tabs>
                <w:tab w:val="left" w:pos="1739"/>
              </w:tabs>
              <w:spacing w:line="240" w:lineRule="auto"/>
              <w:rPr>
                <w:sz w:val="20"/>
                <w:szCs w:val="20"/>
                <w:lang w:val="en-US"/>
              </w:rPr>
            </w:pPr>
            <w:r>
              <w:rPr>
                <w:sz w:val="20"/>
                <w:szCs w:val="20"/>
                <w:lang w:val="en-US"/>
              </w:rPr>
              <w:t>Consultation advice incorporated into “Appendix A, example Statement of Financial Standing”.</w:t>
            </w:r>
          </w:p>
        </w:tc>
      </w:tr>
    </w:tbl>
    <w:p w:rsidR="00B02850" w:rsidRDefault="00B02850" w:rsidP="00B02850">
      <w:pPr>
        <w:spacing w:before="0" w:after="200" w:line="276" w:lineRule="auto"/>
      </w:pPr>
      <w:r>
        <w:br w:type="page"/>
      </w:r>
    </w:p>
    <w:p w:rsidR="00B02850" w:rsidRPr="00B14B44" w:rsidRDefault="00B02850" w:rsidP="00015FEA">
      <w:pPr>
        <w:pStyle w:val="Heading2"/>
        <w:rPr>
          <w:lang w:val="en-US"/>
        </w:rPr>
      </w:pPr>
      <w:bookmarkStart w:id="1" w:name="_Toc443646400"/>
      <w:r w:rsidRPr="009D7DED">
        <w:rPr>
          <w:lang w:val="en-US"/>
        </w:rPr>
        <w:lastRenderedPageBreak/>
        <w:t>Appendix A</w:t>
      </w:r>
      <w:bookmarkEnd w:id="1"/>
    </w:p>
    <w:p w:rsidR="00B02850" w:rsidRPr="00F8789C" w:rsidRDefault="00B02850" w:rsidP="00B02850">
      <w:pPr>
        <w:pStyle w:val="Heading3"/>
      </w:pPr>
      <w:r w:rsidRPr="00F8789C">
        <w:t xml:space="preserve">Example Statement of Financial Standing </w:t>
      </w:r>
    </w:p>
    <w:p w:rsidR="00B02850" w:rsidRPr="00F8789C" w:rsidRDefault="00B02850" w:rsidP="00B02850">
      <w:pPr>
        <w:pStyle w:val="Heading4"/>
        <w:spacing w:after="120"/>
        <w:ind w:left="350"/>
      </w:pPr>
      <w:r w:rsidRPr="00F8789C">
        <w:t>Provider details</w:t>
      </w:r>
    </w:p>
    <w:p w:rsidR="00B02850" w:rsidRPr="00B93C3C" w:rsidRDefault="00B02850" w:rsidP="00015FEA">
      <w:pPr>
        <w:pStyle w:val="Bullet1"/>
      </w:pPr>
      <w:r w:rsidRPr="00B93C3C">
        <w:t>Provider Name: XYZ Pty Ltd</w:t>
      </w:r>
    </w:p>
    <w:p w:rsidR="00B02850" w:rsidRPr="00B93C3C" w:rsidRDefault="00B02850" w:rsidP="00015FEA">
      <w:pPr>
        <w:pStyle w:val="Bullet1"/>
      </w:pPr>
      <w:r w:rsidRPr="00B93C3C">
        <w:t>ABN: 999 999 999</w:t>
      </w:r>
    </w:p>
    <w:p w:rsidR="00B02850" w:rsidRDefault="00B02850" w:rsidP="00015FEA">
      <w:pPr>
        <w:pStyle w:val="Bullet1"/>
      </w:pPr>
      <w:r w:rsidRPr="00B93C3C">
        <w:t>Date of Statement of Financial Standing: DD/MM/YYYY</w:t>
      </w:r>
      <w:r>
        <w:br/>
      </w:r>
    </w:p>
    <w:p w:rsidR="00B02850" w:rsidRPr="00F8789C" w:rsidRDefault="00B02850" w:rsidP="00B0464B">
      <w:pPr>
        <w:pStyle w:val="Heading4"/>
        <w:numPr>
          <w:ilvl w:val="0"/>
          <w:numId w:val="13"/>
        </w:numPr>
        <w:spacing w:before="200" w:after="0"/>
        <w:ind w:left="851"/>
      </w:pPr>
      <w:r w:rsidRPr="00F8789C">
        <w:t>Directors</w:t>
      </w:r>
      <w:r>
        <w:t>’</w:t>
      </w:r>
      <w:r w:rsidRPr="00F8789C">
        <w:t xml:space="preserve"> declaration or equivalent (Refer</w:t>
      </w:r>
      <w:r>
        <w:t xml:space="preserve"> to</w:t>
      </w:r>
      <w:r w:rsidRPr="00F8789C">
        <w:t xml:space="preserve"> Table 1)</w:t>
      </w:r>
    </w:p>
    <w:p w:rsidR="00B02850" w:rsidRPr="00DA5297" w:rsidRDefault="00B02850" w:rsidP="00B0464B">
      <w:pPr>
        <w:pStyle w:val="Heading5"/>
        <w:spacing w:before="40" w:after="160"/>
        <w:ind w:left="851"/>
      </w:pPr>
      <w:r w:rsidRPr="00DA5297">
        <w:t xml:space="preserve">Note to providers: </w:t>
      </w:r>
    </w:p>
    <w:p w:rsidR="00B02850" w:rsidRPr="00DA5297" w:rsidRDefault="00B02850" w:rsidP="00B0464B">
      <w:pPr>
        <w:ind w:left="851"/>
        <w:contextualSpacing/>
      </w:pPr>
      <w:r w:rsidRPr="00FE4AE6">
        <w:t>The directors</w:t>
      </w:r>
      <w:r>
        <w:t>’</w:t>
      </w:r>
      <w:r w:rsidRPr="00FE4AE6">
        <w:t xml:space="preserve"> declaration should </w:t>
      </w:r>
      <w:r w:rsidRPr="00DA5297">
        <w:t>include</w:t>
      </w:r>
      <w:r>
        <w:t xml:space="preserve"> the</w:t>
      </w:r>
      <w:r w:rsidRPr="00DA5297">
        <w:t xml:space="preserve">: </w:t>
      </w:r>
    </w:p>
    <w:p w:rsidR="00B02850" w:rsidRPr="00B93C3C" w:rsidRDefault="00B02850" w:rsidP="00015FEA">
      <w:pPr>
        <w:pStyle w:val="Bullet1"/>
      </w:pPr>
      <w:r>
        <w:t>d</w:t>
      </w:r>
      <w:r w:rsidRPr="00B93C3C">
        <w:t>irectors</w:t>
      </w:r>
      <w:r>
        <w:t>’</w:t>
      </w:r>
      <w:r w:rsidRPr="00B93C3C">
        <w:t xml:space="preserve"> opinion regarding the provider’s ability to pay its debts as and w</w:t>
      </w:r>
      <w:r>
        <w:t>hen they become due and payable</w:t>
      </w:r>
    </w:p>
    <w:p w:rsidR="00B02850" w:rsidRPr="00B93C3C" w:rsidRDefault="00B02850" w:rsidP="00015FEA">
      <w:pPr>
        <w:pStyle w:val="Bullet1"/>
      </w:pPr>
      <w:r>
        <w:t>s</w:t>
      </w:r>
      <w:r w:rsidRPr="00B93C3C">
        <w:t>ignature and name of the director/s making the declaration</w:t>
      </w:r>
      <w:r>
        <w:t>, and</w:t>
      </w:r>
    </w:p>
    <w:p w:rsidR="00B02850" w:rsidRPr="00F8789C" w:rsidRDefault="00B02850" w:rsidP="00015FEA">
      <w:pPr>
        <w:pStyle w:val="Bullet1"/>
        <w:rPr>
          <w:b/>
        </w:rPr>
      </w:pPr>
      <w:r>
        <w:rPr>
          <w:rFonts w:cs="Arial"/>
        </w:rPr>
        <w:t>d</w:t>
      </w:r>
      <w:r w:rsidRPr="00B93C3C">
        <w:rPr>
          <w:rFonts w:cs="Arial"/>
        </w:rPr>
        <w:t xml:space="preserve">ate that the </w:t>
      </w:r>
      <w:r w:rsidRPr="00221841">
        <w:t>directors’</w:t>
      </w:r>
      <w:r w:rsidRPr="00B93C3C">
        <w:rPr>
          <w:rFonts w:cs="Arial"/>
        </w:rPr>
        <w:t xml:space="preserve"> declaration was made</w:t>
      </w:r>
      <w:r>
        <w:rPr>
          <w:rFonts w:cs="Arial"/>
        </w:rPr>
        <w:t xml:space="preserve"> </w:t>
      </w:r>
      <w:r>
        <w:br/>
      </w:r>
    </w:p>
    <w:p w:rsidR="00B02850" w:rsidRPr="00B93C3C" w:rsidRDefault="00B02850" w:rsidP="00B0464B">
      <w:pPr>
        <w:pStyle w:val="Heading4"/>
        <w:numPr>
          <w:ilvl w:val="0"/>
          <w:numId w:val="13"/>
        </w:numPr>
        <w:spacing w:before="200" w:after="0"/>
        <w:ind w:left="851"/>
      </w:pPr>
      <w:r w:rsidRPr="00F8789C">
        <w:t xml:space="preserve">Auditor’s opinion </w:t>
      </w:r>
    </w:p>
    <w:p w:rsidR="00B02850" w:rsidRPr="00DA5297" w:rsidRDefault="00B02850" w:rsidP="00B0464B">
      <w:pPr>
        <w:pStyle w:val="Heading5"/>
        <w:spacing w:before="40" w:after="160"/>
        <w:ind w:left="851"/>
      </w:pPr>
      <w:r w:rsidRPr="00DA5297">
        <w:t xml:space="preserve">Note to providers: </w:t>
      </w:r>
    </w:p>
    <w:p w:rsidR="00B02850" w:rsidRPr="00B046BD" w:rsidRDefault="00B02850" w:rsidP="00B0464B">
      <w:pPr>
        <w:ind w:left="851"/>
        <w:contextualSpacing/>
      </w:pPr>
      <w:r w:rsidRPr="00B046BD">
        <w:t>The auditor’s opinion should include:</w:t>
      </w:r>
    </w:p>
    <w:p w:rsidR="00B02850" w:rsidRPr="00B93C3C" w:rsidRDefault="00B02850" w:rsidP="00015FEA">
      <w:pPr>
        <w:pStyle w:val="Bullet1"/>
        <w:rPr>
          <w:rFonts w:cs="Arial"/>
        </w:rPr>
      </w:pPr>
      <w:r>
        <w:rPr>
          <w:rFonts w:cs="Arial"/>
        </w:rPr>
        <w:t xml:space="preserve">the </w:t>
      </w:r>
      <w:r w:rsidRPr="00221841">
        <w:t>name</w:t>
      </w:r>
      <w:r w:rsidRPr="00B93C3C">
        <w:rPr>
          <w:rFonts w:cs="Arial"/>
        </w:rPr>
        <w:t xml:space="preserve"> of the auditor</w:t>
      </w:r>
    </w:p>
    <w:p w:rsidR="00B02850" w:rsidRPr="00B93C3C" w:rsidRDefault="00B02850" w:rsidP="00015FEA">
      <w:pPr>
        <w:pStyle w:val="Bullet1"/>
        <w:rPr>
          <w:rFonts w:cs="Arial"/>
        </w:rPr>
      </w:pPr>
      <w:r>
        <w:rPr>
          <w:rFonts w:cs="Arial"/>
        </w:rPr>
        <w:t>the d</w:t>
      </w:r>
      <w:r w:rsidRPr="00B93C3C">
        <w:rPr>
          <w:rFonts w:cs="Arial"/>
        </w:rPr>
        <w:t xml:space="preserve">ate of </w:t>
      </w:r>
      <w:r w:rsidRPr="00221841">
        <w:t>the</w:t>
      </w:r>
      <w:r w:rsidRPr="00B93C3C">
        <w:rPr>
          <w:rFonts w:cs="Arial"/>
        </w:rPr>
        <w:t xml:space="preserve"> audit opinion</w:t>
      </w:r>
    </w:p>
    <w:p w:rsidR="00B02850" w:rsidRPr="00B93C3C" w:rsidRDefault="00B02850" w:rsidP="00015FEA">
      <w:pPr>
        <w:pStyle w:val="Bullet1"/>
        <w:rPr>
          <w:rFonts w:cs="Arial"/>
        </w:rPr>
      </w:pPr>
      <w:r>
        <w:rPr>
          <w:rFonts w:cs="Arial"/>
        </w:rPr>
        <w:t>the a</w:t>
      </w:r>
      <w:r w:rsidRPr="00B93C3C">
        <w:rPr>
          <w:rFonts w:cs="Arial"/>
        </w:rPr>
        <w:t xml:space="preserve">uditor’s </w:t>
      </w:r>
      <w:r w:rsidRPr="00221841">
        <w:t>opinion</w:t>
      </w:r>
      <w:r>
        <w:rPr>
          <w:rFonts w:cs="Arial"/>
        </w:rPr>
        <w:t>, and</w:t>
      </w:r>
      <w:r w:rsidRPr="00B93C3C">
        <w:rPr>
          <w:rFonts w:cs="Arial"/>
        </w:rPr>
        <w:t xml:space="preserve"> </w:t>
      </w:r>
    </w:p>
    <w:p w:rsidR="00B02850" w:rsidRPr="00FE4AE6" w:rsidRDefault="00B02850" w:rsidP="00015FEA">
      <w:pPr>
        <w:pStyle w:val="Bullet1"/>
        <w:rPr>
          <w:rFonts w:cs="Arial"/>
          <w:szCs w:val="20"/>
        </w:rPr>
      </w:pPr>
      <w:proofErr w:type="gramStart"/>
      <w:r>
        <w:rPr>
          <w:rFonts w:cs="Arial"/>
        </w:rPr>
        <w:t>a</w:t>
      </w:r>
      <w:proofErr w:type="gramEnd"/>
      <w:r>
        <w:rPr>
          <w:rFonts w:cs="Arial"/>
        </w:rPr>
        <w:t xml:space="preserve"> </w:t>
      </w:r>
      <w:r w:rsidRPr="00221841">
        <w:t>reproduction</w:t>
      </w:r>
      <w:r>
        <w:rPr>
          <w:rFonts w:cs="Arial"/>
        </w:rPr>
        <w:t xml:space="preserve"> of the </w:t>
      </w:r>
      <w:r w:rsidRPr="00B93C3C">
        <w:rPr>
          <w:rFonts w:cs="Arial"/>
        </w:rPr>
        <w:t xml:space="preserve">going concern note </w:t>
      </w:r>
      <w:r>
        <w:rPr>
          <w:rFonts w:cs="Arial"/>
        </w:rPr>
        <w:t>(w</w:t>
      </w:r>
      <w:r w:rsidRPr="00B93C3C">
        <w:rPr>
          <w:rFonts w:cs="Arial"/>
        </w:rPr>
        <w:t>here an auditor’s opinion relies on a going concern note in the financial statements</w:t>
      </w:r>
      <w:r>
        <w:rPr>
          <w:rFonts w:cs="Arial"/>
        </w:rPr>
        <w:t>)</w:t>
      </w:r>
      <w:r w:rsidRPr="00B93C3C">
        <w:rPr>
          <w:rFonts w:cs="Arial"/>
        </w:rPr>
        <w:t>.</w:t>
      </w:r>
      <w:r w:rsidRPr="00FE4AE6" w:rsidDel="00FE4AE6">
        <w:rPr>
          <w:rFonts w:cs="Arial"/>
          <w:szCs w:val="20"/>
        </w:rPr>
        <w:t xml:space="preserve"> </w:t>
      </w:r>
      <w:r w:rsidRPr="00FE4AE6">
        <w:rPr>
          <w:rFonts w:cs="Arial"/>
          <w:szCs w:val="20"/>
        </w:rPr>
        <w:br/>
      </w:r>
    </w:p>
    <w:p w:rsidR="00B02850" w:rsidRPr="00F8789C" w:rsidRDefault="00B02850" w:rsidP="00B0464B">
      <w:pPr>
        <w:pStyle w:val="Heading4"/>
        <w:numPr>
          <w:ilvl w:val="0"/>
          <w:numId w:val="13"/>
        </w:numPr>
        <w:spacing w:before="200" w:after="0"/>
        <w:ind w:left="851"/>
      </w:pPr>
      <w:r w:rsidRPr="00F8789C">
        <w:t xml:space="preserve">Tuition Assurance </w:t>
      </w:r>
      <w:r w:rsidR="00E701B4">
        <w:t xml:space="preserve">Arrangement </w:t>
      </w:r>
      <w:r w:rsidRPr="00F8789C">
        <w:t>details</w:t>
      </w:r>
    </w:p>
    <w:p w:rsidR="00B02850" w:rsidRPr="00DA5297" w:rsidRDefault="00B02850" w:rsidP="00B0464B">
      <w:pPr>
        <w:pStyle w:val="Heading5"/>
        <w:spacing w:before="40" w:after="160"/>
        <w:ind w:left="851"/>
      </w:pPr>
      <w:r w:rsidRPr="00DA5297">
        <w:t>Note to providers:</w:t>
      </w:r>
    </w:p>
    <w:p w:rsidR="00B02850" w:rsidRPr="00B51A8F" w:rsidRDefault="00C33975" w:rsidP="00E701B4">
      <w:pPr>
        <w:ind w:left="709"/>
        <w:rPr>
          <w:rFonts w:cs="Arial"/>
        </w:rPr>
      </w:pPr>
      <w:r>
        <w:rPr>
          <w:rFonts w:cs="Arial"/>
        </w:rPr>
        <w:t>The</w:t>
      </w:r>
      <w:r w:rsidR="00B51A8F" w:rsidRPr="00B51A8F">
        <w:rPr>
          <w:rFonts w:cs="Arial"/>
        </w:rPr>
        <w:t xml:space="preserve"> tuition assurance arrangements should include:</w:t>
      </w:r>
      <w:r w:rsidR="00B02850" w:rsidRPr="00B51A8F">
        <w:rPr>
          <w:rFonts w:cs="Arial"/>
        </w:rPr>
        <w:t xml:space="preserve"> </w:t>
      </w:r>
    </w:p>
    <w:p w:rsidR="00B51A8F" w:rsidRDefault="00864F61" w:rsidP="00015FEA">
      <w:pPr>
        <w:pStyle w:val="Bullet1"/>
        <w:rPr>
          <w:rFonts w:cs="Arial"/>
        </w:rPr>
      </w:pPr>
      <w:r>
        <w:rPr>
          <w:rFonts w:cs="Arial"/>
        </w:rPr>
        <w:t xml:space="preserve">the </w:t>
      </w:r>
      <w:r w:rsidR="00E701B4">
        <w:rPr>
          <w:rFonts w:cs="Arial"/>
        </w:rPr>
        <w:t xml:space="preserve">name of the scheme </w:t>
      </w:r>
    </w:p>
    <w:p w:rsidR="00E701B4" w:rsidRDefault="00221841" w:rsidP="00015FEA">
      <w:pPr>
        <w:pStyle w:val="Bullet1"/>
        <w:rPr>
          <w:rFonts w:cs="Arial"/>
        </w:rPr>
      </w:pPr>
      <w:r>
        <w:rPr>
          <w:rFonts w:cs="Arial"/>
        </w:rPr>
        <w:t>d</w:t>
      </w:r>
      <w:r w:rsidR="00E701B4">
        <w:rPr>
          <w:rFonts w:cs="Arial"/>
        </w:rPr>
        <w:t>ate of registration as a member of the scheme</w:t>
      </w:r>
    </w:p>
    <w:p w:rsidR="00E701B4" w:rsidRPr="00556346" w:rsidRDefault="00221841" w:rsidP="00015FEA">
      <w:pPr>
        <w:pStyle w:val="Bullet1"/>
        <w:rPr>
          <w:rFonts w:cs="Arial"/>
        </w:rPr>
      </w:pPr>
      <w:proofErr w:type="gramStart"/>
      <w:r>
        <w:rPr>
          <w:rFonts w:cs="Arial"/>
        </w:rPr>
        <w:t>c</w:t>
      </w:r>
      <w:r w:rsidR="00E701B4">
        <w:rPr>
          <w:rFonts w:cs="Arial"/>
        </w:rPr>
        <w:t>urrency</w:t>
      </w:r>
      <w:proofErr w:type="gramEnd"/>
      <w:r w:rsidR="00E701B4">
        <w:rPr>
          <w:rFonts w:cs="Arial"/>
        </w:rPr>
        <w:t xml:space="preserve"> of coverage, if applicable.</w:t>
      </w:r>
    </w:p>
    <w:p w:rsidR="00B02850" w:rsidRDefault="00B02850" w:rsidP="00C37610">
      <w:pPr>
        <w:spacing w:before="0" w:line="276" w:lineRule="auto"/>
        <w:ind w:left="567"/>
      </w:pPr>
      <w:r>
        <w:rPr>
          <w:rFonts w:cs="Arial"/>
          <w:i/>
          <w:szCs w:val="20"/>
        </w:rPr>
        <w:t>I</w:t>
      </w:r>
      <w:r w:rsidRPr="00B046BD">
        <w:rPr>
          <w:rFonts w:cs="Arial"/>
          <w:i/>
          <w:szCs w:val="20"/>
        </w:rPr>
        <w:t>f the provider is required to make its financial state</w:t>
      </w:r>
      <w:r>
        <w:rPr>
          <w:rFonts w:cs="Arial"/>
          <w:i/>
          <w:szCs w:val="20"/>
        </w:rPr>
        <w:t>ments public by Standard 7.3.1k:</w:t>
      </w:r>
    </w:p>
    <w:p w:rsidR="006C328D" w:rsidRPr="00B02850" w:rsidRDefault="00B02850" w:rsidP="002264E2">
      <w:pPr>
        <w:pStyle w:val="Heading4"/>
        <w:numPr>
          <w:ilvl w:val="0"/>
          <w:numId w:val="13"/>
        </w:numPr>
        <w:spacing w:before="200" w:after="0"/>
        <w:ind w:left="851"/>
      </w:pPr>
      <w:r w:rsidRPr="00B93C3C">
        <w:t xml:space="preserve">A hyperlink to the location of the provider’s financial statements </w:t>
      </w:r>
    </w:p>
    <w:sectPr w:rsidR="006C328D" w:rsidRPr="00B02850" w:rsidSect="00221841">
      <w:headerReference w:type="even" r:id="rId12"/>
      <w:headerReference w:type="default" r:id="rId13"/>
      <w:footerReference w:type="default" r:id="rId14"/>
      <w:headerReference w:type="first" r:id="rId15"/>
      <w:pgSz w:w="11906" w:h="16838"/>
      <w:pgMar w:top="1440" w:right="1440" w:bottom="1418"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C3" w:rsidRDefault="005F00C3" w:rsidP="006C328D">
      <w:pPr>
        <w:spacing w:before="0" w:after="0"/>
      </w:pPr>
      <w:r>
        <w:separator/>
      </w:r>
    </w:p>
  </w:endnote>
  <w:endnote w:type="continuationSeparator" w:id="0">
    <w:p w:rsidR="005F00C3" w:rsidRDefault="005F00C3"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2055116427"/>
      <w:docPartObj>
        <w:docPartGallery w:val="Page Numbers (Bottom of Page)"/>
        <w:docPartUnique/>
      </w:docPartObj>
    </w:sdtPr>
    <w:sdtEndPr/>
    <w:sdtContent>
      <w:sdt>
        <w:sdtPr>
          <w:rPr>
            <w:color w:val="00847E" w:themeColor="accent1"/>
            <w:sz w:val="20"/>
            <w:szCs w:val="20"/>
          </w:rPr>
          <w:id w:val="-1250041722"/>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343908">
              <w:rPr>
                <w:b/>
                <w:bCs/>
                <w:noProof/>
                <w:color w:val="00847E" w:themeColor="accent1"/>
                <w:sz w:val="20"/>
                <w:szCs w:val="20"/>
              </w:rPr>
              <w:t>4</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343908">
              <w:rPr>
                <w:b/>
                <w:bCs/>
                <w:noProof/>
                <w:color w:val="00847E" w:themeColor="accent1"/>
                <w:sz w:val="20"/>
                <w:szCs w:val="20"/>
              </w:rPr>
              <w:t>4</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C3" w:rsidRDefault="005F00C3" w:rsidP="006C328D">
      <w:pPr>
        <w:spacing w:before="0" w:after="0"/>
      </w:pPr>
      <w:r>
        <w:separator/>
      </w:r>
    </w:p>
  </w:footnote>
  <w:footnote w:type="continuationSeparator" w:id="0">
    <w:p w:rsidR="005F00C3" w:rsidRDefault="005F00C3"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3E" w:rsidRDefault="005F00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1453" o:spid="_x0000_s2050" type="#_x0000_t136" style="position:absolute;margin-left:0;margin-top:0;width:575.25pt;height:80.25pt;rotation:315;z-index:-251655168;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5D55A60A" wp14:editId="39CFBD34">
          <wp:extent cx="3228975" cy="476067"/>
          <wp:effectExtent l="0" t="0" r="0" b="635"/>
          <wp:docPr id="5" name="Picture 5"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19A391F" wp14:editId="448E542C">
          <wp:extent cx="1428750" cy="353174"/>
          <wp:effectExtent l="0" t="0" r="0" b="8890"/>
          <wp:docPr id="6" name="Picture 6"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3E" w:rsidRDefault="005F00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1452" o:spid="_x0000_s2049" type="#_x0000_t136" style="position:absolute;margin-left:0;margin-top:0;width:575.25pt;height:80.25pt;rotation:315;z-index:-251657216;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pt" o:bullet="t">
        <v:imagedata r:id="rId1" o:title="Teal-Triangles"/>
      </v:shape>
    </w:pict>
  </w:numPicBullet>
  <w:numPicBullet w:numPicBulletId="1">
    <w:pict>
      <v:shape id="_x0000_i1036" type="#_x0000_t75" style="width:1in;height:36pt" o:bullet="t">
        <v:imagedata r:id="rId2" o:title="Pink-Triangles"/>
      </v:shape>
    </w:pict>
  </w:numPicBullet>
  <w:numPicBullet w:numPicBulletId="2">
    <w:pict>
      <v:shape id="_x0000_i1037" type="#_x0000_t75" style="width:1in;height:36pt" o:bullet="t">
        <v:imagedata r:id="rId3" o:title="Yellow-Triangles"/>
      </v:shape>
    </w:pict>
  </w:numPicBullet>
  <w:abstractNum w:abstractNumId="0" w15:restartNumberingAfterBreak="0">
    <w:nsid w:val="008F10C3"/>
    <w:multiLevelType w:val="hybridMultilevel"/>
    <w:tmpl w:val="A05C7DD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710A12"/>
    <w:multiLevelType w:val="hybridMultilevel"/>
    <w:tmpl w:val="228E1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256EF2"/>
    <w:multiLevelType w:val="hybridMultilevel"/>
    <w:tmpl w:val="04FA49C0"/>
    <w:lvl w:ilvl="0" w:tplc="4BCEABDA">
      <w:start w:val="1"/>
      <w:numFmt w:val="bullet"/>
      <w:lvlText w:val=""/>
      <w:lvlJc w:val="left"/>
      <w:pPr>
        <w:ind w:left="1080" w:hanging="360"/>
      </w:pPr>
      <w:rPr>
        <w:rFonts w:ascii="Symbol" w:hAnsi="Symbol" w:hint="default"/>
        <w:color w:val="00A39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A332E"/>
    <w:multiLevelType w:val="multilevel"/>
    <w:tmpl w:val="EDDCBB3C"/>
    <w:lvl w:ilvl="0">
      <w:start w:val="1"/>
      <w:numFmt w:val="bullet"/>
      <w:pStyle w:val="Bullet1"/>
      <w:lvlText w:val=""/>
      <w:lvlJc w:val="left"/>
      <w:pPr>
        <w:ind w:left="1135" w:hanging="284"/>
      </w:pPr>
      <w:rPr>
        <w:rFonts w:ascii="Symbol" w:hAnsi="Symbol" w:hint="default"/>
        <w:color w:val="00847E" w:themeColor="accent1"/>
      </w:rPr>
    </w:lvl>
    <w:lvl w:ilvl="1">
      <w:start w:val="1"/>
      <w:numFmt w:val="bullet"/>
      <w:pStyle w:val="Bullet2"/>
      <w:lvlText w:val="–"/>
      <w:lvlJc w:val="left"/>
      <w:pPr>
        <w:ind w:left="1419" w:hanging="284"/>
      </w:pPr>
      <w:rPr>
        <w:rFonts w:ascii="Arial" w:hAnsi="Arial" w:hint="default"/>
        <w:color w:val="00847E" w:themeColor="accent1"/>
      </w:rPr>
    </w:lvl>
    <w:lvl w:ilvl="2">
      <w:start w:val="1"/>
      <w:numFmt w:val="bullet"/>
      <w:pStyle w:val="Bullet3"/>
      <w:lvlText w:val="»"/>
      <w:lvlJc w:val="left"/>
      <w:pPr>
        <w:ind w:left="1703" w:hanging="284"/>
      </w:pPr>
      <w:rPr>
        <w:rFonts w:ascii="Arial" w:hAnsi="Arial" w:hint="default"/>
        <w:color w:val="00847E" w:themeColor="accent1"/>
      </w:rPr>
    </w:lvl>
    <w:lvl w:ilvl="3">
      <w:start w:val="1"/>
      <w:numFmt w:val="decimal"/>
      <w:lvlText w:val="(%4)"/>
      <w:lvlJc w:val="left"/>
      <w:pPr>
        <w:ind w:left="1987" w:hanging="284"/>
      </w:pPr>
      <w:rPr>
        <w:rFonts w:hint="default"/>
      </w:rPr>
    </w:lvl>
    <w:lvl w:ilvl="4">
      <w:start w:val="1"/>
      <w:numFmt w:val="lowerLetter"/>
      <w:lvlText w:val="(%5)"/>
      <w:lvlJc w:val="left"/>
      <w:pPr>
        <w:ind w:left="2271" w:hanging="284"/>
      </w:pPr>
      <w:rPr>
        <w:rFonts w:hint="default"/>
      </w:rPr>
    </w:lvl>
    <w:lvl w:ilvl="5">
      <w:start w:val="1"/>
      <w:numFmt w:val="lowerRoman"/>
      <w:lvlText w:val="(%6)"/>
      <w:lvlJc w:val="left"/>
      <w:pPr>
        <w:ind w:left="2555" w:hanging="284"/>
      </w:pPr>
      <w:rPr>
        <w:rFonts w:hint="default"/>
      </w:rPr>
    </w:lvl>
    <w:lvl w:ilvl="6">
      <w:start w:val="1"/>
      <w:numFmt w:val="decimal"/>
      <w:lvlText w:val="%7."/>
      <w:lvlJc w:val="left"/>
      <w:pPr>
        <w:ind w:left="2839" w:hanging="284"/>
      </w:pPr>
      <w:rPr>
        <w:rFonts w:hint="default"/>
      </w:rPr>
    </w:lvl>
    <w:lvl w:ilvl="7">
      <w:start w:val="1"/>
      <w:numFmt w:val="lowerLetter"/>
      <w:lvlText w:val="%8."/>
      <w:lvlJc w:val="left"/>
      <w:pPr>
        <w:ind w:left="3123" w:hanging="284"/>
      </w:pPr>
      <w:rPr>
        <w:rFonts w:hint="default"/>
      </w:rPr>
    </w:lvl>
    <w:lvl w:ilvl="8">
      <w:start w:val="1"/>
      <w:numFmt w:val="lowerRoman"/>
      <w:lvlText w:val="%9."/>
      <w:lvlJc w:val="left"/>
      <w:pPr>
        <w:ind w:left="3407" w:hanging="284"/>
      </w:pPr>
      <w:rPr>
        <w:rFonts w:hint="default"/>
      </w:rPr>
    </w:lvl>
  </w:abstractNum>
  <w:abstractNum w:abstractNumId="7"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513195"/>
    <w:multiLevelType w:val="hybridMultilevel"/>
    <w:tmpl w:val="CB8C2D84"/>
    <w:lvl w:ilvl="0" w:tplc="0C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BF3E47"/>
    <w:multiLevelType w:val="hybridMultilevel"/>
    <w:tmpl w:val="CACC83F8"/>
    <w:lvl w:ilvl="0" w:tplc="4BCEABDA">
      <w:start w:val="1"/>
      <w:numFmt w:val="bullet"/>
      <w:lvlText w:val=""/>
      <w:lvlJc w:val="left"/>
      <w:pPr>
        <w:ind w:left="1080" w:hanging="360"/>
      </w:pPr>
      <w:rPr>
        <w:rFonts w:ascii="Symbol" w:hAnsi="Symbol" w:hint="default"/>
        <w:color w:val="00A39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57A0341"/>
    <w:multiLevelType w:val="hybridMultilevel"/>
    <w:tmpl w:val="B6848E72"/>
    <w:lvl w:ilvl="0" w:tplc="20DE6A7A">
      <w:start w:val="1"/>
      <w:numFmt w:val="decimal"/>
      <w:lvlText w:val="%1."/>
      <w:lvlJc w:val="left"/>
      <w:pPr>
        <w:ind w:left="720" w:hanging="360"/>
      </w:pPr>
      <w:rPr>
        <w:rFonts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615703"/>
    <w:multiLevelType w:val="multilevel"/>
    <w:tmpl w:val="803CF862"/>
    <w:lvl w:ilvl="0">
      <w:start w:val="1"/>
      <w:numFmt w:val="decimal"/>
      <w:pStyle w:val="List1Numbered1"/>
      <w:lvlText w:val="%1."/>
      <w:lvlJc w:val="left"/>
      <w:pPr>
        <w:ind w:left="568" w:hanging="284"/>
      </w:pPr>
      <w:rPr>
        <w:rFonts w:hint="default"/>
        <w:b w:val="0"/>
        <w:i w:val="0"/>
        <w:color w:val="auto"/>
      </w:rPr>
    </w:lvl>
    <w:lvl w:ilvl="1">
      <w:start w:val="1"/>
      <w:numFmt w:val="lowerLetter"/>
      <w:pStyle w:val="List1Numbered2"/>
      <w:lvlText w:val="%2."/>
      <w:lvlJc w:val="left"/>
      <w:pPr>
        <w:ind w:left="852" w:hanging="284"/>
      </w:pPr>
      <w:rPr>
        <w:rFonts w:hint="default"/>
      </w:rPr>
    </w:lvl>
    <w:lvl w:ilvl="2">
      <w:start w:val="1"/>
      <w:numFmt w:val="lowerRoman"/>
      <w:pStyle w:val="List1Numbered3"/>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2"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807585"/>
    <w:multiLevelType w:val="hybridMultilevel"/>
    <w:tmpl w:val="9CF4D734"/>
    <w:lvl w:ilvl="0" w:tplc="4BCEABDA">
      <w:start w:val="1"/>
      <w:numFmt w:val="bullet"/>
      <w:lvlText w:val=""/>
      <w:lvlJc w:val="left"/>
      <w:pPr>
        <w:ind w:left="1080" w:hanging="360"/>
      </w:pPr>
      <w:rPr>
        <w:rFonts w:ascii="Symbol" w:hAnsi="Symbol" w:hint="default"/>
        <w:color w:val="00A39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76074C7"/>
    <w:multiLevelType w:val="hybridMultilevel"/>
    <w:tmpl w:val="8BBC451C"/>
    <w:lvl w:ilvl="0" w:tplc="4BCEABDA">
      <w:start w:val="1"/>
      <w:numFmt w:val="bullet"/>
      <w:lvlText w:val=""/>
      <w:lvlJc w:val="left"/>
      <w:pPr>
        <w:ind w:left="928" w:hanging="360"/>
      </w:pPr>
      <w:rPr>
        <w:rFonts w:ascii="Symbol" w:hAnsi="Symbol" w:hint="default"/>
        <w:color w:val="00A398"/>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7"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7"/>
  </w:num>
  <w:num w:numId="3">
    <w:abstractNumId w:val="6"/>
  </w:num>
  <w:num w:numId="4">
    <w:abstractNumId w:val="14"/>
  </w:num>
  <w:num w:numId="5">
    <w:abstractNumId w:val="13"/>
  </w:num>
  <w:num w:numId="6">
    <w:abstractNumId w:val="11"/>
  </w:num>
  <w:num w:numId="7">
    <w:abstractNumId w:val="3"/>
  </w:num>
  <w:num w:numId="8">
    <w:abstractNumId w:val="4"/>
  </w:num>
  <w:num w:numId="9">
    <w:abstractNumId w:val="5"/>
  </w:num>
  <w:num w:numId="10">
    <w:abstractNumId w:val="12"/>
  </w:num>
  <w:num w:numId="11">
    <w:abstractNumId w:val="7"/>
  </w:num>
  <w:num w:numId="12">
    <w:abstractNumId w:val="10"/>
  </w:num>
  <w:num w:numId="13">
    <w:abstractNumId w:val="8"/>
  </w:num>
  <w:num w:numId="14">
    <w:abstractNumId w:val="1"/>
  </w:num>
  <w:num w:numId="15">
    <w:abstractNumId w:val="9"/>
  </w:num>
  <w:num w:numId="16">
    <w:abstractNumId w:val="15"/>
  </w:num>
  <w:num w:numId="17">
    <w:abstractNumId w:val="2"/>
  </w:num>
  <w:num w:numId="18">
    <w:abstractNumId w:val="16"/>
  </w:num>
  <w:num w:numId="19">
    <w:abstractNumId w:val="0"/>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11"/>
  </w:num>
  <w:num w:numId="32">
    <w:abstractNumId w:val="11"/>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15FEA"/>
    <w:rsid w:val="000E3B24"/>
    <w:rsid w:val="001057AB"/>
    <w:rsid w:val="001F39F5"/>
    <w:rsid w:val="001F4C12"/>
    <w:rsid w:val="00221841"/>
    <w:rsid w:val="002264E2"/>
    <w:rsid w:val="00251DD9"/>
    <w:rsid w:val="00343908"/>
    <w:rsid w:val="003E383E"/>
    <w:rsid w:val="004B6D69"/>
    <w:rsid w:val="004C174F"/>
    <w:rsid w:val="00506846"/>
    <w:rsid w:val="005A07BA"/>
    <w:rsid w:val="005B458E"/>
    <w:rsid w:val="005F00C3"/>
    <w:rsid w:val="006C328D"/>
    <w:rsid w:val="0073304B"/>
    <w:rsid w:val="007B01C8"/>
    <w:rsid w:val="007B51AC"/>
    <w:rsid w:val="007C2729"/>
    <w:rsid w:val="007F1620"/>
    <w:rsid w:val="007F6BED"/>
    <w:rsid w:val="007F78F7"/>
    <w:rsid w:val="00864F61"/>
    <w:rsid w:val="008D22FC"/>
    <w:rsid w:val="008D24C6"/>
    <w:rsid w:val="009B769E"/>
    <w:rsid w:val="00AD2763"/>
    <w:rsid w:val="00B02850"/>
    <w:rsid w:val="00B0464B"/>
    <w:rsid w:val="00B43290"/>
    <w:rsid w:val="00B51A8F"/>
    <w:rsid w:val="00C33975"/>
    <w:rsid w:val="00C37610"/>
    <w:rsid w:val="00C40CD5"/>
    <w:rsid w:val="00CD4CEA"/>
    <w:rsid w:val="00DA68C5"/>
    <w:rsid w:val="00DD7ECF"/>
    <w:rsid w:val="00E202F0"/>
    <w:rsid w:val="00E701B4"/>
    <w:rsid w:val="00F37B39"/>
    <w:rsid w:val="00F40610"/>
    <w:rsid w:val="00F86299"/>
    <w:rsid w:val="00FA7ABF"/>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97A12A"/>
  <w15:docId w15:val="{3EB2416F-0096-4D20-A3A2-4C006B95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aliases w:val="L"/>
    <w:basedOn w:val="Normal"/>
    <w:link w:val="ListParagraphChar"/>
    <w:uiPriority w:val="34"/>
    <w:qFormat/>
    <w:rsid w:val="00B02850"/>
    <w:pPr>
      <w:spacing w:before="40" w:after="160" w:line="280" w:lineRule="exact"/>
      <w:ind w:left="720"/>
      <w:contextualSpacing/>
    </w:pPr>
    <w:rPr>
      <w:rFonts w:ascii="Arial" w:hAnsi="Arial"/>
      <w:color w:val="auto"/>
    </w:rPr>
  </w:style>
  <w:style w:type="character" w:customStyle="1" w:styleId="ListParagraphChar">
    <w:name w:val="List Paragraph Char"/>
    <w:aliases w:val="L Char"/>
    <w:basedOn w:val="DefaultParagraphFont"/>
    <w:link w:val="ListParagraph"/>
    <w:uiPriority w:val="34"/>
    <w:rsid w:val="00B02850"/>
    <w:rPr>
      <w:rFonts w:ascii="Arial" w:hAnsi="Arial"/>
      <w:color w:val="auto"/>
    </w:rPr>
  </w:style>
  <w:style w:type="table" w:customStyle="1" w:styleId="TEQSAtables">
    <w:name w:val="TEQSA tables"/>
    <w:basedOn w:val="TableNormal"/>
    <w:uiPriority w:val="99"/>
    <w:rsid w:val="00B02850"/>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character" w:styleId="Hyperlink">
    <w:name w:val="Hyperlink"/>
    <w:basedOn w:val="DefaultParagraphFont"/>
    <w:uiPriority w:val="99"/>
    <w:unhideWhenUsed/>
    <w:rsid w:val="00B02850"/>
    <w:rPr>
      <w:color w:val="00847E" w:themeColor="hyperlink"/>
      <w:u w:val="single"/>
    </w:rPr>
  </w:style>
  <w:style w:type="paragraph" w:customStyle="1" w:styleId="Normal1">
    <w:name w:val="Normal1"/>
    <w:basedOn w:val="Normal"/>
    <w:rsid w:val="00B02850"/>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B02850"/>
    <w:rPr>
      <w:i/>
      <w:iCs/>
      <w:color w:val="808080" w:themeColor="text1" w:themeTint="7F"/>
    </w:rPr>
  </w:style>
  <w:style w:type="character" w:styleId="CommentReference">
    <w:name w:val="annotation reference"/>
    <w:basedOn w:val="DefaultParagraphFont"/>
    <w:uiPriority w:val="99"/>
    <w:semiHidden/>
    <w:unhideWhenUsed/>
    <w:rsid w:val="008D22FC"/>
    <w:rPr>
      <w:sz w:val="16"/>
      <w:szCs w:val="16"/>
    </w:rPr>
  </w:style>
  <w:style w:type="paragraph" w:styleId="CommentText">
    <w:name w:val="annotation text"/>
    <w:basedOn w:val="Normal"/>
    <w:link w:val="CommentTextChar"/>
    <w:uiPriority w:val="99"/>
    <w:semiHidden/>
    <w:unhideWhenUsed/>
    <w:rsid w:val="008D22FC"/>
    <w:rPr>
      <w:sz w:val="20"/>
      <w:szCs w:val="20"/>
    </w:rPr>
  </w:style>
  <w:style w:type="character" w:customStyle="1" w:styleId="CommentTextChar">
    <w:name w:val="Comment Text Char"/>
    <w:basedOn w:val="DefaultParagraphFont"/>
    <w:link w:val="CommentText"/>
    <w:uiPriority w:val="99"/>
    <w:semiHidden/>
    <w:rsid w:val="008D22FC"/>
    <w:rPr>
      <w:sz w:val="20"/>
      <w:szCs w:val="20"/>
    </w:rPr>
  </w:style>
  <w:style w:type="paragraph" w:styleId="CommentSubject">
    <w:name w:val="annotation subject"/>
    <w:basedOn w:val="CommentText"/>
    <w:next w:val="CommentText"/>
    <w:link w:val="CommentSubjectChar"/>
    <w:uiPriority w:val="99"/>
    <w:semiHidden/>
    <w:unhideWhenUsed/>
    <w:rsid w:val="008D22FC"/>
    <w:rPr>
      <w:b/>
      <w:bCs/>
    </w:rPr>
  </w:style>
  <w:style w:type="character" w:customStyle="1" w:styleId="CommentSubjectChar">
    <w:name w:val="Comment Subject Char"/>
    <w:basedOn w:val="CommentTextChar"/>
    <w:link w:val="CommentSubject"/>
    <w:uiPriority w:val="99"/>
    <w:semiHidden/>
    <w:rsid w:val="008D22FC"/>
    <w:rPr>
      <w:b/>
      <w:bCs/>
      <w:sz w:val="20"/>
      <w:szCs w:val="20"/>
    </w:rPr>
  </w:style>
  <w:style w:type="paragraph" w:styleId="Revision">
    <w:name w:val="Revision"/>
    <w:hidden/>
    <w:uiPriority w:val="99"/>
    <w:semiHidden/>
    <w:rsid w:val="00B51A8F"/>
    <w:pPr>
      <w:spacing w:before="0" w:after="0"/>
    </w:pPr>
  </w:style>
  <w:style w:type="character" w:styleId="FollowedHyperlink">
    <w:name w:val="FollowedHyperlink"/>
    <w:basedOn w:val="DefaultParagraphFont"/>
    <w:uiPriority w:val="99"/>
    <w:semiHidden/>
    <w:unhideWhenUsed/>
    <w:rsid w:val="005A07BA"/>
    <w:rPr>
      <w:color w:val="0084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qsa.gov.au/explanations-hes-framework-term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4.xml><?xml version="1.0" encoding="utf-8"?>
<ds:datastoreItem xmlns:ds="http://schemas.openxmlformats.org/officeDocument/2006/customXml" ds:itemID="{6620E32F-4E1C-43BE-8B5D-E6E4A44B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Guidance Note: Financial Standing</vt:lpstr>
    </vt:vector>
  </TitlesOfParts>
  <Company>Tertiary Education Quality and Standards Agency</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Financial Standing</dc:title>
  <dc:creator>May, Raphael</dc:creator>
  <cp:lastModifiedBy>Hewitt-McManus, Tom</cp:lastModifiedBy>
  <cp:revision>3</cp:revision>
  <cp:lastPrinted>2019-04-11T06:56:00Z</cp:lastPrinted>
  <dcterms:created xsi:type="dcterms:W3CDTF">2019-04-15T02:43:00Z</dcterms:created>
  <dcterms:modified xsi:type="dcterms:W3CDTF">2020-02-10T02:25:00Z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