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8B0FF" w14:textId="77777777" w:rsidR="000030F8" w:rsidRDefault="000030F8" w:rsidP="000030F8">
      <w:pPr>
        <w:pStyle w:val="Heading1"/>
        <w:rPr>
          <w:i/>
          <w:color w:val="00A398"/>
        </w:rPr>
      </w:pPr>
      <w:r w:rsidRPr="000030F8">
        <w:rPr>
          <w:color w:val="00A398"/>
        </w:rPr>
        <w:t xml:space="preserve">Guidance Note: </w:t>
      </w:r>
      <w:r w:rsidRPr="000030F8">
        <w:rPr>
          <w:i/>
          <w:color w:val="00A398"/>
        </w:rPr>
        <w:t>Financial Assessment</w:t>
      </w:r>
    </w:p>
    <w:p w14:paraId="0BCB11DD" w14:textId="5535D9E3" w:rsidR="008E2403" w:rsidRDefault="008C5E2B" w:rsidP="008E2403">
      <w:pPr>
        <w:rPr>
          <w:rStyle w:val="SubtleEmphasis"/>
        </w:rPr>
      </w:pPr>
      <w:r>
        <w:rPr>
          <w:rStyle w:val="SubtleEmphasis"/>
        </w:rPr>
        <w:t>V</w:t>
      </w:r>
      <w:r w:rsidR="008E2403" w:rsidRPr="008E2403">
        <w:rPr>
          <w:rStyle w:val="SubtleEmphasis"/>
        </w:rPr>
        <w:t>ersion 1.</w:t>
      </w:r>
      <w:r>
        <w:rPr>
          <w:rStyle w:val="SubtleEmphasis"/>
        </w:rPr>
        <w:t>1</w:t>
      </w:r>
      <w:r w:rsidRPr="008E2403">
        <w:rPr>
          <w:rStyle w:val="SubtleEmphasis"/>
        </w:rPr>
        <w:t xml:space="preserve"> </w:t>
      </w:r>
      <w:r w:rsidR="008E2403" w:rsidRPr="008E2403">
        <w:rPr>
          <w:rStyle w:val="SubtleEmphasis"/>
        </w:rPr>
        <w:t>(</w:t>
      </w:r>
      <w:r w:rsidR="00766582">
        <w:rPr>
          <w:rStyle w:val="SubtleEmphasis"/>
        </w:rPr>
        <w:t>11</w:t>
      </w:r>
      <w:r>
        <w:rPr>
          <w:rStyle w:val="SubtleEmphasis"/>
        </w:rPr>
        <w:t xml:space="preserve"> </w:t>
      </w:r>
      <w:r w:rsidR="00374E0F">
        <w:rPr>
          <w:rStyle w:val="SubtleEmphasis"/>
        </w:rPr>
        <w:t xml:space="preserve">April </w:t>
      </w:r>
      <w:r>
        <w:rPr>
          <w:rStyle w:val="SubtleEmphasis"/>
        </w:rPr>
        <w:t>2019</w:t>
      </w:r>
      <w:r w:rsidR="008E2403" w:rsidRPr="008E2403">
        <w:rPr>
          <w:rStyle w:val="SubtleEmphasis"/>
        </w:rPr>
        <w:t>)</w:t>
      </w:r>
    </w:p>
    <w:p w14:paraId="0DF4C5AA" w14:textId="03DA22A4" w:rsidR="00397576" w:rsidRPr="00397576" w:rsidRDefault="00397576" w:rsidP="008E2403">
      <w:pPr>
        <w:rPr>
          <w:rStyle w:val="SubtleEmphasis"/>
          <w:color w:val="000000" w:themeColor="text1"/>
        </w:rPr>
      </w:pPr>
      <w:r w:rsidRPr="00397576">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0878FBFE" w14:textId="77777777" w:rsidR="000030F8" w:rsidRPr="00CD482F" w:rsidRDefault="000030F8" w:rsidP="000030F8">
      <w:pPr>
        <w:pStyle w:val="Heading2"/>
      </w:pPr>
      <w:r w:rsidRPr="00CD482F">
        <w:t>Why does TEQSA do financial assessments?</w:t>
      </w:r>
    </w:p>
    <w:p w14:paraId="2467F54C" w14:textId="77777777" w:rsidR="000030F8" w:rsidRDefault="000030F8" w:rsidP="000030F8">
      <w:pPr>
        <w:jc w:val="both"/>
      </w:pPr>
      <w:r w:rsidRPr="00CD482F">
        <w:t xml:space="preserve">The financial status of a higher education provider can significantly affect its ability to support quality in its higher education delivery to students. </w:t>
      </w:r>
      <w:r>
        <w:t>The financial status</w:t>
      </w:r>
      <w:r w:rsidRPr="00CD482F">
        <w:t xml:space="preserve"> can influence, for example</w:t>
      </w:r>
      <w:r>
        <w:t>, a provider’s:</w:t>
      </w:r>
      <w:r w:rsidRPr="00CD482F">
        <w:t xml:space="preserve"> </w:t>
      </w:r>
    </w:p>
    <w:p w14:paraId="433A3D06" w14:textId="54865170" w:rsidR="000030F8" w:rsidRPr="004C1219" w:rsidRDefault="000030F8" w:rsidP="000030F8">
      <w:pPr>
        <w:pStyle w:val="BulletsL1"/>
        <w:numPr>
          <w:ilvl w:val="0"/>
          <w:numId w:val="13"/>
        </w:numPr>
        <w:rPr>
          <w:rFonts w:cs="Arial"/>
        </w:rPr>
      </w:pPr>
      <w:r w:rsidRPr="004C1219">
        <w:rPr>
          <w:rFonts w:cs="Arial"/>
        </w:rPr>
        <w:t xml:space="preserve">capacity to invest in sufficient </w:t>
      </w:r>
      <w:r w:rsidR="008C5E2B">
        <w:rPr>
          <w:rFonts w:cs="Arial"/>
        </w:rPr>
        <w:t>facilities and infrastructure (</w:t>
      </w:r>
      <w:r w:rsidRPr="004C1219">
        <w:rPr>
          <w:rFonts w:cs="Arial"/>
        </w:rPr>
        <w:t xml:space="preserve">physical </w:t>
      </w:r>
      <w:r w:rsidR="008C5E2B">
        <w:rPr>
          <w:rFonts w:cs="Arial"/>
        </w:rPr>
        <w:t xml:space="preserve">assets </w:t>
      </w:r>
      <w:r w:rsidRPr="004C1219">
        <w:rPr>
          <w:rFonts w:cs="Arial"/>
        </w:rPr>
        <w:t xml:space="preserve">and </w:t>
      </w:r>
      <w:r w:rsidR="008C5E2B">
        <w:rPr>
          <w:rFonts w:cs="Arial"/>
        </w:rPr>
        <w:t xml:space="preserve">information communication technology) </w:t>
      </w:r>
      <w:r w:rsidRPr="004C1219">
        <w:rPr>
          <w:rFonts w:cs="Arial"/>
        </w:rPr>
        <w:t xml:space="preserve">to support the student </w:t>
      </w:r>
      <w:r w:rsidR="008C5E2B">
        <w:rPr>
          <w:rFonts w:cs="Arial"/>
        </w:rPr>
        <w:t xml:space="preserve">learning </w:t>
      </w:r>
      <w:r w:rsidRPr="004C1219">
        <w:rPr>
          <w:rFonts w:cs="Arial"/>
        </w:rPr>
        <w:t>experience</w:t>
      </w:r>
    </w:p>
    <w:p w14:paraId="2C43F5E8" w14:textId="77777777" w:rsidR="000030F8" w:rsidRPr="004C1219" w:rsidRDefault="000030F8" w:rsidP="000030F8">
      <w:pPr>
        <w:pStyle w:val="BulletsL1"/>
        <w:numPr>
          <w:ilvl w:val="0"/>
          <w:numId w:val="13"/>
        </w:numPr>
        <w:rPr>
          <w:rFonts w:cs="Arial"/>
        </w:rPr>
      </w:pPr>
      <w:r w:rsidRPr="004C1219">
        <w:rPr>
          <w:rFonts w:cs="Arial"/>
        </w:rPr>
        <w:t>ability to maintain adequate staffing levels and academic leadership in order to support academic quality and integrity</w:t>
      </w:r>
    </w:p>
    <w:p w14:paraId="463DA03F" w14:textId="77777777" w:rsidR="000030F8" w:rsidRPr="004C1219" w:rsidRDefault="000030F8" w:rsidP="000030F8">
      <w:pPr>
        <w:pStyle w:val="BulletsL1"/>
        <w:numPr>
          <w:ilvl w:val="0"/>
          <w:numId w:val="13"/>
        </w:numPr>
        <w:rPr>
          <w:rFonts w:cs="Arial"/>
        </w:rPr>
      </w:pPr>
      <w:r w:rsidRPr="004C1219">
        <w:rPr>
          <w:rFonts w:cs="Arial"/>
        </w:rPr>
        <w:t>capacity to provide support services to students</w:t>
      </w:r>
    </w:p>
    <w:p w14:paraId="75F49F60" w14:textId="44AC397D" w:rsidR="008C5E2B" w:rsidRDefault="000030F8" w:rsidP="003B5E71">
      <w:pPr>
        <w:pStyle w:val="BulletsL1"/>
        <w:numPr>
          <w:ilvl w:val="0"/>
          <w:numId w:val="13"/>
        </w:numPr>
        <w:spacing w:after="240"/>
        <w:ind w:left="714" w:hanging="357"/>
        <w:rPr>
          <w:rFonts w:cs="Arial"/>
        </w:rPr>
      </w:pPr>
      <w:proofErr w:type="gramStart"/>
      <w:r w:rsidRPr="004C1219">
        <w:rPr>
          <w:rFonts w:cs="Arial"/>
        </w:rPr>
        <w:t>ability</w:t>
      </w:r>
      <w:proofErr w:type="gramEnd"/>
      <w:r w:rsidRPr="004C1219">
        <w:rPr>
          <w:rFonts w:cs="Arial"/>
        </w:rPr>
        <w:t xml:space="preserve"> to continue to operate sustainably into the future</w:t>
      </w:r>
      <w:r w:rsidR="003B5E71">
        <w:rPr>
          <w:rFonts w:cs="Arial"/>
        </w:rPr>
        <w:t>.</w:t>
      </w:r>
    </w:p>
    <w:p w14:paraId="43F19393" w14:textId="77777777" w:rsidR="000030F8" w:rsidRPr="00CD482F" w:rsidRDefault="000030F8" w:rsidP="000030F8">
      <w:pPr>
        <w:jc w:val="both"/>
      </w:pPr>
      <w:r w:rsidRPr="00CD482F">
        <w:t xml:space="preserve">A registered higher education provider is required under the </w:t>
      </w:r>
      <w:r w:rsidRPr="004C1219">
        <w:rPr>
          <w:i/>
        </w:rPr>
        <w:t xml:space="preserve">Tertiary Education Quality and Standards Agency Act 2011 </w:t>
      </w:r>
      <w:r w:rsidRPr="00CD482F">
        <w:t xml:space="preserve">(TEQSA Act) and the </w:t>
      </w:r>
      <w:r w:rsidRPr="004C1219">
        <w:rPr>
          <w:i/>
        </w:rPr>
        <w:t xml:space="preserve">Higher Education Standards Framework (Threshold Standards) 2015 </w:t>
      </w:r>
      <w:r w:rsidRPr="00CD482F">
        <w:t>(HES Framework) to ensure it is able to maintain its higher education operations and meet the Standards on an ongoing</w:t>
      </w:r>
      <w:r>
        <w:t xml:space="preserve"> </w:t>
      </w:r>
      <w:r w:rsidRPr="00CD482F">
        <w:t xml:space="preserve">basis. </w:t>
      </w:r>
    </w:p>
    <w:p w14:paraId="25B74240" w14:textId="77777777" w:rsidR="000030F8" w:rsidRPr="00CD482F" w:rsidRDefault="000030F8" w:rsidP="000030F8">
      <w:pPr>
        <w:jc w:val="both"/>
      </w:pPr>
      <w:r w:rsidRPr="00CD482F">
        <w:t xml:space="preserve">This guidance note explains how TEQSA assesses the financial basis for </w:t>
      </w:r>
      <w:r>
        <w:t>a provider’s ability to</w:t>
      </w:r>
      <w:r w:rsidRPr="00CD482F">
        <w:t xml:space="preserve"> continue to meet the Standards.</w:t>
      </w:r>
    </w:p>
    <w:p w14:paraId="02754E8C" w14:textId="77777777" w:rsidR="000030F8" w:rsidRPr="00CD482F" w:rsidRDefault="000030F8" w:rsidP="000030F8">
      <w:pPr>
        <w:pStyle w:val="Heading2"/>
      </w:pPr>
      <w:r w:rsidRPr="004A4935">
        <w:t xml:space="preserve">Relevant </w:t>
      </w:r>
      <w:r>
        <w:t xml:space="preserve">Standards in the HES Framework </w:t>
      </w:r>
    </w:p>
    <w:p w14:paraId="6952F44C" w14:textId="62F0C7BB" w:rsidR="000030F8" w:rsidRPr="00CD482F" w:rsidRDefault="000030F8" w:rsidP="000030F8">
      <w:pPr>
        <w:jc w:val="both"/>
      </w:pPr>
      <w:r w:rsidRPr="00CD482F">
        <w:t xml:space="preserve">The principal Standards concerned with financial assessment are in Part A of the HES Framework: Standards </w:t>
      </w:r>
      <w:r w:rsidR="00AE2274">
        <w:t xml:space="preserve">6.2.1b, </w:t>
      </w:r>
      <w:r w:rsidRPr="00CD482F">
        <w:t>6.2.1c and 6.2.1d. These in turn have links to other related Standards concerning financial standing (</w:t>
      </w:r>
      <w:r>
        <w:t xml:space="preserve">such as Standards </w:t>
      </w:r>
      <w:r w:rsidRPr="00CD482F">
        <w:t xml:space="preserve">7.3.1d and 7.3.1k). </w:t>
      </w:r>
    </w:p>
    <w:p w14:paraId="2E730498" w14:textId="77777777" w:rsidR="000030F8" w:rsidRPr="00CD482F" w:rsidRDefault="000030F8" w:rsidP="000030F8">
      <w:pPr>
        <w:pStyle w:val="Heading2"/>
      </w:pPr>
      <w:r w:rsidRPr="004A4935">
        <w:t xml:space="preserve">Intent of the </w:t>
      </w:r>
      <w:r>
        <w:t xml:space="preserve">Standards </w:t>
      </w:r>
    </w:p>
    <w:p w14:paraId="0D8404CD" w14:textId="0555E791" w:rsidR="000030F8" w:rsidRPr="00CD482F" w:rsidRDefault="000030F8" w:rsidP="000030F8">
      <w:pPr>
        <w:jc w:val="both"/>
      </w:pPr>
      <w:r w:rsidRPr="00CD482F">
        <w:t>The intent of Standards</w:t>
      </w:r>
      <w:r w:rsidR="003D3A02">
        <w:t xml:space="preserve"> 6.2.1b,</w:t>
      </w:r>
      <w:r w:rsidRPr="00CD482F">
        <w:t xml:space="preserve"> 6.2.1c and 6.2.1d is to ensure that the corporate governing body is demonstrably exercising effective oversight of financial aspects of the provider’s operations and that providers are financially viable and sustainable. </w:t>
      </w:r>
    </w:p>
    <w:p w14:paraId="1CB8EE30" w14:textId="3405C3BF" w:rsidR="000030F8" w:rsidRPr="00CD482F" w:rsidRDefault="000030F8" w:rsidP="000030F8">
      <w:pPr>
        <w:jc w:val="both"/>
      </w:pPr>
      <w:r w:rsidRPr="00CD482F">
        <w:lastRenderedPageBreak/>
        <w:t xml:space="preserve">A provider should be ensuring that it is not merely financially viable but that financial resources are being managed in a sustainable way to support quality at existing and planned level of </w:t>
      </w:r>
      <w:r w:rsidR="0052247D">
        <w:t>activity</w:t>
      </w:r>
      <w:r w:rsidRPr="00CD482F">
        <w:t>. The members of the corporate governing board of a provider should ensure that they are financially literate and ha</w:t>
      </w:r>
      <w:r>
        <w:t>ve</w:t>
      </w:r>
      <w:r w:rsidRPr="00CD482F">
        <w:t xml:space="preserve"> access to financial expertise to provide sufficient assurance about financial matters.</w:t>
      </w:r>
    </w:p>
    <w:p w14:paraId="7D966660" w14:textId="77777777" w:rsidR="000030F8" w:rsidRPr="00D367EF" w:rsidRDefault="000030F8" w:rsidP="000030F8">
      <w:pPr>
        <w:pStyle w:val="Heading2"/>
      </w:pPr>
      <w:r w:rsidRPr="00D367EF">
        <w:t>TEQSA approach to financial analysis</w:t>
      </w:r>
    </w:p>
    <w:p w14:paraId="0DE260E5" w14:textId="77777777" w:rsidR="000030F8" w:rsidRDefault="000030F8" w:rsidP="000030F8">
      <w:pPr>
        <w:jc w:val="both"/>
      </w:pPr>
      <w:r>
        <w:t xml:space="preserve">At the time of initial registration, TEQSA assesses new applicants against all of the Standards in the HES Framework; this includes a financial assessment of the applicant. </w:t>
      </w:r>
      <w:r w:rsidRPr="00C712C2">
        <w:t>After a provider has been registered for the first time, a financial assessment does not form part of the ‘core’ Standards assessed at the time of any further regulatory event for existing providers (such as a renewal of registration).</w:t>
      </w:r>
      <w:r>
        <w:t xml:space="preserve"> </w:t>
      </w:r>
    </w:p>
    <w:p w14:paraId="40ABF9F2" w14:textId="77777777" w:rsidR="000030F8" w:rsidRDefault="000030F8" w:rsidP="000030F8">
      <w:pPr>
        <w:jc w:val="both"/>
      </w:pPr>
      <w:r w:rsidRPr="003768FC">
        <w:t xml:space="preserve">TEQSA </w:t>
      </w:r>
      <w:r>
        <w:t xml:space="preserve">will </w:t>
      </w:r>
      <w:r w:rsidRPr="003768FC">
        <w:t>employ a risk</w:t>
      </w:r>
      <w:r>
        <w:t>-</w:t>
      </w:r>
      <w:r w:rsidRPr="003768FC">
        <w:t xml:space="preserve">based approach to </w:t>
      </w:r>
      <w:r>
        <w:t xml:space="preserve">determine whether a </w:t>
      </w:r>
      <w:r w:rsidRPr="003768FC">
        <w:t xml:space="preserve">financial assessment </w:t>
      </w:r>
      <w:r>
        <w:t xml:space="preserve">is necessary as part of any scheduled or unscheduled regulatory activity, taking into consideration </w:t>
      </w:r>
      <w:r w:rsidRPr="003768FC">
        <w:t>a</w:t>
      </w:r>
      <w:r>
        <w:t xml:space="preserve"> range of factors, including</w:t>
      </w:r>
      <w:r w:rsidRPr="003768FC">
        <w:t xml:space="preserve"> </w:t>
      </w:r>
      <w:r>
        <w:t xml:space="preserve">a </w:t>
      </w:r>
      <w:r w:rsidRPr="003768FC">
        <w:t>provider’s</w:t>
      </w:r>
      <w:r>
        <w:t>:</w:t>
      </w:r>
    </w:p>
    <w:p w14:paraId="20A0A111" w14:textId="77777777" w:rsidR="000030F8" w:rsidRPr="00BD7E38" w:rsidRDefault="000030F8" w:rsidP="000030F8">
      <w:pPr>
        <w:pStyle w:val="BulletsL1"/>
        <w:numPr>
          <w:ilvl w:val="0"/>
          <w:numId w:val="14"/>
        </w:numPr>
        <w:rPr>
          <w:rFonts w:cs="Arial"/>
        </w:rPr>
      </w:pPr>
      <w:r w:rsidRPr="00BD7E38">
        <w:rPr>
          <w:rFonts w:cs="Arial"/>
        </w:rPr>
        <w:t>annual risk assessment</w:t>
      </w:r>
    </w:p>
    <w:p w14:paraId="4D4FCF15" w14:textId="77777777" w:rsidR="000030F8" w:rsidRPr="00BD7E38" w:rsidRDefault="000030F8" w:rsidP="000030F8">
      <w:pPr>
        <w:pStyle w:val="BulletsL1"/>
        <w:numPr>
          <w:ilvl w:val="0"/>
          <w:numId w:val="14"/>
        </w:numPr>
        <w:rPr>
          <w:rFonts w:cs="Arial"/>
        </w:rPr>
      </w:pPr>
      <w:r w:rsidRPr="00BD7E38">
        <w:rPr>
          <w:rFonts w:cs="Arial"/>
        </w:rPr>
        <w:t>operating context</w:t>
      </w:r>
    </w:p>
    <w:p w14:paraId="09C84487" w14:textId="77777777" w:rsidR="000030F8" w:rsidRPr="00BD7E38" w:rsidRDefault="000030F8" w:rsidP="008A0378">
      <w:pPr>
        <w:pStyle w:val="BulletsL1"/>
        <w:numPr>
          <w:ilvl w:val="0"/>
          <w:numId w:val="14"/>
        </w:numPr>
        <w:ind w:left="714" w:hanging="357"/>
        <w:rPr>
          <w:rFonts w:cs="Arial"/>
        </w:rPr>
      </w:pPr>
      <w:proofErr w:type="gramStart"/>
      <w:r w:rsidRPr="00BD7E38">
        <w:rPr>
          <w:rFonts w:cs="Arial"/>
        </w:rPr>
        <w:t>business</w:t>
      </w:r>
      <w:proofErr w:type="gramEnd"/>
      <w:r w:rsidRPr="00BD7E38">
        <w:rPr>
          <w:rFonts w:cs="Arial"/>
        </w:rPr>
        <w:t xml:space="preserve"> model. </w:t>
      </w:r>
    </w:p>
    <w:p w14:paraId="62F9B819" w14:textId="77777777" w:rsidR="000030F8" w:rsidRDefault="000030F8" w:rsidP="000030F8">
      <w:pPr>
        <w:jc w:val="both"/>
      </w:pPr>
      <w:r>
        <w:t>TEQSA also</w:t>
      </w:r>
      <w:r w:rsidRPr="003768FC">
        <w:t xml:space="preserve"> works closely with the Department of Education and Training and </w:t>
      </w:r>
      <w:r>
        <w:t xml:space="preserve">the </w:t>
      </w:r>
      <w:r w:rsidRPr="00BD7E38">
        <w:t>Australian Skills Quality Authority</w:t>
      </w:r>
      <w:r w:rsidRPr="003768FC">
        <w:t xml:space="preserve"> in determining whether to include a financial assessment as part of</w:t>
      </w:r>
      <w:r>
        <w:t xml:space="preserve"> a</w:t>
      </w:r>
      <w:r w:rsidRPr="003768FC">
        <w:t xml:space="preserve"> provider’s upcoming regulatory activity.</w:t>
      </w:r>
      <w:r>
        <w:t xml:space="preserve"> </w:t>
      </w:r>
    </w:p>
    <w:p w14:paraId="211874BF" w14:textId="66C6EFEF" w:rsidR="000030F8" w:rsidRDefault="000030F8" w:rsidP="000030F8">
      <w:pPr>
        <w:jc w:val="both"/>
      </w:pPr>
      <w:r>
        <w:t>TEQSA’s risk assessments include an assessment of a provider’s overall risk to financial position. This assessment rating is informed by an analysis of a range of financial metrics which analyse a provider’s short- and longer-term financial viability and sustainability.</w:t>
      </w:r>
    </w:p>
    <w:p w14:paraId="424378D0" w14:textId="77777777" w:rsidR="000030F8" w:rsidRPr="00CD482F" w:rsidRDefault="000030F8" w:rsidP="000030F8">
      <w:pPr>
        <w:pStyle w:val="Heading2"/>
        <w:rPr>
          <w:iCs/>
        </w:rPr>
      </w:pPr>
      <w:r>
        <w:t>Key Concepts</w:t>
      </w:r>
    </w:p>
    <w:p w14:paraId="317E8A99" w14:textId="77777777" w:rsidR="000030F8" w:rsidRPr="005F1B40" w:rsidRDefault="000030F8" w:rsidP="005F1B40">
      <w:pPr>
        <w:jc w:val="both"/>
      </w:pPr>
      <w:r w:rsidRPr="005F1B40">
        <w:t>TEQSA employs an approach to financial assessment that is similar to that used by lending institutions and credit ratings agencies. In determining whether a provider meets the Standards in the HES Framework relating to financial viability and sustainability, TEQSA considers a higher education provider’s:</w:t>
      </w:r>
    </w:p>
    <w:p w14:paraId="5E97CA8D" w14:textId="77777777" w:rsidR="000030F8" w:rsidRPr="003768FC" w:rsidRDefault="000030F8" w:rsidP="000030F8">
      <w:pPr>
        <w:pStyle w:val="BulletsL1"/>
        <w:numPr>
          <w:ilvl w:val="0"/>
          <w:numId w:val="15"/>
        </w:numPr>
        <w:rPr>
          <w:rFonts w:cs="Arial"/>
        </w:rPr>
      </w:pPr>
      <w:r w:rsidRPr="003768FC">
        <w:rPr>
          <w:rFonts w:cs="Arial"/>
          <w:color w:val="4D4D4D"/>
        </w:rPr>
        <w:t>f</w:t>
      </w:r>
      <w:r w:rsidRPr="003768FC">
        <w:rPr>
          <w:rFonts w:cs="Arial"/>
          <w:spacing w:val="-1"/>
        </w:rPr>
        <w:t>i</w:t>
      </w:r>
      <w:r w:rsidRPr="003768FC">
        <w:rPr>
          <w:rFonts w:cs="Arial"/>
        </w:rPr>
        <w:t>n</w:t>
      </w:r>
      <w:r w:rsidRPr="003768FC">
        <w:rPr>
          <w:rFonts w:cs="Arial"/>
          <w:spacing w:val="-1"/>
        </w:rPr>
        <w:t>a</w:t>
      </w:r>
      <w:r w:rsidRPr="003768FC">
        <w:rPr>
          <w:rFonts w:cs="Arial"/>
        </w:rPr>
        <w:t>n</w:t>
      </w:r>
      <w:r w:rsidRPr="003768FC">
        <w:rPr>
          <w:rFonts w:cs="Arial"/>
          <w:spacing w:val="1"/>
        </w:rPr>
        <w:t>c</w:t>
      </w:r>
      <w:r w:rsidRPr="003768FC">
        <w:rPr>
          <w:rFonts w:cs="Arial"/>
          <w:spacing w:val="-1"/>
        </w:rPr>
        <w:t>i</w:t>
      </w:r>
      <w:r w:rsidRPr="003768FC">
        <w:rPr>
          <w:rFonts w:cs="Arial"/>
        </w:rPr>
        <w:t>al</w:t>
      </w:r>
      <w:r w:rsidRPr="003768FC">
        <w:rPr>
          <w:rFonts w:cs="Arial"/>
          <w:spacing w:val="-8"/>
        </w:rPr>
        <w:t xml:space="preserve"> </w:t>
      </w:r>
      <w:r w:rsidRPr="003768FC">
        <w:rPr>
          <w:rFonts w:cs="Arial"/>
          <w:spacing w:val="1"/>
        </w:rPr>
        <w:t>c</w:t>
      </w:r>
      <w:r w:rsidRPr="003768FC">
        <w:rPr>
          <w:rFonts w:cs="Arial"/>
        </w:rPr>
        <w:t>a</w:t>
      </w:r>
      <w:r w:rsidRPr="003768FC">
        <w:rPr>
          <w:rFonts w:cs="Arial"/>
          <w:spacing w:val="-1"/>
        </w:rPr>
        <w:t>p</w:t>
      </w:r>
      <w:r w:rsidRPr="003768FC">
        <w:rPr>
          <w:rFonts w:cs="Arial"/>
        </w:rPr>
        <w:t>a</w:t>
      </w:r>
      <w:r w:rsidRPr="003768FC">
        <w:rPr>
          <w:rFonts w:cs="Arial"/>
          <w:spacing w:val="1"/>
        </w:rPr>
        <w:t>c</w:t>
      </w:r>
      <w:r w:rsidRPr="003768FC">
        <w:rPr>
          <w:rFonts w:cs="Arial"/>
          <w:spacing w:val="-1"/>
        </w:rPr>
        <w:t>i</w:t>
      </w:r>
      <w:r w:rsidRPr="003768FC">
        <w:rPr>
          <w:rFonts w:cs="Arial"/>
        </w:rPr>
        <w:t>ty</w:t>
      </w:r>
    </w:p>
    <w:p w14:paraId="00425B31" w14:textId="77777777" w:rsidR="000030F8" w:rsidRPr="003768FC" w:rsidRDefault="000030F8" w:rsidP="000030F8">
      <w:pPr>
        <w:pStyle w:val="BulletsL1"/>
        <w:numPr>
          <w:ilvl w:val="0"/>
          <w:numId w:val="15"/>
        </w:numPr>
        <w:rPr>
          <w:rFonts w:cs="Arial"/>
          <w:spacing w:val="-1"/>
        </w:rPr>
      </w:pPr>
      <w:r w:rsidRPr="003768FC">
        <w:rPr>
          <w:rFonts w:cs="Arial"/>
        </w:rPr>
        <w:t>f</w:t>
      </w:r>
      <w:r w:rsidRPr="003768FC">
        <w:rPr>
          <w:rFonts w:cs="Arial"/>
          <w:spacing w:val="-1"/>
        </w:rPr>
        <w:t>i</w:t>
      </w:r>
      <w:r w:rsidRPr="003768FC">
        <w:rPr>
          <w:rFonts w:cs="Arial"/>
        </w:rPr>
        <w:t>n</w:t>
      </w:r>
      <w:r w:rsidRPr="003768FC">
        <w:rPr>
          <w:rFonts w:cs="Arial"/>
          <w:spacing w:val="-1"/>
        </w:rPr>
        <w:t>a</w:t>
      </w:r>
      <w:r w:rsidRPr="003768FC">
        <w:rPr>
          <w:rFonts w:cs="Arial"/>
        </w:rPr>
        <w:t>n</w:t>
      </w:r>
      <w:r w:rsidRPr="003768FC">
        <w:rPr>
          <w:rFonts w:cs="Arial"/>
          <w:spacing w:val="1"/>
        </w:rPr>
        <w:t>c</w:t>
      </w:r>
      <w:r w:rsidRPr="003768FC">
        <w:rPr>
          <w:rFonts w:cs="Arial"/>
          <w:spacing w:val="-1"/>
        </w:rPr>
        <w:t>i</w:t>
      </w:r>
      <w:r w:rsidRPr="003768FC">
        <w:rPr>
          <w:rFonts w:cs="Arial"/>
        </w:rPr>
        <w:t>al</w:t>
      </w:r>
      <w:r>
        <w:rPr>
          <w:rFonts w:cs="Arial"/>
          <w:spacing w:val="-8"/>
        </w:rPr>
        <w:t xml:space="preserve"> </w:t>
      </w:r>
      <w:r w:rsidRPr="003768FC">
        <w:rPr>
          <w:rFonts w:cs="Arial"/>
          <w:spacing w:val="-1"/>
        </w:rPr>
        <w:t>capability</w:t>
      </w:r>
    </w:p>
    <w:p w14:paraId="0CB123B9" w14:textId="77777777" w:rsidR="000030F8" w:rsidRPr="003768FC" w:rsidRDefault="000030F8" w:rsidP="000030F8">
      <w:pPr>
        <w:pStyle w:val="BulletsL1"/>
        <w:numPr>
          <w:ilvl w:val="0"/>
          <w:numId w:val="15"/>
        </w:numPr>
        <w:rPr>
          <w:rFonts w:cs="Arial"/>
          <w:spacing w:val="-1"/>
        </w:rPr>
      </w:pPr>
      <w:proofErr w:type="gramStart"/>
      <w:r w:rsidRPr="003768FC">
        <w:rPr>
          <w:rFonts w:cs="Arial"/>
          <w:color w:val="4D4D4D"/>
        </w:rPr>
        <w:t>f</w:t>
      </w:r>
      <w:r w:rsidRPr="003768FC">
        <w:rPr>
          <w:rFonts w:cs="Arial"/>
        </w:rPr>
        <w:t>inancial</w:t>
      </w:r>
      <w:proofErr w:type="gramEnd"/>
      <w:r w:rsidRPr="003768FC">
        <w:rPr>
          <w:rFonts w:cs="Arial"/>
        </w:rPr>
        <w:t xml:space="preserve"> trajectory</w:t>
      </w:r>
      <w:r>
        <w:rPr>
          <w:rFonts w:cs="Arial"/>
        </w:rPr>
        <w:t>.</w:t>
      </w:r>
    </w:p>
    <w:p w14:paraId="02B4172D" w14:textId="77777777" w:rsidR="000030F8" w:rsidRPr="003768FC" w:rsidRDefault="000030F8" w:rsidP="000030F8">
      <w:pPr>
        <w:pStyle w:val="BulletsL1"/>
        <w:numPr>
          <w:ilvl w:val="0"/>
          <w:numId w:val="0"/>
        </w:numPr>
        <w:rPr>
          <w:rFonts w:cs="Arial"/>
          <w:spacing w:val="-1"/>
        </w:rPr>
      </w:pPr>
      <w:r w:rsidRPr="003768FC">
        <w:rPr>
          <w:rFonts w:cs="Arial"/>
        </w:rPr>
        <w:t>These concepts are explained in further detail</w:t>
      </w:r>
      <w:r>
        <w:rPr>
          <w:rFonts w:cs="Arial"/>
        </w:rPr>
        <w:t xml:space="preserve"> below</w:t>
      </w:r>
      <w:r w:rsidRPr="003768FC">
        <w:rPr>
          <w:rFonts w:cs="Arial"/>
        </w:rPr>
        <w:t>.</w:t>
      </w:r>
    </w:p>
    <w:p w14:paraId="51E9C638" w14:textId="77777777" w:rsidR="000030F8" w:rsidRPr="00CD482F" w:rsidRDefault="000030F8" w:rsidP="000030F8">
      <w:pPr>
        <w:pStyle w:val="Heading3"/>
        <w:rPr>
          <w:iCs/>
        </w:rPr>
      </w:pPr>
      <w:r w:rsidRPr="00CD482F">
        <w:t>Financial capacity</w:t>
      </w:r>
    </w:p>
    <w:p w14:paraId="10663BBA" w14:textId="70BA0F26" w:rsidR="000030F8" w:rsidRDefault="000030F8" w:rsidP="000030F8">
      <w:pPr>
        <w:jc w:val="both"/>
      </w:pPr>
      <w:r w:rsidRPr="00CD482F">
        <w:t>Financial capacity is considered to be the provider’s ability to apply and continue to apply sufficient financial resources to achieve its higher education objectives. This includes a provider’s capacity to operate both in the short-term (financial viability) and over the longer-term (financial sustainability). Both are prerequis</w:t>
      </w:r>
      <w:r>
        <w:t>ites and on</w:t>
      </w:r>
      <w:r w:rsidRPr="00CD482F">
        <w:t>going requirements for higher education providers.</w:t>
      </w:r>
    </w:p>
    <w:p w14:paraId="3D0E08F1" w14:textId="77777777" w:rsidR="000030F8" w:rsidRPr="00CD482F" w:rsidRDefault="000030F8" w:rsidP="000030F8">
      <w:pPr>
        <w:jc w:val="both"/>
      </w:pPr>
      <w:r w:rsidRPr="00CD482F">
        <w:lastRenderedPageBreak/>
        <w:t>Some of the questions considered by TEQSA to determine financial capacity include:</w:t>
      </w:r>
    </w:p>
    <w:p w14:paraId="5E79CC22" w14:textId="77777777" w:rsidR="000030F8" w:rsidRPr="003768FC" w:rsidRDefault="000030F8" w:rsidP="000030F8">
      <w:pPr>
        <w:pStyle w:val="BulletsL1"/>
        <w:numPr>
          <w:ilvl w:val="0"/>
          <w:numId w:val="16"/>
        </w:numPr>
        <w:rPr>
          <w:rFonts w:cs="Arial"/>
        </w:rPr>
      </w:pPr>
      <w:r w:rsidRPr="003768FC">
        <w:rPr>
          <w:rFonts w:cs="Arial"/>
        </w:rPr>
        <w:t>Has</w:t>
      </w:r>
      <w:r w:rsidRPr="003768FC">
        <w:rPr>
          <w:rFonts w:cs="Arial"/>
          <w:spacing w:val="-3"/>
        </w:rPr>
        <w:t xml:space="preserve"> </w:t>
      </w:r>
      <w:r w:rsidRPr="003768FC">
        <w:rPr>
          <w:rFonts w:cs="Arial"/>
        </w:rPr>
        <w:t>t</w:t>
      </w:r>
      <w:r w:rsidRPr="003768FC">
        <w:rPr>
          <w:rFonts w:cs="Arial"/>
          <w:spacing w:val="-1"/>
        </w:rPr>
        <w:t>h</w:t>
      </w:r>
      <w:r w:rsidRPr="003768FC">
        <w:rPr>
          <w:rFonts w:cs="Arial"/>
        </w:rPr>
        <w:t>e</w:t>
      </w:r>
      <w:r w:rsidRPr="003768FC">
        <w:rPr>
          <w:rFonts w:cs="Arial"/>
          <w:spacing w:val="-6"/>
        </w:rPr>
        <w:t xml:space="preserve"> </w:t>
      </w:r>
      <w:r w:rsidRPr="003768FC">
        <w:rPr>
          <w:rFonts w:cs="Arial"/>
        </w:rPr>
        <w:t>pro</w:t>
      </w:r>
      <w:r w:rsidRPr="003768FC">
        <w:rPr>
          <w:rFonts w:cs="Arial"/>
          <w:spacing w:val="-1"/>
        </w:rPr>
        <w:t>vi</w:t>
      </w:r>
      <w:r w:rsidRPr="003768FC">
        <w:rPr>
          <w:rFonts w:cs="Arial"/>
        </w:rPr>
        <w:t>d</w:t>
      </w:r>
      <w:r w:rsidRPr="003768FC">
        <w:rPr>
          <w:rFonts w:cs="Arial"/>
          <w:spacing w:val="-1"/>
        </w:rPr>
        <w:t>e</w:t>
      </w:r>
      <w:r w:rsidRPr="003768FC">
        <w:rPr>
          <w:rFonts w:cs="Arial"/>
        </w:rPr>
        <w:t>r</w:t>
      </w:r>
      <w:r w:rsidRPr="003768FC">
        <w:rPr>
          <w:rFonts w:cs="Arial"/>
          <w:spacing w:val="-5"/>
        </w:rPr>
        <w:t xml:space="preserve"> </w:t>
      </w:r>
      <w:r w:rsidRPr="003768FC">
        <w:rPr>
          <w:rFonts w:cs="Arial"/>
        </w:rPr>
        <w:t>e</w:t>
      </w:r>
      <w:r w:rsidRPr="003768FC">
        <w:rPr>
          <w:rFonts w:cs="Arial"/>
          <w:spacing w:val="1"/>
        </w:rPr>
        <w:t>x</w:t>
      </w:r>
      <w:r w:rsidRPr="003768FC">
        <w:rPr>
          <w:rFonts w:cs="Arial"/>
        </w:rPr>
        <w:t>h</w:t>
      </w:r>
      <w:r w:rsidRPr="003768FC">
        <w:rPr>
          <w:rFonts w:cs="Arial"/>
          <w:spacing w:val="-1"/>
        </w:rPr>
        <w:t>i</w:t>
      </w:r>
      <w:r w:rsidRPr="003768FC">
        <w:rPr>
          <w:rFonts w:cs="Arial"/>
        </w:rPr>
        <w:t>b</w:t>
      </w:r>
      <w:r w:rsidRPr="003768FC">
        <w:rPr>
          <w:rFonts w:cs="Arial"/>
          <w:spacing w:val="-1"/>
        </w:rPr>
        <w:t>i</w:t>
      </w:r>
      <w:r w:rsidRPr="003768FC">
        <w:rPr>
          <w:rFonts w:cs="Arial"/>
        </w:rPr>
        <w:t>ted</w:t>
      </w:r>
      <w:r w:rsidRPr="003768FC">
        <w:rPr>
          <w:rFonts w:cs="Arial"/>
          <w:spacing w:val="-9"/>
        </w:rPr>
        <w:t xml:space="preserve"> </w:t>
      </w:r>
      <w:r w:rsidRPr="003768FC">
        <w:rPr>
          <w:rFonts w:cs="Arial"/>
        </w:rPr>
        <w:t>a</w:t>
      </w:r>
      <w:r w:rsidRPr="003768FC">
        <w:rPr>
          <w:rFonts w:cs="Arial"/>
          <w:spacing w:val="-2"/>
        </w:rPr>
        <w:t xml:space="preserve"> </w:t>
      </w:r>
      <w:r w:rsidRPr="003768FC">
        <w:rPr>
          <w:rFonts w:cs="Arial"/>
          <w:spacing w:val="1"/>
        </w:rPr>
        <w:t>c</w:t>
      </w:r>
      <w:r w:rsidRPr="003768FC">
        <w:rPr>
          <w:rFonts w:cs="Arial"/>
        </w:rPr>
        <w:t>o</w:t>
      </w:r>
      <w:r w:rsidRPr="003768FC">
        <w:rPr>
          <w:rFonts w:cs="Arial"/>
          <w:spacing w:val="-1"/>
        </w:rPr>
        <w:t>n</w:t>
      </w:r>
      <w:r w:rsidRPr="003768FC">
        <w:rPr>
          <w:rFonts w:cs="Arial"/>
          <w:spacing w:val="1"/>
        </w:rPr>
        <w:t>s</w:t>
      </w:r>
      <w:r w:rsidRPr="003768FC">
        <w:rPr>
          <w:rFonts w:cs="Arial"/>
          <w:spacing w:val="-1"/>
        </w:rPr>
        <w:t>i</w:t>
      </w:r>
      <w:r w:rsidRPr="003768FC">
        <w:rPr>
          <w:rFonts w:cs="Arial"/>
          <w:spacing w:val="1"/>
        </w:rPr>
        <w:t>s</w:t>
      </w:r>
      <w:r w:rsidRPr="003768FC">
        <w:rPr>
          <w:rFonts w:cs="Arial"/>
        </w:rPr>
        <w:t>te</w:t>
      </w:r>
      <w:r w:rsidRPr="003768FC">
        <w:rPr>
          <w:rFonts w:cs="Arial"/>
          <w:spacing w:val="-1"/>
        </w:rPr>
        <w:t>n</w:t>
      </w:r>
      <w:r w:rsidRPr="003768FC">
        <w:rPr>
          <w:rFonts w:cs="Arial"/>
        </w:rPr>
        <w:t>t</w:t>
      </w:r>
      <w:r w:rsidRPr="003768FC">
        <w:rPr>
          <w:rFonts w:cs="Arial"/>
          <w:spacing w:val="-12"/>
        </w:rPr>
        <w:t xml:space="preserve"> </w:t>
      </w:r>
      <w:r w:rsidRPr="003768FC">
        <w:rPr>
          <w:rFonts w:cs="Arial"/>
        </w:rPr>
        <w:t>tra</w:t>
      </w:r>
      <w:r w:rsidRPr="003768FC">
        <w:rPr>
          <w:rFonts w:cs="Arial"/>
          <w:spacing w:val="1"/>
        </w:rPr>
        <w:t>c</w:t>
      </w:r>
      <w:r w:rsidRPr="003768FC">
        <w:rPr>
          <w:rFonts w:cs="Arial"/>
        </w:rPr>
        <w:t>k</w:t>
      </w:r>
      <w:r w:rsidRPr="003768FC">
        <w:rPr>
          <w:rFonts w:cs="Arial"/>
          <w:spacing w:val="-6"/>
        </w:rPr>
        <w:t xml:space="preserve"> </w:t>
      </w:r>
      <w:r w:rsidRPr="003768FC">
        <w:rPr>
          <w:rFonts w:cs="Arial"/>
          <w:spacing w:val="1"/>
        </w:rPr>
        <w:t>r</w:t>
      </w:r>
      <w:r w:rsidRPr="003768FC">
        <w:rPr>
          <w:rFonts w:cs="Arial"/>
        </w:rPr>
        <w:t>e</w:t>
      </w:r>
      <w:r w:rsidRPr="003768FC">
        <w:rPr>
          <w:rFonts w:cs="Arial"/>
          <w:spacing w:val="1"/>
        </w:rPr>
        <w:t>c</w:t>
      </w:r>
      <w:r w:rsidRPr="003768FC">
        <w:rPr>
          <w:rFonts w:cs="Arial"/>
        </w:rPr>
        <w:t>ord</w:t>
      </w:r>
      <w:r w:rsidRPr="003768FC">
        <w:rPr>
          <w:rFonts w:cs="Arial"/>
          <w:spacing w:val="-9"/>
        </w:rPr>
        <w:t xml:space="preserve"> </w:t>
      </w:r>
      <w:r w:rsidRPr="003768FC">
        <w:rPr>
          <w:rFonts w:cs="Arial"/>
        </w:rPr>
        <w:t xml:space="preserve">of </w:t>
      </w:r>
      <w:r w:rsidRPr="003768FC">
        <w:rPr>
          <w:rFonts w:cs="Arial"/>
          <w:spacing w:val="2"/>
        </w:rPr>
        <w:t>f</w:t>
      </w:r>
      <w:r w:rsidRPr="003768FC">
        <w:rPr>
          <w:rFonts w:cs="Arial"/>
          <w:spacing w:val="-1"/>
        </w:rPr>
        <w:t>i</w:t>
      </w:r>
      <w:r w:rsidRPr="003768FC">
        <w:rPr>
          <w:rFonts w:cs="Arial"/>
        </w:rPr>
        <w:t>n</w:t>
      </w:r>
      <w:r w:rsidRPr="003768FC">
        <w:rPr>
          <w:rFonts w:cs="Arial"/>
          <w:spacing w:val="-1"/>
        </w:rPr>
        <w:t>a</w:t>
      </w:r>
      <w:r w:rsidRPr="003768FC">
        <w:rPr>
          <w:rFonts w:cs="Arial"/>
        </w:rPr>
        <w:t>n</w:t>
      </w:r>
      <w:r w:rsidRPr="003768FC">
        <w:rPr>
          <w:rFonts w:cs="Arial"/>
          <w:spacing w:val="1"/>
        </w:rPr>
        <w:t>c</w:t>
      </w:r>
      <w:r w:rsidRPr="003768FC">
        <w:rPr>
          <w:rFonts w:cs="Arial"/>
          <w:spacing w:val="-1"/>
        </w:rPr>
        <w:t>i</w:t>
      </w:r>
      <w:r w:rsidRPr="003768FC">
        <w:rPr>
          <w:rFonts w:cs="Arial"/>
        </w:rPr>
        <w:t>al</w:t>
      </w:r>
      <w:r w:rsidRPr="003768FC">
        <w:rPr>
          <w:rFonts w:cs="Arial"/>
          <w:spacing w:val="-9"/>
        </w:rPr>
        <w:t xml:space="preserve"> </w:t>
      </w:r>
      <w:r w:rsidRPr="003768FC">
        <w:rPr>
          <w:rFonts w:cs="Arial"/>
        </w:rPr>
        <w:t>p</w:t>
      </w:r>
      <w:r w:rsidRPr="003768FC">
        <w:rPr>
          <w:rFonts w:cs="Arial"/>
          <w:spacing w:val="-1"/>
        </w:rPr>
        <w:t>e</w:t>
      </w:r>
      <w:r w:rsidRPr="003768FC">
        <w:rPr>
          <w:rFonts w:cs="Arial"/>
          <w:spacing w:val="1"/>
        </w:rPr>
        <w:t>r</w:t>
      </w:r>
      <w:r w:rsidRPr="003768FC">
        <w:rPr>
          <w:rFonts w:cs="Arial"/>
          <w:spacing w:val="2"/>
        </w:rPr>
        <w:t>f</w:t>
      </w:r>
      <w:r w:rsidRPr="003768FC">
        <w:rPr>
          <w:rFonts w:cs="Arial"/>
        </w:rPr>
        <w:t>or</w:t>
      </w:r>
      <w:r w:rsidRPr="003768FC">
        <w:rPr>
          <w:rFonts w:cs="Arial"/>
          <w:spacing w:val="5"/>
        </w:rPr>
        <w:t>m</w:t>
      </w:r>
      <w:r w:rsidRPr="003768FC">
        <w:rPr>
          <w:rFonts w:cs="Arial"/>
        </w:rPr>
        <w:t>a</w:t>
      </w:r>
      <w:r w:rsidRPr="003768FC">
        <w:rPr>
          <w:rFonts w:cs="Arial"/>
          <w:spacing w:val="-1"/>
        </w:rPr>
        <w:t>n</w:t>
      </w:r>
      <w:r w:rsidRPr="003768FC">
        <w:rPr>
          <w:rFonts w:cs="Arial"/>
          <w:spacing w:val="1"/>
        </w:rPr>
        <w:t>c</w:t>
      </w:r>
      <w:r w:rsidRPr="003768FC">
        <w:rPr>
          <w:rFonts w:cs="Arial"/>
        </w:rPr>
        <w:t>e?</w:t>
      </w:r>
    </w:p>
    <w:p w14:paraId="0199123E" w14:textId="77777777" w:rsidR="000030F8" w:rsidRPr="003768FC" w:rsidRDefault="000030F8" w:rsidP="000030F8">
      <w:pPr>
        <w:pStyle w:val="BulletsL1"/>
        <w:numPr>
          <w:ilvl w:val="0"/>
          <w:numId w:val="16"/>
        </w:numPr>
        <w:rPr>
          <w:rFonts w:cs="Arial"/>
        </w:rPr>
      </w:pPr>
      <w:r w:rsidRPr="003768FC">
        <w:rPr>
          <w:rFonts w:cs="Arial"/>
        </w:rPr>
        <w:t>Has</w:t>
      </w:r>
      <w:r w:rsidRPr="003768FC">
        <w:rPr>
          <w:rFonts w:cs="Arial"/>
          <w:spacing w:val="-3"/>
        </w:rPr>
        <w:t xml:space="preserve"> </w:t>
      </w:r>
      <w:r w:rsidRPr="003768FC">
        <w:rPr>
          <w:rFonts w:cs="Arial"/>
        </w:rPr>
        <w:t>t</w:t>
      </w:r>
      <w:r w:rsidRPr="003768FC">
        <w:rPr>
          <w:rFonts w:cs="Arial"/>
          <w:spacing w:val="-1"/>
        </w:rPr>
        <w:t>h</w:t>
      </w:r>
      <w:r w:rsidRPr="003768FC">
        <w:rPr>
          <w:rFonts w:cs="Arial"/>
        </w:rPr>
        <w:t>e</w:t>
      </w:r>
      <w:r w:rsidRPr="003768FC">
        <w:rPr>
          <w:rFonts w:cs="Arial"/>
          <w:spacing w:val="-6"/>
        </w:rPr>
        <w:t xml:space="preserve"> </w:t>
      </w:r>
      <w:r w:rsidRPr="003768FC">
        <w:rPr>
          <w:rFonts w:cs="Arial"/>
        </w:rPr>
        <w:t>pro</w:t>
      </w:r>
      <w:r w:rsidRPr="003768FC">
        <w:rPr>
          <w:rFonts w:cs="Arial"/>
          <w:spacing w:val="-1"/>
        </w:rPr>
        <w:t>vi</w:t>
      </w:r>
      <w:r w:rsidRPr="003768FC">
        <w:rPr>
          <w:rFonts w:cs="Arial"/>
        </w:rPr>
        <w:t>d</w:t>
      </w:r>
      <w:r w:rsidRPr="003768FC">
        <w:rPr>
          <w:rFonts w:cs="Arial"/>
          <w:spacing w:val="-1"/>
        </w:rPr>
        <w:t>e</w:t>
      </w:r>
      <w:r w:rsidRPr="003768FC">
        <w:rPr>
          <w:rFonts w:cs="Arial"/>
        </w:rPr>
        <w:t>r</w:t>
      </w:r>
      <w:r w:rsidRPr="003768FC">
        <w:rPr>
          <w:rFonts w:cs="Arial"/>
          <w:spacing w:val="-5"/>
        </w:rPr>
        <w:t xml:space="preserve"> </w:t>
      </w:r>
      <w:r w:rsidRPr="003768FC">
        <w:rPr>
          <w:rFonts w:cs="Arial"/>
          <w:spacing w:val="4"/>
        </w:rPr>
        <w:t>m</w:t>
      </w:r>
      <w:r w:rsidRPr="003768FC">
        <w:rPr>
          <w:rFonts w:cs="Arial"/>
        </w:rPr>
        <w:t>a</w:t>
      </w:r>
      <w:r w:rsidRPr="003768FC">
        <w:rPr>
          <w:rFonts w:cs="Arial"/>
          <w:spacing w:val="-1"/>
        </w:rPr>
        <w:t>i</w:t>
      </w:r>
      <w:r w:rsidRPr="003768FC">
        <w:rPr>
          <w:rFonts w:cs="Arial"/>
        </w:rPr>
        <w:t>nt</w:t>
      </w:r>
      <w:r w:rsidRPr="003768FC">
        <w:rPr>
          <w:rFonts w:cs="Arial"/>
          <w:spacing w:val="-1"/>
        </w:rPr>
        <w:t>ai</w:t>
      </w:r>
      <w:r w:rsidRPr="003768FC">
        <w:rPr>
          <w:rFonts w:cs="Arial"/>
        </w:rPr>
        <w:t>n</w:t>
      </w:r>
      <w:r w:rsidRPr="003768FC">
        <w:rPr>
          <w:rFonts w:cs="Arial"/>
          <w:spacing w:val="-1"/>
        </w:rPr>
        <w:t>e</w:t>
      </w:r>
      <w:r w:rsidRPr="003768FC">
        <w:rPr>
          <w:rFonts w:cs="Arial"/>
        </w:rPr>
        <w:t>d</w:t>
      </w:r>
      <w:r w:rsidRPr="003768FC">
        <w:rPr>
          <w:rFonts w:cs="Arial"/>
          <w:spacing w:val="-13"/>
        </w:rPr>
        <w:t xml:space="preserve"> </w:t>
      </w:r>
      <w:r w:rsidRPr="003768FC">
        <w:rPr>
          <w:rFonts w:cs="Arial"/>
          <w:spacing w:val="1"/>
        </w:rPr>
        <w:t>s</w:t>
      </w:r>
      <w:r w:rsidRPr="003768FC">
        <w:rPr>
          <w:rFonts w:cs="Arial"/>
        </w:rPr>
        <w:t>u</w:t>
      </w:r>
      <w:r w:rsidRPr="003768FC">
        <w:rPr>
          <w:rFonts w:cs="Arial"/>
          <w:spacing w:val="2"/>
        </w:rPr>
        <w:t>ff</w:t>
      </w:r>
      <w:r w:rsidRPr="003768FC">
        <w:rPr>
          <w:rFonts w:cs="Arial"/>
          <w:spacing w:val="-1"/>
        </w:rPr>
        <w:t>i</w:t>
      </w:r>
      <w:r w:rsidRPr="003768FC">
        <w:rPr>
          <w:rFonts w:cs="Arial"/>
          <w:spacing w:val="1"/>
        </w:rPr>
        <w:t>c</w:t>
      </w:r>
      <w:r w:rsidRPr="003768FC">
        <w:rPr>
          <w:rFonts w:cs="Arial"/>
          <w:spacing w:val="-1"/>
        </w:rPr>
        <w:t>i</w:t>
      </w:r>
      <w:r w:rsidRPr="003768FC">
        <w:rPr>
          <w:rFonts w:cs="Arial"/>
        </w:rPr>
        <w:t>e</w:t>
      </w:r>
      <w:r w:rsidRPr="003768FC">
        <w:rPr>
          <w:rFonts w:cs="Arial"/>
          <w:spacing w:val="-1"/>
        </w:rPr>
        <w:t>n</w:t>
      </w:r>
      <w:r w:rsidRPr="003768FC">
        <w:rPr>
          <w:rFonts w:cs="Arial"/>
        </w:rPr>
        <w:t>t</w:t>
      </w:r>
      <w:r w:rsidRPr="003768FC">
        <w:rPr>
          <w:rFonts w:cs="Arial"/>
          <w:spacing w:val="-13"/>
        </w:rPr>
        <w:t xml:space="preserve"> </w:t>
      </w:r>
      <w:r w:rsidRPr="003768FC">
        <w:rPr>
          <w:rFonts w:cs="Arial"/>
          <w:spacing w:val="-1"/>
        </w:rPr>
        <w:t>l</w:t>
      </w:r>
      <w:r w:rsidRPr="003768FC">
        <w:rPr>
          <w:rFonts w:cs="Arial"/>
        </w:rPr>
        <w:t>e</w:t>
      </w:r>
      <w:r w:rsidRPr="003768FC">
        <w:rPr>
          <w:rFonts w:cs="Arial"/>
          <w:spacing w:val="-2"/>
        </w:rPr>
        <w:t>v</w:t>
      </w:r>
      <w:r w:rsidRPr="003768FC">
        <w:rPr>
          <w:rFonts w:cs="Arial"/>
        </w:rPr>
        <w:t>e</w:t>
      </w:r>
      <w:r w:rsidRPr="003768FC">
        <w:rPr>
          <w:rFonts w:cs="Arial"/>
          <w:spacing w:val="-1"/>
        </w:rPr>
        <w:t>l</w:t>
      </w:r>
      <w:r w:rsidRPr="003768FC">
        <w:rPr>
          <w:rFonts w:cs="Arial"/>
        </w:rPr>
        <w:t>s of</w:t>
      </w:r>
      <w:r w:rsidRPr="003768FC">
        <w:rPr>
          <w:rFonts w:cs="Arial"/>
          <w:spacing w:val="-6"/>
        </w:rPr>
        <w:t xml:space="preserve"> </w:t>
      </w:r>
      <w:r w:rsidRPr="003768FC">
        <w:rPr>
          <w:rFonts w:cs="Arial"/>
          <w:spacing w:val="-1"/>
        </w:rPr>
        <w:t>li</w:t>
      </w:r>
      <w:r w:rsidRPr="003768FC">
        <w:rPr>
          <w:rFonts w:cs="Arial"/>
        </w:rPr>
        <w:t>q</w:t>
      </w:r>
      <w:r w:rsidRPr="003768FC">
        <w:rPr>
          <w:rFonts w:cs="Arial"/>
          <w:spacing w:val="-1"/>
        </w:rPr>
        <w:t>ui</w:t>
      </w:r>
      <w:r w:rsidRPr="003768FC">
        <w:rPr>
          <w:rFonts w:cs="Arial"/>
        </w:rPr>
        <w:t>d</w:t>
      </w:r>
      <w:r w:rsidRPr="003768FC">
        <w:rPr>
          <w:rFonts w:cs="Arial"/>
          <w:spacing w:val="-1"/>
        </w:rPr>
        <w:t>i</w:t>
      </w:r>
      <w:r w:rsidRPr="003768FC">
        <w:rPr>
          <w:rFonts w:cs="Arial"/>
          <w:spacing w:val="2"/>
        </w:rPr>
        <w:t>t</w:t>
      </w:r>
      <w:r w:rsidRPr="003768FC">
        <w:rPr>
          <w:rFonts w:cs="Arial"/>
        </w:rPr>
        <w:t>y</w:t>
      </w:r>
      <w:r w:rsidRPr="003768FC">
        <w:rPr>
          <w:rFonts w:cs="Arial"/>
          <w:spacing w:val="-4"/>
        </w:rPr>
        <w:t xml:space="preserve"> </w:t>
      </w:r>
      <w:r w:rsidRPr="003768FC">
        <w:rPr>
          <w:rFonts w:cs="Arial"/>
        </w:rPr>
        <w:t>a</w:t>
      </w:r>
      <w:r w:rsidRPr="003768FC">
        <w:rPr>
          <w:rFonts w:cs="Arial"/>
          <w:spacing w:val="-1"/>
        </w:rPr>
        <w:t>n</w:t>
      </w:r>
      <w:r w:rsidRPr="003768FC">
        <w:rPr>
          <w:rFonts w:cs="Arial"/>
        </w:rPr>
        <w:t xml:space="preserve">d </w:t>
      </w:r>
      <w:r w:rsidRPr="003768FC">
        <w:rPr>
          <w:rFonts w:cs="Arial"/>
          <w:spacing w:val="-1"/>
        </w:rPr>
        <w:t>inve</w:t>
      </w:r>
      <w:r w:rsidRPr="003768FC">
        <w:rPr>
          <w:rFonts w:cs="Arial"/>
          <w:spacing w:val="1"/>
        </w:rPr>
        <w:t>s</w:t>
      </w:r>
      <w:r w:rsidRPr="003768FC">
        <w:rPr>
          <w:rFonts w:cs="Arial"/>
        </w:rPr>
        <w:t>t</w:t>
      </w:r>
      <w:r w:rsidRPr="003768FC">
        <w:rPr>
          <w:rFonts w:cs="Arial"/>
          <w:spacing w:val="4"/>
        </w:rPr>
        <w:t>m</w:t>
      </w:r>
      <w:r w:rsidRPr="003768FC">
        <w:rPr>
          <w:rFonts w:cs="Arial"/>
          <w:spacing w:val="-1"/>
        </w:rPr>
        <w:t>en</w:t>
      </w:r>
      <w:r w:rsidRPr="003768FC">
        <w:rPr>
          <w:rFonts w:cs="Arial"/>
        </w:rPr>
        <w:t>t</w:t>
      </w:r>
      <w:r w:rsidRPr="003768FC">
        <w:rPr>
          <w:rFonts w:cs="Arial"/>
          <w:spacing w:val="-13"/>
        </w:rPr>
        <w:t xml:space="preserve"> </w:t>
      </w:r>
      <w:r w:rsidRPr="003768FC">
        <w:rPr>
          <w:rFonts w:cs="Arial"/>
        </w:rPr>
        <w:t>to</w:t>
      </w:r>
      <w:r w:rsidRPr="003768FC">
        <w:rPr>
          <w:rFonts w:cs="Arial"/>
          <w:spacing w:val="-3"/>
        </w:rPr>
        <w:t xml:space="preserve"> </w:t>
      </w:r>
      <w:r w:rsidRPr="003768FC">
        <w:rPr>
          <w:rFonts w:cs="Arial"/>
        </w:rPr>
        <w:t>s</w:t>
      </w:r>
      <w:r w:rsidRPr="003768FC">
        <w:rPr>
          <w:rFonts w:cs="Arial"/>
          <w:spacing w:val="-1"/>
        </w:rPr>
        <w:t>uppo</w:t>
      </w:r>
      <w:r w:rsidRPr="003768FC">
        <w:rPr>
          <w:rFonts w:cs="Arial"/>
          <w:spacing w:val="1"/>
        </w:rPr>
        <w:t>r</w:t>
      </w:r>
      <w:r w:rsidRPr="003768FC">
        <w:rPr>
          <w:rFonts w:cs="Arial"/>
        </w:rPr>
        <w:t>t</w:t>
      </w:r>
      <w:r w:rsidRPr="003768FC">
        <w:rPr>
          <w:rFonts w:cs="Arial"/>
          <w:spacing w:val="-10"/>
        </w:rPr>
        <w:t xml:space="preserve"> </w:t>
      </w:r>
      <w:r w:rsidRPr="003768FC">
        <w:rPr>
          <w:rFonts w:cs="Arial"/>
          <w:spacing w:val="3"/>
        </w:rPr>
        <w:t>k</w:t>
      </w:r>
      <w:r w:rsidRPr="003768FC">
        <w:rPr>
          <w:rFonts w:cs="Arial"/>
          <w:spacing w:val="-1"/>
        </w:rPr>
        <w:t>e</w:t>
      </w:r>
      <w:r w:rsidRPr="003768FC">
        <w:rPr>
          <w:rFonts w:cs="Arial"/>
        </w:rPr>
        <w:t>y</w:t>
      </w:r>
      <w:r w:rsidRPr="003768FC">
        <w:rPr>
          <w:rFonts w:cs="Arial"/>
          <w:spacing w:val="-7"/>
        </w:rPr>
        <w:t xml:space="preserve"> </w:t>
      </w:r>
      <w:r w:rsidRPr="003768FC">
        <w:rPr>
          <w:rFonts w:cs="Arial"/>
          <w:spacing w:val="-1"/>
        </w:rPr>
        <w:t>a</w:t>
      </w:r>
      <w:r w:rsidRPr="003768FC">
        <w:rPr>
          <w:rFonts w:cs="Arial"/>
          <w:spacing w:val="1"/>
        </w:rPr>
        <w:t>c</w:t>
      </w:r>
      <w:r w:rsidRPr="003768FC">
        <w:rPr>
          <w:rFonts w:cs="Arial"/>
          <w:spacing w:val="-1"/>
        </w:rPr>
        <w:t>ade</w:t>
      </w:r>
      <w:r w:rsidRPr="003768FC">
        <w:rPr>
          <w:rFonts w:cs="Arial"/>
          <w:spacing w:val="4"/>
        </w:rPr>
        <w:t>m</w:t>
      </w:r>
      <w:r w:rsidRPr="003768FC">
        <w:rPr>
          <w:rFonts w:cs="Arial"/>
          <w:spacing w:val="-1"/>
        </w:rPr>
        <w:t>i</w:t>
      </w:r>
      <w:r w:rsidRPr="003768FC">
        <w:rPr>
          <w:rFonts w:cs="Arial"/>
        </w:rPr>
        <w:t>c</w:t>
      </w:r>
      <w:r w:rsidRPr="003768FC">
        <w:rPr>
          <w:rFonts w:cs="Arial"/>
          <w:spacing w:val="-13"/>
        </w:rPr>
        <w:t xml:space="preserve"> </w:t>
      </w:r>
      <w:r w:rsidRPr="003768FC">
        <w:rPr>
          <w:rFonts w:cs="Arial"/>
          <w:spacing w:val="2"/>
        </w:rPr>
        <w:t>f</w:t>
      </w:r>
      <w:r w:rsidRPr="003768FC">
        <w:rPr>
          <w:rFonts w:cs="Arial"/>
          <w:spacing w:val="-1"/>
        </w:rPr>
        <w:t>un</w:t>
      </w:r>
      <w:r w:rsidRPr="003768FC">
        <w:rPr>
          <w:rFonts w:cs="Arial"/>
          <w:spacing w:val="1"/>
        </w:rPr>
        <w:t>c</w:t>
      </w:r>
      <w:r w:rsidRPr="003768FC">
        <w:rPr>
          <w:rFonts w:cs="Arial"/>
        </w:rPr>
        <w:t>t</w:t>
      </w:r>
      <w:r w:rsidRPr="003768FC">
        <w:rPr>
          <w:rFonts w:cs="Arial"/>
          <w:spacing w:val="-1"/>
        </w:rPr>
        <w:t>ion</w:t>
      </w:r>
      <w:r w:rsidRPr="003768FC">
        <w:rPr>
          <w:rFonts w:cs="Arial"/>
          <w:spacing w:val="1"/>
        </w:rPr>
        <w:t>s</w:t>
      </w:r>
      <w:r w:rsidRPr="003768FC">
        <w:rPr>
          <w:rFonts w:cs="Arial"/>
        </w:rPr>
        <w:t>?</w:t>
      </w:r>
    </w:p>
    <w:p w14:paraId="685D787D" w14:textId="77777777" w:rsidR="000030F8" w:rsidRPr="003768FC" w:rsidRDefault="000030F8" w:rsidP="000030F8">
      <w:pPr>
        <w:pStyle w:val="BulletsL1"/>
        <w:numPr>
          <w:ilvl w:val="0"/>
          <w:numId w:val="16"/>
        </w:numPr>
        <w:rPr>
          <w:rFonts w:cs="Arial"/>
        </w:rPr>
      </w:pPr>
      <w:r w:rsidRPr="003768FC">
        <w:rPr>
          <w:rFonts w:cs="Arial"/>
          <w:spacing w:val="9"/>
        </w:rPr>
        <w:t>W</w:t>
      </w:r>
      <w:r w:rsidRPr="003768FC">
        <w:rPr>
          <w:rFonts w:cs="Arial"/>
        </w:rPr>
        <w:t>h</w:t>
      </w:r>
      <w:r w:rsidRPr="003768FC">
        <w:rPr>
          <w:rFonts w:cs="Arial"/>
          <w:spacing w:val="-1"/>
        </w:rPr>
        <w:t>a</w:t>
      </w:r>
      <w:r w:rsidRPr="003768FC">
        <w:rPr>
          <w:rFonts w:cs="Arial"/>
        </w:rPr>
        <w:t>t</w:t>
      </w:r>
      <w:r w:rsidRPr="003768FC">
        <w:rPr>
          <w:rFonts w:cs="Arial"/>
          <w:spacing w:val="-13"/>
        </w:rPr>
        <w:t xml:space="preserve"> </w:t>
      </w:r>
      <w:r w:rsidRPr="003768FC">
        <w:rPr>
          <w:rFonts w:cs="Arial"/>
        </w:rPr>
        <w:t>h</w:t>
      </w:r>
      <w:r w:rsidRPr="003768FC">
        <w:rPr>
          <w:rFonts w:cs="Arial"/>
          <w:spacing w:val="-1"/>
        </w:rPr>
        <w:t>av</w:t>
      </w:r>
      <w:r w:rsidRPr="003768FC">
        <w:rPr>
          <w:rFonts w:cs="Arial"/>
        </w:rPr>
        <w:t>e</w:t>
      </w:r>
      <w:r w:rsidRPr="003768FC">
        <w:rPr>
          <w:rFonts w:cs="Arial"/>
          <w:spacing w:val="-4"/>
        </w:rPr>
        <w:t xml:space="preserve"> </w:t>
      </w:r>
      <w:r w:rsidRPr="003768FC">
        <w:rPr>
          <w:rFonts w:cs="Arial"/>
          <w:spacing w:val="-1"/>
        </w:rPr>
        <w:t>b</w:t>
      </w:r>
      <w:r w:rsidRPr="003768FC">
        <w:rPr>
          <w:rFonts w:cs="Arial"/>
        </w:rPr>
        <w:t>e</w:t>
      </w:r>
      <w:r w:rsidRPr="003768FC">
        <w:rPr>
          <w:rFonts w:cs="Arial"/>
          <w:spacing w:val="-1"/>
        </w:rPr>
        <w:t>e</w:t>
      </w:r>
      <w:r w:rsidRPr="003768FC">
        <w:rPr>
          <w:rFonts w:cs="Arial"/>
        </w:rPr>
        <w:t>n</w:t>
      </w:r>
      <w:r w:rsidRPr="003768FC">
        <w:rPr>
          <w:rFonts w:cs="Arial"/>
          <w:spacing w:val="-7"/>
        </w:rPr>
        <w:t xml:space="preserve"> </w:t>
      </w:r>
      <w:r w:rsidRPr="003768FC">
        <w:rPr>
          <w:rFonts w:cs="Arial"/>
        </w:rPr>
        <w:t>the</w:t>
      </w:r>
      <w:r w:rsidRPr="003768FC">
        <w:rPr>
          <w:rFonts w:cs="Arial"/>
          <w:spacing w:val="-7"/>
        </w:rPr>
        <w:t xml:space="preserve"> </w:t>
      </w:r>
      <w:r w:rsidRPr="003768FC">
        <w:rPr>
          <w:rFonts w:cs="Arial"/>
        </w:rPr>
        <w:t>tre</w:t>
      </w:r>
      <w:r w:rsidRPr="003768FC">
        <w:rPr>
          <w:rFonts w:cs="Arial"/>
          <w:spacing w:val="-1"/>
        </w:rPr>
        <w:t>n</w:t>
      </w:r>
      <w:r w:rsidRPr="003768FC">
        <w:rPr>
          <w:rFonts w:cs="Arial"/>
        </w:rPr>
        <w:t>ds</w:t>
      </w:r>
      <w:r w:rsidRPr="003768FC">
        <w:rPr>
          <w:rFonts w:cs="Arial"/>
          <w:spacing w:val="-6"/>
        </w:rPr>
        <w:t xml:space="preserve"> </w:t>
      </w:r>
      <w:r w:rsidRPr="003768FC">
        <w:rPr>
          <w:rFonts w:cs="Arial"/>
          <w:spacing w:val="-1"/>
        </w:rPr>
        <w:t>i</w:t>
      </w:r>
      <w:r w:rsidRPr="003768FC">
        <w:rPr>
          <w:rFonts w:cs="Arial"/>
        </w:rPr>
        <w:t>n</w:t>
      </w:r>
      <w:r w:rsidRPr="003768FC">
        <w:rPr>
          <w:rFonts w:cs="Arial"/>
          <w:spacing w:val="-2"/>
        </w:rPr>
        <w:t xml:space="preserve"> </w:t>
      </w:r>
      <w:r w:rsidRPr="003768FC">
        <w:rPr>
          <w:rFonts w:cs="Arial"/>
          <w:spacing w:val="3"/>
        </w:rPr>
        <w:t>k</w:t>
      </w:r>
      <w:r w:rsidRPr="003768FC">
        <w:rPr>
          <w:rFonts w:cs="Arial"/>
        </w:rPr>
        <w:t>ey</w:t>
      </w:r>
      <w:r w:rsidRPr="003768FC">
        <w:rPr>
          <w:rFonts w:cs="Arial"/>
          <w:spacing w:val="-8"/>
        </w:rPr>
        <w:t xml:space="preserve"> </w:t>
      </w:r>
      <w:r w:rsidRPr="003768FC">
        <w:rPr>
          <w:rFonts w:cs="Arial"/>
          <w:spacing w:val="2"/>
        </w:rPr>
        <w:t>f</w:t>
      </w:r>
      <w:r w:rsidRPr="003768FC">
        <w:rPr>
          <w:rFonts w:cs="Arial"/>
          <w:spacing w:val="-1"/>
        </w:rPr>
        <w:t>i</w:t>
      </w:r>
      <w:r w:rsidRPr="003768FC">
        <w:rPr>
          <w:rFonts w:cs="Arial"/>
        </w:rPr>
        <w:t>n</w:t>
      </w:r>
      <w:r w:rsidRPr="003768FC">
        <w:rPr>
          <w:rFonts w:cs="Arial"/>
          <w:spacing w:val="-1"/>
        </w:rPr>
        <w:t>a</w:t>
      </w:r>
      <w:r w:rsidRPr="003768FC">
        <w:rPr>
          <w:rFonts w:cs="Arial"/>
        </w:rPr>
        <w:t>n</w:t>
      </w:r>
      <w:r w:rsidRPr="003768FC">
        <w:rPr>
          <w:rFonts w:cs="Arial"/>
          <w:spacing w:val="1"/>
        </w:rPr>
        <w:t>c</w:t>
      </w:r>
      <w:r w:rsidRPr="003768FC">
        <w:rPr>
          <w:rFonts w:cs="Arial"/>
          <w:spacing w:val="-1"/>
        </w:rPr>
        <w:t>i</w:t>
      </w:r>
      <w:r w:rsidRPr="003768FC">
        <w:rPr>
          <w:rFonts w:cs="Arial"/>
        </w:rPr>
        <w:t>al</w:t>
      </w:r>
      <w:r w:rsidRPr="003768FC">
        <w:rPr>
          <w:rFonts w:cs="Arial"/>
          <w:spacing w:val="-9"/>
        </w:rPr>
        <w:t xml:space="preserve"> </w:t>
      </w:r>
      <w:r w:rsidRPr="003768FC">
        <w:rPr>
          <w:rFonts w:cs="Arial"/>
        </w:rPr>
        <w:t>p</w:t>
      </w:r>
      <w:r w:rsidRPr="003768FC">
        <w:rPr>
          <w:rFonts w:cs="Arial"/>
          <w:spacing w:val="-1"/>
        </w:rPr>
        <w:t>e</w:t>
      </w:r>
      <w:r w:rsidRPr="003768FC">
        <w:rPr>
          <w:rFonts w:cs="Arial"/>
          <w:spacing w:val="1"/>
        </w:rPr>
        <w:t>r</w:t>
      </w:r>
      <w:r w:rsidRPr="003768FC">
        <w:rPr>
          <w:rFonts w:cs="Arial"/>
          <w:spacing w:val="2"/>
        </w:rPr>
        <w:t>f</w:t>
      </w:r>
      <w:r w:rsidRPr="003768FC">
        <w:rPr>
          <w:rFonts w:cs="Arial"/>
        </w:rPr>
        <w:t>or</w:t>
      </w:r>
      <w:r w:rsidRPr="003768FC">
        <w:rPr>
          <w:rFonts w:cs="Arial"/>
          <w:spacing w:val="5"/>
        </w:rPr>
        <w:t>m</w:t>
      </w:r>
      <w:r w:rsidRPr="003768FC">
        <w:rPr>
          <w:rFonts w:cs="Arial"/>
        </w:rPr>
        <w:t>a</w:t>
      </w:r>
      <w:r w:rsidRPr="003768FC">
        <w:rPr>
          <w:rFonts w:cs="Arial"/>
          <w:spacing w:val="-1"/>
        </w:rPr>
        <w:t>n</w:t>
      </w:r>
      <w:r w:rsidRPr="003768FC">
        <w:rPr>
          <w:rFonts w:cs="Arial"/>
          <w:spacing w:val="1"/>
        </w:rPr>
        <w:t>c</w:t>
      </w:r>
      <w:r w:rsidRPr="003768FC">
        <w:rPr>
          <w:rFonts w:cs="Arial"/>
        </w:rPr>
        <w:t>e e</w:t>
      </w:r>
      <w:r w:rsidRPr="003768FC">
        <w:rPr>
          <w:rFonts w:cs="Arial"/>
          <w:spacing w:val="-1"/>
        </w:rPr>
        <w:t>l</w:t>
      </w:r>
      <w:r w:rsidRPr="003768FC">
        <w:rPr>
          <w:rFonts w:cs="Arial"/>
        </w:rPr>
        <w:t>e</w:t>
      </w:r>
      <w:r w:rsidRPr="003768FC">
        <w:rPr>
          <w:rFonts w:cs="Arial"/>
          <w:spacing w:val="4"/>
        </w:rPr>
        <w:t>m</w:t>
      </w:r>
      <w:r w:rsidRPr="003768FC">
        <w:rPr>
          <w:rFonts w:cs="Arial"/>
        </w:rPr>
        <w:t>e</w:t>
      </w:r>
      <w:r w:rsidRPr="003768FC">
        <w:rPr>
          <w:rFonts w:cs="Arial"/>
          <w:spacing w:val="-1"/>
        </w:rPr>
        <w:t>n</w:t>
      </w:r>
      <w:r w:rsidRPr="003768FC">
        <w:rPr>
          <w:rFonts w:cs="Arial"/>
        </w:rPr>
        <w:t>t</w:t>
      </w:r>
      <w:r w:rsidRPr="003768FC">
        <w:rPr>
          <w:rFonts w:cs="Arial"/>
          <w:spacing w:val="1"/>
        </w:rPr>
        <w:t>s</w:t>
      </w:r>
      <w:r w:rsidRPr="003768FC">
        <w:rPr>
          <w:rFonts w:cs="Arial"/>
        </w:rPr>
        <w:t>?</w:t>
      </w:r>
    </w:p>
    <w:p w14:paraId="64E43471" w14:textId="77777777" w:rsidR="000030F8" w:rsidRPr="003768FC" w:rsidRDefault="000030F8" w:rsidP="000030F8">
      <w:pPr>
        <w:pStyle w:val="BulletsL1"/>
        <w:numPr>
          <w:ilvl w:val="0"/>
          <w:numId w:val="16"/>
        </w:numPr>
        <w:rPr>
          <w:rFonts w:cs="Arial"/>
        </w:rPr>
      </w:pPr>
      <w:r w:rsidRPr="003768FC">
        <w:rPr>
          <w:rFonts w:cs="Arial"/>
        </w:rPr>
        <w:t>H</w:t>
      </w:r>
      <w:r w:rsidRPr="003768FC">
        <w:rPr>
          <w:rFonts w:cs="Arial"/>
          <w:spacing w:val="-1"/>
        </w:rPr>
        <w:t>a</w:t>
      </w:r>
      <w:r w:rsidRPr="003768FC">
        <w:rPr>
          <w:rFonts w:cs="Arial"/>
        </w:rPr>
        <w:t>s</w:t>
      </w:r>
      <w:r w:rsidRPr="003768FC">
        <w:rPr>
          <w:rFonts w:cs="Arial"/>
          <w:spacing w:val="-3"/>
        </w:rPr>
        <w:t xml:space="preserve"> </w:t>
      </w:r>
      <w:r w:rsidRPr="003768FC">
        <w:rPr>
          <w:rFonts w:cs="Arial"/>
          <w:spacing w:val="-1"/>
        </w:rPr>
        <w:t>th</w:t>
      </w:r>
      <w:r w:rsidRPr="003768FC">
        <w:rPr>
          <w:rFonts w:cs="Arial"/>
        </w:rPr>
        <w:t>e</w:t>
      </w:r>
      <w:r w:rsidRPr="003768FC">
        <w:rPr>
          <w:rFonts w:cs="Arial"/>
          <w:spacing w:val="-6"/>
        </w:rPr>
        <w:t xml:space="preserve"> </w:t>
      </w:r>
      <w:r w:rsidRPr="003768FC">
        <w:rPr>
          <w:rFonts w:cs="Arial"/>
          <w:spacing w:val="-1"/>
        </w:rPr>
        <w:t>p</w:t>
      </w:r>
      <w:r w:rsidRPr="003768FC">
        <w:rPr>
          <w:rFonts w:cs="Arial"/>
          <w:spacing w:val="1"/>
        </w:rPr>
        <w:t>r</w:t>
      </w:r>
      <w:r w:rsidRPr="003768FC">
        <w:rPr>
          <w:rFonts w:cs="Arial"/>
          <w:spacing w:val="-1"/>
        </w:rPr>
        <w:t>ovide</w:t>
      </w:r>
      <w:r w:rsidRPr="003768FC">
        <w:rPr>
          <w:rFonts w:cs="Arial"/>
        </w:rPr>
        <w:t>r</w:t>
      </w:r>
      <w:r w:rsidRPr="003768FC">
        <w:rPr>
          <w:rFonts w:cs="Arial"/>
          <w:spacing w:val="-5"/>
        </w:rPr>
        <w:t xml:space="preserve"> </w:t>
      </w:r>
      <w:r w:rsidRPr="003768FC">
        <w:rPr>
          <w:rFonts w:cs="Arial"/>
          <w:spacing w:val="-1"/>
        </w:rPr>
        <w:t>e</w:t>
      </w:r>
      <w:r w:rsidRPr="003768FC">
        <w:rPr>
          <w:rFonts w:cs="Arial"/>
          <w:spacing w:val="1"/>
        </w:rPr>
        <w:t>x</w:t>
      </w:r>
      <w:r w:rsidRPr="003768FC">
        <w:rPr>
          <w:rFonts w:cs="Arial"/>
          <w:spacing w:val="-1"/>
        </w:rPr>
        <w:t>hibi</w:t>
      </w:r>
      <w:r w:rsidRPr="003768FC">
        <w:rPr>
          <w:rFonts w:cs="Arial"/>
        </w:rPr>
        <w:t>t</w:t>
      </w:r>
      <w:r w:rsidRPr="003768FC">
        <w:rPr>
          <w:rFonts w:cs="Arial"/>
          <w:spacing w:val="-1"/>
        </w:rPr>
        <w:t>e</w:t>
      </w:r>
      <w:r w:rsidRPr="003768FC">
        <w:rPr>
          <w:rFonts w:cs="Arial"/>
        </w:rPr>
        <w:t>d</w:t>
      </w:r>
      <w:r w:rsidRPr="003768FC">
        <w:rPr>
          <w:rFonts w:cs="Arial"/>
          <w:spacing w:val="-9"/>
        </w:rPr>
        <w:t xml:space="preserve"> </w:t>
      </w:r>
      <w:r w:rsidRPr="003768FC">
        <w:rPr>
          <w:rFonts w:cs="Arial"/>
        </w:rPr>
        <w:t>a</w:t>
      </w:r>
      <w:r w:rsidRPr="003768FC">
        <w:rPr>
          <w:rFonts w:cs="Arial"/>
          <w:spacing w:val="-2"/>
        </w:rPr>
        <w:t xml:space="preserve"> </w:t>
      </w:r>
      <w:r w:rsidRPr="003768FC">
        <w:rPr>
          <w:rFonts w:cs="Arial"/>
        </w:rPr>
        <w:t>c</w:t>
      </w:r>
      <w:r w:rsidRPr="003768FC">
        <w:rPr>
          <w:rFonts w:cs="Arial"/>
          <w:spacing w:val="-1"/>
        </w:rPr>
        <w:t>on</w:t>
      </w:r>
      <w:r w:rsidRPr="003768FC">
        <w:rPr>
          <w:rFonts w:cs="Arial"/>
          <w:spacing w:val="1"/>
        </w:rPr>
        <w:t>s</w:t>
      </w:r>
      <w:r w:rsidRPr="003768FC">
        <w:rPr>
          <w:rFonts w:cs="Arial"/>
          <w:spacing w:val="-1"/>
        </w:rPr>
        <w:t>i</w:t>
      </w:r>
      <w:r w:rsidRPr="003768FC">
        <w:rPr>
          <w:rFonts w:cs="Arial"/>
          <w:spacing w:val="1"/>
        </w:rPr>
        <w:t>s</w:t>
      </w:r>
      <w:r w:rsidRPr="003768FC">
        <w:rPr>
          <w:rFonts w:cs="Arial"/>
        </w:rPr>
        <w:t>t</w:t>
      </w:r>
      <w:r w:rsidRPr="003768FC">
        <w:rPr>
          <w:rFonts w:cs="Arial"/>
          <w:spacing w:val="-1"/>
        </w:rPr>
        <w:t>en</w:t>
      </w:r>
      <w:r w:rsidRPr="003768FC">
        <w:rPr>
          <w:rFonts w:cs="Arial"/>
        </w:rPr>
        <w:t>t</w:t>
      </w:r>
      <w:r w:rsidRPr="003768FC">
        <w:rPr>
          <w:rFonts w:cs="Arial"/>
          <w:spacing w:val="-12"/>
        </w:rPr>
        <w:t xml:space="preserve"> </w:t>
      </w:r>
      <w:r w:rsidRPr="003768FC">
        <w:rPr>
          <w:rFonts w:cs="Arial"/>
        </w:rPr>
        <w:t>tra</w:t>
      </w:r>
      <w:r w:rsidRPr="003768FC">
        <w:rPr>
          <w:rFonts w:cs="Arial"/>
          <w:spacing w:val="1"/>
        </w:rPr>
        <w:t>c</w:t>
      </w:r>
      <w:r w:rsidRPr="003768FC">
        <w:rPr>
          <w:rFonts w:cs="Arial"/>
        </w:rPr>
        <w:t>k</w:t>
      </w:r>
      <w:r w:rsidRPr="003768FC">
        <w:rPr>
          <w:rFonts w:cs="Arial"/>
          <w:spacing w:val="-6"/>
        </w:rPr>
        <w:t xml:space="preserve"> </w:t>
      </w:r>
      <w:r w:rsidRPr="003768FC">
        <w:rPr>
          <w:rFonts w:cs="Arial"/>
          <w:spacing w:val="1"/>
        </w:rPr>
        <w:t>r</w:t>
      </w:r>
      <w:r w:rsidRPr="003768FC">
        <w:rPr>
          <w:rFonts w:cs="Arial"/>
          <w:spacing w:val="-1"/>
        </w:rPr>
        <w:t>e</w:t>
      </w:r>
      <w:r w:rsidRPr="003768FC">
        <w:rPr>
          <w:rFonts w:cs="Arial"/>
          <w:spacing w:val="1"/>
        </w:rPr>
        <w:t>c</w:t>
      </w:r>
      <w:r w:rsidRPr="003768FC">
        <w:rPr>
          <w:rFonts w:cs="Arial"/>
          <w:spacing w:val="-1"/>
        </w:rPr>
        <w:t>o</w:t>
      </w:r>
      <w:r w:rsidRPr="003768FC">
        <w:rPr>
          <w:rFonts w:cs="Arial"/>
          <w:spacing w:val="1"/>
        </w:rPr>
        <w:t>r</w:t>
      </w:r>
      <w:r w:rsidRPr="003768FC">
        <w:rPr>
          <w:rFonts w:cs="Arial"/>
        </w:rPr>
        <w:t>d</w:t>
      </w:r>
      <w:r w:rsidRPr="003768FC">
        <w:rPr>
          <w:rFonts w:cs="Arial"/>
          <w:spacing w:val="-9"/>
        </w:rPr>
        <w:t xml:space="preserve"> </w:t>
      </w:r>
      <w:r w:rsidRPr="003768FC">
        <w:rPr>
          <w:rFonts w:cs="Arial"/>
          <w:spacing w:val="-1"/>
        </w:rPr>
        <w:t>o</w:t>
      </w:r>
      <w:r w:rsidRPr="003768FC">
        <w:rPr>
          <w:rFonts w:cs="Arial"/>
        </w:rPr>
        <w:t xml:space="preserve">f </w:t>
      </w:r>
      <w:r w:rsidRPr="003768FC">
        <w:rPr>
          <w:rFonts w:cs="Arial"/>
          <w:spacing w:val="2"/>
        </w:rPr>
        <w:t>f</w:t>
      </w:r>
      <w:r w:rsidRPr="003768FC">
        <w:rPr>
          <w:rFonts w:cs="Arial"/>
          <w:spacing w:val="-1"/>
        </w:rPr>
        <w:t>i</w:t>
      </w:r>
      <w:r w:rsidRPr="003768FC">
        <w:rPr>
          <w:rFonts w:cs="Arial"/>
        </w:rPr>
        <w:t>n</w:t>
      </w:r>
      <w:r w:rsidRPr="003768FC">
        <w:rPr>
          <w:rFonts w:cs="Arial"/>
          <w:spacing w:val="-1"/>
        </w:rPr>
        <w:t>a</w:t>
      </w:r>
      <w:r w:rsidRPr="003768FC">
        <w:rPr>
          <w:rFonts w:cs="Arial"/>
        </w:rPr>
        <w:t>n</w:t>
      </w:r>
      <w:r w:rsidRPr="003768FC">
        <w:rPr>
          <w:rFonts w:cs="Arial"/>
          <w:spacing w:val="1"/>
        </w:rPr>
        <w:t>c</w:t>
      </w:r>
      <w:r w:rsidRPr="003768FC">
        <w:rPr>
          <w:rFonts w:cs="Arial"/>
          <w:spacing w:val="-1"/>
        </w:rPr>
        <w:t>i</w:t>
      </w:r>
      <w:r w:rsidRPr="003768FC">
        <w:rPr>
          <w:rFonts w:cs="Arial"/>
        </w:rPr>
        <w:t>al</w:t>
      </w:r>
      <w:r w:rsidRPr="003768FC">
        <w:rPr>
          <w:rFonts w:cs="Arial"/>
          <w:spacing w:val="-9"/>
        </w:rPr>
        <w:t xml:space="preserve"> </w:t>
      </w:r>
      <w:r w:rsidRPr="003768FC">
        <w:rPr>
          <w:rFonts w:cs="Arial"/>
        </w:rPr>
        <w:t>prud</w:t>
      </w:r>
      <w:r w:rsidRPr="003768FC">
        <w:rPr>
          <w:rFonts w:cs="Arial"/>
          <w:spacing w:val="-1"/>
        </w:rPr>
        <w:t>e</w:t>
      </w:r>
      <w:r w:rsidRPr="003768FC">
        <w:rPr>
          <w:rFonts w:cs="Arial"/>
        </w:rPr>
        <w:t>n</w:t>
      </w:r>
      <w:r w:rsidRPr="003768FC">
        <w:rPr>
          <w:rFonts w:cs="Arial"/>
          <w:spacing w:val="1"/>
        </w:rPr>
        <w:t>c</w:t>
      </w:r>
      <w:r w:rsidRPr="003768FC">
        <w:rPr>
          <w:rFonts w:cs="Arial"/>
        </w:rPr>
        <w:t>e?</w:t>
      </w:r>
    </w:p>
    <w:p w14:paraId="21BCC0F9" w14:textId="77777777" w:rsidR="000030F8" w:rsidRPr="003768FC" w:rsidRDefault="000030F8" w:rsidP="000030F8">
      <w:pPr>
        <w:pStyle w:val="BulletsL1"/>
        <w:numPr>
          <w:ilvl w:val="0"/>
          <w:numId w:val="16"/>
        </w:numPr>
        <w:rPr>
          <w:rFonts w:cs="Arial"/>
        </w:rPr>
      </w:pPr>
      <w:r w:rsidRPr="003768FC">
        <w:rPr>
          <w:rFonts w:cs="Arial"/>
        </w:rPr>
        <w:t>H</w:t>
      </w:r>
      <w:r w:rsidRPr="003768FC">
        <w:rPr>
          <w:rFonts w:cs="Arial"/>
          <w:spacing w:val="-1"/>
        </w:rPr>
        <w:t>a</w:t>
      </w:r>
      <w:r w:rsidRPr="003768FC">
        <w:rPr>
          <w:rFonts w:cs="Arial"/>
        </w:rPr>
        <w:t>s</w:t>
      </w:r>
      <w:r w:rsidRPr="003768FC">
        <w:rPr>
          <w:rFonts w:cs="Arial"/>
          <w:spacing w:val="-3"/>
        </w:rPr>
        <w:t xml:space="preserve"> </w:t>
      </w:r>
      <w:r w:rsidRPr="003768FC">
        <w:rPr>
          <w:rFonts w:cs="Arial"/>
          <w:spacing w:val="-1"/>
        </w:rPr>
        <w:t>the</w:t>
      </w:r>
      <w:r w:rsidRPr="003768FC">
        <w:rPr>
          <w:rFonts w:cs="Arial"/>
          <w:spacing w:val="1"/>
        </w:rPr>
        <w:t>r</w:t>
      </w:r>
      <w:r w:rsidRPr="003768FC">
        <w:rPr>
          <w:rFonts w:cs="Arial"/>
        </w:rPr>
        <w:t>e</w:t>
      </w:r>
      <w:r w:rsidRPr="003768FC">
        <w:rPr>
          <w:rFonts w:cs="Arial"/>
          <w:spacing w:val="-8"/>
        </w:rPr>
        <w:t xml:space="preserve"> </w:t>
      </w:r>
      <w:r w:rsidRPr="003768FC">
        <w:rPr>
          <w:rFonts w:cs="Arial"/>
          <w:spacing w:val="-1"/>
        </w:rPr>
        <w:t>bee</w:t>
      </w:r>
      <w:r w:rsidRPr="003768FC">
        <w:rPr>
          <w:rFonts w:cs="Arial"/>
        </w:rPr>
        <w:t>n</w:t>
      </w:r>
      <w:r w:rsidRPr="003768FC">
        <w:rPr>
          <w:rFonts w:cs="Arial"/>
          <w:spacing w:val="-5"/>
        </w:rPr>
        <w:t xml:space="preserve"> </w:t>
      </w:r>
      <w:r w:rsidRPr="003B5E71">
        <w:rPr>
          <w:rFonts w:cs="Arial"/>
          <w:spacing w:val="-1"/>
        </w:rPr>
        <w:t>s</w:t>
      </w:r>
      <w:r w:rsidRPr="003768FC">
        <w:rPr>
          <w:rFonts w:cs="Arial"/>
          <w:spacing w:val="-1"/>
        </w:rPr>
        <w:t>u</w:t>
      </w:r>
      <w:r w:rsidRPr="003B5E71">
        <w:rPr>
          <w:rFonts w:cs="Arial"/>
          <w:spacing w:val="-1"/>
        </w:rPr>
        <w:t>ff</w:t>
      </w:r>
      <w:r w:rsidRPr="003768FC">
        <w:rPr>
          <w:rFonts w:cs="Arial"/>
          <w:spacing w:val="-1"/>
        </w:rPr>
        <w:t>i</w:t>
      </w:r>
      <w:r w:rsidRPr="003B5E71">
        <w:rPr>
          <w:rFonts w:cs="Arial"/>
          <w:spacing w:val="-1"/>
        </w:rPr>
        <w:t>c</w:t>
      </w:r>
      <w:r w:rsidRPr="003768FC">
        <w:rPr>
          <w:rFonts w:cs="Arial"/>
          <w:spacing w:val="-1"/>
        </w:rPr>
        <w:t>ien</w:t>
      </w:r>
      <w:r w:rsidRPr="003B5E71">
        <w:rPr>
          <w:rFonts w:cs="Arial"/>
          <w:spacing w:val="-1"/>
        </w:rPr>
        <w:t>t and r</w:t>
      </w:r>
      <w:r w:rsidRPr="003768FC">
        <w:rPr>
          <w:rFonts w:cs="Arial"/>
          <w:spacing w:val="-1"/>
        </w:rPr>
        <w:t>igo</w:t>
      </w:r>
      <w:r w:rsidRPr="003B5E71">
        <w:rPr>
          <w:rFonts w:cs="Arial"/>
          <w:spacing w:val="-1"/>
        </w:rPr>
        <w:t>r</w:t>
      </w:r>
      <w:r w:rsidRPr="003768FC">
        <w:rPr>
          <w:rFonts w:cs="Arial"/>
          <w:spacing w:val="-1"/>
        </w:rPr>
        <w:t>ou</w:t>
      </w:r>
      <w:r w:rsidRPr="003B5E71">
        <w:rPr>
          <w:rFonts w:cs="Arial"/>
          <w:spacing w:val="-1"/>
        </w:rPr>
        <w:t xml:space="preserve">s </w:t>
      </w:r>
      <w:r w:rsidRPr="003768FC">
        <w:rPr>
          <w:rFonts w:cs="Arial"/>
          <w:spacing w:val="-1"/>
        </w:rPr>
        <w:t>bu</w:t>
      </w:r>
      <w:r w:rsidRPr="003B5E71">
        <w:rPr>
          <w:rFonts w:cs="Arial"/>
          <w:spacing w:val="-1"/>
        </w:rPr>
        <w:t>s</w:t>
      </w:r>
      <w:r w:rsidRPr="003768FC">
        <w:rPr>
          <w:rFonts w:cs="Arial"/>
          <w:spacing w:val="-1"/>
        </w:rPr>
        <w:t>ine</w:t>
      </w:r>
      <w:r w:rsidRPr="003B5E71">
        <w:rPr>
          <w:rFonts w:cs="Arial"/>
          <w:spacing w:val="-1"/>
        </w:rPr>
        <w:t>ss</w:t>
      </w:r>
      <w:r w:rsidRPr="003768FC">
        <w:rPr>
          <w:rFonts w:cs="Arial"/>
          <w:spacing w:val="-10"/>
        </w:rPr>
        <w:t xml:space="preserve"> </w:t>
      </w:r>
      <w:r w:rsidRPr="003768FC">
        <w:rPr>
          <w:rFonts w:cs="Arial"/>
          <w:spacing w:val="-1"/>
        </w:rPr>
        <w:t>plannin</w:t>
      </w:r>
      <w:r w:rsidRPr="003768FC">
        <w:rPr>
          <w:rFonts w:cs="Arial"/>
        </w:rPr>
        <w:t>g?</w:t>
      </w:r>
    </w:p>
    <w:p w14:paraId="6143D5D7" w14:textId="77777777" w:rsidR="000030F8" w:rsidRPr="003768FC" w:rsidRDefault="000030F8" w:rsidP="000030F8">
      <w:pPr>
        <w:pStyle w:val="BulletsL1"/>
        <w:numPr>
          <w:ilvl w:val="0"/>
          <w:numId w:val="16"/>
        </w:numPr>
        <w:rPr>
          <w:rFonts w:cs="Arial"/>
        </w:rPr>
      </w:pPr>
      <w:r w:rsidRPr="003768FC">
        <w:rPr>
          <w:rFonts w:cs="Arial"/>
        </w:rPr>
        <w:t>Has</w:t>
      </w:r>
      <w:r w:rsidRPr="003768FC">
        <w:rPr>
          <w:rFonts w:cs="Arial"/>
          <w:spacing w:val="-3"/>
        </w:rPr>
        <w:t xml:space="preserve"> </w:t>
      </w:r>
      <w:r w:rsidRPr="003768FC">
        <w:rPr>
          <w:rFonts w:cs="Arial"/>
        </w:rPr>
        <w:t>t</w:t>
      </w:r>
      <w:r w:rsidRPr="003768FC">
        <w:rPr>
          <w:rFonts w:cs="Arial"/>
          <w:spacing w:val="-1"/>
        </w:rPr>
        <w:t>h</w:t>
      </w:r>
      <w:r w:rsidRPr="003768FC">
        <w:rPr>
          <w:rFonts w:cs="Arial"/>
        </w:rPr>
        <w:t>ere</w:t>
      </w:r>
      <w:r w:rsidRPr="003768FC">
        <w:rPr>
          <w:rFonts w:cs="Arial"/>
          <w:spacing w:val="-8"/>
        </w:rPr>
        <w:t xml:space="preserve"> </w:t>
      </w:r>
      <w:r w:rsidRPr="003768FC">
        <w:rPr>
          <w:rFonts w:cs="Arial"/>
        </w:rPr>
        <w:t>b</w:t>
      </w:r>
      <w:r w:rsidRPr="003768FC">
        <w:rPr>
          <w:rFonts w:cs="Arial"/>
          <w:spacing w:val="-1"/>
        </w:rPr>
        <w:t>e</w:t>
      </w:r>
      <w:r w:rsidRPr="003768FC">
        <w:rPr>
          <w:rFonts w:cs="Arial"/>
        </w:rPr>
        <w:t>en</w:t>
      </w:r>
      <w:r w:rsidRPr="003768FC">
        <w:rPr>
          <w:rFonts w:cs="Arial"/>
          <w:spacing w:val="-5"/>
        </w:rPr>
        <w:t xml:space="preserve"> </w:t>
      </w:r>
      <w:r w:rsidRPr="003768FC">
        <w:rPr>
          <w:rFonts w:cs="Arial"/>
        </w:rPr>
        <w:t>re</w:t>
      </w:r>
      <w:r w:rsidRPr="003768FC">
        <w:rPr>
          <w:rFonts w:cs="Arial"/>
          <w:spacing w:val="-1"/>
        </w:rPr>
        <w:t>li</w:t>
      </w:r>
      <w:r w:rsidRPr="003768FC">
        <w:rPr>
          <w:rFonts w:cs="Arial"/>
        </w:rPr>
        <w:t>a</w:t>
      </w:r>
      <w:r w:rsidRPr="003768FC">
        <w:rPr>
          <w:rFonts w:cs="Arial"/>
          <w:spacing w:val="-1"/>
        </w:rPr>
        <w:t>n</w:t>
      </w:r>
      <w:r w:rsidRPr="003768FC">
        <w:rPr>
          <w:rFonts w:cs="Arial"/>
          <w:spacing w:val="1"/>
        </w:rPr>
        <w:t>c</w:t>
      </w:r>
      <w:r w:rsidRPr="003768FC">
        <w:rPr>
          <w:rFonts w:cs="Arial"/>
        </w:rPr>
        <w:t>e</w:t>
      </w:r>
      <w:r w:rsidRPr="003768FC">
        <w:rPr>
          <w:rFonts w:cs="Arial"/>
          <w:spacing w:val="-7"/>
        </w:rPr>
        <w:t xml:space="preserve"> </w:t>
      </w:r>
      <w:r w:rsidRPr="003768FC">
        <w:rPr>
          <w:rFonts w:cs="Arial"/>
          <w:spacing w:val="-1"/>
        </w:rPr>
        <w:t>o</w:t>
      </w:r>
      <w:r w:rsidRPr="003768FC">
        <w:rPr>
          <w:rFonts w:cs="Arial"/>
        </w:rPr>
        <w:t>n</w:t>
      </w:r>
      <w:r w:rsidRPr="003768FC">
        <w:rPr>
          <w:rFonts w:cs="Arial"/>
          <w:spacing w:val="-2"/>
        </w:rPr>
        <w:t xml:space="preserve"> </w:t>
      </w:r>
      <w:r w:rsidRPr="003768FC">
        <w:rPr>
          <w:rFonts w:cs="Arial"/>
        </w:rPr>
        <w:t>a</w:t>
      </w:r>
      <w:r w:rsidRPr="003768FC">
        <w:rPr>
          <w:rFonts w:cs="Arial"/>
          <w:spacing w:val="-5"/>
        </w:rPr>
        <w:t xml:space="preserve"> </w:t>
      </w:r>
      <w:r w:rsidRPr="003768FC">
        <w:rPr>
          <w:rFonts w:cs="Arial"/>
          <w:spacing w:val="1"/>
        </w:rPr>
        <w:t>r</w:t>
      </w:r>
      <w:r w:rsidRPr="003768FC">
        <w:rPr>
          <w:rFonts w:cs="Arial"/>
        </w:rPr>
        <w:t>e</w:t>
      </w:r>
      <w:r w:rsidRPr="003768FC">
        <w:rPr>
          <w:rFonts w:cs="Arial"/>
          <w:spacing w:val="-1"/>
        </w:rPr>
        <w:t>l</w:t>
      </w:r>
      <w:r w:rsidRPr="003768FC">
        <w:rPr>
          <w:rFonts w:cs="Arial"/>
        </w:rPr>
        <w:t>at</w:t>
      </w:r>
      <w:r w:rsidRPr="003768FC">
        <w:rPr>
          <w:rFonts w:cs="Arial"/>
          <w:spacing w:val="-1"/>
        </w:rPr>
        <w:t>e</w:t>
      </w:r>
      <w:r w:rsidRPr="003768FC">
        <w:rPr>
          <w:rFonts w:cs="Arial"/>
        </w:rPr>
        <w:t>d</w:t>
      </w:r>
      <w:r w:rsidRPr="003768FC">
        <w:rPr>
          <w:rFonts w:cs="Arial"/>
          <w:spacing w:val="-6"/>
        </w:rPr>
        <w:t xml:space="preserve"> </w:t>
      </w:r>
      <w:r w:rsidRPr="003768FC">
        <w:rPr>
          <w:rFonts w:cs="Arial"/>
          <w:spacing w:val="-1"/>
        </w:rPr>
        <w:t>p</w:t>
      </w:r>
      <w:r w:rsidRPr="003768FC">
        <w:rPr>
          <w:rFonts w:cs="Arial"/>
        </w:rPr>
        <w:t>art</w:t>
      </w:r>
      <w:r w:rsidRPr="003768FC">
        <w:rPr>
          <w:rFonts w:cs="Arial"/>
          <w:spacing w:val="-6"/>
        </w:rPr>
        <w:t>y</w:t>
      </w:r>
      <w:r w:rsidRPr="003768FC">
        <w:rPr>
          <w:rFonts w:cs="Arial"/>
        </w:rPr>
        <w:t>?</w:t>
      </w:r>
    </w:p>
    <w:p w14:paraId="026F7A97" w14:textId="77777777" w:rsidR="000030F8" w:rsidRPr="00BD7E38" w:rsidRDefault="000030F8" w:rsidP="000030F8">
      <w:pPr>
        <w:pStyle w:val="BulletsL1"/>
        <w:numPr>
          <w:ilvl w:val="0"/>
          <w:numId w:val="16"/>
        </w:numPr>
        <w:rPr>
          <w:rFonts w:cs="Arial"/>
        </w:rPr>
      </w:pPr>
      <w:r w:rsidRPr="003768FC">
        <w:rPr>
          <w:rFonts w:cs="Arial"/>
        </w:rPr>
        <w:t>How</w:t>
      </w:r>
      <w:r w:rsidRPr="003768FC">
        <w:rPr>
          <w:rFonts w:cs="Arial"/>
          <w:spacing w:val="-2"/>
        </w:rPr>
        <w:t xml:space="preserve"> </w:t>
      </w:r>
      <w:r w:rsidRPr="003768FC">
        <w:rPr>
          <w:rFonts w:cs="Arial"/>
        </w:rPr>
        <w:t>h</w:t>
      </w:r>
      <w:r w:rsidRPr="003768FC">
        <w:rPr>
          <w:rFonts w:cs="Arial"/>
          <w:spacing w:val="-1"/>
        </w:rPr>
        <w:t>a</w:t>
      </w:r>
      <w:r w:rsidRPr="003768FC">
        <w:rPr>
          <w:rFonts w:cs="Arial"/>
        </w:rPr>
        <w:t>s</w:t>
      </w:r>
      <w:r w:rsidRPr="003768FC">
        <w:rPr>
          <w:rFonts w:cs="Arial"/>
          <w:spacing w:val="-5"/>
        </w:rPr>
        <w:t xml:space="preserve"> </w:t>
      </w:r>
      <w:r w:rsidRPr="003768FC">
        <w:rPr>
          <w:rFonts w:cs="Arial"/>
        </w:rPr>
        <w:t>the</w:t>
      </w:r>
      <w:r w:rsidRPr="003768FC">
        <w:rPr>
          <w:rFonts w:cs="Arial"/>
          <w:spacing w:val="-7"/>
        </w:rPr>
        <w:t xml:space="preserve"> </w:t>
      </w:r>
      <w:r w:rsidRPr="003768FC">
        <w:rPr>
          <w:rFonts w:cs="Arial"/>
        </w:rPr>
        <w:t>pro</w:t>
      </w:r>
      <w:r w:rsidRPr="003768FC">
        <w:rPr>
          <w:rFonts w:cs="Arial"/>
          <w:spacing w:val="-1"/>
        </w:rPr>
        <w:t>vi</w:t>
      </w:r>
      <w:r w:rsidRPr="003768FC">
        <w:rPr>
          <w:rFonts w:cs="Arial"/>
        </w:rPr>
        <w:t>d</w:t>
      </w:r>
      <w:r w:rsidRPr="003768FC">
        <w:rPr>
          <w:rFonts w:cs="Arial"/>
          <w:spacing w:val="-1"/>
        </w:rPr>
        <w:t>e</w:t>
      </w:r>
      <w:r w:rsidRPr="003768FC">
        <w:rPr>
          <w:rFonts w:cs="Arial"/>
        </w:rPr>
        <w:t>r</w:t>
      </w:r>
      <w:r w:rsidRPr="003768FC">
        <w:rPr>
          <w:rFonts w:cs="Arial"/>
          <w:spacing w:val="-5"/>
        </w:rPr>
        <w:t xml:space="preserve"> </w:t>
      </w:r>
      <w:r w:rsidRPr="003768FC">
        <w:rPr>
          <w:rFonts w:cs="Arial"/>
        </w:rPr>
        <w:t>a</w:t>
      </w:r>
      <w:r w:rsidRPr="003768FC">
        <w:rPr>
          <w:rFonts w:cs="Arial"/>
          <w:spacing w:val="-1"/>
        </w:rPr>
        <w:t>n</w:t>
      </w:r>
      <w:r w:rsidRPr="003768FC">
        <w:rPr>
          <w:rFonts w:cs="Arial"/>
        </w:rPr>
        <w:t>t</w:t>
      </w:r>
      <w:r w:rsidRPr="003768FC">
        <w:rPr>
          <w:rFonts w:cs="Arial"/>
          <w:spacing w:val="-1"/>
        </w:rPr>
        <w:t>i</w:t>
      </w:r>
      <w:r w:rsidRPr="003768FC">
        <w:rPr>
          <w:rFonts w:cs="Arial"/>
          <w:spacing w:val="1"/>
        </w:rPr>
        <w:t>c</w:t>
      </w:r>
      <w:r w:rsidRPr="003768FC">
        <w:rPr>
          <w:rFonts w:cs="Arial"/>
          <w:spacing w:val="-1"/>
        </w:rPr>
        <w:t>i</w:t>
      </w:r>
      <w:r w:rsidRPr="003768FC">
        <w:rPr>
          <w:rFonts w:cs="Arial"/>
        </w:rPr>
        <w:t>p</w:t>
      </w:r>
      <w:r w:rsidRPr="003768FC">
        <w:rPr>
          <w:rFonts w:cs="Arial"/>
          <w:spacing w:val="-1"/>
        </w:rPr>
        <w:t>a</w:t>
      </w:r>
      <w:r w:rsidRPr="003768FC">
        <w:rPr>
          <w:rFonts w:cs="Arial"/>
        </w:rPr>
        <w:t>ted</w:t>
      </w:r>
      <w:r>
        <w:rPr>
          <w:rFonts w:cs="Arial"/>
        </w:rPr>
        <w:t>,</w:t>
      </w:r>
      <w:r w:rsidRPr="003768FC">
        <w:rPr>
          <w:rFonts w:cs="Arial"/>
          <w:spacing w:val="-11"/>
        </w:rPr>
        <w:t xml:space="preserve"> </w:t>
      </w:r>
      <w:r w:rsidRPr="003768FC">
        <w:rPr>
          <w:rFonts w:cs="Arial"/>
        </w:rPr>
        <w:t>a</w:t>
      </w:r>
      <w:r w:rsidRPr="003768FC">
        <w:rPr>
          <w:rFonts w:cs="Arial"/>
          <w:spacing w:val="-1"/>
        </w:rPr>
        <w:t>n</w:t>
      </w:r>
      <w:r w:rsidRPr="003768FC">
        <w:rPr>
          <w:rFonts w:cs="Arial"/>
        </w:rPr>
        <w:t>d</w:t>
      </w:r>
      <w:r w:rsidRPr="003768FC">
        <w:rPr>
          <w:rFonts w:cs="Arial"/>
          <w:spacing w:val="-3"/>
        </w:rPr>
        <w:t xml:space="preserve"> </w:t>
      </w:r>
      <w:r w:rsidRPr="003768FC">
        <w:rPr>
          <w:rFonts w:cs="Arial"/>
        </w:rPr>
        <w:t>re</w:t>
      </w:r>
      <w:r w:rsidRPr="003768FC">
        <w:rPr>
          <w:rFonts w:cs="Arial"/>
          <w:spacing w:val="1"/>
        </w:rPr>
        <w:t>s</w:t>
      </w:r>
      <w:r w:rsidRPr="003768FC">
        <w:rPr>
          <w:rFonts w:cs="Arial"/>
        </w:rPr>
        <w:t>p</w:t>
      </w:r>
      <w:r w:rsidRPr="003768FC">
        <w:rPr>
          <w:rFonts w:cs="Arial"/>
          <w:spacing w:val="-1"/>
        </w:rPr>
        <w:t>o</w:t>
      </w:r>
      <w:r w:rsidRPr="003768FC">
        <w:rPr>
          <w:rFonts w:cs="Arial"/>
        </w:rPr>
        <w:t>n</w:t>
      </w:r>
      <w:r w:rsidRPr="003768FC">
        <w:rPr>
          <w:rFonts w:cs="Arial"/>
          <w:spacing w:val="-1"/>
        </w:rPr>
        <w:t>d</w:t>
      </w:r>
      <w:r w:rsidRPr="003768FC">
        <w:rPr>
          <w:rFonts w:cs="Arial"/>
        </w:rPr>
        <w:t>ed</w:t>
      </w:r>
      <w:r w:rsidRPr="003768FC">
        <w:rPr>
          <w:rFonts w:cs="Arial"/>
          <w:spacing w:val="-15"/>
        </w:rPr>
        <w:t xml:space="preserve"> </w:t>
      </w:r>
      <w:r w:rsidRPr="003768FC">
        <w:rPr>
          <w:rFonts w:cs="Arial"/>
        </w:rPr>
        <w:t>to,</w:t>
      </w:r>
      <w:r w:rsidRPr="003768FC">
        <w:rPr>
          <w:rFonts w:cs="Arial"/>
          <w:spacing w:val="-3"/>
        </w:rPr>
        <w:t xml:space="preserve"> </w:t>
      </w:r>
      <w:r w:rsidRPr="003768FC">
        <w:rPr>
          <w:rFonts w:cs="Arial"/>
          <w:spacing w:val="3"/>
        </w:rPr>
        <w:t>k</w:t>
      </w:r>
      <w:r w:rsidRPr="003768FC">
        <w:rPr>
          <w:rFonts w:cs="Arial"/>
        </w:rPr>
        <w:t xml:space="preserve">ey </w:t>
      </w:r>
      <w:r w:rsidRPr="003768FC">
        <w:rPr>
          <w:rFonts w:cs="Arial"/>
          <w:spacing w:val="1"/>
        </w:rPr>
        <w:t>s</w:t>
      </w:r>
      <w:r w:rsidRPr="003768FC">
        <w:rPr>
          <w:rFonts w:cs="Arial"/>
        </w:rPr>
        <w:t>e</w:t>
      </w:r>
      <w:r w:rsidRPr="003768FC">
        <w:rPr>
          <w:rFonts w:cs="Arial"/>
          <w:spacing w:val="1"/>
        </w:rPr>
        <w:t>c</w:t>
      </w:r>
      <w:r w:rsidRPr="003768FC">
        <w:rPr>
          <w:rFonts w:cs="Arial"/>
        </w:rPr>
        <w:t>tor</w:t>
      </w:r>
      <w:r w:rsidRPr="003768FC">
        <w:rPr>
          <w:rFonts w:cs="Arial"/>
          <w:spacing w:val="-7"/>
        </w:rPr>
        <w:t xml:space="preserve"> </w:t>
      </w:r>
      <w:r w:rsidRPr="003768FC">
        <w:rPr>
          <w:rFonts w:cs="Arial"/>
        </w:rPr>
        <w:t>dri</w:t>
      </w:r>
      <w:r w:rsidRPr="003768FC">
        <w:rPr>
          <w:rFonts w:cs="Arial"/>
          <w:spacing w:val="-2"/>
        </w:rPr>
        <w:t>v</w:t>
      </w:r>
      <w:r w:rsidRPr="003768FC">
        <w:rPr>
          <w:rFonts w:cs="Arial"/>
        </w:rPr>
        <w:t>ers</w:t>
      </w:r>
      <w:r w:rsidRPr="003768FC">
        <w:rPr>
          <w:rFonts w:cs="Arial"/>
          <w:spacing w:val="-3"/>
        </w:rPr>
        <w:t xml:space="preserve"> </w:t>
      </w:r>
      <w:r w:rsidRPr="003768FC">
        <w:rPr>
          <w:rFonts w:cs="Arial"/>
        </w:rPr>
        <w:t>a</w:t>
      </w:r>
      <w:r w:rsidRPr="003768FC">
        <w:rPr>
          <w:rFonts w:cs="Arial"/>
          <w:spacing w:val="-1"/>
        </w:rPr>
        <w:t>n</w:t>
      </w:r>
      <w:r w:rsidRPr="003768FC">
        <w:rPr>
          <w:rFonts w:cs="Arial"/>
        </w:rPr>
        <w:t>d</w:t>
      </w:r>
      <w:r w:rsidRPr="003768FC">
        <w:rPr>
          <w:rFonts w:cs="Arial"/>
          <w:spacing w:val="-6"/>
        </w:rPr>
        <w:t xml:space="preserve"> </w:t>
      </w:r>
      <w:r w:rsidRPr="003768FC">
        <w:rPr>
          <w:rFonts w:cs="Arial"/>
        </w:rPr>
        <w:t>tre</w:t>
      </w:r>
      <w:r w:rsidRPr="003768FC">
        <w:rPr>
          <w:rFonts w:cs="Arial"/>
          <w:spacing w:val="-1"/>
        </w:rPr>
        <w:t>n</w:t>
      </w:r>
      <w:r w:rsidRPr="003768FC">
        <w:rPr>
          <w:rFonts w:cs="Arial"/>
        </w:rPr>
        <w:t>ds</w:t>
      </w:r>
      <w:r w:rsidRPr="003768FC">
        <w:rPr>
          <w:rFonts w:cs="Arial"/>
          <w:spacing w:val="-8"/>
        </w:rPr>
        <w:t xml:space="preserve"> </w:t>
      </w:r>
      <w:r w:rsidRPr="003768FC">
        <w:rPr>
          <w:rFonts w:cs="Arial"/>
        </w:rPr>
        <w:t>a</w:t>
      </w:r>
      <w:r w:rsidRPr="003768FC">
        <w:rPr>
          <w:rFonts w:cs="Arial"/>
          <w:spacing w:val="2"/>
        </w:rPr>
        <w:t>ff</w:t>
      </w:r>
      <w:r w:rsidRPr="003768FC">
        <w:rPr>
          <w:rFonts w:cs="Arial"/>
        </w:rPr>
        <w:t>e</w:t>
      </w:r>
      <w:r w:rsidRPr="003768FC">
        <w:rPr>
          <w:rFonts w:cs="Arial"/>
          <w:spacing w:val="1"/>
        </w:rPr>
        <w:t>c</w:t>
      </w:r>
      <w:r w:rsidRPr="003768FC">
        <w:rPr>
          <w:rFonts w:cs="Arial"/>
        </w:rPr>
        <w:t>t</w:t>
      </w:r>
      <w:r w:rsidRPr="003768FC">
        <w:rPr>
          <w:rFonts w:cs="Arial"/>
          <w:spacing w:val="-1"/>
        </w:rPr>
        <w:t>i</w:t>
      </w:r>
      <w:r w:rsidRPr="003768FC">
        <w:rPr>
          <w:rFonts w:cs="Arial"/>
        </w:rPr>
        <w:t>ng</w:t>
      </w:r>
      <w:r w:rsidRPr="003768FC">
        <w:rPr>
          <w:rFonts w:cs="Arial"/>
          <w:spacing w:val="-14"/>
        </w:rPr>
        <w:t xml:space="preserve"> </w:t>
      </w:r>
      <w:r w:rsidRPr="003768FC">
        <w:rPr>
          <w:rFonts w:cs="Arial"/>
        </w:rPr>
        <w:t>the</w:t>
      </w:r>
      <w:r w:rsidRPr="003768FC">
        <w:rPr>
          <w:rFonts w:cs="Arial"/>
          <w:spacing w:val="-7"/>
        </w:rPr>
        <w:t xml:space="preserve"> </w:t>
      </w:r>
      <w:r w:rsidRPr="003768FC">
        <w:rPr>
          <w:rFonts w:cs="Arial"/>
        </w:rPr>
        <w:t>b</w:t>
      </w:r>
      <w:r w:rsidRPr="003768FC">
        <w:rPr>
          <w:rFonts w:cs="Arial"/>
          <w:spacing w:val="-1"/>
        </w:rPr>
        <w:t>u</w:t>
      </w:r>
      <w:r w:rsidRPr="003768FC">
        <w:rPr>
          <w:rFonts w:cs="Arial"/>
          <w:spacing w:val="1"/>
        </w:rPr>
        <w:t>s</w:t>
      </w:r>
      <w:r w:rsidRPr="003768FC">
        <w:rPr>
          <w:rFonts w:cs="Arial"/>
          <w:spacing w:val="-1"/>
        </w:rPr>
        <w:t>i</w:t>
      </w:r>
      <w:r w:rsidRPr="003768FC">
        <w:rPr>
          <w:rFonts w:cs="Arial"/>
        </w:rPr>
        <w:t>n</w:t>
      </w:r>
      <w:r w:rsidRPr="003768FC">
        <w:rPr>
          <w:rFonts w:cs="Arial"/>
          <w:spacing w:val="-1"/>
        </w:rPr>
        <w:t>e</w:t>
      </w:r>
      <w:r w:rsidRPr="003768FC">
        <w:rPr>
          <w:rFonts w:cs="Arial"/>
          <w:spacing w:val="1"/>
        </w:rPr>
        <w:t>s</w:t>
      </w:r>
      <w:r w:rsidRPr="003768FC">
        <w:rPr>
          <w:rFonts w:cs="Arial"/>
        </w:rPr>
        <w:t>s</w:t>
      </w:r>
      <w:r w:rsidRPr="003768FC">
        <w:rPr>
          <w:rFonts w:cs="Arial"/>
          <w:spacing w:val="-10"/>
        </w:rPr>
        <w:t xml:space="preserve"> </w:t>
      </w:r>
      <w:r w:rsidRPr="003768FC">
        <w:rPr>
          <w:rFonts w:cs="Arial"/>
          <w:spacing w:val="4"/>
        </w:rPr>
        <w:t>m</w:t>
      </w:r>
      <w:r w:rsidRPr="003768FC">
        <w:rPr>
          <w:rFonts w:cs="Arial"/>
        </w:rPr>
        <w:t>o</w:t>
      </w:r>
      <w:r w:rsidRPr="003768FC">
        <w:rPr>
          <w:rFonts w:cs="Arial"/>
          <w:spacing w:val="-1"/>
        </w:rPr>
        <w:t>d</w:t>
      </w:r>
      <w:r w:rsidRPr="003768FC">
        <w:rPr>
          <w:rFonts w:cs="Arial"/>
        </w:rPr>
        <w:t>e</w:t>
      </w:r>
      <w:r w:rsidRPr="003768FC">
        <w:rPr>
          <w:rFonts w:cs="Arial"/>
          <w:spacing w:val="-1"/>
        </w:rPr>
        <w:t>l</w:t>
      </w:r>
      <w:r w:rsidRPr="003768FC">
        <w:rPr>
          <w:rFonts w:cs="Arial"/>
        </w:rPr>
        <w:t>?</w:t>
      </w:r>
    </w:p>
    <w:p w14:paraId="09BEB266" w14:textId="77777777" w:rsidR="000030F8" w:rsidRPr="00CD482F" w:rsidRDefault="000030F8" w:rsidP="000030F8">
      <w:pPr>
        <w:pStyle w:val="Heading3"/>
        <w:rPr>
          <w:iCs/>
        </w:rPr>
      </w:pPr>
      <w:r w:rsidRPr="00CD482F">
        <w:t>Financial capability</w:t>
      </w:r>
    </w:p>
    <w:p w14:paraId="73CEA7BB" w14:textId="77777777" w:rsidR="000030F8" w:rsidRPr="00CD482F" w:rsidRDefault="000030F8" w:rsidP="000030F8">
      <w:pPr>
        <w:jc w:val="both"/>
      </w:pPr>
      <w:r w:rsidRPr="00CD482F">
        <w:t>Financial capability considers a provider’s access to resourcing and combines both financial resources and non-financial resources.</w:t>
      </w:r>
    </w:p>
    <w:p w14:paraId="5A059600" w14:textId="77777777" w:rsidR="000030F8" w:rsidRDefault="000030F8" w:rsidP="000030F8">
      <w:pPr>
        <w:jc w:val="both"/>
      </w:pPr>
      <w:r w:rsidRPr="00CD482F">
        <w:t>A provider’s financial resources includes its</w:t>
      </w:r>
      <w:r>
        <w:t>:</w:t>
      </w:r>
    </w:p>
    <w:p w14:paraId="23587045" w14:textId="77777777" w:rsidR="000030F8" w:rsidRPr="00894007" w:rsidRDefault="000030F8" w:rsidP="000030F8">
      <w:pPr>
        <w:pStyle w:val="BulletsL1"/>
        <w:numPr>
          <w:ilvl w:val="0"/>
          <w:numId w:val="17"/>
        </w:numPr>
        <w:rPr>
          <w:rFonts w:cs="Arial"/>
        </w:rPr>
      </w:pPr>
      <w:r w:rsidRPr="00894007">
        <w:rPr>
          <w:rFonts w:cs="Arial"/>
        </w:rPr>
        <w:t>earnings and cash</w:t>
      </w:r>
    </w:p>
    <w:p w14:paraId="12D7BA9F" w14:textId="77777777" w:rsidR="000030F8" w:rsidRPr="00894007" w:rsidRDefault="000030F8" w:rsidP="000030F8">
      <w:pPr>
        <w:pStyle w:val="BulletsL1"/>
        <w:numPr>
          <w:ilvl w:val="0"/>
          <w:numId w:val="17"/>
        </w:numPr>
        <w:rPr>
          <w:rFonts w:cs="Arial"/>
        </w:rPr>
      </w:pPr>
      <w:r w:rsidRPr="00894007">
        <w:rPr>
          <w:rFonts w:cs="Arial"/>
        </w:rPr>
        <w:t>assets</w:t>
      </w:r>
    </w:p>
    <w:p w14:paraId="791F1809" w14:textId="77777777" w:rsidR="000030F8" w:rsidRPr="00894007" w:rsidRDefault="000030F8" w:rsidP="000030F8">
      <w:pPr>
        <w:pStyle w:val="BulletsL1"/>
        <w:numPr>
          <w:ilvl w:val="0"/>
          <w:numId w:val="17"/>
        </w:numPr>
        <w:rPr>
          <w:rFonts w:cs="Arial"/>
        </w:rPr>
      </w:pPr>
      <w:r w:rsidRPr="00894007">
        <w:rPr>
          <w:rFonts w:cs="Arial"/>
        </w:rPr>
        <w:t>credit rating</w:t>
      </w:r>
    </w:p>
    <w:p w14:paraId="38EA0CE7" w14:textId="77777777" w:rsidR="000030F8" w:rsidRPr="00894007" w:rsidRDefault="000030F8" w:rsidP="000030F8">
      <w:pPr>
        <w:pStyle w:val="BulletsL1"/>
        <w:numPr>
          <w:ilvl w:val="0"/>
          <w:numId w:val="17"/>
        </w:numPr>
        <w:rPr>
          <w:rFonts w:cs="Arial"/>
        </w:rPr>
      </w:pPr>
      <w:r w:rsidRPr="00894007">
        <w:rPr>
          <w:rFonts w:cs="Arial"/>
        </w:rPr>
        <w:t>insurance</w:t>
      </w:r>
    </w:p>
    <w:p w14:paraId="05FDC8AC" w14:textId="77777777" w:rsidR="000030F8" w:rsidRPr="00894007" w:rsidRDefault="000030F8" w:rsidP="000030F8">
      <w:pPr>
        <w:pStyle w:val="BulletsL1"/>
        <w:numPr>
          <w:ilvl w:val="0"/>
          <w:numId w:val="17"/>
        </w:numPr>
        <w:rPr>
          <w:rFonts w:cs="Arial"/>
        </w:rPr>
      </w:pPr>
      <w:proofErr w:type="gramStart"/>
      <w:r w:rsidRPr="00894007">
        <w:rPr>
          <w:rFonts w:cs="Arial"/>
        </w:rPr>
        <w:t>ability</w:t>
      </w:r>
      <w:proofErr w:type="gramEnd"/>
      <w:r w:rsidRPr="00894007">
        <w:rPr>
          <w:rFonts w:cs="Arial"/>
        </w:rPr>
        <w:t xml:space="preserve"> to grow revenue and manage expenditure.</w:t>
      </w:r>
    </w:p>
    <w:p w14:paraId="74081E49" w14:textId="77777777" w:rsidR="000030F8" w:rsidRDefault="000030F8" w:rsidP="000030F8">
      <w:pPr>
        <w:spacing w:before="160"/>
        <w:jc w:val="both"/>
      </w:pPr>
      <w:r w:rsidRPr="00CD482F">
        <w:t>A provider’s overall management capability is critically influenced by</w:t>
      </w:r>
      <w:r>
        <w:t>:</w:t>
      </w:r>
    </w:p>
    <w:p w14:paraId="767ED25F" w14:textId="77777777" w:rsidR="000030F8" w:rsidRPr="00894007" w:rsidRDefault="000030F8" w:rsidP="000030F8">
      <w:pPr>
        <w:pStyle w:val="BulletsL1"/>
        <w:numPr>
          <w:ilvl w:val="0"/>
          <w:numId w:val="18"/>
        </w:numPr>
        <w:rPr>
          <w:rFonts w:cs="Arial"/>
        </w:rPr>
      </w:pPr>
      <w:r>
        <w:rPr>
          <w:rFonts w:cs="Arial"/>
        </w:rPr>
        <w:t xml:space="preserve">the </w:t>
      </w:r>
      <w:r w:rsidRPr="00894007">
        <w:rPr>
          <w:rFonts w:cs="Arial"/>
        </w:rPr>
        <w:t>quality of financial and business planning, budgeting and alignment with the institution’s strategic plan</w:t>
      </w:r>
    </w:p>
    <w:p w14:paraId="7A599074" w14:textId="77777777" w:rsidR="000030F8" w:rsidRPr="00894007" w:rsidRDefault="000030F8" w:rsidP="000030F8">
      <w:pPr>
        <w:pStyle w:val="BulletsL1"/>
        <w:numPr>
          <w:ilvl w:val="0"/>
          <w:numId w:val="18"/>
        </w:numPr>
        <w:rPr>
          <w:rFonts w:cs="Arial"/>
        </w:rPr>
      </w:pPr>
      <w:r>
        <w:rPr>
          <w:rFonts w:cs="Arial"/>
        </w:rPr>
        <w:t xml:space="preserve">its </w:t>
      </w:r>
      <w:r w:rsidRPr="00894007">
        <w:rPr>
          <w:rFonts w:cs="Arial"/>
        </w:rPr>
        <w:t>financial monitoring, reporting and analysis</w:t>
      </w:r>
    </w:p>
    <w:p w14:paraId="59079B6A" w14:textId="77777777" w:rsidR="000030F8" w:rsidRPr="00894007" w:rsidRDefault="000030F8" w:rsidP="000030F8">
      <w:pPr>
        <w:pStyle w:val="BulletsL1"/>
        <w:numPr>
          <w:ilvl w:val="0"/>
          <w:numId w:val="18"/>
        </w:numPr>
        <w:rPr>
          <w:rFonts w:cs="Arial"/>
        </w:rPr>
      </w:pPr>
      <w:r w:rsidRPr="00894007">
        <w:rPr>
          <w:rFonts w:cs="Arial"/>
        </w:rPr>
        <w:t>fraud management</w:t>
      </w:r>
    </w:p>
    <w:p w14:paraId="13E2134B" w14:textId="77777777" w:rsidR="000030F8" w:rsidRPr="00894007" w:rsidRDefault="000030F8" w:rsidP="000030F8">
      <w:pPr>
        <w:pStyle w:val="BulletsL1"/>
        <w:numPr>
          <w:ilvl w:val="0"/>
          <w:numId w:val="18"/>
        </w:numPr>
        <w:rPr>
          <w:rFonts w:cs="Arial"/>
        </w:rPr>
      </w:pPr>
      <w:r w:rsidRPr="00894007">
        <w:rPr>
          <w:rFonts w:cs="Arial"/>
        </w:rPr>
        <w:t>financial risk identification and management</w:t>
      </w:r>
    </w:p>
    <w:p w14:paraId="630AD94B" w14:textId="77777777" w:rsidR="000030F8" w:rsidRPr="00894007" w:rsidRDefault="000030F8" w:rsidP="000030F8">
      <w:pPr>
        <w:pStyle w:val="BulletsL1"/>
        <w:numPr>
          <w:ilvl w:val="0"/>
          <w:numId w:val="18"/>
        </w:numPr>
        <w:rPr>
          <w:rFonts w:cs="Arial"/>
        </w:rPr>
      </w:pPr>
      <w:r w:rsidRPr="00894007">
        <w:rPr>
          <w:rFonts w:cs="Arial"/>
        </w:rPr>
        <w:t>oversight by the board</w:t>
      </w:r>
    </w:p>
    <w:p w14:paraId="323F032A" w14:textId="77777777" w:rsidR="000030F8" w:rsidRPr="00894007" w:rsidRDefault="000030F8" w:rsidP="000030F8">
      <w:pPr>
        <w:pStyle w:val="BulletsL1"/>
        <w:numPr>
          <w:ilvl w:val="0"/>
          <w:numId w:val="18"/>
        </w:numPr>
        <w:rPr>
          <w:rFonts w:cs="Arial"/>
        </w:rPr>
      </w:pPr>
      <w:proofErr w:type="gramStart"/>
      <w:r w:rsidRPr="00894007">
        <w:rPr>
          <w:rFonts w:cs="Arial"/>
        </w:rPr>
        <w:t>interactions</w:t>
      </w:r>
      <w:proofErr w:type="gramEnd"/>
      <w:r w:rsidRPr="00894007">
        <w:rPr>
          <w:rFonts w:cs="Arial"/>
        </w:rPr>
        <w:t xml:space="preserve"> with auditors.</w:t>
      </w:r>
    </w:p>
    <w:p w14:paraId="366931D5" w14:textId="77777777" w:rsidR="000030F8" w:rsidRPr="00D367EF" w:rsidRDefault="000030F8" w:rsidP="000030F8">
      <w:pPr>
        <w:pStyle w:val="Heading3"/>
      </w:pPr>
      <w:r w:rsidRPr="00D367EF">
        <w:t>Financial trajectory</w:t>
      </w:r>
    </w:p>
    <w:p w14:paraId="5C5A7346" w14:textId="77777777" w:rsidR="00B522A2" w:rsidRDefault="000030F8" w:rsidP="000030F8">
      <w:pPr>
        <w:jc w:val="both"/>
      </w:pPr>
      <w:r w:rsidRPr="00CD482F">
        <w:t xml:space="preserve">A provider’s financial trajectory is a key element in demonstrating its ability to sustain quality in higher education. </w:t>
      </w:r>
    </w:p>
    <w:p w14:paraId="7CA98E78" w14:textId="66E10274" w:rsidR="000030F8" w:rsidRDefault="000030F8" w:rsidP="000030F8">
      <w:pPr>
        <w:jc w:val="both"/>
      </w:pPr>
      <w:r w:rsidRPr="00CD482F">
        <w:t>When TEQSA assesses a provider’s trajectory, it considers both historical and forecast information together,</w:t>
      </w:r>
      <w:r w:rsidR="003B5E71">
        <w:t xml:space="preserve"> </w:t>
      </w:r>
      <w:r w:rsidRPr="00CD482F">
        <w:t xml:space="preserve">and where available </w:t>
      </w:r>
      <w:r w:rsidR="003B5E71">
        <w:t>has regard to a provider’s business strategy, benchmarking to like providers</w:t>
      </w:r>
      <w:r w:rsidR="003E517E">
        <w:t>,</w:t>
      </w:r>
      <w:r w:rsidR="003B5E71">
        <w:t xml:space="preserve"> available </w:t>
      </w:r>
      <w:r w:rsidRPr="00CD482F">
        <w:t>market trends</w:t>
      </w:r>
      <w:r w:rsidR="003B5E71">
        <w:t xml:space="preserve">, </w:t>
      </w:r>
      <w:r w:rsidRPr="00CD482F">
        <w:t xml:space="preserve">known policy </w:t>
      </w:r>
      <w:r w:rsidR="003B5E71">
        <w:t>and</w:t>
      </w:r>
      <w:r w:rsidRPr="00CD482F">
        <w:t xml:space="preserve"> funding events.</w:t>
      </w:r>
      <w:r w:rsidR="00B522A2">
        <w:t xml:space="preserve"> It is important for </w:t>
      </w:r>
      <w:r w:rsidR="005D1EEB">
        <w:t xml:space="preserve">any forecasts </w:t>
      </w:r>
      <w:r w:rsidR="00B522A2">
        <w:t xml:space="preserve">to </w:t>
      </w:r>
      <w:r w:rsidR="005D1EEB">
        <w:t xml:space="preserve">reflect </w:t>
      </w:r>
      <w:r w:rsidR="00B522A2">
        <w:t>realistic projection</w:t>
      </w:r>
      <w:r w:rsidR="005D1EEB">
        <w:t>s</w:t>
      </w:r>
      <w:r w:rsidR="007D2D48">
        <w:t>,</w:t>
      </w:r>
      <w:r w:rsidR="00B522A2">
        <w:t xml:space="preserve"> </w:t>
      </w:r>
      <w:r w:rsidR="005D1EEB">
        <w:t>particularly with respect to</w:t>
      </w:r>
      <w:r w:rsidR="00B522A2">
        <w:t>:</w:t>
      </w:r>
    </w:p>
    <w:p w14:paraId="0E17C2A9" w14:textId="775288EE" w:rsidR="00AF1FAE" w:rsidRDefault="00B522A2" w:rsidP="00AF1FAE">
      <w:pPr>
        <w:pStyle w:val="BulletsL1"/>
        <w:numPr>
          <w:ilvl w:val="0"/>
          <w:numId w:val="18"/>
        </w:numPr>
      </w:pPr>
      <w:r>
        <w:lastRenderedPageBreak/>
        <w:t>St</w:t>
      </w:r>
      <w:r w:rsidR="00AF1FAE">
        <w:t xml:space="preserve">udent </w:t>
      </w:r>
      <w:r w:rsidR="00FD41CF">
        <w:t xml:space="preserve">enrolment </w:t>
      </w:r>
      <w:r w:rsidR="00AF1FAE">
        <w:t>numbers</w:t>
      </w:r>
      <w:r w:rsidR="00FD41CF">
        <w:t xml:space="preserve"> </w:t>
      </w:r>
      <w:r w:rsidR="003B5E71">
        <w:t>that are supported, where applicable, by historic trends and robust research or market analysis.</w:t>
      </w:r>
    </w:p>
    <w:p w14:paraId="74107544" w14:textId="2C707F99" w:rsidR="00AF1FAE" w:rsidRDefault="00FD41CF" w:rsidP="00AF1FAE">
      <w:pPr>
        <w:pStyle w:val="BulletsL1"/>
        <w:numPr>
          <w:ilvl w:val="0"/>
          <w:numId w:val="18"/>
        </w:numPr>
      </w:pPr>
      <w:r>
        <w:t>Academic and non-academic s</w:t>
      </w:r>
      <w:r w:rsidR="00AF1FAE">
        <w:t>taff numbers</w:t>
      </w:r>
      <w:r w:rsidR="002041EF">
        <w:t>.</w:t>
      </w:r>
    </w:p>
    <w:p w14:paraId="42E29F92" w14:textId="5F214ECC" w:rsidR="00AF1FAE" w:rsidRDefault="00FD41CF" w:rsidP="00AF1FAE">
      <w:pPr>
        <w:pStyle w:val="BulletsL1"/>
        <w:numPr>
          <w:ilvl w:val="0"/>
          <w:numId w:val="18"/>
        </w:numPr>
      </w:pPr>
      <w:r>
        <w:t>Asset investment plan,</w:t>
      </w:r>
      <w:r w:rsidR="002041EF">
        <w:t xml:space="preserve"> such as floor space and facilities.</w:t>
      </w:r>
    </w:p>
    <w:p w14:paraId="0DF30450" w14:textId="77777777" w:rsidR="000030F8" w:rsidRDefault="000030F8" w:rsidP="000030F8">
      <w:pPr>
        <w:pStyle w:val="Heading2"/>
      </w:pPr>
      <w:r>
        <w:t>TEQSA’s collection of financial data</w:t>
      </w:r>
    </w:p>
    <w:p w14:paraId="3EF92C8E" w14:textId="77777777" w:rsidR="000030F8" w:rsidRDefault="000030F8" w:rsidP="000030F8">
      <w:pPr>
        <w:jc w:val="both"/>
      </w:pPr>
      <w:r>
        <w:t xml:space="preserve">TEQSA collects financial information through various means that are designed to be efficient and not to create an unreasonable burden for the provider, while also meeting the requirements of the TEQSA Act and HES Framework. </w:t>
      </w:r>
    </w:p>
    <w:p w14:paraId="782F25F7" w14:textId="77777777" w:rsidR="000030F8" w:rsidRPr="00CD482F" w:rsidRDefault="000030F8" w:rsidP="000030F8">
      <w:pPr>
        <w:jc w:val="both"/>
      </w:pPr>
      <w:r>
        <w:t>The table below shows the ways through which TEQSA obtains financial data.</w:t>
      </w:r>
    </w:p>
    <w:tbl>
      <w:tblPr>
        <w:tblW w:w="0" w:type="auto"/>
        <w:tblLayout w:type="fixed"/>
        <w:tblCellMar>
          <w:left w:w="0" w:type="dxa"/>
          <w:right w:w="0" w:type="dxa"/>
        </w:tblCellMar>
        <w:tblLook w:val="01E0" w:firstRow="1" w:lastRow="1" w:firstColumn="1" w:lastColumn="1" w:noHBand="0" w:noVBand="0"/>
      </w:tblPr>
      <w:tblGrid>
        <w:gridCol w:w="8792"/>
      </w:tblGrid>
      <w:tr w:rsidR="000030F8" w:rsidRPr="003768FC" w14:paraId="38E728C9" w14:textId="77777777" w:rsidTr="000030F8">
        <w:trPr>
          <w:trHeight w:val="5247"/>
        </w:trPr>
        <w:tc>
          <w:tcPr>
            <w:tcW w:w="8792" w:type="dxa"/>
          </w:tcPr>
          <w:tbl>
            <w:tblPr>
              <w:tblStyle w:val="TEQSAtables"/>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0"/>
              <w:gridCol w:w="2285"/>
              <w:gridCol w:w="2109"/>
            </w:tblGrid>
            <w:tr w:rsidR="000030F8" w:rsidRPr="003768FC" w14:paraId="25360A40" w14:textId="77777777" w:rsidTr="002864C8">
              <w:trPr>
                <w:cnfStyle w:val="100000000000" w:firstRow="1" w:lastRow="0" w:firstColumn="0" w:lastColumn="0" w:oddVBand="0" w:evenVBand="0" w:oddHBand="0" w:evenHBand="0" w:firstRowFirstColumn="0" w:firstRowLastColumn="0" w:lastRowFirstColumn="0" w:lastRowLastColumn="0"/>
                <w:trHeight w:hRule="exact" w:val="826"/>
                <w:tblHeader/>
              </w:trPr>
              <w:tc>
                <w:tcPr>
                  <w:tcW w:w="1560" w:type="dxa"/>
                </w:tcPr>
                <w:p w14:paraId="43D06187" w14:textId="77777777" w:rsidR="000030F8" w:rsidRPr="003768FC" w:rsidRDefault="000030F8" w:rsidP="00E22DFA">
                  <w:pPr>
                    <w:jc w:val="left"/>
                    <w:rPr>
                      <w:rFonts w:cs="Arial"/>
                      <w:sz w:val="22"/>
                    </w:rPr>
                  </w:pPr>
                </w:p>
              </w:tc>
              <w:tc>
                <w:tcPr>
                  <w:tcW w:w="2830" w:type="dxa"/>
                </w:tcPr>
                <w:p w14:paraId="2C3A47FE" w14:textId="77777777" w:rsidR="000030F8" w:rsidRPr="00892B3F" w:rsidRDefault="000030F8" w:rsidP="00E22DFA">
                  <w:pPr>
                    <w:jc w:val="left"/>
                    <w:rPr>
                      <w:rFonts w:asciiTheme="majorHAnsi" w:hAnsiTheme="majorHAnsi" w:cs="Arial"/>
                      <w:sz w:val="22"/>
                    </w:rPr>
                  </w:pPr>
                  <w:r w:rsidRPr="00892B3F">
                    <w:rPr>
                      <w:rFonts w:asciiTheme="majorHAnsi" w:hAnsiTheme="majorHAnsi" w:cs="Arial"/>
                      <w:sz w:val="22"/>
                    </w:rPr>
                    <w:t>New application or renewal</w:t>
                  </w:r>
                </w:p>
              </w:tc>
              <w:tc>
                <w:tcPr>
                  <w:tcW w:w="2285" w:type="dxa"/>
                </w:tcPr>
                <w:p w14:paraId="52E8ADD8" w14:textId="77777777" w:rsidR="000030F8" w:rsidRPr="00892B3F" w:rsidRDefault="000030F8" w:rsidP="00E22DFA">
                  <w:pPr>
                    <w:jc w:val="left"/>
                    <w:rPr>
                      <w:rFonts w:asciiTheme="majorHAnsi" w:hAnsiTheme="majorHAnsi" w:cs="Arial"/>
                      <w:sz w:val="22"/>
                    </w:rPr>
                  </w:pPr>
                  <w:r w:rsidRPr="00892B3F">
                    <w:rPr>
                      <w:rFonts w:asciiTheme="majorHAnsi" w:hAnsiTheme="majorHAnsi" w:cs="Arial"/>
                      <w:sz w:val="22"/>
                    </w:rPr>
                    <w:t>Annual data collection</w:t>
                  </w:r>
                </w:p>
              </w:tc>
              <w:tc>
                <w:tcPr>
                  <w:tcW w:w="2109" w:type="dxa"/>
                </w:tcPr>
                <w:p w14:paraId="436217C0" w14:textId="77777777" w:rsidR="000030F8" w:rsidRPr="00892B3F" w:rsidRDefault="000030F8" w:rsidP="00E22DFA">
                  <w:pPr>
                    <w:jc w:val="left"/>
                    <w:rPr>
                      <w:rFonts w:asciiTheme="majorHAnsi" w:hAnsiTheme="majorHAnsi" w:cs="Arial"/>
                      <w:sz w:val="22"/>
                    </w:rPr>
                  </w:pPr>
                  <w:r w:rsidRPr="00892B3F">
                    <w:rPr>
                      <w:rFonts w:asciiTheme="majorHAnsi" w:hAnsiTheme="majorHAnsi" w:cs="Arial"/>
                      <w:sz w:val="22"/>
                    </w:rPr>
                    <w:t>Ongoing disclosure</w:t>
                  </w:r>
                </w:p>
              </w:tc>
            </w:tr>
            <w:tr w:rsidR="000030F8" w:rsidRPr="003768FC" w14:paraId="51FE81B8" w14:textId="77777777" w:rsidTr="003D3A02">
              <w:trPr>
                <w:trHeight w:hRule="exact" w:val="1552"/>
              </w:trPr>
              <w:tc>
                <w:tcPr>
                  <w:tcW w:w="1560" w:type="dxa"/>
                  <w:tcBorders>
                    <w:bottom w:val="single" w:sz="4" w:space="0" w:color="auto"/>
                  </w:tcBorders>
                </w:tcPr>
                <w:p w14:paraId="25340980" w14:textId="77777777" w:rsidR="000030F8" w:rsidRPr="003768FC" w:rsidRDefault="000030F8" w:rsidP="00E22DFA">
                  <w:pPr>
                    <w:jc w:val="left"/>
                    <w:rPr>
                      <w:rFonts w:cs="Arial"/>
                      <w:b/>
                    </w:rPr>
                  </w:pPr>
                  <w:r w:rsidRPr="003768FC">
                    <w:rPr>
                      <w:rFonts w:cs="Arial"/>
                      <w:b/>
                    </w:rPr>
                    <w:t>Source</w:t>
                  </w:r>
                </w:p>
              </w:tc>
              <w:tc>
                <w:tcPr>
                  <w:tcW w:w="2830" w:type="dxa"/>
                  <w:tcBorders>
                    <w:bottom w:val="single" w:sz="4" w:space="0" w:color="auto"/>
                  </w:tcBorders>
                </w:tcPr>
                <w:p w14:paraId="585D3B94" w14:textId="77777777" w:rsidR="000030F8" w:rsidRPr="003768FC" w:rsidRDefault="000030F8" w:rsidP="00E22DFA">
                  <w:pPr>
                    <w:jc w:val="left"/>
                    <w:rPr>
                      <w:rFonts w:cs="Arial"/>
                    </w:rPr>
                  </w:pPr>
                  <w:r w:rsidRPr="003768FC">
                    <w:rPr>
                      <w:rFonts w:cs="Arial"/>
                    </w:rPr>
                    <w:t>Provider registration</w:t>
                  </w:r>
                </w:p>
                <w:p w14:paraId="0BC392EE" w14:textId="77777777" w:rsidR="000030F8" w:rsidRPr="003768FC" w:rsidRDefault="000030F8" w:rsidP="00E22DFA">
                  <w:pPr>
                    <w:jc w:val="left"/>
                    <w:rPr>
                      <w:rFonts w:cs="Arial"/>
                    </w:rPr>
                  </w:pPr>
                  <w:r w:rsidRPr="003768FC">
                    <w:rPr>
                      <w:rFonts w:cs="Arial"/>
                    </w:rPr>
                    <w:t>Course accreditation</w:t>
                  </w:r>
                </w:p>
                <w:p w14:paraId="68E87918" w14:textId="77777777" w:rsidR="000030F8" w:rsidRPr="003768FC" w:rsidRDefault="000030F8" w:rsidP="00E22DFA">
                  <w:pPr>
                    <w:jc w:val="left"/>
                    <w:rPr>
                      <w:rFonts w:cs="Arial"/>
                    </w:rPr>
                  </w:pPr>
                  <w:r w:rsidRPr="003768FC">
                    <w:rPr>
                      <w:rFonts w:cs="Arial"/>
                    </w:rPr>
                    <w:t>CRICOS registration</w:t>
                  </w:r>
                </w:p>
              </w:tc>
              <w:tc>
                <w:tcPr>
                  <w:tcW w:w="2285" w:type="dxa"/>
                  <w:tcBorders>
                    <w:bottom w:val="single" w:sz="4" w:space="0" w:color="auto"/>
                  </w:tcBorders>
                </w:tcPr>
                <w:p w14:paraId="397A763F" w14:textId="77777777" w:rsidR="000030F8" w:rsidRPr="003768FC" w:rsidRDefault="000030F8" w:rsidP="00E22DFA">
                  <w:pPr>
                    <w:jc w:val="left"/>
                    <w:rPr>
                      <w:rFonts w:cs="Arial"/>
                    </w:rPr>
                  </w:pPr>
                  <w:r w:rsidRPr="003768FC">
                    <w:rPr>
                      <w:rFonts w:cs="Arial"/>
                    </w:rPr>
                    <w:t>Provider (via annual submission to the Department of Education and Training)</w:t>
                  </w:r>
                </w:p>
              </w:tc>
              <w:tc>
                <w:tcPr>
                  <w:tcW w:w="2109" w:type="dxa"/>
                  <w:tcBorders>
                    <w:bottom w:val="single" w:sz="4" w:space="0" w:color="auto"/>
                  </w:tcBorders>
                </w:tcPr>
                <w:p w14:paraId="2A171146" w14:textId="77777777" w:rsidR="000030F8" w:rsidRPr="003768FC" w:rsidRDefault="000030F8" w:rsidP="00E22DFA">
                  <w:pPr>
                    <w:jc w:val="left"/>
                    <w:rPr>
                      <w:rFonts w:cs="Arial"/>
                    </w:rPr>
                  </w:pPr>
                  <w:r w:rsidRPr="003768FC">
                    <w:rPr>
                      <w:rFonts w:cs="Arial"/>
                    </w:rPr>
                    <w:t>Material change notifications</w:t>
                  </w:r>
                </w:p>
              </w:tc>
            </w:tr>
            <w:tr w:rsidR="000030F8" w:rsidRPr="003768FC" w14:paraId="295A4A88" w14:textId="77777777" w:rsidTr="003D3A02">
              <w:trPr>
                <w:cnfStyle w:val="000000010000" w:firstRow="0" w:lastRow="0" w:firstColumn="0" w:lastColumn="0" w:oddVBand="0" w:evenVBand="0" w:oddHBand="0" w:evenHBand="1" w:firstRowFirstColumn="0" w:firstRowLastColumn="0" w:lastRowFirstColumn="0" w:lastRowLastColumn="0"/>
                <w:trHeight w:hRule="exact" w:val="2779"/>
              </w:trPr>
              <w:tc>
                <w:tcPr>
                  <w:tcW w:w="1560" w:type="dxa"/>
                  <w:shd w:val="clear" w:color="auto" w:fill="A2DADD" w:themeFill="accent5"/>
                </w:tcPr>
                <w:p w14:paraId="2BC36123" w14:textId="77777777" w:rsidR="000030F8" w:rsidRPr="003768FC" w:rsidRDefault="000030F8" w:rsidP="00E22DFA">
                  <w:pPr>
                    <w:jc w:val="left"/>
                    <w:rPr>
                      <w:rFonts w:cs="Arial"/>
                      <w:b/>
                    </w:rPr>
                  </w:pPr>
                  <w:r w:rsidRPr="003768FC">
                    <w:rPr>
                      <w:rFonts w:cs="Arial"/>
                      <w:b/>
                    </w:rPr>
                    <w:t>Information requested</w:t>
                  </w:r>
                </w:p>
              </w:tc>
              <w:tc>
                <w:tcPr>
                  <w:tcW w:w="2830" w:type="dxa"/>
                  <w:shd w:val="clear" w:color="auto" w:fill="A2DADD" w:themeFill="accent5"/>
                </w:tcPr>
                <w:p w14:paraId="017247C5" w14:textId="77777777" w:rsidR="000030F8" w:rsidRPr="003768FC" w:rsidRDefault="000030F8" w:rsidP="00E22DFA">
                  <w:pPr>
                    <w:jc w:val="left"/>
                    <w:rPr>
                      <w:rFonts w:cs="Arial"/>
                    </w:rPr>
                  </w:pPr>
                  <w:r w:rsidRPr="003768FC">
                    <w:rPr>
                      <w:rFonts w:cs="Arial"/>
                    </w:rPr>
                    <w:t>Historical financial statements</w:t>
                  </w:r>
                </w:p>
                <w:p w14:paraId="1838120E" w14:textId="77777777" w:rsidR="000030F8" w:rsidRPr="003768FC" w:rsidRDefault="000030F8" w:rsidP="00E22DFA">
                  <w:pPr>
                    <w:jc w:val="left"/>
                    <w:rPr>
                      <w:rFonts w:cs="Arial"/>
                    </w:rPr>
                  </w:pPr>
                  <w:r w:rsidRPr="003768FC">
                    <w:rPr>
                      <w:rFonts w:cs="Arial"/>
                    </w:rPr>
                    <w:t xml:space="preserve">Forecast financial information </w:t>
                  </w:r>
                </w:p>
                <w:p w14:paraId="3A19737C" w14:textId="77777777" w:rsidR="000030F8" w:rsidRPr="003768FC" w:rsidRDefault="000030F8" w:rsidP="00E22DFA">
                  <w:pPr>
                    <w:jc w:val="left"/>
                    <w:rPr>
                      <w:rFonts w:cs="Arial"/>
                    </w:rPr>
                  </w:pPr>
                  <w:r w:rsidRPr="003768FC">
                    <w:rPr>
                      <w:rFonts w:cs="Arial"/>
                    </w:rPr>
                    <w:t>Business plans</w:t>
                  </w:r>
                </w:p>
                <w:p w14:paraId="7D703D90" w14:textId="77777777" w:rsidR="000030F8" w:rsidRPr="003768FC" w:rsidRDefault="000030F8" w:rsidP="000030F8">
                  <w:pPr>
                    <w:jc w:val="left"/>
                    <w:rPr>
                      <w:rFonts w:cs="Arial"/>
                    </w:rPr>
                  </w:pPr>
                  <w:r w:rsidRPr="003768FC">
                    <w:rPr>
                      <w:rFonts w:cs="Arial"/>
                    </w:rPr>
                    <w:t>Governing body meeting minutes</w:t>
                  </w:r>
                </w:p>
              </w:tc>
              <w:tc>
                <w:tcPr>
                  <w:tcW w:w="2285" w:type="dxa"/>
                  <w:shd w:val="clear" w:color="auto" w:fill="A2DADD" w:themeFill="accent5"/>
                </w:tcPr>
                <w:p w14:paraId="55F6B9D8" w14:textId="77777777" w:rsidR="000030F8" w:rsidRPr="003768FC" w:rsidRDefault="000030F8" w:rsidP="00E22DFA">
                  <w:pPr>
                    <w:jc w:val="left"/>
                    <w:rPr>
                      <w:rFonts w:cs="Arial"/>
                    </w:rPr>
                  </w:pPr>
                  <w:r w:rsidRPr="003768FC">
                    <w:rPr>
                      <w:rFonts w:cs="Arial"/>
                    </w:rPr>
                    <w:t>Historical financial statements</w:t>
                  </w:r>
                </w:p>
                <w:p w14:paraId="7544691C" w14:textId="77777777" w:rsidR="000030F8" w:rsidRPr="003768FC" w:rsidRDefault="000030F8" w:rsidP="00E22DFA">
                  <w:pPr>
                    <w:jc w:val="left"/>
                    <w:rPr>
                      <w:rFonts w:cs="Arial"/>
                    </w:rPr>
                  </w:pPr>
                  <w:r w:rsidRPr="003768FC">
                    <w:rPr>
                      <w:rFonts w:cs="Arial"/>
                    </w:rPr>
                    <w:t>Standardised historical financial report</w:t>
                  </w:r>
                </w:p>
                <w:p w14:paraId="5C81489D" w14:textId="77777777" w:rsidR="000030F8" w:rsidRPr="003768FC" w:rsidRDefault="000030F8" w:rsidP="00E22DFA">
                  <w:pPr>
                    <w:jc w:val="left"/>
                    <w:rPr>
                      <w:rFonts w:cs="Arial"/>
                    </w:rPr>
                  </w:pPr>
                  <w:r w:rsidRPr="003768FC">
                    <w:rPr>
                      <w:rFonts w:cs="Arial"/>
                    </w:rPr>
                    <w:t>Detailed key operating metrics</w:t>
                  </w:r>
                  <w:r>
                    <w:rPr>
                      <w:rFonts w:cs="Arial"/>
                    </w:rPr>
                    <w:t xml:space="preserve"> </w:t>
                  </w:r>
                  <w:r w:rsidRPr="003768FC">
                    <w:rPr>
                      <w:rFonts w:cs="Arial"/>
                    </w:rPr>
                    <w:t>(student/staff numbers)</w:t>
                  </w:r>
                </w:p>
              </w:tc>
              <w:tc>
                <w:tcPr>
                  <w:tcW w:w="2109" w:type="dxa"/>
                  <w:shd w:val="clear" w:color="auto" w:fill="A2DADD" w:themeFill="accent5"/>
                </w:tcPr>
                <w:p w14:paraId="66CB892C" w14:textId="77777777" w:rsidR="000030F8" w:rsidRPr="003768FC" w:rsidRDefault="000030F8" w:rsidP="000030F8">
                  <w:pPr>
                    <w:jc w:val="left"/>
                    <w:rPr>
                      <w:rFonts w:cs="Arial"/>
                    </w:rPr>
                  </w:pPr>
                  <w:r w:rsidRPr="003768FC">
                    <w:rPr>
                      <w:rFonts w:cs="Arial"/>
                    </w:rPr>
                    <w:t>Further information may be requested based on the nature of material change notification</w:t>
                  </w:r>
                </w:p>
              </w:tc>
            </w:tr>
          </w:tbl>
          <w:p w14:paraId="07EA0C51" w14:textId="77777777" w:rsidR="000030F8" w:rsidRPr="003768FC" w:rsidRDefault="000030F8" w:rsidP="00E22DFA">
            <w:pPr>
              <w:pStyle w:val="BulletsL1"/>
              <w:numPr>
                <w:ilvl w:val="0"/>
                <w:numId w:val="0"/>
              </w:numPr>
              <w:rPr>
                <w:rFonts w:cs="Arial"/>
              </w:rPr>
            </w:pPr>
          </w:p>
        </w:tc>
      </w:tr>
    </w:tbl>
    <w:p w14:paraId="17148B0D" w14:textId="77777777" w:rsidR="000030F8" w:rsidRPr="00863630" w:rsidRDefault="000030F8" w:rsidP="000030F8">
      <w:pPr>
        <w:pStyle w:val="Heading2"/>
      </w:pPr>
      <w:r>
        <w:t>Resources and references</w:t>
      </w:r>
    </w:p>
    <w:p w14:paraId="0A273802" w14:textId="77777777" w:rsidR="000030F8" w:rsidRDefault="000030F8" w:rsidP="000030F8">
      <w:pPr>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1" w:history="1">
        <w:r w:rsidRPr="00C639FE">
          <w:rPr>
            <w:rStyle w:val="Hyperlink"/>
          </w:rPr>
          <w:t>http://www.teqsa.gov.au/explanations-hes-framework-terms</w:t>
        </w:r>
      </w:hyperlink>
      <w:r>
        <w:rPr>
          <w:rFonts w:cstheme="minorHAnsi"/>
          <w:iCs/>
        </w:rPr>
        <w:t xml:space="preserve">&gt;. </w:t>
      </w:r>
    </w:p>
    <w:p w14:paraId="1D9C66BE" w14:textId="3611CE70" w:rsidR="000030F8" w:rsidRDefault="000030F8" w:rsidP="000030F8">
      <w:pPr>
        <w:rPr>
          <w:rFonts w:cs="Arial"/>
        </w:rPr>
      </w:pPr>
      <w:r w:rsidRPr="007B609A">
        <w:rPr>
          <w:rFonts w:cs="Arial"/>
        </w:rPr>
        <w:t xml:space="preserve">TEQSA, </w:t>
      </w:r>
      <w:r>
        <w:rPr>
          <w:rFonts w:cs="Arial"/>
          <w:i/>
        </w:rPr>
        <w:t xml:space="preserve">TEQSA’S Risk Assessment Framework, </w:t>
      </w:r>
      <w:r w:rsidRPr="00D367EF">
        <w:rPr>
          <w:rFonts w:cs="Arial"/>
        </w:rPr>
        <w:t>&lt;</w:t>
      </w:r>
      <w:hyperlink r:id="rId12" w:history="1">
        <w:r w:rsidRPr="001F2A44">
          <w:rPr>
            <w:rStyle w:val="Hyperlink"/>
            <w:rFonts w:cs="Arial"/>
          </w:rPr>
          <w:t>http://www.teqsa.gov.au/regulatory-approach/risk-assessment-framework</w:t>
        </w:r>
      </w:hyperlink>
      <w:r w:rsidRPr="00D367EF">
        <w:rPr>
          <w:rFonts w:cs="Arial"/>
        </w:rPr>
        <w:t>&gt;</w:t>
      </w:r>
      <w:r>
        <w:rPr>
          <w:rFonts w:cs="Arial"/>
        </w:rPr>
        <w:t>.</w:t>
      </w:r>
    </w:p>
    <w:p w14:paraId="6429656B" w14:textId="42802A5C" w:rsidR="00397576" w:rsidRPr="007B609A" w:rsidRDefault="00397576" w:rsidP="000030F8">
      <w:pPr>
        <w:rPr>
          <w:rFonts w:cs="Arial"/>
          <w:i/>
        </w:rPr>
      </w:pPr>
      <w:r w:rsidRPr="00397576">
        <w:rPr>
          <w:rFonts w:cs="Arial"/>
          <w:i/>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bookmarkStart w:id="0" w:name="_GoBack"/>
      <w:bookmarkEnd w:id="0"/>
    </w:p>
    <w:tbl>
      <w:tblPr>
        <w:tblpPr w:leftFromText="180" w:rightFromText="180" w:vertAnchor="text" w:horzAnchor="margin" w:tblpY="401"/>
        <w:tblW w:w="9356" w:type="dxa"/>
        <w:tblCellMar>
          <w:left w:w="0" w:type="dxa"/>
          <w:right w:w="0" w:type="dxa"/>
        </w:tblCellMar>
        <w:tblLook w:val="04A0" w:firstRow="1" w:lastRow="0" w:firstColumn="1" w:lastColumn="0" w:noHBand="0" w:noVBand="1"/>
      </w:tblPr>
      <w:tblGrid>
        <w:gridCol w:w="1276"/>
        <w:gridCol w:w="2126"/>
        <w:gridCol w:w="5954"/>
      </w:tblGrid>
      <w:tr w:rsidR="000D7700" w:rsidRPr="00110318" w14:paraId="4AB35419" w14:textId="77777777" w:rsidTr="000A3FE5">
        <w:trPr>
          <w:tblHeader/>
        </w:trPr>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3B932D4D" w14:textId="77777777" w:rsidR="000D7700" w:rsidRPr="009C4E44" w:rsidRDefault="000D7700" w:rsidP="000D7700">
            <w:pPr>
              <w:pStyle w:val="Normal1"/>
              <w:spacing w:line="240" w:lineRule="auto"/>
              <w:rPr>
                <w:b/>
                <w:color w:val="E7E6E6" w:themeColor="background2"/>
                <w:sz w:val="20"/>
                <w:szCs w:val="20"/>
                <w:lang w:val="en-US"/>
              </w:rPr>
            </w:pPr>
            <w:r w:rsidRPr="009C4E44">
              <w:rPr>
                <w:b/>
                <w:color w:val="E7E6E6" w:themeColor="background2"/>
                <w:sz w:val="20"/>
                <w:szCs w:val="20"/>
                <w:lang w:val="en-US"/>
              </w:rPr>
              <w:lastRenderedPageBreak/>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183DAB0E" w14:textId="77777777" w:rsidR="000D7700" w:rsidRPr="009C4E44" w:rsidRDefault="000D7700" w:rsidP="000D7700">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10D807E3" w14:textId="77777777" w:rsidR="000D7700" w:rsidRPr="009C4E44" w:rsidRDefault="000D7700" w:rsidP="000D7700">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0D7700" w14:paraId="191D93F4" w14:textId="77777777" w:rsidTr="000A3FE5">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AE2B9B" w14:textId="77777777" w:rsidR="000D7700" w:rsidRDefault="000D7700" w:rsidP="000D7700">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CBC210" w14:textId="77777777" w:rsidR="000D7700" w:rsidRDefault="000D7700" w:rsidP="000D7700">
            <w:pPr>
              <w:pStyle w:val="Normal1"/>
              <w:spacing w:line="240" w:lineRule="auto"/>
              <w:rPr>
                <w:sz w:val="20"/>
                <w:szCs w:val="20"/>
                <w:lang w:val="en-US"/>
              </w:rPr>
            </w:pPr>
            <w:r>
              <w:rPr>
                <w:sz w:val="20"/>
                <w:szCs w:val="20"/>
                <w:lang w:val="en-US"/>
              </w:rPr>
              <w:t>21 October</w:t>
            </w:r>
            <w:r w:rsidRPr="006A22F0">
              <w:rPr>
                <w:sz w:val="20"/>
                <w:szCs w:val="20"/>
                <w:lang w:val="en-US"/>
              </w:rPr>
              <w:t xml:space="preserve">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E090BE" w14:textId="77777777" w:rsidR="000D7700" w:rsidRDefault="000D7700" w:rsidP="000D7700">
            <w:pPr>
              <w:pStyle w:val="Normal1"/>
              <w:tabs>
                <w:tab w:val="left" w:pos="1739"/>
              </w:tabs>
              <w:spacing w:line="240" w:lineRule="auto"/>
              <w:rPr>
                <w:sz w:val="20"/>
                <w:szCs w:val="20"/>
                <w:lang w:val="en-US"/>
              </w:rPr>
            </w:pPr>
            <w:r>
              <w:rPr>
                <w:sz w:val="20"/>
                <w:szCs w:val="20"/>
                <w:lang w:val="en-US"/>
              </w:rPr>
              <w:t>M</w:t>
            </w:r>
            <w:r w:rsidRPr="00A30291">
              <w:rPr>
                <w:sz w:val="20"/>
                <w:szCs w:val="20"/>
                <w:lang w:val="en-US"/>
              </w:rPr>
              <w:t>ade available as beta version for consultation.</w:t>
            </w:r>
            <w:r>
              <w:rPr>
                <w:sz w:val="20"/>
                <w:szCs w:val="20"/>
                <w:lang w:val="en-US"/>
              </w:rPr>
              <w:tab/>
              <w:t>Replaces previous information sheet on ‘TEQSA’s approach to financial assessment’.</w:t>
            </w:r>
          </w:p>
        </w:tc>
      </w:tr>
      <w:tr w:rsidR="000D7700" w14:paraId="6925C5B1" w14:textId="77777777" w:rsidTr="000A3FE5">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1C3B2" w14:textId="77777777" w:rsidR="000D7700" w:rsidRDefault="000D7700" w:rsidP="000D7700">
            <w:pPr>
              <w:pStyle w:val="Normal1"/>
              <w:spacing w:line="240" w:lineRule="auto"/>
              <w:rPr>
                <w:sz w:val="20"/>
                <w:szCs w:val="20"/>
                <w:lang w:val="en-US"/>
              </w:rPr>
            </w:pPr>
            <w:r>
              <w:rPr>
                <w:sz w:val="20"/>
                <w:szCs w:val="20"/>
                <w:lang w:val="en-US"/>
              </w:rPr>
              <w:t>1.1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7D4528" w14:textId="49A2365C" w:rsidR="000D7700" w:rsidRDefault="00766582" w:rsidP="00933CFD">
            <w:pPr>
              <w:pStyle w:val="Normal1"/>
              <w:spacing w:line="240" w:lineRule="auto"/>
              <w:rPr>
                <w:sz w:val="20"/>
                <w:szCs w:val="20"/>
                <w:lang w:val="en-US"/>
              </w:rPr>
            </w:pPr>
            <w:r>
              <w:rPr>
                <w:sz w:val="20"/>
                <w:szCs w:val="20"/>
                <w:lang w:val="en-US"/>
              </w:rPr>
              <w:t>11</w:t>
            </w:r>
            <w:r w:rsidR="001416A9">
              <w:rPr>
                <w:sz w:val="20"/>
                <w:szCs w:val="20"/>
                <w:lang w:val="en-US"/>
              </w:rPr>
              <w:t xml:space="preserve"> </w:t>
            </w:r>
            <w:r w:rsidR="00933CFD">
              <w:rPr>
                <w:sz w:val="20"/>
                <w:szCs w:val="20"/>
                <w:lang w:val="en-US"/>
              </w:rPr>
              <w:t>April</w:t>
            </w:r>
            <w:r w:rsidR="000D7700">
              <w:rPr>
                <w:sz w:val="20"/>
                <w:szCs w:val="20"/>
                <w:lang w:val="en-US"/>
              </w:rPr>
              <w:t xml:space="preserve"> 2019</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D2B992" w14:textId="77777777" w:rsidR="000D7700" w:rsidRDefault="000D7700" w:rsidP="000D7700">
            <w:pPr>
              <w:pStyle w:val="Normal1"/>
              <w:tabs>
                <w:tab w:val="left" w:pos="1739"/>
              </w:tabs>
              <w:spacing w:line="240" w:lineRule="auto"/>
              <w:rPr>
                <w:sz w:val="20"/>
                <w:szCs w:val="20"/>
                <w:lang w:val="en-US"/>
              </w:rPr>
            </w:pPr>
            <w:r>
              <w:rPr>
                <w:sz w:val="20"/>
                <w:szCs w:val="20"/>
                <w:lang w:val="en-US"/>
              </w:rPr>
              <w:t>Consultation advice incorporated into “Key Concepts – Financial Trajectory” section.</w:t>
            </w:r>
          </w:p>
        </w:tc>
      </w:tr>
    </w:tbl>
    <w:p w14:paraId="082C4E6C" w14:textId="77777777" w:rsidR="006C328D" w:rsidRPr="000030F8" w:rsidRDefault="006C328D" w:rsidP="000D7700"/>
    <w:sectPr w:rsidR="006C328D" w:rsidRPr="000030F8" w:rsidSect="000D7700">
      <w:headerReference w:type="default" r:id="rId13"/>
      <w:footerReference w:type="default" r:id="rId14"/>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D6903" w14:textId="77777777" w:rsidR="00691295" w:rsidRDefault="00691295" w:rsidP="006C328D">
      <w:pPr>
        <w:spacing w:before="0" w:after="0"/>
      </w:pPr>
      <w:r>
        <w:separator/>
      </w:r>
    </w:p>
  </w:endnote>
  <w:endnote w:type="continuationSeparator" w:id="0">
    <w:p w14:paraId="51F4FC63" w14:textId="77777777" w:rsidR="00691295" w:rsidRDefault="00691295"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142B60C6" w14:textId="1B981C40"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397576">
              <w:rPr>
                <w:b/>
                <w:bCs/>
                <w:noProof/>
                <w:color w:val="00847E" w:themeColor="accent1"/>
                <w:sz w:val="20"/>
                <w:szCs w:val="20"/>
              </w:rPr>
              <w:t>5</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397576">
              <w:rPr>
                <w:b/>
                <w:bCs/>
                <w:noProof/>
                <w:color w:val="00847E" w:themeColor="accent1"/>
                <w:sz w:val="20"/>
                <w:szCs w:val="20"/>
              </w:rPr>
              <w:t>5</w:t>
            </w:r>
            <w:r w:rsidRPr="00FF2540">
              <w:rPr>
                <w:b/>
                <w:bCs/>
                <w:color w:val="00847E" w:themeColor="accent1"/>
                <w:sz w:val="20"/>
                <w:szCs w:val="20"/>
              </w:rPr>
              <w:fldChar w:fldCharType="end"/>
            </w:r>
          </w:p>
        </w:sdtContent>
      </w:sdt>
    </w:sdtContent>
  </w:sdt>
  <w:p w14:paraId="5F2C3B22"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4CA6C" w14:textId="77777777" w:rsidR="00691295" w:rsidRDefault="00691295" w:rsidP="006C328D">
      <w:pPr>
        <w:spacing w:before="0" w:after="0"/>
      </w:pPr>
      <w:r>
        <w:separator/>
      </w:r>
    </w:p>
  </w:footnote>
  <w:footnote w:type="continuationSeparator" w:id="0">
    <w:p w14:paraId="63933379" w14:textId="77777777" w:rsidR="00691295" w:rsidRDefault="00691295"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6A80" w14:textId="766A34BA"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3415F4C1" wp14:editId="495B689A">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52C8C9A4" wp14:editId="7BEC6F6B">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pt" o:bullet="t">
        <v:imagedata r:id="rId1" o:title="Teal-Triangles"/>
      </v:shape>
    </w:pict>
  </w:numPicBullet>
  <w:numPicBullet w:numPicBulletId="1">
    <w:pict>
      <v:shape id="_x0000_i1036" type="#_x0000_t75" style="width:1in;height:36pt" o:bullet="t">
        <v:imagedata r:id="rId2" o:title="Pink-Triangles"/>
      </v:shape>
    </w:pict>
  </w:numPicBullet>
  <w:numPicBullet w:numPicBulletId="2">
    <w:pict>
      <v:shape id="_x0000_i1037" type="#_x0000_t75" style="width:1in;height:36pt" o:bullet="t">
        <v:imagedata r:id="rId3" o:title="Yellow-Triangles"/>
      </v:shape>
    </w:pict>
  </w:numPicBullet>
  <w:abstractNum w:abstractNumId="0" w15:restartNumberingAfterBreak="0">
    <w:nsid w:val="07DB7BB5"/>
    <w:multiLevelType w:val="hybridMultilevel"/>
    <w:tmpl w:val="67EE81D0"/>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525E8C"/>
    <w:multiLevelType w:val="hybridMultilevel"/>
    <w:tmpl w:val="FC4EDBD2"/>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6D2588F"/>
    <w:multiLevelType w:val="hybridMultilevel"/>
    <w:tmpl w:val="824AF8D0"/>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5D06A0"/>
    <w:multiLevelType w:val="hybridMultilevel"/>
    <w:tmpl w:val="A41C4E2A"/>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D42283"/>
    <w:multiLevelType w:val="hybridMultilevel"/>
    <w:tmpl w:val="72EC51E4"/>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151F39"/>
    <w:multiLevelType w:val="hybridMultilevel"/>
    <w:tmpl w:val="1F30ED00"/>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6"/>
  </w:num>
  <w:num w:numId="3">
    <w:abstractNumId w:val="6"/>
  </w:num>
  <w:num w:numId="4">
    <w:abstractNumId w:val="13"/>
  </w:num>
  <w:num w:numId="5">
    <w:abstractNumId w:val="12"/>
  </w:num>
  <w:num w:numId="6">
    <w:abstractNumId w:val="10"/>
  </w:num>
  <w:num w:numId="7">
    <w:abstractNumId w:val="2"/>
  </w:num>
  <w:num w:numId="8">
    <w:abstractNumId w:val="4"/>
  </w:num>
  <w:num w:numId="9">
    <w:abstractNumId w:val="5"/>
  </w:num>
  <w:num w:numId="10">
    <w:abstractNumId w:val="11"/>
  </w:num>
  <w:num w:numId="11">
    <w:abstractNumId w:val="8"/>
  </w:num>
  <w:num w:numId="12">
    <w:abstractNumId w:val="1"/>
  </w:num>
  <w:num w:numId="13">
    <w:abstractNumId w:val="14"/>
  </w:num>
  <w:num w:numId="14">
    <w:abstractNumId w:val="3"/>
  </w:num>
  <w:num w:numId="15">
    <w:abstractNumId w:val="7"/>
  </w:num>
  <w:num w:numId="16">
    <w:abstractNumId w:val="0"/>
  </w:num>
  <w:num w:numId="17">
    <w:abstractNumId w:val="15"/>
  </w:num>
  <w:num w:numId="18">
    <w:abstractNumId w:val="9"/>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030F8"/>
    <w:rsid w:val="000A3FE5"/>
    <w:rsid w:val="000D7700"/>
    <w:rsid w:val="000E52B0"/>
    <w:rsid w:val="001416A9"/>
    <w:rsid w:val="00144781"/>
    <w:rsid w:val="001B4141"/>
    <w:rsid w:val="001C475A"/>
    <w:rsid w:val="001F39F5"/>
    <w:rsid w:val="002041EF"/>
    <w:rsid w:val="00253373"/>
    <w:rsid w:val="00275D43"/>
    <w:rsid w:val="002864C8"/>
    <w:rsid w:val="0030401F"/>
    <w:rsid w:val="00374E0F"/>
    <w:rsid w:val="00397576"/>
    <w:rsid w:val="003B3A49"/>
    <w:rsid w:val="003B5E71"/>
    <w:rsid w:val="003D3A02"/>
    <w:rsid w:val="003E517E"/>
    <w:rsid w:val="003F5B4D"/>
    <w:rsid w:val="003F610E"/>
    <w:rsid w:val="00474A8C"/>
    <w:rsid w:val="004C525C"/>
    <w:rsid w:val="0052247D"/>
    <w:rsid w:val="005B458E"/>
    <w:rsid w:val="005D1EEB"/>
    <w:rsid w:val="005F1B40"/>
    <w:rsid w:val="00642E92"/>
    <w:rsid w:val="0066768B"/>
    <w:rsid w:val="00691295"/>
    <w:rsid w:val="006C328D"/>
    <w:rsid w:val="007362A7"/>
    <w:rsid w:val="00766582"/>
    <w:rsid w:val="007A01C8"/>
    <w:rsid w:val="007B01C8"/>
    <w:rsid w:val="007D2D48"/>
    <w:rsid w:val="007E111C"/>
    <w:rsid w:val="007F78F7"/>
    <w:rsid w:val="00847A3E"/>
    <w:rsid w:val="008A0378"/>
    <w:rsid w:val="008C5E2B"/>
    <w:rsid w:val="008D0584"/>
    <w:rsid w:val="008E2403"/>
    <w:rsid w:val="00933CFD"/>
    <w:rsid w:val="009B769E"/>
    <w:rsid w:val="009C02E0"/>
    <w:rsid w:val="00A2045C"/>
    <w:rsid w:val="00AE2274"/>
    <w:rsid w:val="00AF1FAE"/>
    <w:rsid w:val="00B038BD"/>
    <w:rsid w:val="00B522A2"/>
    <w:rsid w:val="00BB47F6"/>
    <w:rsid w:val="00BD3581"/>
    <w:rsid w:val="00C562F4"/>
    <w:rsid w:val="00C712C2"/>
    <w:rsid w:val="00C9445B"/>
    <w:rsid w:val="00D21D62"/>
    <w:rsid w:val="00D8265E"/>
    <w:rsid w:val="00DD47DF"/>
    <w:rsid w:val="00E14872"/>
    <w:rsid w:val="00EB3450"/>
    <w:rsid w:val="00EC1F62"/>
    <w:rsid w:val="00EF11F8"/>
    <w:rsid w:val="00F527C3"/>
    <w:rsid w:val="00F73258"/>
    <w:rsid w:val="00FD04BE"/>
    <w:rsid w:val="00FD41CF"/>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DBEC"/>
  <w15:docId w15:val="{336CFBB4-FF73-4CA1-8D5A-3E898B9E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qFormat/>
    <w:rsid w:val="000030F8"/>
    <w:pPr>
      <w:numPr>
        <w:numId w:val="12"/>
      </w:numPr>
      <w:spacing w:before="40" w:line="280" w:lineRule="exact"/>
      <w:contextualSpacing w:val="0"/>
    </w:pPr>
    <w:rPr>
      <w:rFonts w:ascii="Arial" w:hAnsi="Arial"/>
      <w:color w:val="auto"/>
      <w:lang w:val="en-US"/>
    </w:rPr>
  </w:style>
  <w:style w:type="character" w:customStyle="1" w:styleId="BulletsL1Char">
    <w:name w:val="Bullets L1 Char"/>
    <w:basedOn w:val="DefaultParagraphFont"/>
    <w:link w:val="BulletsL1"/>
    <w:rsid w:val="000030F8"/>
    <w:rPr>
      <w:rFonts w:ascii="Arial" w:hAnsi="Arial"/>
      <w:color w:val="auto"/>
      <w:lang w:val="en-US"/>
    </w:rPr>
  </w:style>
  <w:style w:type="table" w:customStyle="1" w:styleId="TEQSAtables">
    <w:name w:val="TEQSA tables"/>
    <w:basedOn w:val="TableNormal"/>
    <w:uiPriority w:val="99"/>
    <w:rsid w:val="000030F8"/>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styleId="Hyperlink">
    <w:name w:val="Hyperlink"/>
    <w:basedOn w:val="DefaultParagraphFont"/>
    <w:uiPriority w:val="99"/>
    <w:unhideWhenUsed/>
    <w:rsid w:val="000030F8"/>
    <w:rPr>
      <w:color w:val="00847E" w:themeColor="hyperlink"/>
      <w:u w:val="single"/>
    </w:rPr>
  </w:style>
  <w:style w:type="paragraph" w:customStyle="1" w:styleId="Normal1">
    <w:name w:val="Normal1"/>
    <w:basedOn w:val="Normal"/>
    <w:rsid w:val="000030F8"/>
    <w:pPr>
      <w:spacing w:before="0" w:after="0" w:line="276" w:lineRule="auto"/>
    </w:pPr>
    <w:rPr>
      <w:rFonts w:ascii="Arial" w:hAnsi="Arial" w:cs="Arial"/>
      <w:color w:val="000000"/>
    </w:rPr>
  </w:style>
  <w:style w:type="paragraph" w:styleId="ListParagraph">
    <w:name w:val="List Paragraph"/>
    <w:basedOn w:val="Normal"/>
    <w:uiPriority w:val="34"/>
    <w:rsid w:val="000030F8"/>
    <w:pPr>
      <w:ind w:left="720"/>
      <w:contextualSpacing/>
    </w:pPr>
  </w:style>
  <w:style w:type="character" w:styleId="SubtleEmphasis">
    <w:name w:val="Subtle Emphasis"/>
    <w:basedOn w:val="DefaultParagraphFont"/>
    <w:uiPriority w:val="19"/>
    <w:qFormat/>
    <w:rsid w:val="008E2403"/>
    <w:rPr>
      <w:i/>
      <w:iCs/>
      <w:color w:val="808080" w:themeColor="text1" w:themeTint="7F"/>
    </w:rPr>
  </w:style>
  <w:style w:type="character" w:styleId="CommentReference">
    <w:name w:val="annotation reference"/>
    <w:basedOn w:val="DefaultParagraphFont"/>
    <w:uiPriority w:val="99"/>
    <w:semiHidden/>
    <w:unhideWhenUsed/>
    <w:rsid w:val="007362A7"/>
    <w:rPr>
      <w:sz w:val="16"/>
      <w:szCs w:val="16"/>
    </w:rPr>
  </w:style>
  <w:style w:type="paragraph" w:styleId="CommentText">
    <w:name w:val="annotation text"/>
    <w:basedOn w:val="Normal"/>
    <w:link w:val="CommentTextChar"/>
    <w:uiPriority w:val="99"/>
    <w:semiHidden/>
    <w:unhideWhenUsed/>
    <w:rsid w:val="007362A7"/>
    <w:rPr>
      <w:sz w:val="20"/>
      <w:szCs w:val="20"/>
    </w:rPr>
  </w:style>
  <w:style w:type="character" w:customStyle="1" w:styleId="CommentTextChar">
    <w:name w:val="Comment Text Char"/>
    <w:basedOn w:val="DefaultParagraphFont"/>
    <w:link w:val="CommentText"/>
    <w:uiPriority w:val="99"/>
    <w:semiHidden/>
    <w:rsid w:val="007362A7"/>
    <w:rPr>
      <w:sz w:val="20"/>
      <w:szCs w:val="20"/>
    </w:rPr>
  </w:style>
  <w:style w:type="paragraph" w:styleId="CommentSubject">
    <w:name w:val="annotation subject"/>
    <w:basedOn w:val="CommentText"/>
    <w:next w:val="CommentText"/>
    <w:link w:val="CommentSubjectChar"/>
    <w:uiPriority w:val="99"/>
    <w:semiHidden/>
    <w:unhideWhenUsed/>
    <w:rsid w:val="007362A7"/>
    <w:rPr>
      <w:b/>
      <w:bCs/>
    </w:rPr>
  </w:style>
  <w:style w:type="character" w:customStyle="1" w:styleId="CommentSubjectChar">
    <w:name w:val="Comment Subject Char"/>
    <w:basedOn w:val="CommentTextChar"/>
    <w:link w:val="CommentSubject"/>
    <w:uiPriority w:val="99"/>
    <w:semiHidden/>
    <w:rsid w:val="007362A7"/>
    <w:rPr>
      <w:b/>
      <w:bCs/>
      <w:sz w:val="20"/>
      <w:szCs w:val="20"/>
    </w:rPr>
  </w:style>
  <w:style w:type="character" w:styleId="FollowedHyperlink">
    <w:name w:val="FollowedHyperlink"/>
    <w:basedOn w:val="DefaultParagraphFont"/>
    <w:uiPriority w:val="99"/>
    <w:semiHidden/>
    <w:unhideWhenUsed/>
    <w:rsid w:val="001416A9"/>
    <w:rPr>
      <w:color w:val="0084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qsa.gov.au/regulatory-approach/risk-assessment-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qsa.gov.au/explanations-hes-framework-te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33B1663F-FA14-45DA-9B0E-524C6E68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Guidance Note: Financial Assessment</vt:lpstr>
    </vt:vector>
  </TitlesOfParts>
  <Company>Tertiary Education Quality and Standards Agency</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Financial Assessment</dc:title>
  <dc:creator>May, Raphael</dc:creator>
  <cp:lastModifiedBy>Hewitt-McManus, Tom</cp:lastModifiedBy>
  <cp:revision>3</cp:revision>
  <cp:lastPrinted>2019-04-11T06:54:00Z</cp:lastPrinted>
  <dcterms:created xsi:type="dcterms:W3CDTF">2019-04-15T02:13:00Z</dcterms:created>
  <dcterms:modified xsi:type="dcterms:W3CDTF">2020-02-10T02:24:00Z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