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56061F" w14:textId="77777777" w:rsidR="000A7FA9" w:rsidRDefault="000A7FA9" w:rsidP="000A7FA9">
      <w:pPr>
        <w:pStyle w:val="Heading1"/>
        <w:rPr>
          <w:i/>
          <w:color w:val="00A398"/>
        </w:rPr>
      </w:pPr>
      <w:r w:rsidRPr="000A7FA9">
        <w:rPr>
          <w:color w:val="00A398"/>
        </w:rPr>
        <w:t xml:space="preserve">Guidance Note: </w:t>
      </w:r>
      <w:r w:rsidRPr="000A7FA9">
        <w:rPr>
          <w:i/>
          <w:color w:val="00A398"/>
        </w:rPr>
        <w:t>External Referencing (including Benchmarking)</w:t>
      </w:r>
    </w:p>
    <w:p w14:paraId="3C35C108" w14:textId="03EC166F" w:rsidR="00500A75" w:rsidRDefault="0031313F" w:rsidP="00500A75">
      <w:pPr>
        <w:rPr>
          <w:rStyle w:val="SubtleEmphasis"/>
        </w:rPr>
      </w:pPr>
      <w:r>
        <w:rPr>
          <w:rStyle w:val="SubtleEmphasis"/>
        </w:rPr>
        <w:t>V</w:t>
      </w:r>
      <w:r w:rsidR="00500A75" w:rsidRPr="00500A75">
        <w:rPr>
          <w:rStyle w:val="SubtleEmphasis"/>
        </w:rPr>
        <w:t>ersion 2.</w:t>
      </w:r>
      <w:r w:rsidR="00A1294E">
        <w:rPr>
          <w:rStyle w:val="SubtleEmphasis"/>
        </w:rPr>
        <w:t>5</w:t>
      </w:r>
      <w:r w:rsidR="00A1294E" w:rsidRPr="00500A75">
        <w:rPr>
          <w:rStyle w:val="SubtleEmphasis"/>
        </w:rPr>
        <w:t xml:space="preserve"> </w:t>
      </w:r>
      <w:r w:rsidR="00500A75" w:rsidRPr="00500A75">
        <w:rPr>
          <w:rStyle w:val="SubtleEmphasis"/>
        </w:rPr>
        <w:t>(</w:t>
      </w:r>
      <w:r w:rsidR="00A1294E">
        <w:rPr>
          <w:rStyle w:val="SubtleEmphasis"/>
        </w:rPr>
        <w:t>16 April</w:t>
      </w:r>
      <w:r w:rsidR="00F546A5">
        <w:rPr>
          <w:rStyle w:val="SubtleEmphasis"/>
        </w:rPr>
        <w:t xml:space="preserve"> </w:t>
      </w:r>
      <w:r>
        <w:rPr>
          <w:rStyle w:val="SubtleEmphasis"/>
        </w:rPr>
        <w:t>2019</w:t>
      </w:r>
      <w:r w:rsidR="00500A75" w:rsidRPr="00500A75">
        <w:rPr>
          <w:rStyle w:val="SubtleEmphasis"/>
        </w:rPr>
        <w:t>)</w:t>
      </w:r>
    </w:p>
    <w:p w14:paraId="132546FE" w14:textId="2B584E9A" w:rsidR="00B233BF" w:rsidRPr="00B233BF" w:rsidRDefault="00B233BF" w:rsidP="00500A75">
      <w:pPr>
        <w:rPr>
          <w:rStyle w:val="SubtleEmphasis"/>
          <w:color w:val="000000" w:themeColor="text1"/>
        </w:rPr>
      </w:pPr>
      <w:bookmarkStart w:id="0" w:name="_GoBack"/>
      <w:r w:rsidRPr="00B233BF">
        <w:rPr>
          <w:rStyle w:val="SubtleEmphasis"/>
          <w:color w:val="000000" w:themeColor="text1"/>
        </w:rPr>
        <w:t>Providers should note that Guidance Notes are intended to provide guidance only. They are not definitive or binding documents. Nor are they prescriptive. The definitive instruments for regulatory purposes remain the TEQSA Act and the Higher Education Standards Framework as amended from time to time.</w:t>
      </w:r>
    </w:p>
    <w:bookmarkEnd w:id="0"/>
    <w:p w14:paraId="753B2DB7" w14:textId="77777777" w:rsidR="000A7FA9" w:rsidRDefault="000A7FA9" w:rsidP="000A7FA9">
      <w:pPr>
        <w:pStyle w:val="Heading2"/>
      </w:pPr>
      <w:r>
        <w:t>What does external referencing encompass?</w:t>
      </w:r>
    </w:p>
    <w:p w14:paraId="7A55AF33" w14:textId="77777777" w:rsidR="000A7FA9" w:rsidRDefault="000A7FA9" w:rsidP="000A7FA9">
      <w:pPr>
        <w:rPr>
          <w:rFonts w:cs="Arial"/>
        </w:rPr>
      </w:pPr>
      <w:r>
        <w:rPr>
          <w:rFonts w:cs="Arial"/>
        </w:rPr>
        <w:t xml:space="preserve">In the context of the </w:t>
      </w:r>
      <w:r w:rsidRPr="00DA30D7">
        <w:rPr>
          <w:i/>
        </w:rPr>
        <w:t xml:space="preserve">Higher Education Standards Framework (Threshold Standards) 2015 </w:t>
      </w:r>
      <w:r w:rsidRPr="00DA30D7">
        <w:t>(</w:t>
      </w:r>
      <w:r>
        <w:t>HES Framework</w:t>
      </w:r>
      <w:r w:rsidRPr="00DA30D7">
        <w:t>)</w:t>
      </w:r>
      <w:r>
        <w:rPr>
          <w:rFonts w:cs="Arial"/>
        </w:rPr>
        <w:t xml:space="preserve">, external referencing means a process through which a higher education provider compares an aspect of its operations with an external comparator(s) e.g. comparing the design of a course of study and/or student achievement of learning outcomes with that of </w:t>
      </w:r>
      <w:proofErr w:type="gramStart"/>
      <w:r>
        <w:rPr>
          <w:rFonts w:cs="Arial"/>
        </w:rPr>
        <w:t>a</w:t>
      </w:r>
      <w:proofErr w:type="gramEnd"/>
      <w:r>
        <w:rPr>
          <w:rFonts w:cs="Arial"/>
        </w:rPr>
        <w:t xml:space="preserve"> course from another provider.</w:t>
      </w:r>
    </w:p>
    <w:p w14:paraId="442F431E" w14:textId="77777777" w:rsidR="000A7FA9" w:rsidRDefault="000A7FA9" w:rsidP="000A7FA9">
      <w:pPr>
        <w:rPr>
          <w:rFonts w:cs="Arial"/>
        </w:rPr>
      </w:pPr>
      <w:r>
        <w:rPr>
          <w:rFonts w:cs="Arial"/>
        </w:rPr>
        <w:t>The purposes of external referencing are varied, but typically include:</w:t>
      </w:r>
    </w:p>
    <w:p w14:paraId="642EBF05" w14:textId="77777777" w:rsidR="000A7FA9" w:rsidRPr="009C34D2" w:rsidRDefault="000A7FA9" w:rsidP="003C545F">
      <w:pPr>
        <w:pStyle w:val="ListParagraph"/>
        <w:numPr>
          <w:ilvl w:val="0"/>
          <w:numId w:val="14"/>
        </w:numPr>
        <w:contextualSpacing w:val="0"/>
        <w:rPr>
          <w:rFonts w:cs="Arial"/>
        </w:rPr>
      </w:pPr>
      <w:r w:rsidRPr="009C34D2">
        <w:rPr>
          <w:rFonts w:cs="Arial"/>
        </w:rPr>
        <w:t>providing evidence of the quality and standing of a provider’s operations</w:t>
      </w:r>
    </w:p>
    <w:p w14:paraId="70631CF2" w14:textId="77777777" w:rsidR="000A7FA9" w:rsidRPr="009C34D2" w:rsidRDefault="000A7FA9" w:rsidP="003C545F">
      <w:pPr>
        <w:pStyle w:val="ListParagraph"/>
        <w:numPr>
          <w:ilvl w:val="0"/>
          <w:numId w:val="14"/>
        </w:numPr>
        <w:contextualSpacing w:val="0"/>
        <w:rPr>
          <w:rFonts w:cs="Arial"/>
        </w:rPr>
      </w:pPr>
      <w:r w:rsidRPr="009C34D2">
        <w:rPr>
          <w:rFonts w:cs="Arial"/>
        </w:rPr>
        <w:t>offering a</w:t>
      </w:r>
      <w:r>
        <w:rPr>
          <w:rFonts w:cs="Arial"/>
        </w:rPr>
        <w:t>n external</w:t>
      </w:r>
      <w:r w:rsidRPr="009C34D2">
        <w:rPr>
          <w:rFonts w:cs="Arial"/>
        </w:rPr>
        <w:t xml:space="preserve"> evidence base </w:t>
      </w:r>
      <w:r>
        <w:rPr>
          <w:rFonts w:cs="Arial"/>
        </w:rPr>
        <w:t>as context for the development of</w:t>
      </w:r>
      <w:r w:rsidRPr="009C34D2">
        <w:rPr>
          <w:rFonts w:cs="Arial"/>
        </w:rPr>
        <w:t xml:space="preserve"> </w:t>
      </w:r>
      <w:r>
        <w:rPr>
          <w:rFonts w:cs="Arial"/>
        </w:rPr>
        <w:t xml:space="preserve">internal </w:t>
      </w:r>
      <w:r w:rsidRPr="009C34D2">
        <w:rPr>
          <w:rFonts w:cs="Arial"/>
        </w:rPr>
        <w:t>improvements</w:t>
      </w:r>
      <w:r>
        <w:rPr>
          <w:rFonts w:cs="Arial"/>
        </w:rPr>
        <w:t>, especially to student outcomes</w:t>
      </w:r>
    </w:p>
    <w:p w14:paraId="255A72F7" w14:textId="77777777" w:rsidR="000A7FA9" w:rsidRPr="009C34D2" w:rsidRDefault="000A7FA9" w:rsidP="003C545F">
      <w:pPr>
        <w:pStyle w:val="ListParagraph"/>
        <w:numPr>
          <w:ilvl w:val="0"/>
          <w:numId w:val="14"/>
        </w:numPr>
        <w:contextualSpacing w:val="0"/>
        <w:rPr>
          <w:rFonts w:cs="Arial"/>
        </w:rPr>
      </w:pPr>
      <w:proofErr w:type="gramStart"/>
      <w:r w:rsidRPr="009C34D2">
        <w:rPr>
          <w:rFonts w:cs="Arial"/>
        </w:rPr>
        <w:t>establishing</w:t>
      </w:r>
      <w:proofErr w:type="gramEnd"/>
      <w:r w:rsidRPr="009C34D2">
        <w:rPr>
          <w:rFonts w:cs="Arial"/>
        </w:rPr>
        <w:t xml:space="preserve"> or fostering collaborative improvement efforts across providers</w:t>
      </w:r>
      <w:r>
        <w:rPr>
          <w:rFonts w:cs="Arial"/>
        </w:rPr>
        <w:t>.</w:t>
      </w:r>
    </w:p>
    <w:p w14:paraId="19F93BBC" w14:textId="77777777" w:rsidR="000A7FA9" w:rsidRDefault="000A7FA9" w:rsidP="000A7FA9">
      <w:r>
        <w:t>Monitoring, review and improvement processes can and should encompass review against comparators, both internal to the provider and external.</w:t>
      </w:r>
    </w:p>
    <w:p w14:paraId="09755226" w14:textId="77777777" w:rsidR="000A7FA9" w:rsidRDefault="000A7FA9" w:rsidP="000A7FA9">
      <w:pPr>
        <w:rPr>
          <w:rFonts w:cs="Arial"/>
        </w:rPr>
      </w:pPr>
      <w:r>
        <w:t xml:space="preserve">A number of approaches and techniques can be used for external referencing, such as benchmarking, peer review and moderation. </w:t>
      </w:r>
      <w:r w:rsidRPr="006B48DC">
        <w:t xml:space="preserve">Benchmarking </w:t>
      </w:r>
      <w:r>
        <w:t xml:space="preserve">is perhaps the most elaborate form of external referencing and typically consists of focused improvement through relationships with a benchmarking partner or partners, but can also include comparing course design against publicly-available information and market intelligence. </w:t>
      </w:r>
      <w:r>
        <w:rPr>
          <w:rFonts w:cs="Arial"/>
        </w:rPr>
        <w:t>Further detail</w:t>
      </w:r>
      <w:r w:rsidR="006A45B4">
        <w:rPr>
          <w:rFonts w:cs="Arial"/>
        </w:rPr>
        <w:t xml:space="preserve">ed </w:t>
      </w:r>
      <w:r w:rsidR="006A45B4">
        <w:rPr>
          <w:rFonts w:cs="Arial"/>
          <w:i/>
        </w:rPr>
        <w:t>guidance</w:t>
      </w:r>
      <w:r>
        <w:rPr>
          <w:rFonts w:cs="Arial"/>
        </w:rPr>
        <w:t xml:space="preserve"> on </w:t>
      </w:r>
      <w:r w:rsidR="006A45B4">
        <w:rPr>
          <w:rFonts w:cs="Arial"/>
        </w:rPr>
        <w:t xml:space="preserve">typical </w:t>
      </w:r>
      <w:r>
        <w:rPr>
          <w:rFonts w:cs="Arial"/>
        </w:rPr>
        <w:t>benchmarking practice</w:t>
      </w:r>
      <w:r w:rsidR="006A45B4">
        <w:rPr>
          <w:rFonts w:cs="Arial"/>
        </w:rPr>
        <w:t>s</w:t>
      </w:r>
      <w:r>
        <w:rPr>
          <w:rFonts w:cs="Arial"/>
        </w:rPr>
        <w:t xml:space="preserve"> is given in the Appendices A and B below. </w:t>
      </w:r>
    </w:p>
    <w:p w14:paraId="74DD2DC7" w14:textId="77777777" w:rsidR="000A7FA9" w:rsidRDefault="000A7FA9" w:rsidP="000A7FA9">
      <w:pPr>
        <w:pStyle w:val="BulletsL2"/>
        <w:numPr>
          <w:ilvl w:val="0"/>
          <w:numId w:val="0"/>
        </w:numPr>
      </w:pPr>
      <w:r>
        <w:t xml:space="preserve">The main focus of external referencing in the HES Framework is on comparisons of courses or units of study and of student achievement to inform improvements. This does not preclude a provider from undertaking much broader comparative activities across any aspect of its operations, including through benchmarking. </w:t>
      </w:r>
    </w:p>
    <w:p w14:paraId="6432316A" w14:textId="49BF0FCC" w:rsidR="000A7FA9" w:rsidRDefault="000A7FA9" w:rsidP="000A7FA9">
      <w:pPr>
        <w:pStyle w:val="BulletsL2"/>
        <w:numPr>
          <w:ilvl w:val="0"/>
          <w:numId w:val="0"/>
        </w:numPr>
        <w:rPr>
          <w:lang w:eastAsia="en-AU"/>
        </w:rPr>
      </w:pPr>
      <w:r>
        <w:t xml:space="preserve">The </w:t>
      </w:r>
      <w:r w:rsidR="006A45B4">
        <w:t xml:space="preserve">purposes and forms of </w:t>
      </w:r>
      <w:r>
        <w:t xml:space="preserve">external referencing </w:t>
      </w:r>
      <w:r w:rsidR="006A45B4">
        <w:t xml:space="preserve">relied on by a provider should be reflected </w:t>
      </w:r>
      <w:r>
        <w:t>in the provider’s policy framework</w:t>
      </w:r>
      <w:r w:rsidR="006A45B4">
        <w:t xml:space="preserve"> or otherwise documented (e.g. in quality assurance processes)</w:t>
      </w:r>
      <w:r>
        <w:t>.</w:t>
      </w:r>
    </w:p>
    <w:p w14:paraId="749E8EBD" w14:textId="77777777" w:rsidR="000A7FA9" w:rsidRDefault="000A7FA9" w:rsidP="000A7FA9">
      <w:pPr>
        <w:pStyle w:val="Heading2"/>
      </w:pPr>
      <w:r w:rsidRPr="004A4935">
        <w:lastRenderedPageBreak/>
        <w:t>Relevant Standards</w:t>
      </w:r>
      <w:r>
        <w:t xml:space="preserve"> in the HES Framework </w:t>
      </w:r>
    </w:p>
    <w:p w14:paraId="01D6E3B2" w14:textId="77777777" w:rsidR="000A7FA9" w:rsidRDefault="000A7FA9" w:rsidP="000A7FA9">
      <w:r>
        <w:t>The Standards primarily concerned with external referencing are those relating to:</w:t>
      </w:r>
    </w:p>
    <w:p w14:paraId="2BE9E108" w14:textId="77777777" w:rsidR="000A7FA9" w:rsidRDefault="000A7FA9" w:rsidP="003C545F">
      <w:pPr>
        <w:pStyle w:val="ListParagraph"/>
        <w:numPr>
          <w:ilvl w:val="0"/>
          <w:numId w:val="15"/>
        </w:numPr>
        <w:contextualSpacing w:val="0"/>
      </w:pPr>
      <w:r>
        <w:t xml:space="preserve">monitoring, review and improvement as part of institutional quality assurance at Standards 5.3.1, 5.3.4 and 5.3.7 and </w:t>
      </w:r>
    </w:p>
    <w:p w14:paraId="466AC0AE" w14:textId="77777777" w:rsidR="000A7FA9" w:rsidRDefault="000A7FA9" w:rsidP="003C545F">
      <w:pPr>
        <w:pStyle w:val="ListParagraph"/>
        <w:numPr>
          <w:ilvl w:val="0"/>
          <w:numId w:val="15"/>
        </w:numPr>
        <w:contextualSpacing w:val="0"/>
      </w:pPr>
      <w:proofErr w:type="gramStart"/>
      <w:r>
        <w:t>the</w:t>
      </w:r>
      <w:proofErr w:type="gramEnd"/>
      <w:r>
        <w:t xml:space="preserve"> specification of learning outcomes at Standards 1.4.1, 1.4.3 and 1.4.4. </w:t>
      </w:r>
    </w:p>
    <w:p w14:paraId="086EBCB7" w14:textId="77777777" w:rsidR="000A7FA9" w:rsidRDefault="000A7FA9" w:rsidP="000A7FA9">
      <w:r>
        <w:t>There is also a requirement for external referencing for providers that are seeking self-accrediting authority for their courses of study (Part B2, Section 2c). The Standards for learning outcomes (Section 1.4) and course design (Section 3.1) require the course and its learning outcomes to be consistent with the level of qualification involved, thus requiring referencing against the level classifications of the Australian Qualifications Framework (AQF). External referencing can also be linked to the provider’s representation of itself and its offerings (Section 7.1). Data on student progress that is needed to inform both internal and external referencing is required to be collected (Standard 1.3.5) and each provider’s repository of information about its operations and courses (Standard 7.3.3) is likely to be an enabler of external referencing in the sector.</w:t>
      </w:r>
    </w:p>
    <w:p w14:paraId="1B4A625E" w14:textId="77777777" w:rsidR="000A7FA9" w:rsidRPr="004A4935" w:rsidRDefault="000A7FA9" w:rsidP="000A7FA9">
      <w:pPr>
        <w:pStyle w:val="Heading2"/>
      </w:pPr>
      <w:r w:rsidRPr="004A4935">
        <w:t>Intent of the Standards</w:t>
      </w:r>
      <w:r>
        <w:t xml:space="preserve"> </w:t>
      </w:r>
    </w:p>
    <w:p w14:paraId="0FAC783C" w14:textId="77777777" w:rsidR="000A7FA9" w:rsidRDefault="000A7FA9" w:rsidP="000A7FA9">
      <w:r>
        <w:t>The intent of the Standards is to ensure that providers inform their own operations, particularly teaching and learning, through external comparisons. This provides an insight into the standing and quality of a provider and its offerings within the sector in one or more respects. It also provides a rational evidence base to guide and focus improvement initiatives. The Standards mostly contemplate national and international comparators (e.g. courses and data), although this does not preclude useful comparisons within a provider (see above). External referencing is expected to inform improvements (see Standard 5.3.7), and to provide a backdrop to the monitoring of student success and the quality and validity of assessments (Standard 5.3.4).</w:t>
      </w:r>
    </w:p>
    <w:p w14:paraId="668D3F3B" w14:textId="77777777" w:rsidR="000A7FA9" w:rsidRDefault="000A7FA9" w:rsidP="000A7FA9">
      <w:r>
        <w:t xml:space="preserve">While the intent of the Standards is to encourage external comparisons and build a provider’s perspective of other offerings and other ways of operating, the Standards are </w:t>
      </w:r>
      <w:r>
        <w:rPr>
          <w:i/>
        </w:rPr>
        <w:t>not</w:t>
      </w:r>
      <w:r>
        <w:t xml:space="preserve"> intended to be an instrument of ‘standardisation’. While providers are expected to be aware of other offerings and approaches, they are also expected to tailor their offerings to: </w:t>
      </w:r>
    </w:p>
    <w:p w14:paraId="53BFA56E" w14:textId="77777777" w:rsidR="000A7FA9" w:rsidRPr="004F0045" w:rsidRDefault="000A7FA9" w:rsidP="003C545F">
      <w:pPr>
        <w:pStyle w:val="ListParagraph"/>
        <w:numPr>
          <w:ilvl w:val="0"/>
          <w:numId w:val="16"/>
        </w:numPr>
        <w:contextualSpacing w:val="0"/>
        <w:rPr>
          <w:rFonts w:cs="Arial"/>
        </w:rPr>
      </w:pPr>
      <w:r w:rsidRPr="004F0045">
        <w:rPr>
          <w:rFonts w:cs="Arial"/>
        </w:rPr>
        <w:t xml:space="preserve">their circumstances </w:t>
      </w:r>
    </w:p>
    <w:p w14:paraId="7A3A557C" w14:textId="77777777" w:rsidR="000A7FA9" w:rsidRPr="004F0045" w:rsidRDefault="000A7FA9" w:rsidP="003C545F">
      <w:pPr>
        <w:pStyle w:val="ListParagraph"/>
        <w:numPr>
          <w:ilvl w:val="0"/>
          <w:numId w:val="16"/>
        </w:numPr>
        <w:contextualSpacing w:val="0"/>
        <w:rPr>
          <w:rFonts w:cs="Arial"/>
        </w:rPr>
      </w:pPr>
      <w:r w:rsidRPr="004F0045">
        <w:rPr>
          <w:rFonts w:cs="Arial"/>
        </w:rPr>
        <w:t xml:space="preserve">their mission </w:t>
      </w:r>
    </w:p>
    <w:p w14:paraId="2AEE5ECC" w14:textId="77777777" w:rsidR="000A7FA9" w:rsidRPr="004F0045" w:rsidRDefault="000A7FA9" w:rsidP="003C545F">
      <w:pPr>
        <w:pStyle w:val="ListParagraph"/>
        <w:numPr>
          <w:ilvl w:val="0"/>
          <w:numId w:val="16"/>
        </w:numPr>
        <w:contextualSpacing w:val="0"/>
        <w:rPr>
          <w:rFonts w:cs="Arial"/>
        </w:rPr>
      </w:pPr>
      <w:r w:rsidRPr="004F0045">
        <w:rPr>
          <w:rFonts w:cs="Arial"/>
        </w:rPr>
        <w:t xml:space="preserve">their scale </w:t>
      </w:r>
    </w:p>
    <w:p w14:paraId="15B78F8E" w14:textId="77777777" w:rsidR="000A7FA9" w:rsidRPr="004F0045" w:rsidRDefault="000A7FA9" w:rsidP="003C545F">
      <w:pPr>
        <w:pStyle w:val="ListParagraph"/>
        <w:numPr>
          <w:ilvl w:val="0"/>
          <w:numId w:val="16"/>
        </w:numPr>
        <w:contextualSpacing w:val="0"/>
        <w:rPr>
          <w:rFonts w:cs="Arial"/>
        </w:rPr>
      </w:pPr>
      <w:r w:rsidRPr="004F0045">
        <w:rPr>
          <w:rFonts w:cs="Arial"/>
        </w:rPr>
        <w:t>the particular needs of their students</w:t>
      </w:r>
    </w:p>
    <w:p w14:paraId="3E0AED17" w14:textId="77777777" w:rsidR="000A7FA9" w:rsidRPr="004F0045" w:rsidRDefault="000A7FA9" w:rsidP="003C545F">
      <w:pPr>
        <w:pStyle w:val="ListParagraph"/>
        <w:numPr>
          <w:ilvl w:val="0"/>
          <w:numId w:val="16"/>
        </w:numPr>
        <w:contextualSpacing w:val="0"/>
        <w:rPr>
          <w:rFonts w:cs="Arial"/>
        </w:rPr>
      </w:pPr>
      <w:proofErr w:type="gramStart"/>
      <w:r w:rsidRPr="004F0045">
        <w:rPr>
          <w:rFonts w:cs="Arial"/>
        </w:rPr>
        <w:t>their</w:t>
      </w:r>
      <w:proofErr w:type="gramEnd"/>
      <w:r w:rsidRPr="004F0045">
        <w:rPr>
          <w:rFonts w:cs="Arial"/>
        </w:rPr>
        <w:t xml:space="preserve"> chosen market positioning. </w:t>
      </w:r>
    </w:p>
    <w:p w14:paraId="44364F2A" w14:textId="77777777" w:rsidR="000A7FA9" w:rsidRPr="00A71970" w:rsidRDefault="000A7FA9" w:rsidP="000A7FA9">
      <w:pPr>
        <w:pStyle w:val="Heading2"/>
      </w:pPr>
      <w:r>
        <w:t xml:space="preserve">Risks to </w:t>
      </w:r>
      <w:r w:rsidR="00610FC0">
        <w:t>Quality</w:t>
      </w:r>
    </w:p>
    <w:p w14:paraId="7287E6DB" w14:textId="77777777" w:rsidR="000A7FA9" w:rsidRDefault="000A7FA9" w:rsidP="000A7FA9">
      <w:r>
        <w:t xml:space="preserve">A provider that does not undertake external referencing, aside from not meeting the requirements of the HES Framework as required by the </w:t>
      </w:r>
      <w:r w:rsidRPr="008D0315">
        <w:rPr>
          <w:i/>
        </w:rPr>
        <w:t xml:space="preserve">Tertiary Education Quality and </w:t>
      </w:r>
      <w:r w:rsidRPr="008D0315">
        <w:rPr>
          <w:i/>
        </w:rPr>
        <w:lastRenderedPageBreak/>
        <w:t xml:space="preserve">Standards Agency Act 2011 </w:t>
      </w:r>
      <w:r w:rsidRPr="008D0315">
        <w:t>(TEQSA Act)</w:t>
      </w:r>
      <w:r>
        <w:t xml:space="preserve">, is at risk of being increasingly insular and inward-looking with a diminished evidence base to inform decision making. </w:t>
      </w:r>
    </w:p>
    <w:p w14:paraId="62B04F46" w14:textId="77777777" w:rsidR="000A7FA9" w:rsidRDefault="000A7FA9" w:rsidP="000A7FA9">
      <w:r>
        <w:t xml:space="preserve">The provider may also be vulnerable in relation to backing any claims about its offerings in the market and/or student success. Failure to undertake external referencing may limit awareness of recent advances or leave a provider ‘reinventing the wheel’ when an external reference may have been equally suitable, perhaps at lower cost. A lack of international perspective also jeopardises any claims that may be made about the quality and standing of Australian higher education. </w:t>
      </w:r>
    </w:p>
    <w:p w14:paraId="20DE2A0A" w14:textId="77777777" w:rsidR="000A7FA9" w:rsidRDefault="000A7FA9" w:rsidP="000A7FA9">
      <w:r>
        <w:t xml:space="preserve">Failure to undertake some form of peer review of assessment </w:t>
      </w:r>
      <w:r w:rsidR="00F546A5">
        <w:t xml:space="preserve">that is fit for the specific purpose </w:t>
      </w:r>
      <w:r>
        <w:t>may result in local grading and marking outcomes tracking away from standards in the wider academic community.</w:t>
      </w:r>
    </w:p>
    <w:p w14:paraId="05FF93E8" w14:textId="77777777" w:rsidR="000A7FA9" w:rsidRDefault="000A7FA9" w:rsidP="005230C1">
      <w:pPr>
        <w:pStyle w:val="Heading2"/>
      </w:pPr>
      <w:r w:rsidRPr="00DE59A9">
        <w:t xml:space="preserve">What TEQSA </w:t>
      </w:r>
      <w:r>
        <w:t xml:space="preserve">will </w:t>
      </w:r>
      <w:r w:rsidRPr="00DE59A9">
        <w:t>look for</w:t>
      </w:r>
    </w:p>
    <w:p w14:paraId="38D9EFB1" w14:textId="77777777" w:rsidR="005230C1" w:rsidRPr="000C7F31" w:rsidRDefault="005230C1" w:rsidP="00AC4BAC">
      <w:pPr>
        <w:pBdr>
          <w:top w:val="single" w:sz="4" w:space="1" w:color="auto"/>
          <w:left w:val="single" w:sz="4" w:space="4" w:color="auto"/>
          <w:bottom w:val="single" w:sz="4" w:space="10" w:color="auto"/>
          <w:right w:val="single" w:sz="4" w:space="4" w:color="auto"/>
        </w:pBdr>
        <w:shd w:val="clear" w:color="auto" w:fill="A2DADD" w:themeFill="accent5"/>
      </w:pPr>
      <w:r w:rsidRPr="000C7F31">
        <w:t xml:space="preserve">This part of the guidance note covers the full extent of the Standards, and corresponding evidence that TEQSA may require, in relation to </w:t>
      </w:r>
      <w:r>
        <w:t>external referencing</w:t>
      </w:r>
      <w:r w:rsidRPr="000C7F31">
        <w:t>.</w:t>
      </w:r>
    </w:p>
    <w:p w14:paraId="1BCD2CEC" w14:textId="77777777" w:rsidR="005230C1" w:rsidRPr="000C7F31" w:rsidRDefault="005230C1" w:rsidP="00AC4BAC">
      <w:pPr>
        <w:pBdr>
          <w:top w:val="single" w:sz="4" w:space="1" w:color="auto"/>
          <w:left w:val="single" w:sz="4" w:space="4" w:color="auto"/>
          <w:bottom w:val="single" w:sz="4" w:space="10" w:color="auto"/>
          <w:right w:val="single" w:sz="4" w:space="4" w:color="auto"/>
        </w:pBdr>
        <w:shd w:val="clear" w:color="auto" w:fill="A2DADD" w:themeFill="accent5"/>
      </w:pPr>
      <w:r w:rsidRPr="000C7F31">
        <w:t xml:space="preserve">For new applicants seeking initial registration and course accreditation, TEQSA will require evidence to be provided in relation to all relevant Standards. </w:t>
      </w:r>
    </w:p>
    <w:p w14:paraId="2941287C" w14:textId="77777777" w:rsidR="005230C1" w:rsidRPr="000C7F31" w:rsidRDefault="005230C1" w:rsidP="00AC4BAC">
      <w:pPr>
        <w:pBdr>
          <w:top w:val="single" w:sz="4" w:space="1" w:color="auto"/>
          <w:left w:val="single" w:sz="4" w:space="4" w:color="auto"/>
          <w:bottom w:val="single" w:sz="4" w:space="10" w:color="auto"/>
          <w:right w:val="single" w:sz="4" w:space="4" w:color="auto"/>
        </w:pBdr>
        <w:shd w:val="clear" w:color="auto" w:fill="A2DADD" w:themeFill="accent5"/>
      </w:pPr>
      <w:r w:rsidRPr="000C7F31">
        <w:t xml:space="preserve">For existing providers, the scope of Standards to be assessed and the evidence required may vary. This is consistent with the regulatory principles in the TEQSA Act, under which TEQSA has discretion to vary the scope of its assessments and the related evidence required. In exercising this discretion, TEQSA will be guided by the provider’s regulatory history, its risk profile and its track record in delivering high quality higher education. </w:t>
      </w:r>
    </w:p>
    <w:p w14:paraId="43BAF337" w14:textId="77777777" w:rsidR="005230C1" w:rsidRPr="000C7F31" w:rsidRDefault="005230C1" w:rsidP="00AC4BAC">
      <w:pPr>
        <w:pBdr>
          <w:top w:val="single" w:sz="4" w:space="1" w:color="auto"/>
          <w:left w:val="single" w:sz="4" w:space="4" w:color="auto"/>
          <w:bottom w:val="single" w:sz="4" w:space="10" w:color="auto"/>
          <w:right w:val="single" w:sz="4" w:space="4" w:color="auto"/>
        </w:pBdr>
        <w:shd w:val="clear" w:color="auto" w:fill="A2DADD" w:themeFill="accent5"/>
      </w:pPr>
      <w:r w:rsidRPr="000C7F31">
        <w:t>TEQSA’s case managers will discuss with providers the scope of assessments and evidence required well ahead of the due date for submitting an application.</w:t>
      </w:r>
    </w:p>
    <w:p w14:paraId="76115A78" w14:textId="77777777" w:rsidR="005230C1" w:rsidRDefault="005230C1" w:rsidP="00AC4BAC">
      <w:pPr>
        <w:pBdr>
          <w:top w:val="single" w:sz="4" w:space="1" w:color="auto"/>
          <w:left w:val="single" w:sz="4" w:space="4" w:color="auto"/>
          <w:bottom w:val="single" w:sz="4" w:space="10" w:color="auto"/>
          <w:right w:val="single" w:sz="4" w:space="4" w:color="auto"/>
        </w:pBdr>
        <w:shd w:val="clear" w:color="auto" w:fill="A2DADD" w:themeFill="accent5"/>
      </w:pPr>
      <w:r w:rsidRPr="000C7F31">
        <w:t xml:space="preserve">The evidence required for particular types of application is available from the Application Guides on the TEQSA website. </w:t>
      </w:r>
    </w:p>
    <w:p w14:paraId="12C8B777" w14:textId="77777777" w:rsidR="00501126" w:rsidRPr="000C7F31" w:rsidRDefault="00501126" w:rsidP="00AC4BAC">
      <w:pPr>
        <w:pBdr>
          <w:top w:val="single" w:sz="4" w:space="1" w:color="auto"/>
          <w:left w:val="single" w:sz="4" w:space="4" w:color="auto"/>
          <w:bottom w:val="single" w:sz="4" w:space="10" w:color="auto"/>
          <w:right w:val="single" w:sz="4" w:space="4" w:color="auto"/>
        </w:pBdr>
        <w:shd w:val="clear" w:color="auto" w:fill="A2DADD" w:themeFill="accent5"/>
      </w:pPr>
      <w:r w:rsidRPr="00501126">
        <w:t>Providers are required to comply with the Standards at all times, not just at the time of application, and TEQSA may seek evidence of compliance at other times if a risk of non-compliance is identified.</w:t>
      </w:r>
    </w:p>
    <w:p w14:paraId="39330C19" w14:textId="77777777" w:rsidR="000A7FA9" w:rsidRDefault="000A7FA9" w:rsidP="000A7FA9">
      <w:r>
        <w:t>TEQSA will expect</w:t>
      </w:r>
      <w:r w:rsidRPr="0015110F">
        <w:t xml:space="preserve"> providers to be able to demonstrate that the external referencing required by the </w:t>
      </w:r>
      <w:r>
        <w:t>HES Framework</w:t>
      </w:r>
      <w:r w:rsidRPr="0015110F">
        <w:t xml:space="preserve"> has been </w:t>
      </w:r>
      <w:r>
        <w:t>undertaken</w:t>
      </w:r>
      <w:r w:rsidRPr="0015110F">
        <w:t xml:space="preserve"> and that the objects and processes employed for referencing are credible, tenable and recent. A </w:t>
      </w:r>
      <w:r>
        <w:t xml:space="preserve">provider could </w:t>
      </w:r>
      <w:r w:rsidRPr="0015110F">
        <w:t>clarify the positioning of its offerings</w:t>
      </w:r>
      <w:r>
        <w:t xml:space="preserve"> through undertaking comparisons against</w:t>
      </w:r>
      <w:r w:rsidRPr="0015110F">
        <w:t xml:space="preserve"> </w:t>
      </w:r>
      <w:r>
        <w:t xml:space="preserve">both peers and other providers that have achieved higher levels of good practice. </w:t>
      </w:r>
      <w:r w:rsidRPr="0015110F">
        <w:t xml:space="preserve">Where both national and international comparators are required but </w:t>
      </w:r>
      <w:r>
        <w:t xml:space="preserve">claims are made that </w:t>
      </w:r>
      <w:r w:rsidRPr="0015110F">
        <w:t xml:space="preserve">one or the other </w:t>
      </w:r>
      <w:r>
        <w:t>is not available</w:t>
      </w:r>
      <w:r w:rsidRPr="0015110F">
        <w:t xml:space="preserve">, TEQSA will need to be convinced that useful comparators do not exist. </w:t>
      </w:r>
    </w:p>
    <w:p w14:paraId="7663F9F0" w14:textId="77777777" w:rsidR="000A7FA9" w:rsidRPr="0015110F" w:rsidRDefault="000A7FA9" w:rsidP="000A7FA9">
      <w:r>
        <w:t>External referencing should encompass not only course design and methods of assessment, but also student achievement of learning outcomes, including through cohort analysis of student performance data</w:t>
      </w:r>
      <w:r w:rsidR="0031313F">
        <w:t xml:space="preserve"> (such as analysis of variations in retention, progression and completion rates by entrance pathway, international students compared with domestic students, different fields of education </w:t>
      </w:r>
      <w:r w:rsidR="00F546A5">
        <w:t>etc.</w:t>
      </w:r>
      <w:r w:rsidR="0031313F">
        <w:t>)</w:t>
      </w:r>
      <w:r>
        <w:t xml:space="preserve">. Peer review of assessment is a valuable means of validating that grades awarded reflect the level of student attainment, including through calibration of different markers’ grading (refer to Standard 5.3.4). </w:t>
      </w:r>
    </w:p>
    <w:p w14:paraId="74786ABD" w14:textId="77777777" w:rsidR="000A7FA9" w:rsidRPr="00463DBC" w:rsidRDefault="000A7FA9" w:rsidP="000A7FA9">
      <w:r>
        <w:t xml:space="preserve">Where the HES Framework requires external referencing to inform improvement planning and processes, TEQSA will need to be satisfied by examples that this is the case and will continue to be so. The more the provider’s operations are informed by well-established </w:t>
      </w:r>
      <w:r>
        <w:lastRenderedPageBreak/>
        <w:t>external referencing that flows through to improvement processes, the greater TEQSA’s confidence in the provider is likely to be. This may lead to expedited assessment of applications of renewal of course accreditation.</w:t>
      </w:r>
    </w:p>
    <w:p w14:paraId="4AA3CCEB" w14:textId="77777777" w:rsidR="000A7FA9" w:rsidRPr="0015110F" w:rsidRDefault="000A7FA9" w:rsidP="000A7FA9">
      <w:r w:rsidRPr="0015110F">
        <w:t xml:space="preserve">Providers that are seeking self-accrediting authority will need to satisfy TEQSA that the </w:t>
      </w:r>
      <w:r>
        <w:t xml:space="preserve">external </w:t>
      </w:r>
      <w:r w:rsidRPr="0015110F">
        <w:t xml:space="preserve">referencing </w:t>
      </w:r>
      <w:r>
        <w:t>required by Part B2, Section 2c</w:t>
      </w:r>
      <w:r w:rsidRPr="0015110F">
        <w:t xml:space="preserve"> is well established in the provider</w:t>
      </w:r>
      <w:r>
        <w:t>’</w:t>
      </w:r>
      <w:r w:rsidRPr="0015110F">
        <w:t>s review and improvement processes</w:t>
      </w:r>
      <w:r>
        <w:t>,</w:t>
      </w:r>
      <w:r w:rsidRPr="0015110F">
        <w:t xml:space="preserve"> and likely to be transferrable to new courses or levels of study.</w:t>
      </w:r>
      <w:r>
        <w:t xml:space="preserve"> </w:t>
      </w:r>
    </w:p>
    <w:p w14:paraId="08F941BF" w14:textId="77777777" w:rsidR="000A7FA9" w:rsidRPr="00863630" w:rsidRDefault="000A7FA9" w:rsidP="000A7FA9">
      <w:pPr>
        <w:pStyle w:val="Heading2"/>
      </w:pPr>
      <w:r>
        <w:t>Resources and references</w:t>
      </w:r>
    </w:p>
    <w:p w14:paraId="5D5BDEDA" w14:textId="77777777" w:rsidR="000A7FA9" w:rsidRDefault="000A7FA9" w:rsidP="000A7FA9">
      <w:pPr>
        <w:pStyle w:val="ListParagraph"/>
        <w:ind w:left="0"/>
        <w:contextualSpacing w:val="0"/>
        <w:rPr>
          <w:rFonts w:cs="Arial"/>
        </w:rPr>
      </w:pPr>
      <w:r w:rsidRPr="00C01CD1">
        <w:rPr>
          <w:rFonts w:cs="Arial"/>
        </w:rPr>
        <w:t>Australasian Council on Open</w:t>
      </w:r>
      <w:r>
        <w:rPr>
          <w:rFonts w:cs="Arial"/>
        </w:rPr>
        <w:t>,</w:t>
      </w:r>
      <w:r w:rsidRPr="00C01CD1">
        <w:rPr>
          <w:rFonts w:cs="Arial"/>
        </w:rPr>
        <w:t xml:space="preserve"> Distance and e-Learning</w:t>
      </w:r>
      <w:r>
        <w:rPr>
          <w:rFonts w:cs="Arial"/>
        </w:rPr>
        <w:t xml:space="preserve"> </w:t>
      </w:r>
      <w:r w:rsidRPr="00C01CD1">
        <w:rPr>
          <w:rFonts w:cs="Arial"/>
        </w:rPr>
        <w:t>(20</w:t>
      </w:r>
      <w:r>
        <w:rPr>
          <w:rFonts w:cs="Arial"/>
        </w:rPr>
        <w:t>14</w:t>
      </w:r>
      <w:r w:rsidRPr="00C01CD1">
        <w:rPr>
          <w:rFonts w:cs="Arial"/>
        </w:rPr>
        <w:t>)</w:t>
      </w:r>
      <w:r>
        <w:rPr>
          <w:rFonts w:cs="Arial"/>
        </w:rPr>
        <w:t>,</w:t>
      </w:r>
      <w:r w:rsidRPr="00C01CD1">
        <w:rPr>
          <w:rFonts w:cs="Arial"/>
        </w:rPr>
        <w:t xml:space="preserve"> ACODE benchmarks for </w:t>
      </w:r>
      <w:r w:rsidRPr="00023803">
        <w:rPr>
          <w:rFonts w:cs="Arial"/>
        </w:rPr>
        <w:t>Technology Enhanced Learning</w:t>
      </w:r>
      <w:r>
        <w:rPr>
          <w:rFonts w:cs="Arial"/>
        </w:rPr>
        <w:t>, &lt;</w:t>
      </w:r>
      <w:hyperlink r:id="rId10" w:anchor="Project5" w:history="1">
        <w:r w:rsidRPr="00EE2019">
          <w:rPr>
            <w:rStyle w:val="Hyperlink"/>
            <w:rFonts w:cs="Arial"/>
          </w:rPr>
          <w:t>http://www.acode.edu.au/course/view.php?id=5#Project5</w:t>
        </w:r>
      </w:hyperlink>
      <w:r>
        <w:rPr>
          <w:rFonts w:cs="Arial"/>
        </w:rPr>
        <w:t xml:space="preserve">&gt;. </w:t>
      </w:r>
    </w:p>
    <w:p w14:paraId="28814051" w14:textId="77777777" w:rsidR="000A7FA9" w:rsidRDefault="000A7FA9" w:rsidP="000A7FA9">
      <w:pPr>
        <w:autoSpaceDE w:val="0"/>
        <w:autoSpaceDN w:val="0"/>
        <w:adjustRightInd w:val="0"/>
        <w:rPr>
          <w:rFonts w:cs="Arial"/>
          <w:color w:val="000000"/>
        </w:rPr>
      </w:pPr>
      <w:r w:rsidRPr="00FE4CD7">
        <w:rPr>
          <w:rFonts w:cs="Arial"/>
          <w:color w:val="000000"/>
        </w:rPr>
        <w:t>Australian Qualifications Framework Council</w:t>
      </w:r>
      <w:r>
        <w:rPr>
          <w:rFonts w:cs="Arial"/>
          <w:color w:val="000000"/>
        </w:rPr>
        <w:t xml:space="preserve"> (2013)</w:t>
      </w:r>
      <w:r w:rsidRPr="00FE4CD7">
        <w:rPr>
          <w:rFonts w:cs="Arial"/>
          <w:color w:val="000000"/>
        </w:rPr>
        <w:t xml:space="preserve">, </w:t>
      </w:r>
      <w:r w:rsidRPr="00AD2566">
        <w:rPr>
          <w:rFonts w:cs="Arial"/>
          <w:i/>
          <w:color w:val="000000"/>
        </w:rPr>
        <w:t>Australian Qualifications Framework Second Edition January 2013</w:t>
      </w:r>
      <w:r>
        <w:rPr>
          <w:rFonts w:cs="Arial"/>
          <w:i/>
          <w:color w:val="000000"/>
        </w:rPr>
        <w:t xml:space="preserve">, </w:t>
      </w:r>
      <w:r w:rsidRPr="003E4EE0">
        <w:rPr>
          <w:rFonts w:cs="Arial"/>
          <w:color w:val="000000"/>
        </w:rPr>
        <w:t>&lt;</w:t>
      </w:r>
      <w:hyperlink r:id="rId11" w:history="1">
        <w:r w:rsidR="00F02C92" w:rsidRPr="00545895">
          <w:rPr>
            <w:rStyle w:val="Hyperlink"/>
          </w:rPr>
          <w:t>https://www.aqf.edu.au/</w:t>
        </w:r>
      </w:hyperlink>
      <w:r w:rsidRPr="003E4EE0">
        <w:rPr>
          <w:rFonts w:cs="Arial"/>
          <w:color w:val="000000"/>
        </w:rPr>
        <w:t>&gt;.</w:t>
      </w:r>
      <w:r w:rsidRPr="00FE4CD7">
        <w:rPr>
          <w:rFonts w:cs="Arial"/>
          <w:color w:val="000000"/>
        </w:rPr>
        <w:t xml:space="preserve"> </w:t>
      </w:r>
    </w:p>
    <w:p w14:paraId="018D2538" w14:textId="77777777" w:rsidR="000A7FA9" w:rsidRDefault="000A7FA9" w:rsidP="000A7FA9">
      <w:pPr>
        <w:pStyle w:val="ListParagraph"/>
        <w:ind w:left="0"/>
        <w:contextualSpacing w:val="0"/>
        <w:rPr>
          <w:rFonts w:cs="Arial"/>
        </w:rPr>
      </w:pPr>
      <w:r>
        <w:rPr>
          <w:rFonts w:cs="Arial"/>
        </w:rPr>
        <w:t xml:space="preserve">Booth, S. (2012), </w:t>
      </w:r>
      <w:proofErr w:type="gramStart"/>
      <w:r w:rsidR="00F02C92">
        <w:rPr>
          <w:rFonts w:cs="Arial"/>
          <w:i/>
        </w:rPr>
        <w:t>Utilising</w:t>
      </w:r>
      <w:proofErr w:type="gramEnd"/>
      <w:r w:rsidR="00F02C92">
        <w:rPr>
          <w:rFonts w:cs="Arial"/>
          <w:i/>
        </w:rPr>
        <w:t xml:space="preserve"> </w:t>
      </w:r>
      <w:r w:rsidRPr="00FE1ACC">
        <w:rPr>
          <w:rFonts w:cs="Arial"/>
          <w:i/>
        </w:rPr>
        <w:t>benchmarking to inform decision-making at the institutional level: A research informed process</w:t>
      </w:r>
      <w:r>
        <w:rPr>
          <w:rFonts w:cs="Arial"/>
        </w:rPr>
        <w:t xml:space="preserve">, </w:t>
      </w:r>
      <w:r w:rsidRPr="00FE1ACC">
        <w:rPr>
          <w:rFonts w:cs="Arial"/>
          <w:iCs/>
        </w:rPr>
        <w:t>Journal of Institutional Research</w:t>
      </w:r>
      <w:r>
        <w:rPr>
          <w:rFonts w:cs="Arial"/>
        </w:rPr>
        <w:t>, 18(1), 1-12, &lt;</w:t>
      </w:r>
      <w:hyperlink r:id="rId12" w:history="1">
        <w:r w:rsidRPr="00524820">
          <w:rPr>
            <w:rStyle w:val="Hyperlink"/>
            <w:rFonts w:cs="Arial"/>
          </w:rPr>
          <w:t>http://www.aair.org.au/articles/volume-18-no-1/18-1-utilising-benchmarking-to-inform-decision-making-at-the-institutional-level</w:t>
        </w:r>
      </w:hyperlink>
      <w:r>
        <w:rPr>
          <w:rFonts w:cs="Arial"/>
        </w:rPr>
        <w:t xml:space="preserve">&gt;. </w:t>
      </w:r>
    </w:p>
    <w:p w14:paraId="1ED974E4" w14:textId="77777777" w:rsidR="000A7FA9" w:rsidRDefault="000A7FA9" w:rsidP="000A7FA9">
      <w:pPr>
        <w:pStyle w:val="ListParagraph"/>
        <w:ind w:left="0"/>
        <w:contextualSpacing w:val="0"/>
        <w:rPr>
          <w:rFonts w:cs="Arial"/>
        </w:rPr>
      </w:pPr>
      <w:proofErr w:type="spellStart"/>
      <w:r>
        <w:rPr>
          <w:rFonts w:cs="Arial"/>
        </w:rPr>
        <w:t>Epper</w:t>
      </w:r>
      <w:proofErr w:type="spellEnd"/>
      <w:r>
        <w:rPr>
          <w:rFonts w:cs="Arial"/>
        </w:rPr>
        <w:t>, R. M. (1999),</w:t>
      </w:r>
      <w:r w:rsidRPr="00C01CD1">
        <w:rPr>
          <w:rFonts w:cs="Arial"/>
        </w:rPr>
        <w:t xml:space="preserve"> </w:t>
      </w:r>
      <w:proofErr w:type="gramStart"/>
      <w:r w:rsidRPr="00FE1ACC">
        <w:rPr>
          <w:rFonts w:cs="Arial"/>
          <w:i/>
        </w:rPr>
        <w:t>Applying</w:t>
      </w:r>
      <w:proofErr w:type="gramEnd"/>
      <w:r w:rsidRPr="00FE1ACC">
        <w:rPr>
          <w:rFonts w:cs="Arial"/>
          <w:i/>
        </w:rPr>
        <w:t xml:space="preserve"> benchmarking to higher education: Some lessons from experience</w:t>
      </w:r>
      <w:r>
        <w:rPr>
          <w:rFonts w:cs="Arial"/>
        </w:rPr>
        <w:t>,</w:t>
      </w:r>
      <w:r w:rsidRPr="00C01CD1">
        <w:rPr>
          <w:rFonts w:cs="Arial"/>
        </w:rPr>
        <w:t xml:space="preserve"> </w:t>
      </w:r>
      <w:r w:rsidRPr="00FE1ACC">
        <w:rPr>
          <w:rFonts w:cs="Arial"/>
        </w:rPr>
        <w:t>Change</w:t>
      </w:r>
      <w:r w:rsidRPr="00C01CD1">
        <w:rPr>
          <w:rFonts w:cs="Arial"/>
        </w:rPr>
        <w:t>, 31(6), 24-31</w:t>
      </w:r>
      <w:r>
        <w:rPr>
          <w:rFonts w:cs="Arial"/>
        </w:rPr>
        <w:t>, &lt;</w:t>
      </w:r>
      <w:r w:rsidRPr="00023803">
        <w:t xml:space="preserve"> </w:t>
      </w:r>
      <w:hyperlink r:id="rId13" w:anchor="fndtn-page_thumbnails_tab_contents" w:history="1">
        <w:r w:rsidRPr="00524820">
          <w:rPr>
            <w:rStyle w:val="Hyperlink"/>
            <w:rFonts w:cs="Arial"/>
          </w:rPr>
          <w:t>http://www.jstor.org/stable/40177858?seq=1#fndtn-page_thumbnails_tab_contents</w:t>
        </w:r>
      </w:hyperlink>
      <w:r>
        <w:rPr>
          <w:rFonts w:cs="Arial"/>
        </w:rPr>
        <w:t>&gt;</w:t>
      </w:r>
      <w:r w:rsidRPr="00C01CD1">
        <w:rPr>
          <w:rFonts w:cs="Arial"/>
        </w:rPr>
        <w:t xml:space="preserve">. </w:t>
      </w:r>
    </w:p>
    <w:p w14:paraId="1766145E" w14:textId="77777777" w:rsidR="000A7FA9" w:rsidRPr="00C01CD1" w:rsidRDefault="000A7FA9" w:rsidP="000A7FA9">
      <w:pPr>
        <w:pStyle w:val="ListParagraph"/>
        <w:ind w:left="0"/>
        <w:contextualSpacing w:val="0"/>
        <w:rPr>
          <w:rFonts w:cs="Arial"/>
        </w:rPr>
      </w:pPr>
      <w:proofErr w:type="spellStart"/>
      <w:r>
        <w:rPr>
          <w:rFonts w:cs="Arial"/>
        </w:rPr>
        <w:t>FlipCurric</w:t>
      </w:r>
      <w:proofErr w:type="spellEnd"/>
      <w:r>
        <w:rPr>
          <w:rFonts w:cs="Arial"/>
        </w:rPr>
        <w:t>, Online guide for assessment practitioners, &lt;</w:t>
      </w:r>
      <w:hyperlink r:id="rId14" w:history="1">
        <w:r w:rsidRPr="00E516B7">
          <w:rPr>
            <w:rStyle w:val="Hyperlink"/>
            <w:rFonts w:cs="Arial"/>
          </w:rPr>
          <w:t>http://flipcurric.edu.au/</w:t>
        </w:r>
      </w:hyperlink>
      <w:r>
        <w:rPr>
          <w:rFonts w:cs="Arial"/>
        </w:rPr>
        <w:t>&gt;.</w:t>
      </w:r>
    </w:p>
    <w:p w14:paraId="42280858" w14:textId="77777777" w:rsidR="000A7FA9" w:rsidRPr="00076418" w:rsidRDefault="000A7FA9" w:rsidP="000A7FA9">
      <w:pPr>
        <w:rPr>
          <w:rFonts w:cs="Arial"/>
          <w:color w:val="00847E" w:themeColor="hyperlink"/>
          <w:u w:val="single"/>
        </w:rPr>
      </w:pPr>
      <w:proofErr w:type="spellStart"/>
      <w:r>
        <w:rPr>
          <w:rFonts w:cs="Arial"/>
        </w:rPr>
        <w:t>Shapland</w:t>
      </w:r>
      <w:proofErr w:type="spellEnd"/>
      <w:r>
        <w:rPr>
          <w:rFonts w:cs="Arial"/>
        </w:rPr>
        <w:t xml:space="preserve">, N. (2011), </w:t>
      </w:r>
      <w:r w:rsidRPr="00076418">
        <w:rPr>
          <w:rFonts w:cs="Arial"/>
          <w:i/>
        </w:rPr>
        <w:t>Assessment Matters</w:t>
      </w:r>
      <w:proofErr w:type="gramStart"/>
      <w:r w:rsidRPr="00076418">
        <w:rPr>
          <w:rFonts w:cs="Arial"/>
          <w:i/>
        </w:rPr>
        <w:t>!</w:t>
      </w:r>
      <w:r>
        <w:rPr>
          <w:rFonts w:cs="Arial"/>
        </w:rPr>
        <w:t>,</w:t>
      </w:r>
      <w:proofErr w:type="gramEnd"/>
      <w:r>
        <w:rPr>
          <w:rFonts w:cs="Arial"/>
        </w:rPr>
        <w:t xml:space="preserve"> Griffith Institute for Higher Education,</w:t>
      </w:r>
      <w:r w:rsidRPr="00076418">
        <w:rPr>
          <w:rFonts w:cs="Arial"/>
        </w:rPr>
        <w:t xml:space="preserve"> </w:t>
      </w:r>
      <w:r>
        <w:rPr>
          <w:rFonts w:cs="Arial"/>
        </w:rPr>
        <w:t>&lt;</w:t>
      </w:r>
      <w:hyperlink r:id="rId15" w:history="1">
        <w:r w:rsidRPr="00E516B7">
          <w:rPr>
            <w:rStyle w:val="Hyperlink"/>
            <w:rFonts w:cs="Arial"/>
          </w:rPr>
          <w:t>http://app.griffith.edu.au/assessment-matters/</w:t>
        </w:r>
      </w:hyperlink>
      <w:r>
        <w:rPr>
          <w:rFonts w:cs="Arial"/>
        </w:rPr>
        <w:t>&gt;.</w:t>
      </w:r>
    </w:p>
    <w:p w14:paraId="14D4DDEB" w14:textId="77777777" w:rsidR="000A7FA9" w:rsidRDefault="000A7FA9" w:rsidP="000A7FA9">
      <w:pPr>
        <w:pStyle w:val="ListParagraph"/>
        <w:ind w:left="0"/>
        <w:contextualSpacing w:val="0"/>
        <w:rPr>
          <w:rFonts w:cs="Arial"/>
        </w:rPr>
      </w:pPr>
      <w:r w:rsidRPr="00C01CD1">
        <w:rPr>
          <w:rFonts w:cs="Arial"/>
        </w:rPr>
        <w:t xml:space="preserve">Henderson-Smart, C., Winning, T., </w:t>
      </w:r>
      <w:proofErr w:type="spellStart"/>
      <w:r w:rsidRPr="00C01CD1">
        <w:rPr>
          <w:rFonts w:cs="Arial"/>
        </w:rPr>
        <w:t>Gerzina</w:t>
      </w:r>
      <w:proofErr w:type="spellEnd"/>
      <w:r w:rsidRPr="00C01CD1">
        <w:rPr>
          <w:rFonts w:cs="Arial"/>
        </w:rPr>
        <w:t xml:space="preserve">, T., King, S., &amp; Hyde, S. </w:t>
      </w:r>
      <w:r>
        <w:rPr>
          <w:rFonts w:cs="Arial"/>
        </w:rPr>
        <w:t>(2006),</w:t>
      </w:r>
      <w:r w:rsidRPr="002438EC">
        <w:rPr>
          <w:rFonts w:cs="Arial"/>
          <w:i/>
        </w:rPr>
        <w:t xml:space="preserve"> </w:t>
      </w:r>
      <w:proofErr w:type="gramStart"/>
      <w:r w:rsidRPr="002438EC">
        <w:rPr>
          <w:rFonts w:cs="Arial"/>
          <w:i/>
        </w:rPr>
        <w:t>Benchmarking</w:t>
      </w:r>
      <w:proofErr w:type="gramEnd"/>
      <w:r w:rsidRPr="002438EC">
        <w:rPr>
          <w:rFonts w:cs="Arial"/>
          <w:i/>
        </w:rPr>
        <w:t xml:space="preserve"> learning and teaching: Developing a method</w:t>
      </w:r>
      <w:r>
        <w:rPr>
          <w:rFonts w:cs="Arial"/>
        </w:rPr>
        <w:t>,</w:t>
      </w:r>
      <w:r w:rsidRPr="00C01CD1">
        <w:rPr>
          <w:rFonts w:cs="Arial"/>
        </w:rPr>
        <w:t xml:space="preserve"> </w:t>
      </w:r>
      <w:r w:rsidRPr="002438EC">
        <w:rPr>
          <w:rFonts w:cs="Arial"/>
        </w:rPr>
        <w:t>Quality Assurance in Education,</w:t>
      </w:r>
      <w:r w:rsidRPr="00C01CD1">
        <w:rPr>
          <w:rFonts w:cs="Arial"/>
          <w:i/>
        </w:rPr>
        <w:t xml:space="preserve"> </w:t>
      </w:r>
      <w:r w:rsidRPr="00C2799E">
        <w:rPr>
          <w:rFonts w:cs="Arial"/>
        </w:rPr>
        <w:t>14</w:t>
      </w:r>
      <w:r w:rsidRPr="00C01CD1">
        <w:rPr>
          <w:rFonts w:cs="Arial"/>
        </w:rPr>
        <w:t xml:space="preserve">(2), 143-155. </w:t>
      </w:r>
      <w:proofErr w:type="spellStart"/>
      <w:proofErr w:type="gramStart"/>
      <w:r w:rsidRPr="00C01CD1">
        <w:rPr>
          <w:rFonts w:cs="Arial"/>
        </w:rPr>
        <w:t>doi</w:t>
      </w:r>
      <w:proofErr w:type="spellEnd"/>
      <w:proofErr w:type="gramEnd"/>
      <w:r w:rsidRPr="00C01CD1">
        <w:rPr>
          <w:rFonts w:cs="Arial"/>
        </w:rPr>
        <w:t>: 10.1108/09684880610662024</w:t>
      </w:r>
      <w:r>
        <w:rPr>
          <w:rFonts w:cs="Arial"/>
        </w:rPr>
        <w:t>, &lt;</w:t>
      </w:r>
      <w:hyperlink r:id="rId16" w:history="1">
        <w:r w:rsidRPr="00524820">
          <w:rPr>
            <w:rStyle w:val="Hyperlink"/>
            <w:rFonts w:cs="Arial"/>
          </w:rPr>
          <w:t>https://www.researchgate.net/publication/235312267_Benchmarking_learning_and_teaching_Developing_a_method</w:t>
        </w:r>
      </w:hyperlink>
      <w:r>
        <w:rPr>
          <w:rFonts w:cs="Arial"/>
        </w:rPr>
        <w:t>&gt;.</w:t>
      </w:r>
    </w:p>
    <w:p w14:paraId="50EC7A2C" w14:textId="6CE7077C" w:rsidR="0010139C" w:rsidRDefault="0010139C" w:rsidP="0010139C">
      <w:pPr>
        <w:pStyle w:val="ListParagraph"/>
        <w:ind w:left="0"/>
        <w:contextualSpacing w:val="0"/>
        <w:rPr>
          <w:rFonts w:cs="Arial"/>
        </w:rPr>
      </w:pPr>
      <w:r>
        <w:rPr>
          <w:rFonts w:cs="Arial"/>
        </w:rPr>
        <w:t>Innovative Research Universities, Academic Calibration Project, &lt;</w:t>
      </w:r>
      <w:hyperlink r:id="rId17" w:history="1">
        <w:r>
          <w:rPr>
            <w:rStyle w:val="Hyperlink"/>
            <w:lang w:val="en-US"/>
          </w:rPr>
          <w:t>https://www.iru.edu.au/action/calibration/</w:t>
        </w:r>
      </w:hyperlink>
      <w:r>
        <w:rPr>
          <w:rStyle w:val="Hyperlink"/>
          <w:lang w:val="en-US"/>
        </w:rPr>
        <w:t>&gt;</w:t>
      </w:r>
      <w:r w:rsidR="00A1294E">
        <w:rPr>
          <w:rStyle w:val="Hyperlink"/>
          <w:lang w:val="en-US"/>
        </w:rPr>
        <w:t>.</w:t>
      </w:r>
    </w:p>
    <w:p w14:paraId="4552362B" w14:textId="04DDED7D" w:rsidR="000A7FA9" w:rsidRPr="00C01CD1" w:rsidRDefault="000A7FA9" w:rsidP="000A7FA9">
      <w:pPr>
        <w:pStyle w:val="ListParagraph"/>
        <w:ind w:left="0"/>
        <w:contextualSpacing w:val="0"/>
        <w:rPr>
          <w:rFonts w:cs="Arial"/>
        </w:rPr>
      </w:pPr>
      <w:proofErr w:type="spellStart"/>
      <w:r>
        <w:rPr>
          <w:rFonts w:cs="Arial"/>
        </w:rPr>
        <w:t>Longden</w:t>
      </w:r>
      <w:proofErr w:type="spellEnd"/>
      <w:r>
        <w:rPr>
          <w:rFonts w:cs="Arial"/>
        </w:rPr>
        <w:t xml:space="preserve">, B., &amp; </w:t>
      </w:r>
      <w:proofErr w:type="spellStart"/>
      <w:r>
        <w:rPr>
          <w:rFonts w:cs="Arial"/>
        </w:rPr>
        <w:t>Yorke</w:t>
      </w:r>
      <w:proofErr w:type="spellEnd"/>
      <w:r>
        <w:rPr>
          <w:rFonts w:cs="Arial"/>
        </w:rPr>
        <w:t xml:space="preserve">, M. (2009), </w:t>
      </w:r>
      <w:r w:rsidRPr="00433595">
        <w:rPr>
          <w:rFonts w:cs="Arial"/>
          <w:i/>
        </w:rPr>
        <w:t>Institutional research</w:t>
      </w:r>
      <w:r>
        <w:rPr>
          <w:rFonts w:cs="Arial"/>
        </w:rPr>
        <w:t xml:space="preserve">, </w:t>
      </w:r>
      <w:r w:rsidRPr="00433595">
        <w:rPr>
          <w:rFonts w:cs="Arial"/>
        </w:rPr>
        <w:t>Perspectives: Policy and Practice in Higher Education</w:t>
      </w:r>
      <w:r>
        <w:rPr>
          <w:rFonts w:cs="Arial"/>
        </w:rPr>
        <w:t>, 13(3), 66-70.</w:t>
      </w:r>
    </w:p>
    <w:p w14:paraId="7DF4F97E" w14:textId="77777777" w:rsidR="000A7FA9" w:rsidRPr="00C01CD1" w:rsidRDefault="000A7FA9" w:rsidP="000A7FA9">
      <w:pPr>
        <w:pStyle w:val="ListParagraph"/>
        <w:ind w:left="0"/>
        <w:contextualSpacing w:val="0"/>
        <w:rPr>
          <w:rFonts w:cs="Arial"/>
        </w:rPr>
      </w:pPr>
      <w:r w:rsidRPr="00C01CD1">
        <w:rPr>
          <w:rFonts w:cs="Arial"/>
        </w:rPr>
        <w:t xml:space="preserve">McAllister, S., Lincoln, M., Ferguson, A., Davidson, B., Hill, A., Davenport, R., et al. (2011). </w:t>
      </w:r>
      <w:r w:rsidRPr="00C01CD1">
        <w:rPr>
          <w:rFonts w:cs="Arial"/>
          <w:i/>
        </w:rPr>
        <w:t>The benchmarking COMPASS® database: A confidential interactive web based strategy to benchmark learning outcomes</w:t>
      </w:r>
      <w:r>
        <w:rPr>
          <w:rFonts w:cs="Arial"/>
          <w:i/>
        </w:rPr>
        <w:t>,</w:t>
      </w:r>
      <w:r w:rsidRPr="00C01CD1">
        <w:rPr>
          <w:rFonts w:cs="Arial"/>
        </w:rPr>
        <w:t xml:space="preserve"> </w:t>
      </w:r>
      <w:r>
        <w:rPr>
          <w:rFonts w:cs="Arial"/>
        </w:rPr>
        <w:t>p</w:t>
      </w:r>
      <w:r w:rsidRPr="00C01CD1">
        <w:rPr>
          <w:rFonts w:cs="Arial"/>
        </w:rPr>
        <w:t xml:space="preserve">aper presented at the Australian Universities Quality Forum: Demonstrating </w:t>
      </w:r>
      <w:r>
        <w:rPr>
          <w:rFonts w:cs="Arial"/>
        </w:rPr>
        <w:t>Q</w:t>
      </w:r>
      <w:r w:rsidRPr="00C01CD1">
        <w:rPr>
          <w:rFonts w:cs="Arial"/>
        </w:rPr>
        <w:t>uality, Melbourne.</w:t>
      </w:r>
    </w:p>
    <w:p w14:paraId="3A1449DD" w14:textId="77777777" w:rsidR="000A7FA9" w:rsidRPr="00C01CD1" w:rsidRDefault="000A7FA9" w:rsidP="000A7FA9">
      <w:pPr>
        <w:pStyle w:val="ListParagraph"/>
        <w:ind w:left="0"/>
        <w:contextualSpacing w:val="0"/>
        <w:rPr>
          <w:rFonts w:cs="Arial"/>
        </w:rPr>
      </w:pPr>
      <w:r w:rsidRPr="00C01CD1">
        <w:rPr>
          <w:rFonts w:cs="Arial"/>
        </w:rPr>
        <w:t>McKinnon, K. R., Wa</w:t>
      </w:r>
      <w:r>
        <w:rPr>
          <w:rFonts w:cs="Arial"/>
        </w:rPr>
        <w:t>lker, S. H., &amp; Davis, D. (2000),</w:t>
      </w:r>
      <w:r w:rsidRPr="00C01CD1">
        <w:rPr>
          <w:rFonts w:cs="Arial"/>
        </w:rPr>
        <w:t xml:space="preserve"> </w:t>
      </w:r>
      <w:r w:rsidRPr="00C01CD1">
        <w:rPr>
          <w:rFonts w:cs="Arial"/>
          <w:i/>
        </w:rPr>
        <w:t>Benchmarking: A manual for Australian universities</w:t>
      </w:r>
      <w:r>
        <w:rPr>
          <w:rFonts w:cs="Arial"/>
        </w:rPr>
        <w:t>,</w:t>
      </w:r>
      <w:r w:rsidRPr="00C01CD1">
        <w:rPr>
          <w:rFonts w:cs="Arial"/>
        </w:rPr>
        <w:t xml:space="preserve"> Canberra, Australia: Department of Education, Training and Youth Affairs, Higher Education Division</w:t>
      </w:r>
      <w:r>
        <w:rPr>
          <w:rFonts w:cs="Arial"/>
        </w:rPr>
        <w:t>, &lt;</w:t>
      </w:r>
      <w:hyperlink r:id="rId18" w:history="1">
        <w:r w:rsidRPr="00524820">
          <w:rPr>
            <w:rStyle w:val="Hyperlink"/>
            <w:rFonts w:cs="Arial"/>
          </w:rPr>
          <w:t>http://science.uniserve.edu.au/courses/benchmarking/benchmarking_manual.pdf</w:t>
        </w:r>
      </w:hyperlink>
      <w:r>
        <w:rPr>
          <w:rFonts w:cs="Arial"/>
        </w:rPr>
        <w:t>&gt;</w:t>
      </w:r>
      <w:r w:rsidRPr="00C01CD1">
        <w:rPr>
          <w:rFonts w:cs="Arial"/>
        </w:rPr>
        <w:t>.</w:t>
      </w:r>
    </w:p>
    <w:p w14:paraId="37627D20" w14:textId="77777777" w:rsidR="000A7FA9" w:rsidRPr="00C01CD1" w:rsidRDefault="000A7FA9" w:rsidP="000A7FA9">
      <w:pPr>
        <w:pStyle w:val="ListParagraph"/>
        <w:ind w:left="0"/>
        <w:contextualSpacing w:val="0"/>
        <w:rPr>
          <w:rFonts w:cs="Arial"/>
        </w:rPr>
      </w:pPr>
      <w:r w:rsidRPr="00C01CD1">
        <w:rPr>
          <w:rFonts w:cs="Arial"/>
        </w:rPr>
        <w:lastRenderedPageBreak/>
        <w:t>Meade, P. H. (1998)</w:t>
      </w:r>
      <w:r>
        <w:rPr>
          <w:rFonts w:cs="Arial"/>
        </w:rPr>
        <w:t>,</w:t>
      </w:r>
      <w:r w:rsidRPr="00C01CD1">
        <w:rPr>
          <w:rFonts w:cs="Arial"/>
        </w:rPr>
        <w:t xml:space="preserve"> </w:t>
      </w:r>
      <w:proofErr w:type="gramStart"/>
      <w:r w:rsidRPr="00C01CD1">
        <w:rPr>
          <w:rFonts w:cs="Arial"/>
          <w:i/>
        </w:rPr>
        <w:t>A</w:t>
      </w:r>
      <w:proofErr w:type="gramEnd"/>
      <w:r w:rsidRPr="00C01CD1">
        <w:rPr>
          <w:rFonts w:cs="Arial"/>
          <w:i/>
        </w:rPr>
        <w:t xml:space="preserve"> guide to benchmarking</w:t>
      </w:r>
      <w:r>
        <w:rPr>
          <w:rFonts w:cs="Arial"/>
        </w:rPr>
        <w:t>,</w:t>
      </w:r>
      <w:r w:rsidRPr="00C01CD1">
        <w:rPr>
          <w:rFonts w:cs="Arial"/>
        </w:rPr>
        <w:t xml:space="preserve"> Dunedin, New Zealand: University of Otago.</w:t>
      </w:r>
    </w:p>
    <w:p w14:paraId="5867064C" w14:textId="77777777" w:rsidR="000A7FA9" w:rsidRDefault="000A7FA9" w:rsidP="000A7FA9">
      <w:pPr>
        <w:autoSpaceDE w:val="0"/>
        <w:autoSpaceDN w:val="0"/>
        <w:adjustRightInd w:val="0"/>
        <w:rPr>
          <w:rFonts w:cstheme="minorHAnsi"/>
          <w:iCs/>
        </w:rPr>
      </w:pPr>
      <w:r w:rsidRPr="00843260">
        <w:rPr>
          <w:rFonts w:cs="Arial"/>
          <w:bCs/>
          <w:color w:val="000000"/>
        </w:rPr>
        <w:t>O</w:t>
      </w:r>
      <w:r>
        <w:rPr>
          <w:rFonts w:cs="Arial"/>
          <w:bCs/>
          <w:color w:val="000000"/>
        </w:rPr>
        <w:t xml:space="preserve">ffice for </w:t>
      </w:r>
      <w:r w:rsidRPr="00843260">
        <w:rPr>
          <w:rFonts w:cs="Arial"/>
          <w:bCs/>
          <w:color w:val="000000"/>
        </w:rPr>
        <w:t>L</w:t>
      </w:r>
      <w:r>
        <w:rPr>
          <w:rFonts w:cs="Arial"/>
          <w:bCs/>
          <w:color w:val="000000"/>
        </w:rPr>
        <w:t xml:space="preserve">earning and </w:t>
      </w:r>
      <w:r w:rsidRPr="00843260">
        <w:rPr>
          <w:rFonts w:cs="Arial"/>
          <w:bCs/>
          <w:color w:val="000000"/>
        </w:rPr>
        <w:t>T</w:t>
      </w:r>
      <w:r>
        <w:rPr>
          <w:rFonts w:cs="Arial"/>
          <w:bCs/>
          <w:color w:val="000000"/>
        </w:rPr>
        <w:t>eaching</w:t>
      </w:r>
      <w:r w:rsidRPr="00843260">
        <w:rPr>
          <w:rFonts w:cs="Arial"/>
          <w:bCs/>
          <w:color w:val="000000"/>
        </w:rPr>
        <w:t xml:space="preserve"> Resource Library</w:t>
      </w:r>
      <w:r>
        <w:rPr>
          <w:rStyle w:val="FootnoteReference"/>
          <w:rFonts w:cs="Arial"/>
          <w:bCs/>
          <w:color w:val="000000"/>
        </w:rPr>
        <w:footnoteReference w:id="1"/>
      </w:r>
      <w:r>
        <w:rPr>
          <w:rFonts w:cs="Arial"/>
          <w:color w:val="000000"/>
        </w:rPr>
        <w:t>, &lt;</w:t>
      </w:r>
      <w:r>
        <w:rPr>
          <w:rFonts w:cs="Arial"/>
          <w:color w:val="00A7AB"/>
        </w:rPr>
        <w:t>http://www.olt.gov.au/resources/good-practice</w:t>
      </w:r>
      <w:r>
        <w:rPr>
          <w:rFonts w:cs="Arial"/>
          <w:color w:val="000000"/>
        </w:rPr>
        <w:t>&gt;.</w:t>
      </w:r>
      <w:r>
        <w:rPr>
          <w:rFonts w:cstheme="minorHAnsi"/>
          <w:iCs/>
        </w:rPr>
        <w:t xml:space="preserve"> </w:t>
      </w:r>
    </w:p>
    <w:p w14:paraId="03696B01" w14:textId="77777777" w:rsidR="000A7FA9" w:rsidRDefault="000A7FA9" w:rsidP="000A7FA9">
      <w:pPr>
        <w:autoSpaceDE w:val="0"/>
        <w:autoSpaceDN w:val="0"/>
        <w:adjustRightInd w:val="0"/>
        <w:rPr>
          <w:rFonts w:cstheme="minorHAnsi"/>
          <w:iCs/>
        </w:rPr>
      </w:pPr>
      <w:r>
        <w:rPr>
          <w:rFonts w:cstheme="minorHAnsi"/>
          <w:iCs/>
        </w:rPr>
        <w:t>Office for Learning and Teaching, Peer Review of Assessment Networks, &lt;</w:t>
      </w:r>
      <w:hyperlink r:id="rId19" w:history="1">
        <w:r w:rsidRPr="00E516B7">
          <w:rPr>
            <w:rStyle w:val="Hyperlink"/>
            <w:rFonts w:cstheme="minorHAnsi"/>
            <w:iCs/>
          </w:rPr>
          <w:t>http://www.olt.gov.au/resource-peer-review-assessment-networks</w:t>
        </w:r>
      </w:hyperlink>
      <w:r>
        <w:rPr>
          <w:rFonts w:cstheme="minorHAnsi"/>
          <w:iCs/>
        </w:rPr>
        <w:t>&gt;.</w:t>
      </w:r>
    </w:p>
    <w:p w14:paraId="7E3AAD39" w14:textId="77777777" w:rsidR="000A7FA9" w:rsidRPr="00C01CD1" w:rsidRDefault="000A7FA9" w:rsidP="000A7FA9">
      <w:pPr>
        <w:pStyle w:val="ListParagraph"/>
        <w:ind w:left="0"/>
        <w:contextualSpacing w:val="0"/>
        <w:rPr>
          <w:rFonts w:cs="Arial"/>
        </w:rPr>
      </w:pPr>
      <w:r>
        <w:rPr>
          <w:rFonts w:cs="Arial"/>
        </w:rPr>
        <w:t>Oliver, B. (2011a),</w:t>
      </w:r>
      <w:r w:rsidRPr="00C01CD1">
        <w:rPr>
          <w:rFonts w:cs="Arial"/>
        </w:rPr>
        <w:t xml:space="preserve"> </w:t>
      </w:r>
      <w:r w:rsidRPr="00C01CD1">
        <w:rPr>
          <w:rFonts w:cs="Arial"/>
          <w:i/>
        </w:rPr>
        <w:t>Assuring graduate capabilities: An approach to determining and evidencing standards</w:t>
      </w:r>
      <w:r w:rsidRPr="001472F6">
        <w:rPr>
          <w:rFonts w:cs="Arial"/>
        </w:rPr>
        <w:t xml:space="preserve"> </w:t>
      </w:r>
      <w:r>
        <w:rPr>
          <w:rFonts w:cs="Arial"/>
        </w:rPr>
        <w:t xml:space="preserve">in </w:t>
      </w:r>
      <w:r w:rsidRPr="00C01CD1">
        <w:rPr>
          <w:rFonts w:cs="Arial"/>
          <w:i/>
        </w:rPr>
        <w:t xml:space="preserve">Assuring graduate capabilities: </w:t>
      </w:r>
      <w:r w:rsidRPr="008B756A">
        <w:rPr>
          <w:i/>
        </w:rPr>
        <w:t>Setting the scene for employability, engagement and quality education</w:t>
      </w:r>
      <w:r>
        <w:rPr>
          <w:rFonts w:cs="Arial"/>
        </w:rPr>
        <w:t>,</w:t>
      </w:r>
      <w:r w:rsidRPr="00C01CD1">
        <w:rPr>
          <w:rFonts w:cs="Arial"/>
        </w:rPr>
        <w:t xml:space="preserve"> </w:t>
      </w:r>
      <w:r>
        <w:rPr>
          <w:rFonts w:cs="Arial"/>
        </w:rPr>
        <w:t>p</w:t>
      </w:r>
      <w:r w:rsidRPr="00C01CD1">
        <w:rPr>
          <w:rFonts w:cs="Arial"/>
        </w:rPr>
        <w:t>aper presented at the Australian Universities Quality Forum: Demonstrating quality, Melbourne</w:t>
      </w:r>
      <w:r>
        <w:rPr>
          <w:rFonts w:cs="Arial"/>
        </w:rPr>
        <w:t>, &lt;</w:t>
      </w:r>
      <w:hyperlink r:id="rId20" w:history="1">
        <w:r w:rsidRPr="00524820">
          <w:rPr>
            <w:rStyle w:val="Hyperlink"/>
            <w:rFonts w:cs="Arial"/>
          </w:rPr>
          <w:t>http://ctl.curtin.edu.au/events/conferences/atna2011/local/documents/Beverley%20Oliver%20ATNA2011.pdf</w:t>
        </w:r>
      </w:hyperlink>
      <w:r>
        <w:rPr>
          <w:rFonts w:cs="Arial"/>
        </w:rPr>
        <w:t xml:space="preserve">&gt; </w:t>
      </w:r>
      <w:r w:rsidRPr="00C01CD1">
        <w:rPr>
          <w:rFonts w:cs="Arial"/>
        </w:rPr>
        <w:t>.</w:t>
      </w:r>
    </w:p>
    <w:p w14:paraId="2C1455D3" w14:textId="77777777" w:rsidR="000A7FA9" w:rsidRPr="00C01CD1" w:rsidRDefault="000A7FA9" w:rsidP="000A7FA9">
      <w:pPr>
        <w:pStyle w:val="ListParagraph"/>
        <w:ind w:left="0"/>
        <w:contextualSpacing w:val="0"/>
        <w:rPr>
          <w:rFonts w:cs="Arial"/>
        </w:rPr>
      </w:pPr>
      <w:r w:rsidRPr="00C01CD1">
        <w:rPr>
          <w:rFonts w:cs="Arial"/>
        </w:rPr>
        <w:t>Oliver, B. (20</w:t>
      </w:r>
      <w:r>
        <w:rPr>
          <w:rFonts w:cs="Arial"/>
        </w:rPr>
        <w:t>15</w:t>
      </w:r>
      <w:r w:rsidRPr="00C01CD1">
        <w:rPr>
          <w:rFonts w:cs="Arial"/>
        </w:rPr>
        <w:t>)</w:t>
      </w:r>
      <w:r>
        <w:rPr>
          <w:rFonts w:cs="Arial"/>
        </w:rPr>
        <w:t>,</w:t>
      </w:r>
      <w:r w:rsidRPr="00C01CD1">
        <w:rPr>
          <w:rFonts w:cs="Arial"/>
        </w:rPr>
        <w:t xml:space="preserve"> </w:t>
      </w:r>
      <w:r w:rsidRPr="00C01CD1">
        <w:rPr>
          <w:rFonts w:cs="Arial"/>
          <w:i/>
        </w:rPr>
        <w:t xml:space="preserve">Assuring graduate capabilities: </w:t>
      </w:r>
      <w:r>
        <w:rPr>
          <w:rFonts w:cs="Arial"/>
          <w:i/>
        </w:rPr>
        <w:t>evidencing</w:t>
      </w:r>
      <w:r w:rsidRPr="00C01CD1">
        <w:rPr>
          <w:rFonts w:cs="Arial"/>
          <w:i/>
        </w:rPr>
        <w:t xml:space="preserve"> levels of achievement for graduate capability</w:t>
      </w:r>
      <w:r>
        <w:rPr>
          <w:rFonts w:cs="Arial"/>
        </w:rPr>
        <w:t>, &lt;</w:t>
      </w:r>
      <w:hyperlink r:id="rId21" w:history="1">
        <w:r w:rsidRPr="00524820">
          <w:rPr>
            <w:rStyle w:val="Hyperlink"/>
            <w:rFonts w:cs="Arial"/>
          </w:rPr>
          <w:t>http://www.assuringgraduatecapabilities.com/uploads/4/5/0/5/45053363/oliver,_b_deakin_fellowship_report_2015_with_evaluation.pdf</w:t>
        </w:r>
      </w:hyperlink>
      <w:r>
        <w:rPr>
          <w:rFonts w:cs="Arial"/>
        </w:rPr>
        <w:t xml:space="preserve">&gt;. </w:t>
      </w:r>
    </w:p>
    <w:p w14:paraId="232D4BB5" w14:textId="77777777" w:rsidR="00083561" w:rsidRPr="00C01CD1" w:rsidRDefault="00083561" w:rsidP="00083561">
      <w:pPr>
        <w:pStyle w:val="ListParagraph"/>
        <w:ind w:left="0"/>
        <w:contextualSpacing w:val="0"/>
        <w:rPr>
          <w:rFonts w:cs="Arial"/>
        </w:rPr>
      </w:pPr>
      <w:r w:rsidRPr="00C51585">
        <w:rPr>
          <w:rFonts w:cs="Arial"/>
        </w:rPr>
        <w:t>Peer Review Portal</w:t>
      </w:r>
      <w:r>
        <w:rPr>
          <w:rFonts w:cs="Arial"/>
        </w:rPr>
        <w:t xml:space="preserve"> &lt;</w:t>
      </w:r>
      <w:hyperlink r:id="rId22" w:history="1">
        <w:r w:rsidRPr="00C51585">
          <w:rPr>
            <w:rStyle w:val="Hyperlink"/>
            <w:rFonts w:cs="Arial"/>
          </w:rPr>
          <w:t>https://www.peerreviewportal.com</w:t>
        </w:r>
      </w:hyperlink>
      <w:r>
        <w:rPr>
          <w:rFonts w:cs="Arial"/>
        </w:rPr>
        <w:t>&gt;</w:t>
      </w:r>
      <w:r w:rsidRPr="00C51585">
        <w:rPr>
          <w:rFonts w:cs="Arial"/>
        </w:rPr>
        <w:t xml:space="preserve">. The Peer Review Portal is an online support mechanism which individuals, education providers, industry, networks and professional associations in meeting national and international standards in external peer review. The Portal is an optional support mechanism that higher education providers can use for external referencing activity and reporting. </w:t>
      </w:r>
      <w:r>
        <w:rPr>
          <w:rFonts w:cs="Arial"/>
        </w:rPr>
        <w:t xml:space="preserve"> </w:t>
      </w:r>
    </w:p>
    <w:p w14:paraId="1BBE203E" w14:textId="77777777" w:rsidR="000A7FA9" w:rsidRPr="00C01CD1" w:rsidRDefault="000A7FA9" w:rsidP="000A7FA9">
      <w:pPr>
        <w:pStyle w:val="ListParagraph"/>
        <w:ind w:left="0"/>
        <w:contextualSpacing w:val="0"/>
        <w:rPr>
          <w:rFonts w:cs="Arial"/>
        </w:rPr>
      </w:pPr>
      <w:r w:rsidRPr="00C01CD1">
        <w:rPr>
          <w:rFonts w:cs="Arial"/>
        </w:rPr>
        <w:t>Ste</w:t>
      </w:r>
      <w:r>
        <w:rPr>
          <w:rFonts w:cs="Arial"/>
        </w:rPr>
        <w:t>lla, A., &amp; Woodhouse, D. (2007),</w:t>
      </w:r>
      <w:r w:rsidRPr="00C01CD1">
        <w:rPr>
          <w:rFonts w:cs="Arial"/>
        </w:rPr>
        <w:t xml:space="preserve"> </w:t>
      </w:r>
      <w:r w:rsidRPr="00C01CD1">
        <w:rPr>
          <w:rFonts w:cs="Arial"/>
          <w:i/>
        </w:rPr>
        <w:t>Benchmarking in Australian higher education: A thematic analysis of AUQA audit reports</w:t>
      </w:r>
      <w:r>
        <w:rPr>
          <w:rFonts w:cs="Arial"/>
          <w:i/>
        </w:rPr>
        <w:t>,</w:t>
      </w:r>
      <w:r w:rsidRPr="00C01CD1">
        <w:rPr>
          <w:rFonts w:cs="Arial"/>
        </w:rPr>
        <w:t xml:space="preserve"> Australian Universities Quality Agency</w:t>
      </w:r>
      <w:r>
        <w:rPr>
          <w:rFonts w:cs="Arial"/>
        </w:rPr>
        <w:t>, &lt;</w:t>
      </w:r>
      <w:hyperlink r:id="rId23" w:history="1">
        <w:r w:rsidRPr="00EE2019">
          <w:rPr>
            <w:rStyle w:val="Hyperlink"/>
            <w:rFonts w:cs="Arial"/>
          </w:rPr>
          <w:t>http://pandora.nla.gov.au/pan/127066/20110826-0004/www.auqa.edu.au/files/publications/benchmarking_final_text_website.pdf</w:t>
        </w:r>
      </w:hyperlink>
      <w:r>
        <w:rPr>
          <w:rFonts w:cs="Arial"/>
        </w:rPr>
        <w:t>&gt;</w:t>
      </w:r>
    </w:p>
    <w:p w14:paraId="67E7BAEB" w14:textId="77777777" w:rsidR="000A7FA9" w:rsidRDefault="000A7FA9" w:rsidP="000A7FA9">
      <w:pPr>
        <w:rPr>
          <w:rFonts w:cstheme="minorHAnsi"/>
          <w:iCs/>
        </w:rPr>
      </w:pPr>
      <w:r>
        <w:rPr>
          <w:rFonts w:cstheme="minorHAnsi"/>
          <w:iCs/>
        </w:rPr>
        <w:t xml:space="preserve">TEQSA (2016), </w:t>
      </w:r>
      <w:r w:rsidRPr="00760A2C">
        <w:rPr>
          <w:rFonts w:cstheme="minorHAnsi"/>
          <w:i/>
          <w:iCs/>
        </w:rPr>
        <w:t>Explanations of terms in Part A of the HES Framework 2015</w:t>
      </w:r>
      <w:r>
        <w:rPr>
          <w:rFonts w:cstheme="minorHAnsi"/>
          <w:iCs/>
        </w:rPr>
        <w:t>, &lt;</w:t>
      </w:r>
      <w:hyperlink r:id="rId24" w:history="1">
        <w:r w:rsidRPr="00C639FE">
          <w:rPr>
            <w:rStyle w:val="Hyperlink"/>
          </w:rPr>
          <w:t>http://www.teqsa.gov.au/explanations-hes-framework-terms</w:t>
        </w:r>
      </w:hyperlink>
      <w:r>
        <w:rPr>
          <w:rFonts w:cstheme="minorHAnsi"/>
          <w:iCs/>
        </w:rPr>
        <w:t xml:space="preserve">&gt;. </w:t>
      </w:r>
    </w:p>
    <w:p w14:paraId="3FFAC5C1" w14:textId="5464538A" w:rsidR="000A7FA9" w:rsidRDefault="000A7FA9" w:rsidP="000A7FA9">
      <w:pPr>
        <w:rPr>
          <w:rFonts w:cstheme="minorHAnsi"/>
          <w:iCs/>
        </w:rPr>
      </w:pPr>
      <w:r>
        <w:rPr>
          <w:rFonts w:cstheme="minorHAnsi"/>
          <w:iCs/>
        </w:rPr>
        <w:t xml:space="preserve">TEQSA (2016) Guidance Note on </w:t>
      </w:r>
      <w:r w:rsidRPr="00076418">
        <w:rPr>
          <w:rFonts w:cstheme="minorHAnsi"/>
          <w:i/>
          <w:iCs/>
        </w:rPr>
        <w:t>Course Design, Learning Outcomes and Assessment</w:t>
      </w:r>
      <w:r>
        <w:rPr>
          <w:rFonts w:cstheme="minorHAnsi"/>
          <w:iCs/>
        </w:rPr>
        <w:t>, &lt;</w:t>
      </w:r>
      <w:hyperlink r:id="rId25" w:history="1">
        <w:r w:rsidRPr="007D6CD0">
          <w:rPr>
            <w:rStyle w:val="Hyperlink"/>
            <w:rFonts w:cstheme="minorHAnsi"/>
            <w:iCs/>
          </w:rPr>
          <w:t>http://www.teqsa.gov.au/hesf-2015-specific-guidance-notes</w:t>
        </w:r>
      </w:hyperlink>
      <w:r>
        <w:rPr>
          <w:rFonts w:cstheme="minorHAnsi"/>
          <w:iCs/>
        </w:rPr>
        <w:t>&gt;.</w:t>
      </w:r>
    </w:p>
    <w:p w14:paraId="27E5A921" w14:textId="3755927C" w:rsidR="00B233BF" w:rsidRDefault="00B233BF" w:rsidP="000A7FA9">
      <w:pPr>
        <w:rPr>
          <w:rFonts w:cstheme="minorHAnsi"/>
          <w:iCs/>
        </w:rPr>
      </w:pPr>
    </w:p>
    <w:p w14:paraId="68E1609B" w14:textId="54A22E7C" w:rsidR="00B233BF" w:rsidRPr="00B233BF" w:rsidRDefault="00B233BF" w:rsidP="000A7FA9">
      <w:pPr>
        <w:rPr>
          <w:rFonts w:cstheme="minorHAnsi"/>
          <w:i/>
          <w:iCs/>
        </w:rPr>
      </w:pPr>
      <w:r w:rsidRPr="00B233BF">
        <w:rPr>
          <w:rFonts w:cstheme="minorHAnsi"/>
          <w:i/>
          <w:iCs/>
        </w:rPr>
        <w:t>TEQSA welcomes the diversity of educational delivery across the sector and acknowledges that its Guidance Notes may not encompass all of the circumstances seen in the sector. TEQSA also recognises that the requirements of the HESF can be met in different ways according to the circumstances of the provider. Provided the requirements of the HESF are met, TEQSA will not prescribe how they are met. If in doubt, please consult your TEQSA case manager.</w:t>
      </w:r>
    </w:p>
    <w:p w14:paraId="128144AC" w14:textId="13254B14" w:rsidR="000A7FA9" w:rsidRDefault="000A7FA9" w:rsidP="000A7FA9">
      <w:pPr>
        <w:rPr>
          <w:lang w:val="en-US"/>
        </w:rPr>
      </w:pPr>
    </w:p>
    <w:p w14:paraId="18BDF365" w14:textId="4161F7FE" w:rsidR="00BE5239" w:rsidRDefault="00BE5239">
      <w:pPr>
        <w:rPr>
          <w:lang w:val="en-US"/>
        </w:rPr>
      </w:pPr>
      <w:r>
        <w:rPr>
          <w:lang w:val="en-US"/>
        </w:rPr>
        <w:br w:type="page"/>
      </w:r>
    </w:p>
    <w:p w14:paraId="6673AF13" w14:textId="77777777" w:rsidR="00F847E5" w:rsidRDefault="00F847E5" w:rsidP="000A7FA9">
      <w:pPr>
        <w:rPr>
          <w:lang w:val="en-US"/>
        </w:rPr>
      </w:pPr>
    </w:p>
    <w:tbl>
      <w:tblPr>
        <w:tblW w:w="9356" w:type="dxa"/>
        <w:tblInd w:w="100" w:type="dxa"/>
        <w:tblCellMar>
          <w:left w:w="0" w:type="dxa"/>
          <w:right w:w="0" w:type="dxa"/>
        </w:tblCellMar>
        <w:tblLook w:val="04A0" w:firstRow="1" w:lastRow="0" w:firstColumn="1" w:lastColumn="0" w:noHBand="0" w:noVBand="1"/>
      </w:tblPr>
      <w:tblGrid>
        <w:gridCol w:w="1276"/>
        <w:gridCol w:w="2126"/>
        <w:gridCol w:w="5954"/>
      </w:tblGrid>
      <w:tr w:rsidR="000A7FA9" w:rsidRPr="00110318" w14:paraId="2D1B31DE" w14:textId="77777777" w:rsidTr="000A7FA9">
        <w:trPr>
          <w:tblHeader/>
        </w:trPr>
        <w:tc>
          <w:tcPr>
            <w:tcW w:w="1276" w:type="dxa"/>
            <w:tcBorders>
              <w:top w:val="single" w:sz="8" w:space="0" w:color="999999"/>
              <w:left w:val="single" w:sz="8" w:space="0" w:color="999999"/>
              <w:bottom w:val="single" w:sz="8" w:space="0" w:color="999999"/>
              <w:right w:val="single" w:sz="8" w:space="0" w:color="999999"/>
            </w:tcBorders>
            <w:shd w:val="clear" w:color="auto" w:fill="003B45" w:themeFill="accent2"/>
            <w:tcMar>
              <w:top w:w="100" w:type="dxa"/>
              <w:left w:w="100" w:type="dxa"/>
              <w:bottom w:w="100" w:type="dxa"/>
              <w:right w:w="100" w:type="dxa"/>
            </w:tcMar>
            <w:hideMark/>
          </w:tcPr>
          <w:p w14:paraId="04343FDF" w14:textId="77777777" w:rsidR="000A7FA9" w:rsidRPr="009C4E44" w:rsidRDefault="000A7FA9" w:rsidP="004C6E0B">
            <w:pPr>
              <w:pStyle w:val="Normal1"/>
              <w:spacing w:line="240" w:lineRule="auto"/>
              <w:rPr>
                <w:b/>
                <w:color w:val="E7E6E6" w:themeColor="background2"/>
                <w:sz w:val="20"/>
                <w:szCs w:val="20"/>
                <w:lang w:val="en-US"/>
              </w:rPr>
            </w:pPr>
            <w:r w:rsidRPr="009C4E44">
              <w:rPr>
                <w:b/>
                <w:color w:val="E7E6E6" w:themeColor="background2"/>
                <w:sz w:val="20"/>
                <w:szCs w:val="20"/>
                <w:lang w:val="en-US"/>
              </w:rPr>
              <w:t>Version #</w:t>
            </w:r>
          </w:p>
        </w:tc>
        <w:tc>
          <w:tcPr>
            <w:tcW w:w="2126" w:type="dxa"/>
            <w:tcBorders>
              <w:top w:val="single" w:sz="8" w:space="0" w:color="999999"/>
              <w:left w:val="nil"/>
              <w:bottom w:val="single" w:sz="8" w:space="0" w:color="999999"/>
              <w:right w:val="single" w:sz="8" w:space="0" w:color="999999"/>
            </w:tcBorders>
            <w:shd w:val="clear" w:color="auto" w:fill="003B45" w:themeFill="accent2"/>
            <w:tcMar>
              <w:top w:w="100" w:type="dxa"/>
              <w:left w:w="100" w:type="dxa"/>
              <w:bottom w:w="100" w:type="dxa"/>
              <w:right w:w="100" w:type="dxa"/>
            </w:tcMar>
            <w:hideMark/>
          </w:tcPr>
          <w:p w14:paraId="63830921" w14:textId="77777777" w:rsidR="000A7FA9" w:rsidRPr="009C4E44" w:rsidRDefault="000A7FA9" w:rsidP="004C6E0B">
            <w:pPr>
              <w:pStyle w:val="Normal1"/>
              <w:spacing w:line="240" w:lineRule="auto"/>
              <w:rPr>
                <w:b/>
                <w:color w:val="E7E6E6" w:themeColor="background2"/>
                <w:sz w:val="20"/>
                <w:szCs w:val="20"/>
                <w:lang w:val="en-US"/>
              </w:rPr>
            </w:pPr>
            <w:r w:rsidRPr="009C4E44">
              <w:rPr>
                <w:b/>
                <w:color w:val="E7E6E6" w:themeColor="background2"/>
                <w:sz w:val="20"/>
                <w:szCs w:val="20"/>
                <w:lang w:val="en-US"/>
              </w:rPr>
              <w:t>Date</w:t>
            </w:r>
          </w:p>
        </w:tc>
        <w:tc>
          <w:tcPr>
            <w:tcW w:w="5954" w:type="dxa"/>
            <w:tcBorders>
              <w:top w:val="single" w:sz="8" w:space="0" w:color="999999"/>
              <w:left w:val="nil"/>
              <w:bottom w:val="single" w:sz="8" w:space="0" w:color="999999"/>
              <w:right w:val="single" w:sz="8" w:space="0" w:color="999999"/>
            </w:tcBorders>
            <w:shd w:val="clear" w:color="auto" w:fill="003B45" w:themeFill="accent2"/>
            <w:tcMar>
              <w:top w:w="100" w:type="dxa"/>
              <w:left w:w="100" w:type="dxa"/>
              <w:bottom w:w="100" w:type="dxa"/>
              <w:right w:w="100" w:type="dxa"/>
            </w:tcMar>
            <w:hideMark/>
          </w:tcPr>
          <w:p w14:paraId="35021CE4" w14:textId="77777777" w:rsidR="000A7FA9" w:rsidRPr="009C4E44" w:rsidRDefault="000A7FA9" w:rsidP="004C6E0B">
            <w:pPr>
              <w:pStyle w:val="Normal1"/>
              <w:spacing w:line="240" w:lineRule="auto"/>
              <w:rPr>
                <w:b/>
                <w:color w:val="E7E6E6" w:themeColor="background2"/>
                <w:sz w:val="20"/>
                <w:szCs w:val="20"/>
                <w:lang w:val="en-US"/>
              </w:rPr>
            </w:pPr>
            <w:r w:rsidRPr="009C4E44">
              <w:rPr>
                <w:b/>
                <w:color w:val="E7E6E6" w:themeColor="background2"/>
                <w:sz w:val="20"/>
                <w:szCs w:val="20"/>
                <w:lang w:val="en-US"/>
              </w:rPr>
              <w:t>Key changes</w:t>
            </w:r>
          </w:p>
        </w:tc>
      </w:tr>
      <w:tr w:rsidR="000A7FA9" w14:paraId="41094D35" w14:textId="77777777" w:rsidTr="004C6E0B">
        <w:tc>
          <w:tcPr>
            <w:tcW w:w="1276" w:type="dxa"/>
            <w:tcBorders>
              <w:top w:val="nil"/>
              <w:left w:val="single" w:sz="8" w:space="0" w:color="000000"/>
              <w:bottom w:val="single" w:sz="4" w:space="0" w:color="auto"/>
              <w:right w:val="single" w:sz="8" w:space="0" w:color="000000"/>
            </w:tcBorders>
            <w:tcMar>
              <w:top w:w="100" w:type="dxa"/>
              <w:left w:w="100" w:type="dxa"/>
              <w:bottom w:w="100" w:type="dxa"/>
              <w:right w:w="100" w:type="dxa"/>
            </w:tcMar>
          </w:tcPr>
          <w:p w14:paraId="0754DFBA" w14:textId="77777777" w:rsidR="000A7FA9" w:rsidRDefault="000A7FA9" w:rsidP="004C6E0B">
            <w:pPr>
              <w:pStyle w:val="Normal1"/>
              <w:spacing w:line="240" w:lineRule="auto"/>
              <w:rPr>
                <w:sz w:val="20"/>
                <w:szCs w:val="20"/>
                <w:lang w:val="en-US"/>
              </w:rPr>
            </w:pPr>
            <w:r>
              <w:rPr>
                <w:sz w:val="20"/>
                <w:szCs w:val="20"/>
                <w:lang w:val="en-US"/>
              </w:rPr>
              <w:t>1.0</w:t>
            </w:r>
          </w:p>
        </w:tc>
        <w:tc>
          <w:tcPr>
            <w:tcW w:w="2126" w:type="dxa"/>
            <w:tcBorders>
              <w:top w:val="nil"/>
              <w:left w:val="nil"/>
              <w:bottom w:val="single" w:sz="4" w:space="0" w:color="auto"/>
              <w:right w:val="single" w:sz="8" w:space="0" w:color="000000"/>
            </w:tcBorders>
            <w:tcMar>
              <w:top w:w="100" w:type="dxa"/>
              <w:left w:w="100" w:type="dxa"/>
              <w:bottom w:w="100" w:type="dxa"/>
              <w:right w:w="100" w:type="dxa"/>
            </w:tcMar>
          </w:tcPr>
          <w:p w14:paraId="5E17A062" w14:textId="77777777" w:rsidR="000A7FA9" w:rsidRDefault="000A7FA9" w:rsidP="004C6E0B">
            <w:pPr>
              <w:pStyle w:val="Normal1"/>
              <w:spacing w:line="240" w:lineRule="auto"/>
              <w:rPr>
                <w:sz w:val="20"/>
                <w:szCs w:val="20"/>
                <w:lang w:val="en-US"/>
              </w:rPr>
            </w:pPr>
            <w:r>
              <w:rPr>
                <w:sz w:val="20"/>
                <w:szCs w:val="20"/>
                <w:lang w:val="en-US"/>
              </w:rPr>
              <w:t>April 2015</w:t>
            </w:r>
          </w:p>
        </w:tc>
        <w:tc>
          <w:tcPr>
            <w:tcW w:w="5954" w:type="dxa"/>
            <w:tcBorders>
              <w:top w:val="nil"/>
              <w:left w:val="nil"/>
              <w:bottom w:val="single" w:sz="4" w:space="0" w:color="auto"/>
              <w:right w:val="single" w:sz="8" w:space="0" w:color="000000"/>
            </w:tcBorders>
            <w:tcMar>
              <w:top w:w="100" w:type="dxa"/>
              <w:left w:w="100" w:type="dxa"/>
              <w:bottom w:w="100" w:type="dxa"/>
              <w:right w:w="100" w:type="dxa"/>
            </w:tcMar>
          </w:tcPr>
          <w:p w14:paraId="4B70CA2F" w14:textId="77777777" w:rsidR="000A7FA9" w:rsidRDefault="000A7FA9" w:rsidP="004C6E0B">
            <w:pPr>
              <w:pStyle w:val="Normal1"/>
              <w:spacing w:line="240" w:lineRule="auto"/>
              <w:rPr>
                <w:sz w:val="20"/>
                <w:szCs w:val="20"/>
                <w:lang w:val="en-US"/>
              </w:rPr>
            </w:pPr>
          </w:p>
        </w:tc>
      </w:tr>
      <w:tr w:rsidR="000A7FA9" w14:paraId="637604BB" w14:textId="77777777" w:rsidTr="004C6E0B">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tcPr>
          <w:p w14:paraId="1CE3C5D2" w14:textId="77777777" w:rsidR="000A7FA9" w:rsidRPr="008553D3" w:rsidRDefault="000A7FA9" w:rsidP="004C6E0B">
            <w:pPr>
              <w:pStyle w:val="Normal1"/>
              <w:spacing w:line="240" w:lineRule="auto"/>
              <w:rPr>
                <w:sz w:val="20"/>
                <w:szCs w:val="20"/>
                <w:highlight w:val="yellow"/>
                <w:lang w:val="en-US"/>
              </w:rPr>
            </w:pPr>
            <w:r w:rsidRPr="00CD4335">
              <w:rPr>
                <w:sz w:val="20"/>
                <w:szCs w:val="20"/>
                <w:lang w:val="en-US"/>
              </w:rPr>
              <w:t>2.0</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6928BB6A" w14:textId="77777777" w:rsidR="000A7FA9" w:rsidRDefault="000A7FA9" w:rsidP="004C6E0B">
            <w:pPr>
              <w:pStyle w:val="Normal1"/>
              <w:spacing w:line="240" w:lineRule="auto"/>
              <w:rPr>
                <w:sz w:val="20"/>
                <w:szCs w:val="20"/>
                <w:lang w:val="en-US"/>
              </w:rPr>
            </w:pPr>
            <w:r w:rsidRPr="000A788D">
              <w:rPr>
                <w:sz w:val="20"/>
                <w:szCs w:val="20"/>
              </w:rPr>
              <w:t>19 August 2016</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5AAABF34" w14:textId="77777777" w:rsidR="000A7FA9" w:rsidRDefault="000A7FA9" w:rsidP="004C6E0B">
            <w:pPr>
              <w:pStyle w:val="Normal1"/>
              <w:spacing w:line="240" w:lineRule="auto"/>
              <w:rPr>
                <w:sz w:val="20"/>
                <w:szCs w:val="20"/>
                <w:lang w:val="en-US"/>
              </w:rPr>
            </w:pPr>
            <w:r>
              <w:rPr>
                <w:sz w:val="20"/>
                <w:szCs w:val="20"/>
                <w:lang w:val="en-US"/>
              </w:rPr>
              <w:t xml:space="preserve">Updated for the HESF 2015 and made available as beta version for consultation. </w:t>
            </w:r>
            <w:r w:rsidRPr="00A44D48">
              <w:rPr>
                <w:sz w:val="20"/>
                <w:szCs w:val="20"/>
                <w:lang w:val="en-US"/>
              </w:rPr>
              <w:t>Replace</w:t>
            </w:r>
            <w:r>
              <w:rPr>
                <w:sz w:val="20"/>
                <w:szCs w:val="20"/>
                <w:lang w:val="en-US"/>
              </w:rPr>
              <w:t>s</w:t>
            </w:r>
            <w:r w:rsidRPr="00A44D48">
              <w:rPr>
                <w:sz w:val="20"/>
                <w:szCs w:val="20"/>
                <w:lang w:val="en-US"/>
              </w:rPr>
              <w:t xml:space="preserve"> previous guidance note on ‘</w:t>
            </w:r>
            <w:r>
              <w:rPr>
                <w:sz w:val="20"/>
                <w:szCs w:val="20"/>
                <w:lang w:val="en-US"/>
              </w:rPr>
              <w:t>Benchmarking</w:t>
            </w:r>
            <w:r w:rsidRPr="00A44D48">
              <w:rPr>
                <w:sz w:val="20"/>
                <w:szCs w:val="20"/>
                <w:lang w:val="en-US"/>
              </w:rPr>
              <w:t>’</w:t>
            </w:r>
            <w:r>
              <w:rPr>
                <w:sz w:val="20"/>
                <w:szCs w:val="20"/>
                <w:lang w:val="en-US"/>
              </w:rPr>
              <w:t>.</w:t>
            </w:r>
          </w:p>
        </w:tc>
      </w:tr>
      <w:tr w:rsidR="000A7FA9" w14:paraId="248B349C" w14:textId="77777777" w:rsidTr="004C6E0B">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tcPr>
          <w:p w14:paraId="41A067C7" w14:textId="77777777" w:rsidR="000A7FA9" w:rsidRPr="00CD4335" w:rsidRDefault="000A7FA9" w:rsidP="004C6E0B">
            <w:pPr>
              <w:pStyle w:val="Normal1"/>
              <w:spacing w:line="240" w:lineRule="auto"/>
              <w:rPr>
                <w:sz w:val="20"/>
                <w:szCs w:val="20"/>
                <w:lang w:val="en-US"/>
              </w:rPr>
            </w:pPr>
            <w:r>
              <w:rPr>
                <w:sz w:val="20"/>
                <w:szCs w:val="20"/>
                <w:lang w:val="en-US"/>
              </w:rPr>
              <w:t>2.1</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41BA2212" w14:textId="77777777" w:rsidR="000A7FA9" w:rsidRPr="000A788D" w:rsidRDefault="000A7FA9" w:rsidP="004C6E0B">
            <w:pPr>
              <w:pStyle w:val="Normal1"/>
              <w:spacing w:line="240" w:lineRule="auto"/>
              <w:rPr>
                <w:sz w:val="20"/>
                <w:szCs w:val="20"/>
              </w:rPr>
            </w:pPr>
            <w:r>
              <w:rPr>
                <w:sz w:val="20"/>
                <w:szCs w:val="20"/>
              </w:rPr>
              <w:t>23 August 2016</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1CB9F225" w14:textId="77777777" w:rsidR="000A7FA9" w:rsidRDefault="000A7FA9" w:rsidP="004C6E0B">
            <w:pPr>
              <w:pStyle w:val="Normal1"/>
              <w:spacing w:line="240" w:lineRule="auto"/>
              <w:rPr>
                <w:sz w:val="20"/>
                <w:szCs w:val="20"/>
                <w:lang w:val="en-US"/>
              </w:rPr>
            </w:pPr>
            <w:r>
              <w:rPr>
                <w:sz w:val="20"/>
                <w:szCs w:val="20"/>
                <w:lang w:val="en-US"/>
              </w:rPr>
              <w:t>Incorporated additional feedback.</w:t>
            </w:r>
          </w:p>
        </w:tc>
      </w:tr>
      <w:tr w:rsidR="00501126" w14:paraId="184A811F" w14:textId="77777777" w:rsidTr="004C6E0B">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tcPr>
          <w:p w14:paraId="0B6DFCDF" w14:textId="77777777" w:rsidR="00501126" w:rsidRDefault="00501126" w:rsidP="004C6E0B">
            <w:pPr>
              <w:pStyle w:val="Normal1"/>
              <w:spacing w:line="240" w:lineRule="auto"/>
              <w:rPr>
                <w:sz w:val="20"/>
                <w:szCs w:val="20"/>
                <w:lang w:val="en-US"/>
              </w:rPr>
            </w:pPr>
            <w:r>
              <w:rPr>
                <w:sz w:val="20"/>
                <w:szCs w:val="20"/>
                <w:lang w:val="en-US"/>
              </w:rPr>
              <w:t>2.2</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158AB355" w14:textId="77777777" w:rsidR="00501126" w:rsidRDefault="00AC4BAC" w:rsidP="004C6E0B">
            <w:pPr>
              <w:pStyle w:val="Normal1"/>
              <w:spacing w:line="240" w:lineRule="auto"/>
              <w:rPr>
                <w:sz w:val="20"/>
                <w:szCs w:val="20"/>
              </w:rPr>
            </w:pPr>
            <w:r>
              <w:rPr>
                <w:sz w:val="20"/>
                <w:szCs w:val="20"/>
              </w:rPr>
              <w:t>11 October 2017</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050E7FD3" w14:textId="77777777" w:rsidR="00501126" w:rsidRDefault="00501126" w:rsidP="004C6E0B">
            <w:pPr>
              <w:pStyle w:val="Normal1"/>
              <w:spacing w:line="240" w:lineRule="auto"/>
              <w:rPr>
                <w:sz w:val="20"/>
                <w:szCs w:val="20"/>
                <w:lang w:val="en-US"/>
              </w:rPr>
            </w:pPr>
            <w:r>
              <w:rPr>
                <w:sz w:val="20"/>
                <w:szCs w:val="20"/>
                <w:lang w:val="en-US"/>
              </w:rPr>
              <w:t>Addition to ‘What will TEQSA look for?” text box.</w:t>
            </w:r>
          </w:p>
        </w:tc>
      </w:tr>
      <w:tr w:rsidR="00787E83" w14:paraId="5B67B08C" w14:textId="77777777" w:rsidTr="004C6E0B">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tcPr>
          <w:p w14:paraId="7D482FF7" w14:textId="77777777" w:rsidR="00787E83" w:rsidRDefault="00787E83" w:rsidP="004C6E0B">
            <w:pPr>
              <w:pStyle w:val="Normal1"/>
              <w:spacing w:line="240" w:lineRule="auto"/>
              <w:rPr>
                <w:sz w:val="20"/>
                <w:szCs w:val="20"/>
                <w:lang w:val="en-US"/>
              </w:rPr>
            </w:pPr>
            <w:r>
              <w:rPr>
                <w:sz w:val="20"/>
                <w:szCs w:val="20"/>
                <w:lang w:val="en-US"/>
              </w:rPr>
              <w:t>2.3</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55650F4A" w14:textId="77777777" w:rsidR="00787E83" w:rsidRDefault="00787E83" w:rsidP="00787E83">
            <w:pPr>
              <w:pStyle w:val="Normal1"/>
              <w:spacing w:line="240" w:lineRule="auto"/>
              <w:rPr>
                <w:sz w:val="20"/>
                <w:szCs w:val="20"/>
              </w:rPr>
            </w:pPr>
            <w:r>
              <w:rPr>
                <w:sz w:val="20"/>
                <w:szCs w:val="20"/>
              </w:rPr>
              <w:t>19 July 2018</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21086DC4" w14:textId="77777777" w:rsidR="00787E83" w:rsidRDefault="00787E83" w:rsidP="004C6E0B">
            <w:pPr>
              <w:pStyle w:val="Normal1"/>
              <w:spacing w:line="240" w:lineRule="auto"/>
              <w:rPr>
                <w:sz w:val="20"/>
                <w:szCs w:val="20"/>
                <w:lang w:val="en-US"/>
              </w:rPr>
            </w:pPr>
            <w:r>
              <w:rPr>
                <w:sz w:val="20"/>
                <w:szCs w:val="20"/>
                <w:lang w:val="en-US"/>
              </w:rPr>
              <w:t xml:space="preserve">Inclusion of information on </w:t>
            </w:r>
            <w:r w:rsidR="00083561">
              <w:rPr>
                <w:sz w:val="20"/>
                <w:szCs w:val="20"/>
                <w:lang w:val="en-US"/>
              </w:rPr>
              <w:t>the Peer Review Portal.</w:t>
            </w:r>
          </w:p>
        </w:tc>
      </w:tr>
      <w:tr w:rsidR="00F546A5" w14:paraId="542CE5C9" w14:textId="77777777" w:rsidTr="004C6E0B">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tcPr>
          <w:p w14:paraId="5EA4AA02" w14:textId="77777777" w:rsidR="00F546A5" w:rsidRPr="001E4FD5" w:rsidRDefault="00F546A5" w:rsidP="00F546A5">
            <w:pPr>
              <w:pStyle w:val="Normal1"/>
              <w:spacing w:line="240" w:lineRule="auto"/>
              <w:rPr>
                <w:sz w:val="20"/>
                <w:szCs w:val="20"/>
                <w:lang w:val="en-US"/>
              </w:rPr>
            </w:pPr>
            <w:r w:rsidRPr="001E4FD5">
              <w:rPr>
                <w:sz w:val="20"/>
                <w:szCs w:val="20"/>
                <w:lang w:val="en-US"/>
              </w:rPr>
              <w:t>2.4</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6E1AF646" w14:textId="143BB48B" w:rsidR="00F546A5" w:rsidRPr="001E4FD5" w:rsidRDefault="001E4FD5" w:rsidP="00F546A5">
            <w:pPr>
              <w:pStyle w:val="Normal1"/>
              <w:spacing w:line="240" w:lineRule="auto"/>
              <w:rPr>
                <w:sz w:val="20"/>
                <w:szCs w:val="20"/>
              </w:rPr>
            </w:pPr>
            <w:r w:rsidRPr="001E4FD5">
              <w:rPr>
                <w:sz w:val="20"/>
                <w:szCs w:val="20"/>
              </w:rPr>
              <w:t>28</w:t>
            </w:r>
            <w:r w:rsidR="00F546A5" w:rsidRPr="001E4FD5">
              <w:rPr>
                <w:sz w:val="20"/>
                <w:szCs w:val="20"/>
              </w:rPr>
              <w:t xml:space="preserve"> March 2019</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1B66DCAF" w14:textId="77777777" w:rsidR="00F546A5" w:rsidRDefault="00F546A5" w:rsidP="00F546A5">
            <w:pPr>
              <w:pStyle w:val="Normal1"/>
              <w:spacing w:line="240" w:lineRule="auto"/>
              <w:rPr>
                <w:sz w:val="20"/>
                <w:szCs w:val="20"/>
                <w:lang w:val="en-US"/>
              </w:rPr>
            </w:pPr>
            <w:r>
              <w:rPr>
                <w:sz w:val="20"/>
                <w:szCs w:val="20"/>
                <w:lang w:val="en-US"/>
              </w:rPr>
              <w:t>Updated as a result of consultation feedback.</w:t>
            </w:r>
          </w:p>
        </w:tc>
      </w:tr>
      <w:tr w:rsidR="00A1294E" w14:paraId="72159384" w14:textId="77777777" w:rsidTr="00A1294E">
        <w:trPr>
          <w:trHeight w:val="607"/>
        </w:trPr>
        <w:tc>
          <w:tcPr>
            <w:tcW w:w="1276" w:type="dxa"/>
            <w:tcBorders>
              <w:top w:val="single" w:sz="4" w:space="0" w:color="auto"/>
              <w:left w:val="single" w:sz="8" w:space="0" w:color="000000"/>
              <w:bottom w:val="single" w:sz="4" w:space="0" w:color="auto"/>
              <w:right w:val="single" w:sz="8" w:space="0" w:color="000000"/>
            </w:tcBorders>
            <w:tcMar>
              <w:top w:w="100" w:type="dxa"/>
              <w:left w:w="100" w:type="dxa"/>
              <w:bottom w:w="100" w:type="dxa"/>
              <w:right w:w="100" w:type="dxa"/>
            </w:tcMar>
          </w:tcPr>
          <w:p w14:paraId="737675C3" w14:textId="29E8AEF2" w:rsidR="00A1294E" w:rsidRPr="001E4FD5" w:rsidRDefault="00A1294E" w:rsidP="00F546A5">
            <w:pPr>
              <w:pStyle w:val="Normal1"/>
              <w:spacing w:line="240" w:lineRule="auto"/>
              <w:rPr>
                <w:sz w:val="20"/>
                <w:szCs w:val="20"/>
                <w:lang w:val="en-US"/>
              </w:rPr>
            </w:pPr>
            <w:r>
              <w:rPr>
                <w:sz w:val="20"/>
                <w:szCs w:val="20"/>
                <w:lang w:val="en-US"/>
              </w:rPr>
              <w:t>2.5</w:t>
            </w:r>
          </w:p>
        </w:tc>
        <w:tc>
          <w:tcPr>
            <w:tcW w:w="2126"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2290A789" w14:textId="3EA51EDD" w:rsidR="00A1294E" w:rsidRPr="001E4FD5" w:rsidRDefault="00A1294E" w:rsidP="00F546A5">
            <w:pPr>
              <w:pStyle w:val="Normal1"/>
              <w:spacing w:line="240" w:lineRule="auto"/>
              <w:rPr>
                <w:sz w:val="20"/>
                <w:szCs w:val="20"/>
              </w:rPr>
            </w:pPr>
            <w:r>
              <w:rPr>
                <w:sz w:val="20"/>
                <w:szCs w:val="20"/>
              </w:rPr>
              <w:t>16 April 2019</w:t>
            </w:r>
          </w:p>
        </w:tc>
        <w:tc>
          <w:tcPr>
            <w:tcW w:w="5954" w:type="dxa"/>
            <w:tcBorders>
              <w:top w:val="single" w:sz="4" w:space="0" w:color="auto"/>
              <w:left w:val="nil"/>
              <w:bottom w:val="single" w:sz="4" w:space="0" w:color="auto"/>
              <w:right w:val="single" w:sz="8" w:space="0" w:color="000000"/>
            </w:tcBorders>
            <w:tcMar>
              <w:top w:w="100" w:type="dxa"/>
              <w:left w:w="100" w:type="dxa"/>
              <w:bottom w:w="100" w:type="dxa"/>
              <w:right w:w="100" w:type="dxa"/>
            </w:tcMar>
          </w:tcPr>
          <w:p w14:paraId="2278099D" w14:textId="5D1A717D" w:rsidR="00A1294E" w:rsidRDefault="00A1294E" w:rsidP="00F546A5">
            <w:pPr>
              <w:pStyle w:val="Normal1"/>
              <w:spacing w:line="240" w:lineRule="auto"/>
              <w:rPr>
                <w:sz w:val="20"/>
                <w:szCs w:val="20"/>
                <w:lang w:val="en-US"/>
              </w:rPr>
            </w:pPr>
            <w:r>
              <w:rPr>
                <w:sz w:val="20"/>
                <w:szCs w:val="20"/>
                <w:lang w:val="en-US"/>
              </w:rPr>
              <w:t xml:space="preserve">Resources and references section updated to include link to IRU </w:t>
            </w:r>
            <w:r w:rsidRPr="00A1294E">
              <w:rPr>
                <w:sz w:val="20"/>
                <w:szCs w:val="20"/>
                <w:lang w:val="en-US"/>
              </w:rPr>
              <w:t>Academic Calibration Project</w:t>
            </w:r>
            <w:r>
              <w:rPr>
                <w:sz w:val="20"/>
                <w:szCs w:val="20"/>
                <w:lang w:val="en-US"/>
              </w:rPr>
              <w:t>.</w:t>
            </w:r>
          </w:p>
        </w:tc>
      </w:tr>
    </w:tbl>
    <w:p w14:paraId="59784368" w14:textId="77777777" w:rsidR="000A7FA9" w:rsidRDefault="000A7FA9" w:rsidP="000A7FA9">
      <w:pPr>
        <w:rPr>
          <w:lang w:val="en-US"/>
        </w:rPr>
      </w:pPr>
    </w:p>
    <w:p w14:paraId="75BEE27E" w14:textId="77777777" w:rsidR="000A7FA9" w:rsidRPr="00DA737C" w:rsidRDefault="000A7FA9" w:rsidP="000A7FA9">
      <w:pPr>
        <w:rPr>
          <w:lang w:val="en-US"/>
        </w:rPr>
      </w:pPr>
    </w:p>
    <w:p w14:paraId="3703E353" w14:textId="77777777" w:rsidR="000A7FA9" w:rsidRDefault="000A7FA9" w:rsidP="000A7FA9">
      <w:pPr>
        <w:spacing w:before="0" w:after="200" w:line="276" w:lineRule="auto"/>
        <w:rPr>
          <w:rFonts w:ascii="Georgia" w:eastAsiaTheme="majorEastAsia" w:hAnsi="Georgia" w:cstheme="majorBidi"/>
          <w:b/>
          <w:bCs/>
          <w:color w:val="FFFFFF" w:themeColor="background1"/>
          <w:sz w:val="32"/>
          <w:szCs w:val="26"/>
          <w:lang w:val="en-US"/>
        </w:rPr>
      </w:pPr>
      <w:r>
        <w:rPr>
          <w:lang w:val="en-US"/>
        </w:rPr>
        <w:br w:type="page"/>
      </w:r>
    </w:p>
    <w:p w14:paraId="2B34C231" w14:textId="77777777" w:rsidR="000A7FA9" w:rsidRDefault="000A7FA9" w:rsidP="000A7FA9">
      <w:pPr>
        <w:pStyle w:val="Heading2"/>
        <w:rPr>
          <w:lang w:val="en-US"/>
        </w:rPr>
      </w:pPr>
      <w:r w:rsidRPr="00103D14">
        <w:rPr>
          <w:lang w:val="en-US"/>
        </w:rPr>
        <w:lastRenderedPageBreak/>
        <w:t>Appendix</w:t>
      </w:r>
      <w:r>
        <w:rPr>
          <w:lang w:val="en-US"/>
        </w:rPr>
        <w:t xml:space="preserve"> A</w:t>
      </w:r>
    </w:p>
    <w:p w14:paraId="220A9FE1" w14:textId="77777777" w:rsidR="000A7FA9" w:rsidRDefault="000A7FA9" w:rsidP="000A7FA9">
      <w:pPr>
        <w:pStyle w:val="Heading3"/>
        <w:rPr>
          <w:lang w:val="en-US"/>
        </w:rPr>
      </w:pPr>
      <w:r>
        <w:rPr>
          <w:lang w:val="en-US"/>
        </w:rPr>
        <w:t>Benchmarking</w:t>
      </w:r>
    </w:p>
    <w:p w14:paraId="0CA4388F" w14:textId="77777777" w:rsidR="00060EF6" w:rsidRDefault="00060EF6" w:rsidP="00060EF6">
      <w:pPr>
        <w:pStyle w:val="Heading4"/>
        <w:rPr>
          <w:lang w:val="en-US"/>
        </w:rPr>
      </w:pPr>
      <w:r>
        <w:rPr>
          <w:lang w:val="en-US"/>
        </w:rPr>
        <w:t>Purpose</w:t>
      </w:r>
    </w:p>
    <w:p w14:paraId="131A73CF" w14:textId="77777777" w:rsidR="00060EF6" w:rsidRPr="00060EF6" w:rsidRDefault="00060EF6" w:rsidP="00060EF6">
      <w:pPr>
        <w:rPr>
          <w:lang w:val="en-US"/>
        </w:rPr>
      </w:pPr>
      <w:r>
        <w:rPr>
          <w:lang w:val="en-US"/>
        </w:rPr>
        <w:t xml:space="preserve">This appendix provides additional guidance drawn from typical practices; it is not intended to be prescriptive or a template. </w:t>
      </w:r>
    </w:p>
    <w:p w14:paraId="78D985F7" w14:textId="77777777" w:rsidR="000A7FA9" w:rsidRDefault="000A7FA9" w:rsidP="000A7FA9">
      <w:pPr>
        <w:pStyle w:val="Heading4"/>
        <w:rPr>
          <w:lang w:val="en-US"/>
        </w:rPr>
      </w:pPr>
      <w:r>
        <w:rPr>
          <w:lang w:val="en-US"/>
        </w:rPr>
        <w:t>What is benchmarking?</w:t>
      </w:r>
    </w:p>
    <w:p w14:paraId="4BF556A8" w14:textId="77777777" w:rsidR="000A7FA9" w:rsidRDefault="000A7FA9" w:rsidP="000A7FA9">
      <w:pPr>
        <w:rPr>
          <w:rFonts w:cs="Arial"/>
        </w:rPr>
      </w:pPr>
      <w:r>
        <w:rPr>
          <w:rFonts w:cs="Arial"/>
        </w:rPr>
        <w:t>Benchmarking can be defined as a structured, collaborative learning process for comparing practices, processes or performance outcomes. Its purpose is to identify comparative strengths and weaknesses, as a basis for developing improvements in academic quality or performance. Benchmarking can also be defined as a quality process used to evaluate performance by comparing institutional practices with identified good practices across the sector.</w:t>
      </w:r>
    </w:p>
    <w:p w14:paraId="1E0A43AC" w14:textId="77777777" w:rsidR="000A7FA9" w:rsidRDefault="000A7FA9" w:rsidP="000A7FA9">
      <w:pPr>
        <w:rPr>
          <w:rFonts w:cs="Arial"/>
        </w:rPr>
      </w:pPr>
      <w:r>
        <w:rPr>
          <w:rFonts w:cs="Arial"/>
        </w:rPr>
        <w:t>It is important for higher education providers at the outset to identify the purpose of benchmarking.</w:t>
      </w:r>
      <w:r w:rsidRPr="00CC702A">
        <w:rPr>
          <w:rFonts w:cs="Arial"/>
        </w:rPr>
        <w:t xml:space="preserve"> </w:t>
      </w:r>
      <w:r>
        <w:rPr>
          <w:rFonts w:cs="Arial"/>
        </w:rPr>
        <w:t>The purpose of benchmarking is not to standardise all courses and all assessment outcomes, but to reveal variations, and establish whether those variations arise from the individual nature of the courses or the student cohorts, or from variations in quality or academic standards.</w:t>
      </w:r>
    </w:p>
    <w:p w14:paraId="0AD2F2C2" w14:textId="77777777" w:rsidR="000A7FA9" w:rsidRDefault="000A7FA9" w:rsidP="000A7FA9">
      <w:pPr>
        <w:pStyle w:val="Heading4"/>
        <w:rPr>
          <w:lang w:val="en-US"/>
        </w:rPr>
      </w:pPr>
      <w:r>
        <w:rPr>
          <w:lang w:val="en-US"/>
        </w:rPr>
        <w:t>Partnering</w:t>
      </w:r>
    </w:p>
    <w:p w14:paraId="59B7A4B6" w14:textId="77777777" w:rsidR="000A7FA9" w:rsidRPr="00C9245C" w:rsidRDefault="000A7FA9" w:rsidP="000A7FA9">
      <w:pPr>
        <w:rPr>
          <w:rFonts w:cs="Arial"/>
        </w:rPr>
      </w:pPr>
      <w:r>
        <w:rPr>
          <w:rFonts w:cs="Arial"/>
        </w:rPr>
        <w:t xml:space="preserve">Benchmarking is typically conducted via a mutually beneficial relationship with one or more institutional partners on terms agreed by the parties involved. Such relationships are typically envisaged to be enduring rather than confined to a single comparative exercise. Depending on the nature and goals of the relationship, the costs, benefits and improvement efforts involved in benchmarking may be shared. </w:t>
      </w:r>
    </w:p>
    <w:p w14:paraId="7536C8B5" w14:textId="77777777" w:rsidR="000A7FA9" w:rsidRPr="00131A06" w:rsidRDefault="000A7FA9" w:rsidP="000A7FA9">
      <w:pPr>
        <w:pStyle w:val="Heading4"/>
        <w:rPr>
          <w:lang w:val="en-US"/>
        </w:rPr>
      </w:pPr>
      <w:r w:rsidRPr="00131A06">
        <w:rPr>
          <w:lang w:val="en-US"/>
        </w:rPr>
        <w:t>Characteristics of benchmarking in higher education</w:t>
      </w:r>
    </w:p>
    <w:p w14:paraId="51BECBDA" w14:textId="77777777" w:rsidR="000A7FA9" w:rsidRPr="002E7211" w:rsidRDefault="000A7FA9" w:rsidP="000A7FA9">
      <w:pPr>
        <w:spacing w:before="0"/>
        <w:jc w:val="both"/>
        <w:rPr>
          <w:rFonts w:eastAsia="Times New Roman" w:cstheme="minorHAnsi"/>
          <w:lang w:val="en-US"/>
        </w:rPr>
      </w:pPr>
      <w:r>
        <w:rPr>
          <w:rFonts w:eastAsia="Times New Roman" w:cstheme="minorHAnsi"/>
          <w:lang w:val="en-US"/>
        </w:rPr>
        <w:t>The</w:t>
      </w:r>
      <w:r w:rsidRPr="002E7211">
        <w:rPr>
          <w:rFonts w:eastAsia="Times New Roman" w:cstheme="minorHAnsi"/>
          <w:lang w:val="en-US"/>
        </w:rPr>
        <w:t xml:space="preserve"> broad types of benchmarking</w:t>
      </w:r>
      <w:r>
        <w:rPr>
          <w:rFonts w:eastAsia="Times New Roman" w:cstheme="minorHAnsi"/>
          <w:lang w:val="en-US"/>
        </w:rPr>
        <w:t xml:space="preserve"> include</w:t>
      </w:r>
      <w:r w:rsidRPr="002E7211">
        <w:rPr>
          <w:rFonts w:eastAsia="Times New Roman" w:cstheme="minorHAnsi"/>
          <w:lang w:val="en-US"/>
        </w:rPr>
        <w:t>:</w:t>
      </w:r>
    </w:p>
    <w:p w14:paraId="1F9F4D07" w14:textId="77777777" w:rsidR="000A7FA9" w:rsidRDefault="000A7FA9" w:rsidP="003C545F">
      <w:pPr>
        <w:numPr>
          <w:ilvl w:val="0"/>
          <w:numId w:val="13"/>
        </w:numPr>
        <w:spacing w:before="0"/>
        <w:jc w:val="both"/>
        <w:rPr>
          <w:rFonts w:eastAsia="Times New Roman" w:cstheme="minorHAnsi"/>
          <w:lang w:val="en-US"/>
        </w:rPr>
      </w:pPr>
      <w:proofErr w:type="spellStart"/>
      <w:r>
        <w:rPr>
          <w:rFonts w:eastAsia="Times New Roman" w:cstheme="minorHAnsi"/>
          <w:b/>
          <w:lang w:val="en-US"/>
        </w:rPr>
        <w:t>Organisational</w:t>
      </w:r>
      <w:proofErr w:type="spellEnd"/>
      <w:r w:rsidRPr="002E7211">
        <w:rPr>
          <w:rFonts w:eastAsia="Times New Roman" w:cstheme="minorHAnsi"/>
          <w:b/>
          <w:lang w:val="en-US"/>
        </w:rPr>
        <w:t xml:space="preserve"> benchmarking</w:t>
      </w:r>
      <w:r w:rsidRPr="002E7211">
        <w:rPr>
          <w:rFonts w:eastAsia="Times New Roman" w:cstheme="minorHAnsi"/>
          <w:lang w:val="en-US"/>
        </w:rPr>
        <w:t xml:space="preserve"> in which comparisons </w:t>
      </w:r>
      <w:r>
        <w:rPr>
          <w:rFonts w:eastAsia="Times New Roman" w:cstheme="minorHAnsi"/>
          <w:lang w:val="en-US"/>
        </w:rPr>
        <w:t xml:space="preserve">are made at the </w:t>
      </w:r>
      <w:proofErr w:type="spellStart"/>
      <w:r>
        <w:rPr>
          <w:rFonts w:eastAsia="Times New Roman" w:cstheme="minorHAnsi"/>
          <w:lang w:val="en-US"/>
        </w:rPr>
        <w:t>organisational</w:t>
      </w:r>
      <w:proofErr w:type="spellEnd"/>
      <w:r>
        <w:rPr>
          <w:rFonts w:eastAsia="Times New Roman" w:cstheme="minorHAnsi"/>
          <w:lang w:val="en-US"/>
        </w:rPr>
        <w:t xml:space="preserve"> level (institution, faculty/department, school, course and unit levels).</w:t>
      </w:r>
    </w:p>
    <w:p w14:paraId="3D5ACF6C" w14:textId="77777777" w:rsidR="000A7FA9" w:rsidRPr="002E7211" w:rsidRDefault="000A7FA9" w:rsidP="003C545F">
      <w:pPr>
        <w:numPr>
          <w:ilvl w:val="0"/>
          <w:numId w:val="13"/>
        </w:numPr>
        <w:spacing w:before="0"/>
        <w:jc w:val="both"/>
        <w:rPr>
          <w:rFonts w:eastAsia="Times New Roman" w:cstheme="minorHAnsi"/>
          <w:lang w:val="en-US"/>
        </w:rPr>
      </w:pPr>
      <w:r>
        <w:rPr>
          <w:rFonts w:eastAsia="Times New Roman" w:cstheme="minorHAnsi"/>
          <w:b/>
          <w:lang w:val="en-US"/>
        </w:rPr>
        <w:t xml:space="preserve">Course benchmarking </w:t>
      </w:r>
      <w:r w:rsidRPr="00A87530">
        <w:rPr>
          <w:rFonts w:eastAsia="Times New Roman" w:cstheme="minorHAnsi"/>
          <w:lang w:val="en-US"/>
        </w:rPr>
        <w:t>of course design and student performance</w:t>
      </w:r>
      <w:r>
        <w:rPr>
          <w:rFonts w:eastAsia="Times New Roman" w:cstheme="minorHAnsi"/>
          <w:lang w:val="en-US"/>
        </w:rPr>
        <w:t>.</w:t>
      </w:r>
    </w:p>
    <w:p w14:paraId="5FD43FD1" w14:textId="77777777" w:rsidR="000A7FA9" w:rsidRDefault="000A7FA9" w:rsidP="003C545F">
      <w:pPr>
        <w:numPr>
          <w:ilvl w:val="0"/>
          <w:numId w:val="13"/>
        </w:numPr>
        <w:spacing w:before="0"/>
        <w:jc w:val="both"/>
        <w:rPr>
          <w:rFonts w:eastAsia="Times New Roman" w:cstheme="minorHAnsi"/>
          <w:lang w:val="en-US"/>
        </w:rPr>
      </w:pPr>
      <w:r>
        <w:rPr>
          <w:rFonts w:eastAsia="Times New Roman" w:cstheme="minorHAnsi"/>
          <w:b/>
          <w:lang w:val="en-US"/>
        </w:rPr>
        <w:t>Process</w:t>
      </w:r>
      <w:r w:rsidRPr="002E7211">
        <w:rPr>
          <w:rFonts w:eastAsia="Times New Roman" w:cstheme="minorHAnsi"/>
          <w:b/>
          <w:lang w:val="en-US"/>
        </w:rPr>
        <w:t xml:space="preserve"> benchmarking</w:t>
      </w:r>
      <w:r w:rsidRPr="002E7211">
        <w:rPr>
          <w:rFonts w:eastAsia="Times New Roman" w:cstheme="minorHAnsi"/>
          <w:lang w:val="en-US"/>
        </w:rPr>
        <w:t xml:space="preserve"> involving comparisons of </w:t>
      </w:r>
      <w:r>
        <w:rPr>
          <w:rFonts w:eastAsia="Times New Roman" w:cstheme="minorHAnsi"/>
          <w:lang w:val="en-US"/>
        </w:rPr>
        <w:t xml:space="preserve">particular </w:t>
      </w:r>
      <w:r w:rsidRPr="002E7211">
        <w:rPr>
          <w:rFonts w:eastAsia="Times New Roman" w:cstheme="minorHAnsi"/>
          <w:lang w:val="en-US"/>
        </w:rPr>
        <w:t>processes and practices</w:t>
      </w:r>
      <w:r>
        <w:rPr>
          <w:rFonts w:eastAsia="Times New Roman" w:cstheme="minorHAnsi"/>
          <w:lang w:val="en-US"/>
        </w:rPr>
        <w:t xml:space="preserve"> e.g. of cycle times, efficiency. </w:t>
      </w:r>
    </w:p>
    <w:p w14:paraId="6CA1301B" w14:textId="77777777" w:rsidR="000A7FA9" w:rsidRPr="002E7211" w:rsidRDefault="000A7FA9" w:rsidP="003C545F">
      <w:pPr>
        <w:numPr>
          <w:ilvl w:val="0"/>
          <w:numId w:val="13"/>
        </w:numPr>
        <w:spacing w:before="0"/>
        <w:jc w:val="both"/>
        <w:rPr>
          <w:rFonts w:eastAsia="Times New Roman" w:cstheme="minorHAnsi"/>
          <w:lang w:val="en-US"/>
        </w:rPr>
      </w:pPr>
      <w:r>
        <w:rPr>
          <w:rFonts w:eastAsia="Times New Roman" w:cstheme="minorHAnsi"/>
          <w:b/>
          <w:lang w:val="en-US"/>
        </w:rPr>
        <w:t xml:space="preserve">Outcomes benchmarking </w:t>
      </w:r>
      <w:r>
        <w:rPr>
          <w:rFonts w:eastAsia="Times New Roman" w:cstheme="minorHAnsi"/>
          <w:bCs/>
          <w:lang w:val="en-US"/>
        </w:rPr>
        <w:t xml:space="preserve">relating to the comparison of outcomes data, especially student outcomes such as attrition and completion rates. </w:t>
      </w:r>
    </w:p>
    <w:p w14:paraId="7EBF6D52" w14:textId="77777777" w:rsidR="000A7FA9" w:rsidRPr="00F247AD" w:rsidRDefault="000A7FA9" w:rsidP="003C545F">
      <w:pPr>
        <w:numPr>
          <w:ilvl w:val="0"/>
          <w:numId w:val="13"/>
        </w:numPr>
        <w:spacing w:before="0"/>
        <w:jc w:val="both"/>
        <w:rPr>
          <w:b/>
        </w:rPr>
      </w:pPr>
      <w:r w:rsidRPr="002E7211">
        <w:rPr>
          <w:rFonts w:eastAsia="Times New Roman" w:cstheme="minorHAnsi"/>
          <w:b/>
          <w:lang w:val="en-US"/>
        </w:rPr>
        <w:t>Best</w:t>
      </w:r>
      <w:r>
        <w:rPr>
          <w:rFonts w:eastAsia="Times New Roman" w:cstheme="minorHAnsi"/>
          <w:b/>
          <w:lang w:val="en-US"/>
        </w:rPr>
        <w:t>-</w:t>
      </w:r>
      <w:r w:rsidRPr="002E7211">
        <w:rPr>
          <w:rFonts w:eastAsia="Times New Roman" w:cstheme="minorHAnsi"/>
          <w:b/>
          <w:lang w:val="en-US"/>
        </w:rPr>
        <w:t>practice benchmarking</w:t>
      </w:r>
      <w:r w:rsidRPr="002E7211">
        <w:rPr>
          <w:rFonts w:eastAsia="Times New Roman" w:cstheme="minorHAnsi"/>
          <w:lang w:val="en-US"/>
        </w:rPr>
        <w:t xml:space="preserve"> in which the </w:t>
      </w:r>
      <w:r>
        <w:rPr>
          <w:rFonts w:eastAsia="Times New Roman" w:cstheme="minorHAnsi"/>
          <w:lang w:val="en-US"/>
        </w:rPr>
        <w:t>provider</w:t>
      </w:r>
      <w:r w:rsidRPr="002E7211">
        <w:rPr>
          <w:rFonts w:eastAsia="Times New Roman" w:cstheme="minorHAnsi"/>
          <w:lang w:val="en-US"/>
        </w:rPr>
        <w:t xml:space="preserve"> selects a comparator </w:t>
      </w:r>
      <w:r>
        <w:rPr>
          <w:rFonts w:eastAsia="Times New Roman" w:cstheme="minorHAnsi"/>
          <w:lang w:val="en-US"/>
        </w:rPr>
        <w:t>thought</w:t>
      </w:r>
      <w:r w:rsidRPr="002E7211">
        <w:rPr>
          <w:rFonts w:eastAsia="Times New Roman" w:cstheme="minorHAnsi"/>
          <w:lang w:val="en-US"/>
        </w:rPr>
        <w:t xml:space="preserve"> to </w:t>
      </w:r>
      <w:r>
        <w:rPr>
          <w:rFonts w:eastAsia="Times New Roman" w:cstheme="minorHAnsi"/>
          <w:lang w:val="en-US"/>
        </w:rPr>
        <w:t>be at the forefront in the area to be benchmarked.</w:t>
      </w:r>
    </w:p>
    <w:p w14:paraId="10D1EA30" w14:textId="77777777" w:rsidR="000A7FA9" w:rsidRPr="002438EC" w:rsidRDefault="000A7FA9" w:rsidP="000A7FA9">
      <w:pPr>
        <w:pStyle w:val="Heading4"/>
        <w:rPr>
          <w:lang w:val="en-US"/>
        </w:rPr>
      </w:pPr>
      <w:r w:rsidRPr="002438EC">
        <w:rPr>
          <w:lang w:val="en-US"/>
        </w:rPr>
        <w:lastRenderedPageBreak/>
        <w:t xml:space="preserve">Institutional benchmarks </w:t>
      </w:r>
    </w:p>
    <w:p w14:paraId="6011EF9A" w14:textId="77777777" w:rsidR="000A7FA9" w:rsidRPr="002438EC" w:rsidRDefault="000A7FA9" w:rsidP="000A7FA9">
      <w:r>
        <w:t xml:space="preserve">Institutional benchmarks </w:t>
      </w:r>
      <w:r w:rsidRPr="00F247AD">
        <w:t xml:space="preserve">might include minimum acceptable entry criteria, progression and completion rates, grade distributions, </w:t>
      </w:r>
      <w:proofErr w:type="gramStart"/>
      <w:r w:rsidRPr="00F247AD">
        <w:t>criteria</w:t>
      </w:r>
      <w:proofErr w:type="gramEnd"/>
      <w:r w:rsidRPr="00F247AD">
        <w:t xml:space="preserve"> for academic appointments and many others, several of which may be embedded in academic policy frameworks.</w:t>
      </w:r>
    </w:p>
    <w:p w14:paraId="2B21E1AE" w14:textId="77777777" w:rsidR="000A7FA9" w:rsidRDefault="000A7FA9" w:rsidP="000A7FA9">
      <w:pPr>
        <w:spacing w:before="0"/>
        <w:jc w:val="both"/>
        <w:rPr>
          <w:rFonts w:eastAsia="Times New Roman" w:cstheme="minorHAnsi"/>
          <w:lang w:val="en-US"/>
        </w:rPr>
      </w:pPr>
      <w:r>
        <w:rPr>
          <w:rFonts w:eastAsia="Times New Roman" w:cstheme="minorHAnsi"/>
          <w:lang w:val="en-US"/>
        </w:rPr>
        <w:t xml:space="preserve">Higher education providers may use one or more different types of benchmarking at the same time. </w:t>
      </w:r>
      <w:r w:rsidRPr="002E7211">
        <w:rPr>
          <w:rFonts w:eastAsia="Times New Roman" w:cstheme="minorHAnsi"/>
          <w:lang w:val="en-US"/>
        </w:rPr>
        <w:t xml:space="preserve">The </w:t>
      </w:r>
      <w:r>
        <w:rPr>
          <w:rFonts w:eastAsia="Times New Roman" w:cstheme="minorHAnsi"/>
          <w:lang w:val="en-US"/>
        </w:rPr>
        <w:t>HES Framework</w:t>
      </w:r>
      <w:r w:rsidRPr="002E7211">
        <w:rPr>
          <w:rFonts w:eastAsia="Times New Roman" w:cstheme="minorHAnsi"/>
          <w:lang w:val="en-US"/>
        </w:rPr>
        <w:t xml:space="preserve"> do</w:t>
      </w:r>
      <w:r>
        <w:rPr>
          <w:rFonts w:eastAsia="Times New Roman" w:cstheme="minorHAnsi"/>
          <w:lang w:val="en-US"/>
        </w:rPr>
        <w:t>es</w:t>
      </w:r>
      <w:r w:rsidRPr="002E7211">
        <w:rPr>
          <w:rFonts w:eastAsia="Times New Roman" w:cstheme="minorHAnsi"/>
          <w:lang w:val="en-US"/>
        </w:rPr>
        <w:t xml:space="preserve"> not prescribe </w:t>
      </w:r>
      <w:r>
        <w:rPr>
          <w:rFonts w:eastAsia="Times New Roman" w:cstheme="minorHAnsi"/>
          <w:lang w:val="en-US"/>
        </w:rPr>
        <w:t>that a provider should undertake all or any of</w:t>
      </w:r>
      <w:r w:rsidRPr="002E7211">
        <w:rPr>
          <w:rFonts w:eastAsia="Times New Roman" w:cstheme="minorHAnsi"/>
          <w:lang w:val="en-US"/>
        </w:rPr>
        <w:t xml:space="preserve"> these types of </w:t>
      </w:r>
      <w:r>
        <w:rPr>
          <w:rFonts w:eastAsia="Times New Roman" w:cstheme="minorHAnsi"/>
          <w:lang w:val="en-US"/>
        </w:rPr>
        <w:t xml:space="preserve">formal </w:t>
      </w:r>
      <w:r w:rsidRPr="002E7211">
        <w:rPr>
          <w:rFonts w:eastAsia="Times New Roman" w:cstheme="minorHAnsi"/>
          <w:lang w:val="en-US"/>
        </w:rPr>
        <w:t>benchmarking</w:t>
      </w:r>
      <w:r>
        <w:rPr>
          <w:rFonts w:eastAsia="Times New Roman" w:cstheme="minorHAnsi"/>
          <w:lang w:val="en-US"/>
        </w:rPr>
        <w:t xml:space="preserve">, although some are the subject of external referencing requirements. </w:t>
      </w:r>
    </w:p>
    <w:p w14:paraId="4DDB97EB" w14:textId="77777777" w:rsidR="000A7FA9" w:rsidRPr="00C9245C" w:rsidRDefault="000A7FA9" w:rsidP="000A7FA9">
      <w:pPr>
        <w:pStyle w:val="Heading4"/>
        <w:rPr>
          <w:lang w:val="en-US"/>
        </w:rPr>
      </w:pPr>
      <w:r>
        <w:rPr>
          <w:lang w:val="en-US"/>
        </w:rPr>
        <w:t>‘</w:t>
      </w:r>
      <w:r w:rsidRPr="00C9245C">
        <w:rPr>
          <w:lang w:val="en-US"/>
        </w:rPr>
        <w:t xml:space="preserve">Apples and </w:t>
      </w:r>
      <w:r>
        <w:rPr>
          <w:lang w:val="en-US"/>
        </w:rPr>
        <w:t>o</w:t>
      </w:r>
      <w:r w:rsidRPr="00C9245C">
        <w:rPr>
          <w:lang w:val="en-US"/>
        </w:rPr>
        <w:t>ranges</w:t>
      </w:r>
      <w:r>
        <w:rPr>
          <w:lang w:val="en-US"/>
        </w:rPr>
        <w:t>’</w:t>
      </w:r>
    </w:p>
    <w:p w14:paraId="7C5FE5B0" w14:textId="77777777" w:rsidR="000A7FA9" w:rsidRPr="00C9245C" w:rsidRDefault="000A7FA9" w:rsidP="000A7FA9">
      <w:pPr>
        <w:spacing w:before="0"/>
        <w:jc w:val="both"/>
        <w:rPr>
          <w:rFonts w:eastAsia="Times New Roman" w:cstheme="minorHAnsi"/>
          <w:lang w:val="en-US"/>
        </w:rPr>
      </w:pPr>
      <w:r>
        <w:rPr>
          <w:rFonts w:eastAsia="Times New Roman" w:cstheme="minorHAnsi"/>
          <w:lang w:val="en-US"/>
        </w:rPr>
        <w:t xml:space="preserve">It is sometimes argued that it is only meaningful to compare like with like, i.e. ‘apples with apples’. On the other hand, little may be learned from such a comparison. With some provisos, more is likely to come from a comparison of differences e.g. a more advanced and a less advanced process. In some cases, e.g. for process benchmarking, it may even be helpful to benchmark outside the sector, e.g. an admission </w:t>
      </w:r>
      <w:r w:rsidRPr="00433595">
        <w:rPr>
          <w:rFonts w:eastAsia="Times New Roman" w:cstheme="minorHAnsi"/>
          <w:i/>
          <w:lang w:val="en-US"/>
        </w:rPr>
        <w:t>process</w:t>
      </w:r>
      <w:r>
        <w:rPr>
          <w:rFonts w:eastAsia="Times New Roman" w:cstheme="minorHAnsi"/>
          <w:lang w:val="en-US"/>
        </w:rPr>
        <w:t xml:space="preserve"> may be informed by comparisons with a hotel or hospital. </w:t>
      </w:r>
    </w:p>
    <w:p w14:paraId="05FB908B" w14:textId="77777777" w:rsidR="000A7FA9" w:rsidRPr="009C7F5A" w:rsidRDefault="000A7FA9" w:rsidP="000A7FA9">
      <w:pPr>
        <w:pStyle w:val="Heading4"/>
        <w:rPr>
          <w:lang w:val="en-US"/>
        </w:rPr>
      </w:pPr>
      <w:r w:rsidRPr="009C7F5A">
        <w:rPr>
          <w:lang w:val="en-US"/>
        </w:rPr>
        <w:t xml:space="preserve">Benchmarking </w:t>
      </w:r>
      <w:r>
        <w:rPr>
          <w:lang w:val="en-US"/>
        </w:rPr>
        <w:t>e</w:t>
      </w:r>
      <w:r w:rsidRPr="009C7F5A">
        <w:rPr>
          <w:lang w:val="en-US"/>
        </w:rPr>
        <w:t>xercises</w:t>
      </w:r>
    </w:p>
    <w:p w14:paraId="1EE4E4DD" w14:textId="77777777" w:rsidR="000A7FA9" w:rsidRDefault="000A7FA9" w:rsidP="000A7FA9">
      <w:pPr>
        <w:jc w:val="both"/>
        <w:rPr>
          <w:rFonts w:eastAsia="Times New Roman" w:cstheme="minorHAnsi"/>
          <w:lang w:val="en-US"/>
        </w:rPr>
      </w:pPr>
      <w:r w:rsidRPr="002438EC">
        <w:rPr>
          <w:rFonts w:cs="Arial"/>
        </w:rPr>
        <w:t>Benchmarking exercises will characteristically investigate the interaction of processes and</w:t>
      </w:r>
      <w:r w:rsidRPr="00DB7168">
        <w:rPr>
          <w:rFonts w:eastAsia="Times New Roman" w:cstheme="minorHAnsi"/>
          <w:lang w:val="en-US"/>
        </w:rPr>
        <w:t xml:space="preserve"> outcomes. </w:t>
      </w:r>
    </w:p>
    <w:p w14:paraId="4E2CA6E2" w14:textId="77777777" w:rsidR="000A7FA9" w:rsidRDefault="000A7FA9" w:rsidP="000A7FA9">
      <w:pPr>
        <w:spacing w:before="240"/>
        <w:jc w:val="both"/>
        <w:rPr>
          <w:rFonts w:eastAsia="Times New Roman" w:cstheme="minorHAnsi"/>
          <w:lang w:val="en-US"/>
        </w:rPr>
      </w:pPr>
      <w:r>
        <w:rPr>
          <w:rFonts w:eastAsia="Times New Roman" w:cstheme="minorHAnsi"/>
          <w:lang w:val="en-US"/>
        </w:rPr>
        <w:t>Before embarking on a benchmarking exercise, providers should consider:</w:t>
      </w:r>
    </w:p>
    <w:p w14:paraId="220B1993" w14:textId="77777777" w:rsidR="000A7FA9" w:rsidRPr="009C34D2" w:rsidRDefault="000A7FA9" w:rsidP="003C545F">
      <w:pPr>
        <w:pStyle w:val="ListParagraph"/>
        <w:numPr>
          <w:ilvl w:val="0"/>
          <w:numId w:val="17"/>
        </w:numPr>
        <w:contextualSpacing w:val="0"/>
        <w:rPr>
          <w:rFonts w:cs="Arial"/>
        </w:rPr>
      </w:pPr>
      <w:proofErr w:type="gramStart"/>
      <w:r w:rsidRPr="009C34D2">
        <w:rPr>
          <w:rFonts w:cs="Arial"/>
        </w:rPr>
        <w:t>who</w:t>
      </w:r>
      <w:proofErr w:type="gramEnd"/>
      <w:r w:rsidRPr="009C34D2">
        <w:rPr>
          <w:rFonts w:cs="Arial"/>
        </w:rPr>
        <w:t xml:space="preserve"> are the prospective/suitable partners?</w:t>
      </w:r>
    </w:p>
    <w:p w14:paraId="1EE0DE57" w14:textId="77777777" w:rsidR="000A7FA9" w:rsidRPr="009C34D2" w:rsidRDefault="000A7FA9" w:rsidP="003C545F">
      <w:pPr>
        <w:pStyle w:val="ListParagraph"/>
        <w:numPr>
          <w:ilvl w:val="0"/>
          <w:numId w:val="17"/>
        </w:numPr>
        <w:contextualSpacing w:val="0"/>
        <w:rPr>
          <w:rFonts w:cs="Arial"/>
        </w:rPr>
      </w:pPr>
      <w:proofErr w:type="gramStart"/>
      <w:r w:rsidRPr="009C34D2">
        <w:rPr>
          <w:rFonts w:cs="Arial"/>
        </w:rPr>
        <w:t>what</w:t>
      </w:r>
      <w:proofErr w:type="gramEnd"/>
      <w:r w:rsidRPr="009C34D2">
        <w:rPr>
          <w:rFonts w:cs="Arial"/>
        </w:rPr>
        <w:t xml:space="preserve"> will be measured?</w:t>
      </w:r>
    </w:p>
    <w:p w14:paraId="33BE8374" w14:textId="77777777" w:rsidR="000A7FA9" w:rsidRPr="009C34D2" w:rsidRDefault="000A7FA9" w:rsidP="003C545F">
      <w:pPr>
        <w:pStyle w:val="ListParagraph"/>
        <w:numPr>
          <w:ilvl w:val="0"/>
          <w:numId w:val="17"/>
        </w:numPr>
        <w:contextualSpacing w:val="0"/>
        <w:rPr>
          <w:rFonts w:cs="Arial"/>
        </w:rPr>
      </w:pPr>
      <w:proofErr w:type="gramStart"/>
      <w:r w:rsidRPr="009C34D2">
        <w:rPr>
          <w:rFonts w:cs="Arial"/>
        </w:rPr>
        <w:t>how</w:t>
      </w:r>
      <w:proofErr w:type="gramEnd"/>
      <w:r w:rsidRPr="009C34D2">
        <w:rPr>
          <w:rFonts w:cs="Arial"/>
        </w:rPr>
        <w:t xml:space="preserve"> will results be compared between the partners?</w:t>
      </w:r>
    </w:p>
    <w:p w14:paraId="2EC5B66F" w14:textId="77777777" w:rsidR="000A7FA9" w:rsidRDefault="000A7FA9" w:rsidP="000A7FA9">
      <w:pPr>
        <w:spacing w:before="240"/>
        <w:jc w:val="both"/>
        <w:rPr>
          <w:rFonts w:eastAsia="Times New Roman" w:cstheme="minorHAnsi"/>
          <w:lang w:val="en-US"/>
        </w:rPr>
      </w:pPr>
      <w:r>
        <w:rPr>
          <w:rFonts w:eastAsia="Times New Roman" w:cstheme="minorHAnsi"/>
          <w:lang w:val="en-US"/>
        </w:rPr>
        <w:t>Choices or trade-offs will need to be made between the breadth (number of partners) and depth of assessment, as it will be more feasible to investigate more deeply with a smaller number of well-matched partners. Some providers will prefer to benchmark with partners at the level they aspire to rather than with their peers.</w:t>
      </w:r>
    </w:p>
    <w:p w14:paraId="71F48A20" w14:textId="77777777" w:rsidR="000A7FA9" w:rsidRDefault="000A7FA9" w:rsidP="000A7FA9">
      <w:pPr>
        <w:spacing w:before="240"/>
        <w:jc w:val="both"/>
        <w:rPr>
          <w:rFonts w:eastAsia="Times New Roman" w:cstheme="minorHAnsi"/>
          <w:lang w:val="en-US"/>
        </w:rPr>
      </w:pPr>
      <w:r>
        <w:rPr>
          <w:rFonts w:eastAsia="Times New Roman" w:cstheme="minorHAnsi"/>
          <w:lang w:val="en-US"/>
        </w:rPr>
        <w:t>In some parts of the sector it may be difficult to establish partnerships because of competitive tensions. Peak bodies (e.g. Council of Private Higher Education, Australian Council for Private Education and Training) are playing an increasing role in assisting providers in these circumstances.</w:t>
      </w:r>
    </w:p>
    <w:p w14:paraId="4D63EA9B" w14:textId="77777777" w:rsidR="000A7FA9" w:rsidRDefault="000A7FA9" w:rsidP="000A7FA9">
      <w:pPr>
        <w:spacing w:before="240"/>
        <w:jc w:val="both"/>
        <w:rPr>
          <w:rFonts w:eastAsia="Times New Roman" w:cstheme="minorHAnsi"/>
          <w:lang w:val="en-US"/>
        </w:rPr>
      </w:pPr>
      <w:r>
        <w:rPr>
          <w:rFonts w:eastAsia="Times New Roman" w:cstheme="minorHAnsi"/>
          <w:lang w:val="en-US"/>
        </w:rPr>
        <w:t xml:space="preserve">For providers considering benchmarking that is more investigative in nature and which goes beyond the sharing of data, there are six commonly adopted key phases, which are explained further in </w:t>
      </w:r>
      <w:r w:rsidRPr="002438EC">
        <w:rPr>
          <w:rFonts w:eastAsia="Times New Roman" w:cstheme="minorHAnsi"/>
          <w:lang w:val="en-US"/>
        </w:rPr>
        <w:t>Appendix B</w:t>
      </w:r>
      <w:r>
        <w:rPr>
          <w:rFonts w:eastAsia="Times New Roman" w:cstheme="minorHAnsi"/>
          <w:lang w:val="en-US"/>
        </w:rPr>
        <w:t xml:space="preserve">. </w:t>
      </w:r>
    </w:p>
    <w:p w14:paraId="0D2C1540" w14:textId="77777777" w:rsidR="000A7FA9" w:rsidRDefault="000A7FA9" w:rsidP="000A7FA9">
      <w:pPr>
        <w:spacing w:before="240"/>
        <w:jc w:val="both"/>
        <w:rPr>
          <w:rFonts w:eastAsia="Times New Roman" w:cstheme="minorHAnsi"/>
          <w:lang w:val="en-US"/>
        </w:rPr>
      </w:pPr>
      <w:r>
        <w:rPr>
          <w:noProof/>
          <w:lang w:eastAsia="en-AU"/>
        </w:rPr>
        <w:drawing>
          <wp:inline distT="0" distB="0" distL="0" distR="0" wp14:anchorId="50EE6B18" wp14:editId="658F5AD9">
            <wp:extent cx="5941060" cy="769620"/>
            <wp:effectExtent l="0" t="0" r="2540" b="0"/>
            <wp:docPr id="1" name="Picture 3" descr="Diagram of the six phases of benchmarking, namely Concept; Plan &amp; Design; Self-Review; Peer Review; Communicate and Implement Improvements; Evaluate and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1060" cy="769620"/>
                    </a:xfrm>
                    <a:prstGeom prst="rect">
                      <a:avLst/>
                    </a:prstGeom>
                    <a:noFill/>
                    <a:ln>
                      <a:noFill/>
                    </a:ln>
                    <a:effectLst/>
                    <a:extLst/>
                  </pic:spPr>
                </pic:pic>
              </a:graphicData>
            </a:graphic>
          </wp:inline>
        </w:drawing>
      </w:r>
    </w:p>
    <w:p w14:paraId="6F380307" w14:textId="77777777" w:rsidR="000A7FA9" w:rsidRPr="000D7000" w:rsidRDefault="000A7FA9" w:rsidP="000A7FA9">
      <w:pPr>
        <w:pStyle w:val="ListParagraph"/>
        <w:ind w:left="0"/>
        <w:rPr>
          <w:rFonts w:cs="Arial"/>
        </w:rPr>
      </w:pPr>
      <w:r w:rsidRPr="000D7000">
        <w:rPr>
          <w:rFonts w:cs="Arial"/>
        </w:rPr>
        <w:t xml:space="preserve">As outlined above, benchmarking is more </w:t>
      </w:r>
      <w:r>
        <w:rPr>
          <w:rFonts w:cs="Arial"/>
        </w:rPr>
        <w:t>than the comparison of data</w:t>
      </w:r>
      <w:r w:rsidRPr="000D7000">
        <w:rPr>
          <w:rFonts w:cs="Arial"/>
        </w:rPr>
        <w:t>. It is a process of continuously monitoring and evaluating the quality and effectiveness of a provider’s operations.</w:t>
      </w:r>
    </w:p>
    <w:p w14:paraId="52D90805" w14:textId="77777777" w:rsidR="000A7FA9" w:rsidRPr="00DB7168" w:rsidRDefault="000A7FA9" w:rsidP="000A7FA9">
      <w:pPr>
        <w:spacing w:before="0"/>
        <w:jc w:val="both"/>
        <w:rPr>
          <w:rFonts w:eastAsia="Times New Roman" w:cstheme="minorHAnsi"/>
          <w:lang w:val="en-US"/>
        </w:rPr>
      </w:pPr>
      <w:r>
        <w:rPr>
          <w:rFonts w:eastAsia="Times New Roman" w:cstheme="minorHAnsi"/>
          <w:lang w:val="en-US"/>
        </w:rPr>
        <w:lastRenderedPageBreak/>
        <w:t>The HES Framework does not prescribe any particular process, but below are some indicative elements that could contribute to meeting the expectations for external referencing:</w:t>
      </w:r>
    </w:p>
    <w:p w14:paraId="6B1597FB" w14:textId="77777777" w:rsidR="000A7FA9" w:rsidRPr="009C34D2" w:rsidRDefault="000A7FA9" w:rsidP="003C545F">
      <w:pPr>
        <w:pStyle w:val="ListParagraph"/>
        <w:numPr>
          <w:ilvl w:val="0"/>
          <w:numId w:val="18"/>
        </w:numPr>
        <w:contextualSpacing w:val="0"/>
        <w:rPr>
          <w:rFonts w:cs="Arial"/>
        </w:rPr>
      </w:pPr>
      <w:r w:rsidRPr="009C34D2">
        <w:rPr>
          <w:rFonts w:cs="Arial"/>
        </w:rPr>
        <w:t>identify areas for improvement and areas of good practice</w:t>
      </w:r>
    </w:p>
    <w:p w14:paraId="3674752A" w14:textId="77777777" w:rsidR="000A7FA9" w:rsidRPr="002438EC" w:rsidRDefault="000A7FA9" w:rsidP="003C545F">
      <w:pPr>
        <w:pStyle w:val="ListParagraph"/>
        <w:numPr>
          <w:ilvl w:val="1"/>
          <w:numId w:val="18"/>
        </w:numPr>
        <w:contextualSpacing w:val="0"/>
        <w:rPr>
          <w:rFonts w:cs="Arial"/>
        </w:rPr>
      </w:pPr>
      <w:r w:rsidRPr="002438EC">
        <w:rPr>
          <w:rFonts w:cs="Arial"/>
        </w:rPr>
        <w:t>evidence could include benchmarking reports</w:t>
      </w:r>
    </w:p>
    <w:p w14:paraId="2CBFA533" w14:textId="77777777" w:rsidR="000A7FA9" w:rsidRPr="009C34D2" w:rsidRDefault="000A7FA9" w:rsidP="003C545F">
      <w:pPr>
        <w:pStyle w:val="ListParagraph"/>
        <w:numPr>
          <w:ilvl w:val="0"/>
          <w:numId w:val="18"/>
        </w:numPr>
        <w:contextualSpacing w:val="0"/>
        <w:rPr>
          <w:rFonts w:cs="Arial"/>
        </w:rPr>
      </w:pPr>
      <w:r w:rsidRPr="009C34D2">
        <w:rPr>
          <w:rFonts w:cs="Arial"/>
        </w:rPr>
        <w:t>analyse the reasons for any variation or commonality</w:t>
      </w:r>
    </w:p>
    <w:p w14:paraId="4F31604E" w14:textId="77777777" w:rsidR="000A7FA9" w:rsidRPr="002438EC" w:rsidRDefault="000A7FA9" w:rsidP="003C545F">
      <w:pPr>
        <w:pStyle w:val="ListParagraph"/>
        <w:numPr>
          <w:ilvl w:val="1"/>
          <w:numId w:val="18"/>
        </w:numPr>
        <w:contextualSpacing w:val="0"/>
        <w:rPr>
          <w:rFonts w:cs="Arial"/>
        </w:rPr>
      </w:pPr>
      <w:r w:rsidRPr="002438EC">
        <w:rPr>
          <w:rFonts w:cs="Arial"/>
        </w:rPr>
        <w:t>evidence could include benchmarking reports and follow-up interviews</w:t>
      </w:r>
    </w:p>
    <w:p w14:paraId="344874D1" w14:textId="77777777" w:rsidR="000A7FA9" w:rsidRPr="009C34D2" w:rsidRDefault="000A7FA9" w:rsidP="003C545F">
      <w:pPr>
        <w:pStyle w:val="ListParagraph"/>
        <w:numPr>
          <w:ilvl w:val="0"/>
          <w:numId w:val="18"/>
        </w:numPr>
        <w:contextualSpacing w:val="0"/>
        <w:rPr>
          <w:rFonts w:cs="Arial"/>
        </w:rPr>
      </w:pPr>
      <w:r w:rsidRPr="009C34D2">
        <w:rPr>
          <w:rFonts w:cs="Arial"/>
        </w:rPr>
        <w:t>formulate improvement strategies</w:t>
      </w:r>
    </w:p>
    <w:p w14:paraId="5AB63FA7" w14:textId="77777777" w:rsidR="000A7FA9" w:rsidRPr="002438EC" w:rsidRDefault="000A7FA9" w:rsidP="003C545F">
      <w:pPr>
        <w:pStyle w:val="ListParagraph"/>
        <w:numPr>
          <w:ilvl w:val="1"/>
          <w:numId w:val="18"/>
        </w:numPr>
        <w:contextualSpacing w:val="0"/>
        <w:rPr>
          <w:rFonts w:cs="Arial"/>
        </w:rPr>
      </w:pPr>
      <w:r w:rsidRPr="002438EC">
        <w:rPr>
          <w:rFonts w:cs="Arial"/>
        </w:rPr>
        <w:t>evidence could include action plans or elements of other plans</w:t>
      </w:r>
    </w:p>
    <w:p w14:paraId="1CB4DFAF" w14:textId="77777777" w:rsidR="000A7FA9" w:rsidRPr="009C34D2" w:rsidRDefault="000A7FA9" w:rsidP="003C545F">
      <w:pPr>
        <w:pStyle w:val="ListParagraph"/>
        <w:numPr>
          <w:ilvl w:val="0"/>
          <w:numId w:val="18"/>
        </w:numPr>
        <w:contextualSpacing w:val="0"/>
        <w:rPr>
          <w:rFonts w:cs="Arial"/>
        </w:rPr>
      </w:pPr>
      <w:r w:rsidRPr="009C34D2">
        <w:rPr>
          <w:rFonts w:cs="Arial"/>
        </w:rPr>
        <w:t xml:space="preserve">report </w:t>
      </w:r>
      <w:r>
        <w:rPr>
          <w:rFonts w:cs="Arial"/>
        </w:rPr>
        <w:t xml:space="preserve">on </w:t>
      </w:r>
      <w:r w:rsidRPr="009C34D2">
        <w:rPr>
          <w:rFonts w:cs="Arial"/>
        </w:rPr>
        <w:t xml:space="preserve">the results and analysis of benchmarking, which should be internally considered by the appropriate governance body or person </w:t>
      </w:r>
    </w:p>
    <w:p w14:paraId="61F5F345" w14:textId="77777777" w:rsidR="000A7FA9" w:rsidRPr="002438EC" w:rsidRDefault="000A7FA9" w:rsidP="003C545F">
      <w:pPr>
        <w:pStyle w:val="ListParagraph"/>
        <w:numPr>
          <w:ilvl w:val="1"/>
          <w:numId w:val="18"/>
        </w:numPr>
        <w:contextualSpacing w:val="0"/>
        <w:rPr>
          <w:rFonts w:cs="Arial"/>
        </w:rPr>
      </w:pPr>
      <w:r w:rsidRPr="002438EC">
        <w:rPr>
          <w:rFonts w:cs="Arial"/>
        </w:rPr>
        <w:t>evidence of consideration could include minutes of meetings, emails, or file notes</w:t>
      </w:r>
    </w:p>
    <w:p w14:paraId="33828ED6" w14:textId="77777777" w:rsidR="000A7FA9" w:rsidRPr="009C34D2" w:rsidRDefault="000A7FA9" w:rsidP="003C545F">
      <w:pPr>
        <w:pStyle w:val="ListParagraph"/>
        <w:numPr>
          <w:ilvl w:val="0"/>
          <w:numId w:val="18"/>
        </w:numPr>
        <w:contextualSpacing w:val="0"/>
        <w:rPr>
          <w:rFonts w:cs="Arial"/>
        </w:rPr>
      </w:pPr>
      <w:r w:rsidRPr="009C34D2">
        <w:rPr>
          <w:rFonts w:cs="Arial"/>
        </w:rPr>
        <w:t>implement the agreed action plans</w:t>
      </w:r>
      <w:r>
        <w:rPr>
          <w:rFonts w:cs="Arial"/>
        </w:rPr>
        <w:t>, and</w:t>
      </w:r>
    </w:p>
    <w:p w14:paraId="32AE6961" w14:textId="77777777" w:rsidR="000A7FA9" w:rsidRPr="009C34D2" w:rsidRDefault="000A7FA9" w:rsidP="003C545F">
      <w:pPr>
        <w:pStyle w:val="ListParagraph"/>
        <w:numPr>
          <w:ilvl w:val="0"/>
          <w:numId w:val="18"/>
        </w:numPr>
        <w:contextualSpacing w:val="0"/>
        <w:rPr>
          <w:rFonts w:cs="Arial"/>
        </w:rPr>
      </w:pPr>
      <w:r w:rsidRPr="009C34D2">
        <w:rPr>
          <w:rFonts w:cs="Arial"/>
        </w:rPr>
        <w:t xml:space="preserve">review the outcomes of the implemented actions, both against the expected outcome </w:t>
      </w:r>
      <w:r>
        <w:rPr>
          <w:rFonts w:cs="Arial"/>
        </w:rPr>
        <w:t>and</w:t>
      </w:r>
      <w:r w:rsidRPr="009C34D2">
        <w:rPr>
          <w:rFonts w:cs="Arial"/>
        </w:rPr>
        <w:t xml:space="preserve"> against subsequent benchmarking results </w:t>
      </w:r>
    </w:p>
    <w:p w14:paraId="680D8C92" w14:textId="77777777" w:rsidR="000A7FA9" w:rsidRPr="002438EC" w:rsidRDefault="000A7FA9" w:rsidP="003C545F">
      <w:pPr>
        <w:pStyle w:val="ListParagraph"/>
        <w:numPr>
          <w:ilvl w:val="1"/>
          <w:numId w:val="18"/>
        </w:numPr>
        <w:contextualSpacing w:val="0"/>
        <w:rPr>
          <w:rFonts w:cs="Arial"/>
        </w:rPr>
      </w:pPr>
      <w:proofErr w:type="gramStart"/>
      <w:r w:rsidRPr="002438EC">
        <w:rPr>
          <w:rFonts w:cs="Arial"/>
        </w:rPr>
        <w:t>evidence</w:t>
      </w:r>
      <w:proofErr w:type="gramEnd"/>
      <w:r w:rsidRPr="002438EC">
        <w:rPr>
          <w:rFonts w:cs="Arial"/>
        </w:rPr>
        <w:t xml:space="preserve"> could include progress reports back to managers and governance bodies.</w:t>
      </w:r>
    </w:p>
    <w:p w14:paraId="6AD6B12D" w14:textId="77777777" w:rsidR="000A7FA9" w:rsidRPr="009C7F5A" w:rsidRDefault="000A7FA9" w:rsidP="000A7FA9">
      <w:pPr>
        <w:pStyle w:val="Heading4"/>
        <w:rPr>
          <w:lang w:val="en-US"/>
        </w:rPr>
      </w:pPr>
      <w:r w:rsidRPr="009C7F5A">
        <w:rPr>
          <w:lang w:val="en-US"/>
        </w:rPr>
        <w:t xml:space="preserve">Institutional context </w:t>
      </w:r>
    </w:p>
    <w:p w14:paraId="4957FA04" w14:textId="77777777" w:rsidR="000A7FA9" w:rsidRDefault="000A7FA9" w:rsidP="000A7FA9">
      <w:r>
        <w:t xml:space="preserve">For benchmarking to be successfully implemented in higher education providers, it has to become the ‘way things get done’. Institutional processes need to support benchmarking exercises, including policies and procedures, and adequate resourcing needs to be considered, including administrative and management support. For benchmarking to be a key strategy for institutional organisational change, it needs to be endorsed and supported by senior executive leadership. For benchmarking exercises to be truly successful, there has to be a bottom-up empowerment where there is a sharing of expertise. Collaboration and openness are key ingredients for effective benchmarking exercises. Benchmarking then becomes a shared conversation and a form of peer development, as well as a mechanism to drive institutional change and quality improvement. </w:t>
      </w:r>
    </w:p>
    <w:p w14:paraId="4F1F503B" w14:textId="77777777" w:rsidR="000A7FA9" w:rsidRPr="006E1383" w:rsidRDefault="000A7FA9" w:rsidP="000A7FA9"/>
    <w:p w14:paraId="7F55CD08" w14:textId="77777777" w:rsidR="000A7FA9" w:rsidRDefault="000A7FA9" w:rsidP="000A7FA9">
      <w:pPr>
        <w:spacing w:before="0" w:after="200" w:line="276" w:lineRule="auto"/>
        <w:rPr>
          <w:rFonts w:ascii="Georgia" w:hAnsi="Georgia"/>
          <w:b/>
          <w:i/>
          <w:color w:val="FFFFFF" w:themeColor="background1"/>
          <w:sz w:val="32"/>
          <w:szCs w:val="32"/>
        </w:rPr>
      </w:pPr>
      <w:r>
        <w:rPr>
          <w:rFonts w:ascii="Georgia" w:hAnsi="Georgia"/>
          <w:b/>
          <w:i/>
          <w:color w:val="FFFFFF" w:themeColor="background1"/>
          <w:sz w:val="32"/>
          <w:szCs w:val="32"/>
        </w:rPr>
        <w:br w:type="page"/>
      </w:r>
    </w:p>
    <w:p w14:paraId="19A7B7CD" w14:textId="77777777" w:rsidR="000A7FA9" w:rsidRDefault="000A7FA9" w:rsidP="000A7FA9">
      <w:pPr>
        <w:spacing w:before="0" w:after="200" w:line="276" w:lineRule="auto"/>
        <w:rPr>
          <w:rFonts w:ascii="Georgia" w:hAnsi="Georgia"/>
          <w:b/>
          <w:color w:val="FFFFFF" w:themeColor="background1"/>
          <w:sz w:val="32"/>
          <w:szCs w:val="32"/>
        </w:rPr>
      </w:pPr>
      <w:r w:rsidRPr="002A2A60">
        <w:rPr>
          <w:rStyle w:val="Heading2Char"/>
        </w:rPr>
        <w:lastRenderedPageBreak/>
        <w:t>Appendix B</w:t>
      </w:r>
    </w:p>
    <w:p w14:paraId="5242EBBE" w14:textId="77777777" w:rsidR="000A7FA9" w:rsidRPr="00DC2663" w:rsidRDefault="000A7FA9" w:rsidP="000A7FA9">
      <w:pPr>
        <w:pStyle w:val="Heading3"/>
        <w:rPr>
          <w:lang w:val="en-US"/>
        </w:rPr>
      </w:pPr>
      <w:r w:rsidRPr="00DC2663">
        <w:rPr>
          <w:lang w:val="en-US"/>
        </w:rPr>
        <w:t>Six phases of benchmarking</w:t>
      </w:r>
    </w:p>
    <w:p w14:paraId="6C5AC1AC" w14:textId="77777777" w:rsidR="00060EF6" w:rsidRDefault="00060EF6" w:rsidP="00060EF6">
      <w:pPr>
        <w:pStyle w:val="Heading4"/>
        <w:rPr>
          <w:lang w:val="en-US"/>
        </w:rPr>
      </w:pPr>
      <w:r>
        <w:rPr>
          <w:lang w:val="en-US"/>
        </w:rPr>
        <w:t>Purpose</w:t>
      </w:r>
    </w:p>
    <w:p w14:paraId="70C4C1AB" w14:textId="77777777" w:rsidR="00060EF6" w:rsidRPr="00060EF6" w:rsidRDefault="00060EF6" w:rsidP="00060EF6">
      <w:pPr>
        <w:rPr>
          <w:lang w:val="en-US"/>
        </w:rPr>
      </w:pPr>
      <w:r>
        <w:rPr>
          <w:lang w:val="en-US"/>
        </w:rPr>
        <w:t xml:space="preserve">This appendix provides additional guidance drawn from typical practices; it is not intended to be prescriptive or a template. </w:t>
      </w:r>
    </w:p>
    <w:p w14:paraId="4746A366" w14:textId="77777777" w:rsidR="00060EF6" w:rsidRDefault="00060EF6" w:rsidP="000A7FA9">
      <w:pPr>
        <w:ind w:left="3"/>
        <w:jc w:val="both"/>
        <w:rPr>
          <w:rFonts w:eastAsia="Times New Roman" w:cstheme="minorHAnsi"/>
          <w:b/>
          <w:bCs/>
          <w:lang w:val="en-US"/>
        </w:rPr>
      </w:pPr>
    </w:p>
    <w:p w14:paraId="7BF757A4" w14:textId="77777777" w:rsidR="000A7FA9" w:rsidRPr="009102AA" w:rsidRDefault="000A7FA9" w:rsidP="000A7FA9">
      <w:pPr>
        <w:ind w:left="3"/>
        <w:jc w:val="both"/>
        <w:rPr>
          <w:rFonts w:eastAsia="Times New Roman" w:cstheme="minorHAnsi"/>
          <w:b/>
          <w:bCs/>
          <w:lang w:val="en-US"/>
        </w:rPr>
      </w:pPr>
      <w:r w:rsidRPr="009102AA">
        <w:rPr>
          <w:rFonts w:eastAsia="Times New Roman" w:cstheme="minorHAnsi"/>
          <w:b/>
          <w:bCs/>
          <w:lang w:val="en-US"/>
        </w:rPr>
        <w:t xml:space="preserve">Phase 1: Concept </w:t>
      </w:r>
      <w:r>
        <w:rPr>
          <w:rFonts w:eastAsia="Times New Roman" w:cstheme="minorHAnsi"/>
          <w:b/>
          <w:bCs/>
          <w:lang w:val="en-US"/>
        </w:rPr>
        <w:t>and scope</w:t>
      </w:r>
    </w:p>
    <w:p w14:paraId="5AEA3BBE" w14:textId="77777777" w:rsidR="000A7FA9" w:rsidRDefault="000A7FA9" w:rsidP="000A7FA9">
      <w:pPr>
        <w:jc w:val="both"/>
        <w:rPr>
          <w:rFonts w:eastAsia="Times New Roman" w:cstheme="minorHAnsi"/>
          <w:lang w:val="en-US"/>
        </w:rPr>
      </w:pPr>
      <w:r>
        <w:rPr>
          <w:rFonts w:eastAsia="Times New Roman" w:cstheme="minorHAnsi"/>
          <w:lang w:val="en-US"/>
        </w:rPr>
        <w:t xml:space="preserve">This phase is about deciding what type of benchmarking to use, how to undertake it and with whom. Providers need to have a shared commitment and understanding of benchmarking goals. </w:t>
      </w:r>
    </w:p>
    <w:p w14:paraId="6702C9F4" w14:textId="77777777" w:rsidR="000A7FA9" w:rsidRPr="00B145C6" w:rsidRDefault="000A7FA9" w:rsidP="000A7FA9">
      <w:pPr>
        <w:ind w:left="3"/>
        <w:jc w:val="both"/>
        <w:rPr>
          <w:rFonts w:eastAsia="Times New Roman" w:cstheme="minorHAnsi"/>
          <w:b/>
          <w:bCs/>
          <w:lang w:val="en-US"/>
        </w:rPr>
      </w:pPr>
      <w:r w:rsidRPr="00B145C6">
        <w:rPr>
          <w:rFonts w:eastAsia="Times New Roman" w:cstheme="minorHAnsi"/>
          <w:b/>
          <w:bCs/>
          <w:lang w:val="en-US"/>
        </w:rPr>
        <w:t xml:space="preserve">Phase 2: Plan &amp; </w:t>
      </w:r>
      <w:r>
        <w:rPr>
          <w:rFonts w:eastAsia="Times New Roman" w:cstheme="minorHAnsi"/>
          <w:b/>
          <w:bCs/>
          <w:lang w:val="en-US"/>
        </w:rPr>
        <w:t>d</w:t>
      </w:r>
      <w:r w:rsidRPr="00B145C6">
        <w:rPr>
          <w:rFonts w:eastAsia="Times New Roman" w:cstheme="minorHAnsi"/>
          <w:b/>
          <w:bCs/>
          <w:lang w:val="en-US"/>
        </w:rPr>
        <w:t xml:space="preserve">esign </w:t>
      </w:r>
    </w:p>
    <w:p w14:paraId="710A7EFD" w14:textId="77777777" w:rsidR="000A7FA9" w:rsidRDefault="000A7FA9" w:rsidP="000A7FA9">
      <w:pPr>
        <w:jc w:val="both"/>
        <w:rPr>
          <w:rFonts w:eastAsia="Times New Roman" w:cstheme="minorHAnsi"/>
          <w:lang w:val="en-US"/>
        </w:rPr>
      </w:pPr>
      <w:r>
        <w:rPr>
          <w:rFonts w:eastAsia="Times New Roman" w:cstheme="minorHAnsi"/>
          <w:lang w:val="en-US"/>
        </w:rPr>
        <w:t>This phase is critical in identifying and agreeing on the benchmarking project’s objectives, scope (as well as what is not in scope), schedule, allocation of tasks, timelines and deliverables and development of a project plan, project team, reference group, and communication plan.</w:t>
      </w:r>
    </w:p>
    <w:p w14:paraId="3AB69896" w14:textId="77777777" w:rsidR="000A7FA9" w:rsidRPr="00B145C6" w:rsidRDefault="000A7FA9" w:rsidP="000A7FA9">
      <w:pPr>
        <w:ind w:left="3"/>
        <w:jc w:val="both"/>
        <w:rPr>
          <w:rFonts w:eastAsia="Times New Roman" w:cstheme="minorHAnsi"/>
          <w:b/>
          <w:bCs/>
          <w:lang w:val="en-US"/>
        </w:rPr>
      </w:pPr>
      <w:r w:rsidRPr="00B145C6">
        <w:rPr>
          <w:rFonts w:eastAsia="Times New Roman" w:cstheme="minorHAnsi"/>
          <w:b/>
          <w:bCs/>
          <w:lang w:val="en-US"/>
        </w:rPr>
        <w:t>Phase 3: Self</w:t>
      </w:r>
      <w:r>
        <w:rPr>
          <w:rFonts w:eastAsia="Times New Roman" w:cstheme="minorHAnsi"/>
          <w:b/>
          <w:bCs/>
          <w:lang w:val="en-US"/>
        </w:rPr>
        <w:t>-r</w:t>
      </w:r>
      <w:r w:rsidRPr="00B145C6">
        <w:rPr>
          <w:rFonts w:eastAsia="Times New Roman" w:cstheme="minorHAnsi"/>
          <w:b/>
          <w:bCs/>
          <w:lang w:val="en-US"/>
        </w:rPr>
        <w:t xml:space="preserve">eview </w:t>
      </w:r>
    </w:p>
    <w:p w14:paraId="0A0882E5" w14:textId="77777777" w:rsidR="000A7FA9" w:rsidRDefault="000A7FA9" w:rsidP="000A7FA9">
      <w:pPr>
        <w:jc w:val="both"/>
        <w:rPr>
          <w:rFonts w:eastAsia="Times New Roman" w:cstheme="minorHAnsi"/>
          <w:lang w:val="en-US"/>
        </w:rPr>
      </w:pPr>
      <w:r>
        <w:rPr>
          <w:rFonts w:eastAsia="Times New Roman" w:cstheme="minorHAnsi"/>
          <w:lang w:val="en-US"/>
        </w:rPr>
        <w:t xml:space="preserve">This phase includes: </w:t>
      </w:r>
    </w:p>
    <w:p w14:paraId="03923ADA" w14:textId="77777777" w:rsidR="000A7FA9" w:rsidRPr="009C34D2" w:rsidRDefault="000A7FA9" w:rsidP="003C545F">
      <w:pPr>
        <w:pStyle w:val="ListParagraph"/>
        <w:numPr>
          <w:ilvl w:val="0"/>
          <w:numId w:val="19"/>
        </w:numPr>
        <w:contextualSpacing w:val="0"/>
        <w:rPr>
          <w:rFonts w:cs="Arial"/>
        </w:rPr>
      </w:pPr>
      <w:r w:rsidRPr="00041EEC">
        <w:rPr>
          <w:rFonts w:cs="Arial"/>
        </w:rPr>
        <w:t>planning self-review activities</w:t>
      </w:r>
    </w:p>
    <w:p w14:paraId="1BE85E64" w14:textId="77777777" w:rsidR="000A7FA9" w:rsidRPr="009C34D2" w:rsidRDefault="000A7FA9" w:rsidP="003C545F">
      <w:pPr>
        <w:pStyle w:val="ListParagraph"/>
        <w:numPr>
          <w:ilvl w:val="0"/>
          <w:numId w:val="19"/>
        </w:numPr>
        <w:contextualSpacing w:val="0"/>
        <w:rPr>
          <w:rFonts w:cs="Arial"/>
        </w:rPr>
      </w:pPr>
      <w:r w:rsidRPr="00041EEC">
        <w:rPr>
          <w:rFonts w:cs="Arial"/>
        </w:rPr>
        <w:t>identifying key stakeholders to answer particular sections</w:t>
      </w:r>
    </w:p>
    <w:p w14:paraId="3C79E7B6" w14:textId="77777777" w:rsidR="000A7FA9" w:rsidRPr="009C34D2" w:rsidRDefault="000A7FA9" w:rsidP="003C545F">
      <w:pPr>
        <w:pStyle w:val="ListParagraph"/>
        <w:numPr>
          <w:ilvl w:val="0"/>
          <w:numId w:val="19"/>
        </w:numPr>
        <w:contextualSpacing w:val="0"/>
        <w:rPr>
          <w:rFonts w:cs="Arial"/>
        </w:rPr>
      </w:pPr>
      <w:r w:rsidRPr="00041EEC">
        <w:rPr>
          <w:rFonts w:cs="Arial"/>
        </w:rPr>
        <w:t>writing up institutional context statements for peer review workshop</w:t>
      </w:r>
    </w:p>
    <w:p w14:paraId="2BBB129A" w14:textId="77777777" w:rsidR="000A7FA9" w:rsidRPr="009C34D2" w:rsidRDefault="000A7FA9" w:rsidP="003C545F">
      <w:pPr>
        <w:pStyle w:val="ListParagraph"/>
        <w:numPr>
          <w:ilvl w:val="0"/>
          <w:numId w:val="19"/>
        </w:numPr>
        <w:contextualSpacing w:val="0"/>
        <w:rPr>
          <w:rFonts w:cs="Arial"/>
        </w:rPr>
      </w:pPr>
      <w:r w:rsidRPr="00041EEC">
        <w:rPr>
          <w:rFonts w:cs="Arial"/>
        </w:rPr>
        <w:t>collecting evidence from as many sources and stakeholders as possible</w:t>
      </w:r>
    </w:p>
    <w:p w14:paraId="42C55D7C" w14:textId="77777777" w:rsidR="000A7FA9" w:rsidRPr="00041EEC" w:rsidRDefault="000A7FA9" w:rsidP="003C545F">
      <w:pPr>
        <w:pStyle w:val="ListParagraph"/>
        <w:numPr>
          <w:ilvl w:val="0"/>
          <w:numId w:val="19"/>
        </w:numPr>
        <w:contextualSpacing w:val="0"/>
        <w:rPr>
          <w:rFonts w:cs="Arial"/>
        </w:rPr>
      </w:pPr>
      <w:proofErr w:type="gramStart"/>
      <w:r w:rsidRPr="00041EEC">
        <w:rPr>
          <w:rFonts w:cs="Arial"/>
        </w:rPr>
        <w:t>triangulating</w:t>
      </w:r>
      <w:proofErr w:type="gramEnd"/>
      <w:r w:rsidRPr="00041EEC">
        <w:rPr>
          <w:rFonts w:cs="Arial"/>
        </w:rPr>
        <w:t xml:space="preserve"> the evidence using focus groups, surveys and interviews to gather data for analysis and consideration.</w:t>
      </w:r>
      <w:r w:rsidRPr="009C34D2">
        <w:rPr>
          <w:rFonts w:cs="Arial"/>
        </w:rPr>
        <w:t xml:space="preserve"> </w:t>
      </w:r>
    </w:p>
    <w:p w14:paraId="28A03916" w14:textId="77777777" w:rsidR="000A7FA9" w:rsidRDefault="000A7FA9" w:rsidP="000A7FA9">
      <w:pPr>
        <w:ind w:left="3"/>
        <w:jc w:val="both"/>
        <w:rPr>
          <w:rFonts w:eastAsia="Times New Roman" w:cstheme="minorHAnsi"/>
          <w:b/>
          <w:bCs/>
          <w:lang w:val="en-US"/>
        </w:rPr>
      </w:pPr>
      <w:r w:rsidRPr="00B145C6">
        <w:rPr>
          <w:rFonts w:eastAsia="Times New Roman" w:cstheme="minorHAnsi"/>
          <w:b/>
          <w:bCs/>
          <w:lang w:val="en-US"/>
        </w:rPr>
        <w:t xml:space="preserve">Phase 4: Peer </w:t>
      </w:r>
      <w:r>
        <w:rPr>
          <w:rFonts w:eastAsia="Times New Roman" w:cstheme="minorHAnsi"/>
          <w:b/>
          <w:bCs/>
          <w:lang w:val="en-US"/>
        </w:rPr>
        <w:t>r</w:t>
      </w:r>
      <w:r w:rsidRPr="00B145C6">
        <w:rPr>
          <w:rFonts w:eastAsia="Times New Roman" w:cstheme="minorHAnsi"/>
          <w:b/>
          <w:bCs/>
          <w:lang w:val="en-US"/>
        </w:rPr>
        <w:t>eview</w:t>
      </w:r>
    </w:p>
    <w:p w14:paraId="25BACF12" w14:textId="77777777" w:rsidR="000A7FA9" w:rsidRDefault="000A7FA9" w:rsidP="000A7FA9">
      <w:pPr>
        <w:jc w:val="both"/>
        <w:rPr>
          <w:rFonts w:eastAsia="Times New Roman" w:cstheme="minorHAnsi"/>
          <w:lang w:val="en-US"/>
        </w:rPr>
      </w:pPr>
      <w:r>
        <w:rPr>
          <w:rFonts w:eastAsia="Times New Roman" w:cstheme="minorHAnsi"/>
          <w:lang w:val="en-US"/>
        </w:rPr>
        <w:t xml:space="preserve">A common and useful element of the review process is to conduct a peer review workshop (face-to-face and/or online) with the benchmarking partners comparing processes and data. The key aims of the workshop are: </w:t>
      </w:r>
    </w:p>
    <w:p w14:paraId="0AA6A35C" w14:textId="77777777" w:rsidR="000A7FA9" w:rsidRPr="009C34D2" w:rsidRDefault="000A7FA9" w:rsidP="003C545F">
      <w:pPr>
        <w:pStyle w:val="ListParagraph"/>
        <w:numPr>
          <w:ilvl w:val="0"/>
          <w:numId w:val="20"/>
        </w:numPr>
        <w:contextualSpacing w:val="0"/>
        <w:rPr>
          <w:rFonts w:cs="Arial"/>
        </w:rPr>
      </w:pPr>
      <w:r w:rsidRPr="009C34D2">
        <w:rPr>
          <w:rFonts w:cs="Arial"/>
        </w:rPr>
        <w:t xml:space="preserve">to identify areas of good practice </w:t>
      </w:r>
    </w:p>
    <w:p w14:paraId="35D5AE47" w14:textId="77777777" w:rsidR="000A7FA9" w:rsidRPr="009C34D2" w:rsidRDefault="000A7FA9" w:rsidP="003C545F">
      <w:pPr>
        <w:pStyle w:val="ListParagraph"/>
        <w:numPr>
          <w:ilvl w:val="0"/>
          <w:numId w:val="20"/>
        </w:numPr>
        <w:contextualSpacing w:val="0"/>
        <w:rPr>
          <w:rFonts w:cs="Arial"/>
        </w:rPr>
      </w:pPr>
      <w:r w:rsidRPr="009C34D2">
        <w:rPr>
          <w:rFonts w:cs="Arial"/>
        </w:rPr>
        <w:t>to identify areas for improvement</w:t>
      </w:r>
    </w:p>
    <w:p w14:paraId="618BB9ED" w14:textId="77777777" w:rsidR="000A7FA9" w:rsidRPr="009C34D2" w:rsidRDefault="000A7FA9" w:rsidP="003C545F">
      <w:pPr>
        <w:pStyle w:val="ListParagraph"/>
        <w:numPr>
          <w:ilvl w:val="0"/>
          <w:numId w:val="20"/>
        </w:numPr>
        <w:contextualSpacing w:val="0"/>
        <w:rPr>
          <w:rFonts w:cs="Arial"/>
        </w:rPr>
      </w:pPr>
      <w:proofErr w:type="gramStart"/>
      <w:r w:rsidRPr="009C34D2">
        <w:rPr>
          <w:rFonts w:cs="Arial"/>
        </w:rPr>
        <w:t>to</w:t>
      </w:r>
      <w:proofErr w:type="gramEnd"/>
      <w:r w:rsidRPr="009C34D2">
        <w:rPr>
          <w:rFonts w:cs="Arial"/>
        </w:rPr>
        <w:t xml:space="preserve"> identify areas for sharing and collaboration. </w:t>
      </w:r>
    </w:p>
    <w:p w14:paraId="486894A9" w14:textId="77777777" w:rsidR="000A7FA9" w:rsidRDefault="000A7FA9" w:rsidP="000A7FA9">
      <w:pPr>
        <w:ind w:left="3"/>
        <w:jc w:val="both"/>
        <w:rPr>
          <w:rFonts w:eastAsia="Times New Roman" w:cstheme="minorHAnsi"/>
          <w:lang w:val="en-US"/>
        </w:rPr>
      </w:pPr>
      <w:r>
        <w:rPr>
          <w:rFonts w:eastAsia="Times New Roman" w:cstheme="minorHAnsi"/>
          <w:lang w:val="en-US"/>
        </w:rPr>
        <w:t xml:space="preserve">The peer review workshop is also an external validation and calibration exercise to assist providers to understand the quality of their processes. </w:t>
      </w:r>
    </w:p>
    <w:p w14:paraId="6F1BEFE2" w14:textId="77777777" w:rsidR="000A7FA9" w:rsidRPr="00C4612F" w:rsidRDefault="000A7FA9" w:rsidP="000A7FA9">
      <w:pPr>
        <w:ind w:left="3"/>
        <w:jc w:val="both"/>
        <w:rPr>
          <w:rFonts w:eastAsia="Times New Roman" w:cstheme="minorHAnsi"/>
          <w:b/>
          <w:bCs/>
          <w:lang w:val="en-US"/>
        </w:rPr>
      </w:pPr>
      <w:r w:rsidRPr="00C4612F">
        <w:rPr>
          <w:rFonts w:eastAsia="Times New Roman" w:cstheme="minorHAnsi"/>
          <w:b/>
          <w:bCs/>
          <w:lang w:val="en-US"/>
        </w:rPr>
        <w:t xml:space="preserve">Phase 5: Communicate and </w:t>
      </w:r>
      <w:r>
        <w:rPr>
          <w:rFonts w:eastAsia="Times New Roman" w:cstheme="minorHAnsi"/>
          <w:b/>
          <w:bCs/>
          <w:lang w:val="en-US"/>
        </w:rPr>
        <w:t>i</w:t>
      </w:r>
      <w:r w:rsidRPr="00C4612F">
        <w:rPr>
          <w:rFonts w:eastAsia="Times New Roman" w:cstheme="minorHAnsi"/>
          <w:b/>
          <w:bCs/>
          <w:lang w:val="en-US"/>
        </w:rPr>
        <w:t xml:space="preserve">mplement </w:t>
      </w:r>
      <w:r>
        <w:rPr>
          <w:rFonts w:eastAsia="Times New Roman" w:cstheme="minorHAnsi"/>
          <w:b/>
          <w:bCs/>
          <w:lang w:val="en-US"/>
        </w:rPr>
        <w:t>i</w:t>
      </w:r>
      <w:r w:rsidRPr="00C4612F">
        <w:rPr>
          <w:rFonts w:eastAsia="Times New Roman" w:cstheme="minorHAnsi"/>
          <w:b/>
          <w:bCs/>
          <w:lang w:val="en-US"/>
        </w:rPr>
        <w:t xml:space="preserve">mprovements </w:t>
      </w:r>
    </w:p>
    <w:p w14:paraId="1DCE9ECD" w14:textId="77777777" w:rsidR="000A7FA9" w:rsidRPr="00C4612F" w:rsidRDefault="000A7FA9" w:rsidP="000A7FA9">
      <w:pPr>
        <w:ind w:left="3"/>
        <w:jc w:val="both"/>
        <w:rPr>
          <w:rFonts w:eastAsia="Times New Roman" w:cstheme="minorHAnsi"/>
          <w:lang w:val="en-US"/>
        </w:rPr>
      </w:pPr>
      <w:r>
        <w:rPr>
          <w:rFonts w:eastAsia="Times New Roman" w:cstheme="minorHAnsi"/>
          <w:lang w:val="en-US"/>
        </w:rPr>
        <w:t xml:space="preserve">This phase is about communicating the findings from the peer review workshop and implementing improvements. Discussions need to consider who is responsible for carrying out these improvements and whether these improvements carry significant budget implications. Reports need to be submitted to the appropriate academic governance body or manager. </w:t>
      </w:r>
    </w:p>
    <w:p w14:paraId="1AAECEF4" w14:textId="77777777" w:rsidR="000A7FA9" w:rsidRPr="00C4612F" w:rsidRDefault="000A7FA9" w:rsidP="000A7FA9">
      <w:pPr>
        <w:ind w:left="3"/>
        <w:jc w:val="both"/>
        <w:rPr>
          <w:rFonts w:eastAsia="Times New Roman" w:cstheme="minorHAnsi"/>
          <w:b/>
          <w:bCs/>
          <w:lang w:val="en-US"/>
        </w:rPr>
      </w:pPr>
      <w:r w:rsidRPr="00C4612F">
        <w:rPr>
          <w:rFonts w:eastAsia="Times New Roman" w:cstheme="minorHAnsi"/>
          <w:b/>
          <w:bCs/>
          <w:lang w:val="en-US"/>
        </w:rPr>
        <w:lastRenderedPageBreak/>
        <w:t xml:space="preserve">Phase 6: Evaluate and </w:t>
      </w:r>
      <w:r>
        <w:rPr>
          <w:rFonts w:eastAsia="Times New Roman" w:cstheme="minorHAnsi"/>
          <w:b/>
          <w:bCs/>
          <w:lang w:val="en-US"/>
        </w:rPr>
        <w:t>r</w:t>
      </w:r>
      <w:r w:rsidRPr="00C4612F">
        <w:rPr>
          <w:rFonts w:eastAsia="Times New Roman" w:cstheme="minorHAnsi"/>
          <w:b/>
          <w:bCs/>
          <w:lang w:val="en-US"/>
        </w:rPr>
        <w:t xml:space="preserve">eview </w:t>
      </w:r>
    </w:p>
    <w:p w14:paraId="3F462E1F" w14:textId="77777777" w:rsidR="000A7FA9" w:rsidRDefault="000A7FA9" w:rsidP="000A7FA9">
      <w:pPr>
        <w:ind w:left="3"/>
        <w:jc w:val="both"/>
        <w:rPr>
          <w:rFonts w:eastAsia="Times New Roman" w:cstheme="minorHAnsi"/>
          <w:lang w:val="en-US"/>
        </w:rPr>
      </w:pPr>
      <w:r>
        <w:rPr>
          <w:rFonts w:eastAsia="Times New Roman" w:cstheme="minorHAnsi"/>
          <w:lang w:val="en-US"/>
        </w:rPr>
        <w:t xml:space="preserve">This phase is about evaluating the effectiveness of the benchmarking exercise. Providers should ask themselves: </w:t>
      </w:r>
    </w:p>
    <w:p w14:paraId="0264400B" w14:textId="77777777" w:rsidR="000A7FA9" w:rsidRPr="004F0045" w:rsidRDefault="000A7FA9" w:rsidP="003C545F">
      <w:pPr>
        <w:pStyle w:val="ListParagraph"/>
        <w:numPr>
          <w:ilvl w:val="0"/>
          <w:numId w:val="21"/>
        </w:numPr>
        <w:contextualSpacing w:val="0"/>
        <w:rPr>
          <w:rFonts w:cs="Arial"/>
        </w:rPr>
      </w:pPr>
      <w:r w:rsidRPr="004F0045">
        <w:rPr>
          <w:rFonts w:cs="Arial"/>
        </w:rPr>
        <w:t xml:space="preserve">What were the outcomes? </w:t>
      </w:r>
    </w:p>
    <w:p w14:paraId="5AF9A53C" w14:textId="77777777" w:rsidR="000A7FA9" w:rsidRPr="004F0045" w:rsidRDefault="000A7FA9" w:rsidP="003C545F">
      <w:pPr>
        <w:pStyle w:val="ListParagraph"/>
        <w:numPr>
          <w:ilvl w:val="0"/>
          <w:numId w:val="21"/>
        </w:numPr>
        <w:contextualSpacing w:val="0"/>
        <w:rPr>
          <w:rFonts w:cs="Arial"/>
        </w:rPr>
      </w:pPr>
      <w:r w:rsidRPr="004F0045">
        <w:rPr>
          <w:rFonts w:cs="Arial"/>
        </w:rPr>
        <w:t xml:space="preserve">How useful were they? </w:t>
      </w:r>
    </w:p>
    <w:p w14:paraId="3644D454" w14:textId="77777777" w:rsidR="000A7FA9" w:rsidRPr="004F0045" w:rsidRDefault="000A7FA9" w:rsidP="003C545F">
      <w:pPr>
        <w:pStyle w:val="ListParagraph"/>
        <w:numPr>
          <w:ilvl w:val="0"/>
          <w:numId w:val="21"/>
        </w:numPr>
        <w:contextualSpacing w:val="0"/>
        <w:rPr>
          <w:rFonts w:cs="Arial"/>
        </w:rPr>
      </w:pPr>
      <w:r w:rsidRPr="004F0045">
        <w:rPr>
          <w:rFonts w:cs="Arial"/>
        </w:rPr>
        <w:t>Were they implemented?</w:t>
      </w:r>
    </w:p>
    <w:p w14:paraId="099269B8" w14:textId="77777777" w:rsidR="006C328D" w:rsidRPr="000A7FA9" w:rsidRDefault="006C328D" w:rsidP="000A7FA9"/>
    <w:sectPr w:rsidR="006C328D" w:rsidRPr="000A7FA9" w:rsidSect="00FF2540">
      <w:headerReference w:type="even" r:id="rId27"/>
      <w:headerReference w:type="default" r:id="rId28"/>
      <w:footerReference w:type="default" r:id="rId29"/>
      <w:headerReference w:type="first" r:id="rId30"/>
      <w:pgSz w:w="11906" w:h="16838"/>
      <w:pgMar w:top="1440" w:right="1440" w:bottom="1440" w:left="144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ADBE9C" w14:textId="77777777" w:rsidR="00C1090B" w:rsidRDefault="00C1090B" w:rsidP="006C328D">
      <w:pPr>
        <w:spacing w:before="0" w:after="0"/>
      </w:pPr>
      <w:r>
        <w:separator/>
      </w:r>
    </w:p>
  </w:endnote>
  <w:endnote w:type="continuationSeparator" w:id="0">
    <w:p w14:paraId="365033FC" w14:textId="77777777" w:rsidR="00C1090B" w:rsidRDefault="00C1090B" w:rsidP="006C328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color w:val="00847E" w:themeColor="accent1"/>
        <w:sz w:val="20"/>
        <w:szCs w:val="20"/>
      </w:rPr>
      <w:id w:val="-1988930592"/>
      <w:docPartObj>
        <w:docPartGallery w:val="Page Numbers (Bottom of Page)"/>
        <w:docPartUnique/>
      </w:docPartObj>
    </w:sdtPr>
    <w:sdtEndPr/>
    <w:sdtContent>
      <w:sdt>
        <w:sdtPr>
          <w:rPr>
            <w:color w:val="00847E" w:themeColor="accent1"/>
            <w:sz w:val="20"/>
            <w:szCs w:val="20"/>
          </w:rPr>
          <w:id w:val="860082579"/>
          <w:docPartObj>
            <w:docPartGallery w:val="Page Numbers (Top of Page)"/>
            <w:docPartUnique/>
          </w:docPartObj>
        </w:sdtPr>
        <w:sdtEndPr/>
        <w:sdtContent>
          <w:p w14:paraId="24054120" w14:textId="339F98B5" w:rsidR="00FF2540" w:rsidRPr="00FF2540" w:rsidRDefault="00FF2540">
            <w:pPr>
              <w:pStyle w:val="Footer"/>
              <w:jc w:val="right"/>
              <w:rPr>
                <w:color w:val="00847E" w:themeColor="accent1"/>
                <w:sz w:val="20"/>
                <w:szCs w:val="20"/>
              </w:rPr>
            </w:pPr>
            <w:r w:rsidRPr="00FF2540">
              <w:rPr>
                <w:color w:val="00847E" w:themeColor="accent1"/>
                <w:sz w:val="20"/>
                <w:szCs w:val="20"/>
              </w:rPr>
              <w:t xml:space="preserve">Page </w:t>
            </w:r>
            <w:r w:rsidRPr="00FF2540">
              <w:rPr>
                <w:b/>
                <w:bCs/>
                <w:color w:val="00847E" w:themeColor="accent1"/>
                <w:sz w:val="20"/>
                <w:szCs w:val="20"/>
              </w:rPr>
              <w:fldChar w:fldCharType="begin"/>
            </w:r>
            <w:r w:rsidRPr="00FF2540">
              <w:rPr>
                <w:b/>
                <w:bCs/>
                <w:color w:val="00847E" w:themeColor="accent1"/>
                <w:sz w:val="20"/>
                <w:szCs w:val="20"/>
              </w:rPr>
              <w:instrText xml:space="preserve"> PAGE </w:instrText>
            </w:r>
            <w:r w:rsidRPr="00FF2540">
              <w:rPr>
                <w:b/>
                <w:bCs/>
                <w:color w:val="00847E" w:themeColor="accent1"/>
                <w:sz w:val="20"/>
                <w:szCs w:val="20"/>
              </w:rPr>
              <w:fldChar w:fldCharType="separate"/>
            </w:r>
            <w:r w:rsidR="00B233BF">
              <w:rPr>
                <w:b/>
                <w:bCs/>
                <w:noProof/>
                <w:color w:val="00847E" w:themeColor="accent1"/>
                <w:sz w:val="20"/>
                <w:szCs w:val="20"/>
              </w:rPr>
              <w:t>11</w:t>
            </w:r>
            <w:r w:rsidRPr="00FF2540">
              <w:rPr>
                <w:b/>
                <w:bCs/>
                <w:color w:val="00847E" w:themeColor="accent1"/>
                <w:sz w:val="20"/>
                <w:szCs w:val="20"/>
              </w:rPr>
              <w:fldChar w:fldCharType="end"/>
            </w:r>
            <w:r w:rsidRPr="00FF2540">
              <w:rPr>
                <w:color w:val="00847E" w:themeColor="accent1"/>
                <w:sz w:val="20"/>
                <w:szCs w:val="20"/>
              </w:rPr>
              <w:t xml:space="preserve"> of </w:t>
            </w:r>
            <w:r w:rsidRPr="00FF2540">
              <w:rPr>
                <w:b/>
                <w:bCs/>
                <w:color w:val="00847E" w:themeColor="accent1"/>
                <w:sz w:val="20"/>
                <w:szCs w:val="20"/>
              </w:rPr>
              <w:fldChar w:fldCharType="begin"/>
            </w:r>
            <w:r w:rsidRPr="00FF2540">
              <w:rPr>
                <w:b/>
                <w:bCs/>
                <w:color w:val="00847E" w:themeColor="accent1"/>
                <w:sz w:val="20"/>
                <w:szCs w:val="20"/>
              </w:rPr>
              <w:instrText xml:space="preserve"> NUMPAGES  </w:instrText>
            </w:r>
            <w:r w:rsidRPr="00FF2540">
              <w:rPr>
                <w:b/>
                <w:bCs/>
                <w:color w:val="00847E" w:themeColor="accent1"/>
                <w:sz w:val="20"/>
                <w:szCs w:val="20"/>
              </w:rPr>
              <w:fldChar w:fldCharType="separate"/>
            </w:r>
            <w:r w:rsidR="00B233BF">
              <w:rPr>
                <w:b/>
                <w:bCs/>
                <w:noProof/>
                <w:color w:val="00847E" w:themeColor="accent1"/>
                <w:sz w:val="20"/>
                <w:szCs w:val="20"/>
              </w:rPr>
              <w:t>11</w:t>
            </w:r>
            <w:r w:rsidRPr="00FF2540">
              <w:rPr>
                <w:b/>
                <w:bCs/>
                <w:color w:val="00847E" w:themeColor="accent1"/>
                <w:sz w:val="20"/>
                <w:szCs w:val="20"/>
              </w:rPr>
              <w:fldChar w:fldCharType="end"/>
            </w:r>
          </w:p>
        </w:sdtContent>
      </w:sdt>
    </w:sdtContent>
  </w:sdt>
  <w:p w14:paraId="78A03E0A" w14:textId="77777777" w:rsidR="00FF2540" w:rsidRDefault="00FF2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1AEA79" w14:textId="77777777" w:rsidR="00C1090B" w:rsidRDefault="00C1090B" w:rsidP="006C328D">
      <w:pPr>
        <w:spacing w:before="0" w:after="0"/>
      </w:pPr>
      <w:r>
        <w:separator/>
      </w:r>
    </w:p>
  </w:footnote>
  <w:footnote w:type="continuationSeparator" w:id="0">
    <w:p w14:paraId="225FBFAE" w14:textId="77777777" w:rsidR="00C1090B" w:rsidRDefault="00C1090B" w:rsidP="006C328D">
      <w:pPr>
        <w:spacing w:before="0" w:after="0"/>
      </w:pPr>
      <w:r>
        <w:continuationSeparator/>
      </w:r>
    </w:p>
  </w:footnote>
  <w:footnote w:id="1">
    <w:p w14:paraId="0C41841A" w14:textId="77777777" w:rsidR="000A7FA9" w:rsidRPr="00843260" w:rsidRDefault="000A7FA9" w:rsidP="000A7FA9">
      <w:pPr>
        <w:pStyle w:val="FootnoteText"/>
        <w:rPr>
          <w:lang w:val="en-US"/>
        </w:rPr>
      </w:pPr>
      <w:r>
        <w:rPr>
          <w:rStyle w:val="FootnoteReference"/>
        </w:rPr>
        <w:footnoteRef/>
      </w:r>
      <w:r>
        <w:t xml:space="preserve"> </w:t>
      </w:r>
      <w:r>
        <w:rPr>
          <w:rFonts w:cs="Arial"/>
          <w:color w:val="000000"/>
        </w:rPr>
        <w:t>This library contains a collection of higher education learning and teaching materials flowing from projects funded by the Commonwealth of Australia, including those from the Australian Learning and Teaching Council.</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468352" w14:textId="77777777" w:rsidR="003E04BD" w:rsidRDefault="00C1090B">
    <w:pPr>
      <w:pStyle w:val="Header"/>
    </w:pPr>
    <w:r>
      <w:rPr>
        <w:noProof/>
      </w:rPr>
      <w:pict w14:anchorId="68282C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029022" o:spid="_x0000_s2050" type="#_x0000_t136" style="position:absolute;margin-left:0;margin-top:0;width:575.25pt;height:80.25pt;rotation:315;z-index:-251655168;mso-position-horizontal:center;mso-position-horizontal-relative:margin;mso-position-vertical:center;mso-position-vertical-relative:margin" o:allowincell="f" fillcolor="silver" stroked="f">
          <v:fill opacity=".5"/>
          <v:textpath style="font-family:&quot;Arial&quot;;font-size:1in" string="Consultation 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19B4D7" w14:textId="049D9AE9" w:rsidR="006C328D" w:rsidRPr="006C328D" w:rsidRDefault="006C328D" w:rsidP="006C328D">
    <w:pPr>
      <w:pStyle w:val="Header"/>
      <w:spacing w:after="240"/>
      <w:jc w:val="right"/>
      <w:rPr>
        <w:rFonts w:ascii="Georgia" w:hAnsi="Georgia" w:cs="Arial"/>
        <w:b/>
        <w:noProof/>
        <w:color w:val="004855"/>
        <w:sz w:val="28"/>
        <w:szCs w:val="28"/>
        <w:lang w:eastAsia="en-AU"/>
      </w:rPr>
    </w:pPr>
    <w:r>
      <w:rPr>
        <w:rFonts w:ascii="Georgia" w:hAnsi="Georgia" w:cs="Arial"/>
        <w:b/>
        <w:noProof/>
        <w:color w:val="004855"/>
        <w:sz w:val="28"/>
        <w:szCs w:val="28"/>
        <w:lang w:eastAsia="en-AU"/>
      </w:rPr>
      <w:t xml:space="preserve"> </w:t>
    </w:r>
    <w:r>
      <w:rPr>
        <w:rFonts w:ascii="Georgia" w:hAnsi="Georgia" w:cs="Arial"/>
        <w:b/>
        <w:noProof/>
        <w:color w:val="004855"/>
        <w:sz w:val="28"/>
        <w:szCs w:val="28"/>
        <w:lang w:eastAsia="en-AU"/>
      </w:rPr>
      <w:drawing>
        <wp:inline distT="0" distB="0" distL="0" distR="0" wp14:anchorId="7D3AD505" wp14:editId="550B27FC">
          <wp:extent cx="3228975" cy="476067"/>
          <wp:effectExtent l="0" t="0" r="0" b="635"/>
          <wp:docPr id="7" name="Picture 7" descr="I:\Corporate\Communications\Logos\2017 New Brand Logo\Crest logo\PNG\TEQSA-Crest-Nav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rporate\Communications\Logos\2017 New Brand Logo\Crest logo\PNG\TEQSA-Crest-Nav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33972" cy="476804"/>
                  </a:xfrm>
                  <a:prstGeom prst="rect">
                    <a:avLst/>
                  </a:prstGeom>
                  <a:noFill/>
                  <a:ln>
                    <a:noFill/>
                  </a:ln>
                </pic:spPr>
              </pic:pic>
            </a:graphicData>
          </a:graphic>
        </wp:inline>
      </w:drawing>
    </w:r>
    <w:r>
      <w:rPr>
        <w:rFonts w:ascii="Georgia" w:hAnsi="Georgia" w:cs="Arial"/>
        <w:b/>
        <w:noProof/>
        <w:color w:val="004855"/>
        <w:sz w:val="28"/>
        <w:szCs w:val="28"/>
        <w:lang w:eastAsia="en-AU"/>
      </w:rPr>
      <w:tab/>
    </w:r>
    <w:r>
      <w:rPr>
        <w:rFonts w:ascii="Georgia" w:hAnsi="Georgia" w:cs="Arial"/>
        <w:b/>
        <w:noProof/>
        <w:color w:val="004855"/>
        <w:sz w:val="28"/>
        <w:szCs w:val="28"/>
        <w:lang w:eastAsia="en-AU"/>
      </w:rPr>
      <w:drawing>
        <wp:inline distT="0" distB="0" distL="0" distR="0" wp14:anchorId="2809E276" wp14:editId="1E41A2A2">
          <wp:extent cx="1428750" cy="353174"/>
          <wp:effectExtent l="0" t="0" r="0" b="8890"/>
          <wp:docPr id="8" name="Picture 8" descr="I:\Corporate\Communications\Logos\2017 New Brand Logo\Wordmark\PNG\TEQSA-WM-te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orporate\Communications\Logos\2017 New Brand Logo\Wordmark\PNG\TEQSA-WM-teal.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9107" cy="35326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492FD5" w14:textId="77777777" w:rsidR="003E04BD" w:rsidRDefault="00C1090B">
    <w:pPr>
      <w:pStyle w:val="Header"/>
    </w:pPr>
    <w:r>
      <w:rPr>
        <w:noProof/>
      </w:rPr>
      <w:pict w14:anchorId="5708EB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029021" o:spid="_x0000_s2049" type="#_x0000_t136" style="position:absolute;margin-left:0;margin-top:0;width:575.25pt;height:80.25pt;rotation:315;z-index:-251657216;mso-position-horizontal:center;mso-position-horizontal-relative:margin;mso-position-vertical:center;mso-position-vertical-relative:margin" o:allowincell="f" fillcolor="silver" stroked="f">
          <v:fill opacity=".5"/>
          <v:textpath style="font-family:&quot;Arial&quot;;font-size:1in" string="Consultation 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in;height:36.75pt" o:bullet="t">
        <v:imagedata r:id="rId1" o:title="Teal-Triangles"/>
      </v:shape>
    </w:pict>
  </w:numPicBullet>
  <w:numPicBullet w:numPicBulletId="1">
    <w:pict>
      <v:shape id="_x0000_i1036" type="#_x0000_t75" style="width:1in;height:36.75pt" o:bullet="t">
        <v:imagedata r:id="rId2" o:title="Pink-Triangles"/>
      </v:shape>
    </w:pict>
  </w:numPicBullet>
  <w:numPicBullet w:numPicBulletId="2">
    <w:pict>
      <v:shape id="_x0000_i1037" type="#_x0000_t75" style="width:1in;height:36.75pt" o:bullet="t">
        <v:imagedata r:id="rId3" o:title="Yellow-Triangles"/>
      </v:shape>
    </w:pict>
  </w:numPicBullet>
  <w:abstractNum w:abstractNumId="0" w15:restartNumberingAfterBreak="0">
    <w:nsid w:val="01FC48EF"/>
    <w:multiLevelType w:val="hybridMultilevel"/>
    <w:tmpl w:val="958A32E2"/>
    <w:lvl w:ilvl="0" w:tplc="4BCEABDA">
      <w:start w:val="1"/>
      <w:numFmt w:val="bullet"/>
      <w:lvlText w:val=""/>
      <w:lvlJc w:val="left"/>
      <w:pPr>
        <w:ind w:left="720" w:hanging="360"/>
      </w:pPr>
      <w:rPr>
        <w:rFonts w:ascii="Symbol" w:hAnsi="Symbol" w:hint="default"/>
        <w:color w:val="00A39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4969DF"/>
    <w:multiLevelType w:val="hybridMultilevel"/>
    <w:tmpl w:val="D16A6B48"/>
    <w:lvl w:ilvl="0" w:tplc="4BCEABDA">
      <w:start w:val="1"/>
      <w:numFmt w:val="bullet"/>
      <w:lvlText w:val=""/>
      <w:lvlJc w:val="left"/>
      <w:pPr>
        <w:ind w:left="720" w:hanging="360"/>
      </w:pPr>
      <w:rPr>
        <w:rFonts w:ascii="Symbol" w:hAnsi="Symbol" w:hint="default"/>
        <w:color w:val="00A398"/>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5A2E56"/>
    <w:multiLevelType w:val="hybridMultilevel"/>
    <w:tmpl w:val="3A9CDA22"/>
    <w:lvl w:ilvl="0" w:tplc="F50EB21A">
      <w:start w:val="1"/>
      <w:numFmt w:val="bullet"/>
      <w:pStyle w:val="BulletsL2"/>
      <w:lvlText w:val="4"/>
      <w:lvlJc w:val="left"/>
      <w:pPr>
        <w:ind w:left="1146" w:hanging="360"/>
      </w:pPr>
      <w:rPr>
        <w:rFonts w:ascii="Webdings" w:hAnsi="Webdings" w:hint="default"/>
        <w:color w:val="00A6AA"/>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26D50250"/>
    <w:multiLevelType w:val="hybridMultilevel"/>
    <w:tmpl w:val="62A492F2"/>
    <w:lvl w:ilvl="0" w:tplc="CA78D74C">
      <w:start w:val="1"/>
      <w:numFmt w:val="bullet"/>
      <w:pStyle w:val="PullOut-Teal"/>
      <w:lvlText w:val=""/>
      <w:lvlPicBulletId w:val="0"/>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E1761EE"/>
    <w:multiLevelType w:val="multilevel"/>
    <w:tmpl w:val="131EEC6C"/>
    <w:lvl w:ilvl="0">
      <w:start w:val="1"/>
      <w:numFmt w:val="decimal"/>
      <w:pStyle w:val="TableTitle"/>
      <w:lvlText w:val="Table %1."/>
      <w:lvlJc w:val="left"/>
      <w:pPr>
        <w:ind w:left="1134" w:hanging="1134"/>
      </w:pPr>
      <w:rPr>
        <w:rFonts w:hint="default"/>
        <w:b w:val="0"/>
        <w:i w:val="0"/>
        <w:caps w:val="0"/>
        <w:color w:val="00847E"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35A332E"/>
    <w:multiLevelType w:val="multilevel"/>
    <w:tmpl w:val="EDDCBB3C"/>
    <w:lvl w:ilvl="0">
      <w:start w:val="1"/>
      <w:numFmt w:val="bullet"/>
      <w:pStyle w:val="Bullet1"/>
      <w:lvlText w:val=""/>
      <w:lvlJc w:val="left"/>
      <w:pPr>
        <w:ind w:left="284" w:hanging="284"/>
      </w:pPr>
      <w:rPr>
        <w:rFonts w:ascii="Symbol" w:hAnsi="Symbol" w:hint="default"/>
        <w:color w:val="00847E" w:themeColor="accent1"/>
      </w:rPr>
    </w:lvl>
    <w:lvl w:ilvl="1">
      <w:start w:val="1"/>
      <w:numFmt w:val="bullet"/>
      <w:pStyle w:val="Bullet2"/>
      <w:lvlText w:val="–"/>
      <w:lvlJc w:val="left"/>
      <w:pPr>
        <w:ind w:left="568" w:hanging="284"/>
      </w:pPr>
      <w:rPr>
        <w:rFonts w:ascii="Arial" w:hAnsi="Arial" w:hint="default"/>
        <w:color w:val="00847E" w:themeColor="accent1"/>
      </w:rPr>
    </w:lvl>
    <w:lvl w:ilvl="2">
      <w:start w:val="1"/>
      <w:numFmt w:val="bullet"/>
      <w:pStyle w:val="Bullet3"/>
      <w:lvlText w:val="»"/>
      <w:lvlJc w:val="left"/>
      <w:pPr>
        <w:ind w:left="852" w:hanging="284"/>
      </w:pPr>
      <w:rPr>
        <w:rFonts w:ascii="Arial" w:hAnsi="Arial" w:hint="default"/>
        <w:color w:val="00847E" w:themeColor="accent1"/>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 w15:restartNumberingAfterBreak="0">
    <w:nsid w:val="335C1D53"/>
    <w:multiLevelType w:val="hybridMultilevel"/>
    <w:tmpl w:val="57BE7212"/>
    <w:lvl w:ilvl="0" w:tplc="4BCEABDA">
      <w:start w:val="1"/>
      <w:numFmt w:val="bullet"/>
      <w:lvlText w:val=""/>
      <w:lvlJc w:val="left"/>
      <w:pPr>
        <w:ind w:left="720" w:hanging="360"/>
      </w:pPr>
      <w:rPr>
        <w:rFonts w:ascii="Symbol" w:hAnsi="Symbol" w:hint="default"/>
        <w:color w:val="00A39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A604216"/>
    <w:multiLevelType w:val="hybridMultilevel"/>
    <w:tmpl w:val="1CB6C0A2"/>
    <w:lvl w:ilvl="0" w:tplc="4BCEABDA">
      <w:start w:val="1"/>
      <w:numFmt w:val="bullet"/>
      <w:lvlText w:val=""/>
      <w:lvlJc w:val="left"/>
      <w:pPr>
        <w:ind w:left="720" w:hanging="360"/>
      </w:pPr>
      <w:rPr>
        <w:rFonts w:ascii="Symbol" w:hAnsi="Symbol" w:hint="default"/>
        <w:color w:val="00A39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C2D47AE"/>
    <w:multiLevelType w:val="hybridMultilevel"/>
    <w:tmpl w:val="43C43536"/>
    <w:lvl w:ilvl="0" w:tplc="93243402">
      <w:start w:val="1"/>
      <w:numFmt w:val="bullet"/>
      <w:pStyle w:val="PullOut-Yellow"/>
      <w:lvlText w:val=""/>
      <w:lvlPicBulletId w:val="2"/>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04D5443"/>
    <w:multiLevelType w:val="hybridMultilevel"/>
    <w:tmpl w:val="B74203C8"/>
    <w:lvl w:ilvl="0" w:tplc="4BCEABDA">
      <w:start w:val="1"/>
      <w:numFmt w:val="bullet"/>
      <w:lvlText w:val=""/>
      <w:lvlJc w:val="left"/>
      <w:pPr>
        <w:ind w:left="720" w:hanging="360"/>
      </w:pPr>
      <w:rPr>
        <w:rFonts w:ascii="Symbol" w:hAnsi="Symbol" w:hint="default"/>
        <w:color w:val="00A39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8615703"/>
    <w:multiLevelType w:val="multilevel"/>
    <w:tmpl w:val="803CF862"/>
    <w:lvl w:ilvl="0">
      <w:start w:val="1"/>
      <w:numFmt w:val="decimal"/>
      <w:pStyle w:val="List1Numbered1"/>
      <w:lvlText w:val="%1."/>
      <w:lvlJc w:val="left"/>
      <w:pPr>
        <w:ind w:left="284" w:hanging="284"/>
      </w:pPr>
      <w:rPr>
        <w:rFonts w:hint="default"/>
        <w:b w:val="0"/>
        <w:i w:val="0"/>
        <w:color w:val="auto"/>
      </w:rPr>
    </w:lvl>
    <w:lvl w:ilvl="1">
      <w:start w:val="1"/>
      <w:numFmt w:val="lowerLetter"/>
      <w:pStyle w:val="List1Numbered2"/>
      <w:lvlText w:val="%2."/>
      <w:lvlJc w:val="left"/>
      <w:pPr>
        <w:ind w:left="568" w:hanging="284"/>
      </w:pPr>
      <w:rPr>
        <w:rFonts w:hint="default"/>
      </w:rPr>
    </w:lvl>
    <w:lvl w:ilvl="2">
      <w:start w:val="1"/>
      <w:numFmt w:val="lowerRoman"/>
      <w:pStyle w:val="List1Numbered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2" w15:restartNumberingAfterBreak="0">
    <w:nsid w:val="594F6627"/>
    <w:multiLevelType w:val="hybridMultilevel"/>
    <w:tmpl w:val="77D82B46"/>
    <w:lvl w:ilvl="0" w:tplc="B66A71E0">
      <w:start w:val="1"/>
      <w:numFmt w:val="bullet"/>
      <w:pStyle w:val="PullOut-Pink"/>
      <w:lvlText w:val=""/>
      <w:lvlPicBulletId w:val="1"/>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BF51665"/>
    <w:multiLevelType w:val="multilevel"/>
    <w:tmpl w:val="BA4CA9E6"/>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851" w:hanging="851"/>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418" w:hanging="1418"/>
      </w:pPr>
      <w:rPr>
        <w:rFonts w:hint="default"/>
      </w:rPr>
    </w:lvl>
    <w:lvl w:ilvl="5">
      <w:start w:val="1"/>
      <w:numFmt w:val="decimal"/>
      <w:pStyle w:val="Heading6Numbered"/>
      <w:lvlText w:val="%1.%2.%3.%4.%5.%6"/>
      <w:lvlJc w:val="left"/>
      <w:pPr>
        <w:ind w:left="1701" w:hanging="1701"/>
      </w:pPr>
      <w:rPr>
        <w:rFonts w:hint="default"/>
      </w:rPr>
    </w:lvl>
    <w:lvl w:ilvl="6">
      <w:start w:val="1"/>
      <w:numFmt w:val="decimal"/>
      <w:pStyle w:val="Heading7Numbered"/>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C283B55"/>
    <w:multiLevelType w:val="multilevel"/>
    <w:tmpl w:val="B29223F6"/>
    <w:lvl w:ilvl="0">
      <w:start w:val="1"/>
      <w:numFmt w:val="decimal"/>
      <w:pStyle w:val="FigureTitle"/>
      <w:lvlText w:val="Figure %1."/>
      <w:lvlJc w:val="left"/>
      <w:pPr>
        <w:ind w:left="1134" w:hanging="1134"/>
      </w:pPr>
      <w:rPr>
        <w:rFonts w:hint="default"/>
        <w:b w:val="0"/>
        <w:i w:val="0"/>
        <w:caps w:val="0"/>
        <w:color w:val="00847E"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D1071C3"/>
    <w:multiLevelType w:val="hybridMultilevel"/>
    <w:tmpl w:val="2C5AD704"/>
    <w:lvl w:ilvl="0" w:tplc="4BCEABDA">
      <w:start w:val="1"/>
      <w:numFmt w:val="bullet"/>
      <w:lvlText w:val=""/>
      <w:lvlJc w:val="left"/>
      <w:pPr>
        <w:ind w:left="787" w:hanging="360"/>
      </w:pPr>
      <w:rPr>
        <w:rFonts w:ascii="Symbol" w:hAnsi="Symbol" w:hint="default"/>
        <w:color w:val="00A398"/>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6" w15:restartNumberingAfterBreak="0">
    <w:nsid w:val="61E3141C"/>
    <w:multiLevelType w:val="hybridMultilevel"/>
    <w:tmpl w:val="3D322B92"/>
    <w:lvl w:ilvl="0" w:tplc="4BCEABDA">
      <w:start w:val="1"/>
      <w:numFmt w:val="bullet"/>
      <w:lvlText w:val=""/>
      <w:lvlJc w:val="left"/>
      <w:pPr>
        <w:ind w:left="787" w:hanging="360"/>
      </w:pPr>
      <w:rPr>
        <w:rFonts w:ascii="Symbol" w:hAnsi="Symbol" w:hint="default"/>
        <w:color w:val="00A398"/>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7" w15:restartNumberingAfterBreak="0">
    <w:nsid w:val="6CE96B0C"/>
    <w:multiLevelType w:val="hybridMultilevel"/>
    <w:tmpl w:val="766EF4B0"/>
    <w:lvl w:ilvl="0" w:tplc="B844918C">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02A4A06"/>
    <w:multiLevelType w:val="hybridMultilevel"/>
    <w:tmpl w:val="F5A098CC"/>
    <w:lvl w:ilvl="0" w:tplc="4BCEABDA">
      <w:start w:val="1"/>
      <w:numFmt w:val="bullet"/>
      <w:lvlText w:val=""/>
      <w:lvlJc w:val="left"/>
      <w:pPr>
        <w:ind w:left="787" w:hanging="360"/>
      </w:pPr>
      <w:rPr>
        <w:rFonts w:ascii="Symbol" w:hAnsi="Symbol" w:hint="default"/>
        <w:color w:val="00A398"/>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9" w15:restartNumberingAfterBreak="0">
    <w:nsid w:val="790B67C4"/>
    <w:multiLevelType w:val="multilevel"/>
    <w:tmpl w:val="FE688822"/>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003B45" w:themeColor="text2"/>
      </w:rPr>
    </w:lvl>
    <w:lvl w:ilvl="3">
      <w:start w:val="1"/>
      <w:numFmt w:val="bullet"/>
      <w:lvlText w:val="»"/>
      <w:lvlJc w:val="left"/>
      <w:pPr>
        <w:ind w:left="794" w:hanging="510"/>
      </w:pPr>
      <w:rPr>
        <w:rFonts w:ascii="Arial" w:hAnsi="Arial" w:hint="default"/>
        <w:color w:val="003B45"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0" w15:restartNumberingAfterBreak="0">
    <w:nsid w:val="7EE44065"/>
    <w:multiLevelType w:val="multilevel"/>
    <w:tmpl w:val="CC9AB0EE"/>
    <w:lvl w:ilvl="0">
      <w:start w:val="1"/>
      <w:numFmt w:val="upperLetter"/>
      <w:pStyle w:val="AppendixNumbered"/>
      <w:suff w:val="space"/>
      <w:lvlText w:val="Appendix %1 –"/>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20"/>
  </w:num>
  <w:num w:numId="2">
    <w:abstractNumId w:val="19"/>
  </w:num>
  <w:num w:numId="3">
    <w:abstractNumId w:val="6"/>
  </w:num>
  <w:num w:numId="4">
    <w:abstractNumId w:val="14"/>
  </w:num>
  <w:num w:numId="5">
    <w:abstractNumId w:val="13"/>
  </w:num>
  <w:num w:numId="6">
    <w:abstractNumId w:val="11"/>
  </w:num>
  <w:num w:numId="7">
    <w:abstractNumId w:val="3"/>
  </w:num>
  <w:num w:numId="8">
    <w:abstractNumId w:val="4"/>
  </w:num>
  <w:num w:numId="9">
    <w:abstractNumId w:val="5"/>
  </w:num>
  <w:num w:numId="10">
    <w:abstractNumId w:val="12"/>
  </w:num>
  <w:num w:numId="11">
    <w:abstractNumId w:val="9"/>
  </w:num>
  <w:num w:numId="12">
    <w:abstractNumId w:val="2"/>
  </w:num>
  <w:num w:numId="13">
    <w:abstractNumId w:val="17"/>
  </w:num>
  <w:num w:numId="14">
    <w:abstractNumId w:val="18"/>
  </w:num>
  <w:num w:numId="15">
    <w:abstractNumId w:val="15"/>
  </w:num>
  <w:num w:numId="16">
    <w:abstractNumId w:val="16"/>
  </w:num>
  <w:num w:numId="17">
    <w:abstractNumId w:val="0"/>
  </w:num>
  <w:num w:numId="18">
    <w:abstractNumId w:val="1"/>
  </w:num>
  <w:num w:numId="19">
    <w:abstractNumId w:val="7"/>
  </w:num>
  <w:num w:numId="20">
    <w:abstractNumId w:val="10"/>
  </w:num>
  <w:num w:numId="21">
    <w:abstractNumId w:val="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28D"/>
    <w:rsid w:val="00013480"/>
    <w:rsid w:val="00016C26"/>
    <w:rsid w:val="00060EF6"/>
    <w:rsid w:val="00083561"/>
    <w:rsid w:val="000A7FA9"/>
    <w:rsid w:val="0010139C"/>
    <w:rsid w:val="001534F9"/>
    <w:rsid w:val="001E4FD5"/>
    <w:rsid w:val="001F39F5"/>
    <w:rsid w:val="002069D6"/>
    <w:rsid w:val="00225527"/>
    <w:rsid w:val="002A2A60"/>
    <w:rsid w:val="0031313F"/>
    <w:rsid w:val="003C545F"/>
    <w:rsid w:val="003E04BD"/>
    <w:rsid w:val="00414A8F"/>
    <w:rsid w:val="00492A89"/>
    <w:rsid w:val="004D7057"/>
    <w:rsid w:val="00500A75"/>
    <w:rsid w:val="00501126"/>
    <w:rsid w:val="005230C1"/>
    <w:rsid w:val="005B458E"/>
    <w:rsid w:val="00610FC0"/>
    <w:rsid w:val="006A45B4"/>
    <w:rsid w:val="006C328D"/>
    <w:rsid w:val="00787E83"/>
    <w:rsid w:val="007B01C8"/>
    <w:rsid w:val="007F78F7"/>
    <w:rsid w:val="008A3ED8"/>
    <w:rsid w:val="009B769E"/>
    <w:rsid w:val="00A1294E"/>
    <w:rsid w:val="00AC4BAC"/>
    <w:rsid w:val="00B233BF"/>
    <w:rsid w:val="00BE5239"/>
    <w:rsid w:val="00C04888"/>
    <w:rsid w:val="00C1090B"/>
    <w:rsid w:val="00C51585"/>
    <w:rsid w:val="00D64228"/>
    <w:rsid w:val="00F02C92"/>
    <w:rsid w:val="00F546A5"/>
    <w:rsid w:val="00F847E5"/>
    <w:rsid w:val="00FF25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22F8B455"/>
  <w15:docId w15:val="{6B9407BB-5973-4417-B54D-F13138609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sz w:val="22"/>
        <w:szCs w:val="22"/>
        <w:lang w:val="en-AU" w:eastAsia="en-US" w:bidi="ar-SA"/>
      </w:rPr>
    </w:rPrDefault>
    <w:pPrDefault>
      <w:pPr>
        <w:spacing w:before="120"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458E"/>
  </w:style>
  <w:style w:type="paragraph" w:styleId="Heading1">
    <w:name w:val="heading 1"/>
    <w:basedOn w:val="Normal"/>
    <w:next w:val="Normal"/>
    <w:link w:val="Heading1Char"/>
    <w:uiPriority w:val="9"/>
    <w:qFormat/>
    <w:rsid w:val="005B458E"/>
    <w:pPr>
      <w:keepNext/>
      <w:keepLines/>
      <w:pageBreakBefore/>
      <w:spacing w:before="0" w:after="1800" w:line="540" w:lineRule="atLeast"/>
      <w:outlineLvl w:val="0"/>
    </w:pPr>
    <w:rPr>
      <w:rFonts w:asciiTheme="majorHAnsi" w:eastAsiaTheme="majorEastAsia" w:hAnsiTheme="majorHAnsi" w:cstheme="majorBidi"/>
      <w:b/>
      <w:color w:val="00847E" w:themeColor="accent1"/>
      <w:sz w:val="48"/>
      <w:szCs w:val="32"/>
    </w:rPr>
  </w:style>
  <w:style w:type="paragraph" w:styleId="Heading2">
    <w:name w:val="heading 2"/>
    <w:basedOn w:val="Normal"/>
    <w:next w:val="Normal"/>
    <w:link w:val="Heading2Char"/>
    <w:uiPriority w:val="9"/>
    <w:qFormat/>
    <w:rsid w:val="007F78F7"/>
    <w:pPr>
      <w:keepNext/>
      <w:keepLines/>
      <w:spacing w:before="480" w:after="240" w:line="500" w:lineRule="atLeast"/>
      <w:outlineLvl w:val="1"/>
    </w:pPr>
    <w:rPr>
      <w:rFonts w:asciiTheme="majorHAnsi" w:eastAsiaTheme="majorEastAsia" w:hAnsiTheme="majorHAnsi" w:cstheme="majorBidi"/>
      <w:color w:val="00A398"/>
      <w:sz w:val="44"/>
      <w:szCs w:val="26"/>
    </w:rPr>
  </w:style>
  <w:style w:type="paragraph" w:styleId="Heading3">
    <w:name w:val="heading 3"/>
    <w:basedOn w:val="Normal"/>
    <w:next w:val="Normal"/>
    <w:link w:val="Heading3Char"/>
    <w:uiPriority w:val="9"/>
    <w:qFormat/>
    <w:rsid w:val="007F78F7"/>
    <w:pPr>
      <w:keepNext/>
      <w:keepLines/>
      <w:spacing w:before="480" w:after="240" w:line="380" w:lineRule="atLeast"/>
      <w:outlineLvl w:val="2"/>
    </w:pPr>
    <w:rPr>
      <w:rFonts w:asciiTheme="majorHAnsi" w:eastAsiaTheme="majorEastAsia" w:hAnsiTheme="majorHAnsi" w:cstheme="majorBidi"/>
      <w:color w:val="00A398"/>
      <w:sz w:val="32"/>
      <w:szCs w:val="24"/>
    </w:rPr>
  </w:style>
  <w:style w:type="paragraph" w:styleId="Heading4">
    <w:name w:val="heading 4"/>
    <w:basedOn w:val="Normal"/>
    <w:next w:val="Normal"/>
    <w:link w:val="Heading4Char"/>
    <w:uiPriority w:val="9"/>
    <w:qFormat/>
    <w:rsid w:val="005B458E"/>
    <w:pPr>
      <w:keepNext/>
      <w:keepLines/>
      <w:spacing w:before="360" w:after="180" w:line="280" w:lineRule="exact"/>
      <w:outlineLvl w:val="3"/>
    </w:pPr>
    <w:rPr>
      <w:rFonts w:eastAsiaTheme="majorEastAsia" w:cstheme="majorBidi"/>
      <w:b/>
      <w:iCs/>
      <w:color w:val="auto"/>
      <w:sz w:val="24"/>
    </w:rPr>
  </w:style>
  <w:style w:type="paragraph" w:styleId="Heading5">
    <w:name w:val="heading 5"/>
    <w:basedOn w:val="Normal"/>
    <w:next w:val="Normal"/>
    <w:link w:val="Heading5Char"/>
    <w:uiPriority w:val="9"/>
    <w:qFormat/>
    <w:rsid w:val="005B458E"/>
    <w:pPr>
      <w:keepNext/>
      <w:keepLines/>
      <w:spacing w:before="240"/>
      <w:outlineLvl w:val="4"/>
    </w:pPr>
    <w:rPr>
      <w:rFonts w:eastAsiaTheme="majorEastAsia" w:cstheme="majorBidi"/>
      <w:b/>
      <w:i/>
      <w:color w:val="auto"/>
    </w:rPr>
  </w:style>
  <w:style w:type="paragraph" w:styleId="Heading6">
    <w:name w:val="heading 6"/>
    <w:basedOn w:val="Normal"/>
    <w:next w:val="Normal"/>
    <w:link w:val="Heading6Char"/>
    <w:uiPriority w:val="9"/>
    <w:qFormat/>
    <w:rsid w:val="005B458E"/>
    <w:pPr>
      <w:keepNext/>
      <w:keepLines/>
      <w:outlineLvl w:val="5"/>
    </w:pPr>
    <w:rPr>
      <w:rFonts w:eastAsiaTheme="majorEastAsia" w:cstheme="majorBidi"/>
      <w:b/>
      <w:i/>
      <w:sz w:val="20"/>
      <w:szCs w:val="20"/>
    </w:rPr>
  </w:style>
  <w:style w:type="paragraph" w:styleId="Heading7">
    <w:name w:val="heading 7"/>
    <w:basedOn w:val="Normal"/>
    <w:next w:val="Normal"/>
    <w:link w:val="Heading7Char"/>
    <w:uiPriority w:val="9"/>
    <w:qFormat/>
    <w:rsid w:val="005B458E"/>
    <w:pPr>
      <w:keepNext/>
      <w:keepLines/>
      <w:outlineLvl w:val="6"/>
    </w:pPr>
    <w:rPr>
      <w:rFonts w:eastAsiaTheme="majorEastAsia"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Numbered">
    <w:name w:val="Appendix Numbered"/>
    <w:basedOn w:val="Heading2"/>
    <w:uiPriority w:val="11"/>
    <w:qFormat/>
    <w:rsid w:val="005B458E"/>
    <w:pPr>
      <w:pageBreakBefore/>
      <w:numPr>
        <w:numId w:val="1"/>
      </w:numPr>
    </w:pPr>
    <w:rPr>
      <w:b/>
    </w:rPr>
  </w:style>
  <w:style w:type="character" w:customStyle="1" w:styleId="Heading2Char">
    <w:name w:val="Heading 2 Char"/>
    <w:basedOn w:val="DefaultParagraphFont"/>
    <w:link w:val="Heading2"/>
    <w:uiPriority w:val="9"/>
    <w:rsid w:val="007F78F7"/>
    <w:rPr>
      <w:rFonts w:asciiTheme="majorHAnsi" w:eastAsiaTheme="majorEastAsia" w:hAnsiTheme="majorHAnsi" w:cstheme="majorBidi"/>
      <w:color w:val="00A398"/>
      <w:sz w:val="44"/>
      <w:szCs w:val="26"/>
    </w:rPr>
  </w:style>
  <w:style w:type="paragraph" w:customStyle="1" w:styleId="Boxed1Text">
    <w:name w:val="Boxed 1 Text"/>
    <w:basedOn w:val="Normal"/>
    <w:uiPriority w:val="29"/>
    <w:qFormat/>
    <w:rsid w:val="005B458E"/>
    <w:pPr>
      <w:pBdr>
        <w:top w:val="single" w:sz="4" w:space="14" w:color="B3FFFB" w:themeColor="accent1" w:themeTint="33"/>
        <w:left w:val="single" w:sz="4" w:space="14" w:color="B3FFFB" w:themeColor="accent1" w:themeTint="33"/>
        <w:bottom w:val="single" w:sz="4" w:space="14" w:color="B3FFFB" w:themeColor="accent1" w:themeTint="33"/>
        <w:right w:val="single" w:sz="4" w:space="14" w:color="B3FFFB" w:themeColor="accent1" w:themeTint="33"/>
      </w:pBdr>
      <w:shd w:val="clear" w:color="auto" w:fill="B3FFFB" w:themeFill="accent1" w:themeFillTint="33"/>
      <w:spacing w:after="60" w:line="240" w:lineRule="atLeast"/>
      <w:ind w:left="284" w:right="284"/>
    </w:pPr>
  </w:style>
  <w:style w:type="paragraph" w:customStyle="1" w:styleId="Boxed1Bullet">
    <w:name w:val="Boxed 1 Bullet"/>
    <w:basedOn w:val="Boxed1Text"/>
    <w:uiPriority w:val="30"/>
    <w:qFormat/>
    <w:rsid w:val="005B458E"/>
    <w:pPr>
      <w:numPr>
        <w:numId w:val="2"/>
      </w:numPr>
    </w:pPr>
  </w:style>
  <w:style w:type="paragraph" w:customStyle="1" w:styleId="Boxed1Heading">
    <w:name w:val="Boxed 1 Heading"/>
    <w:basedOn w:val="Boxed1Text"/>
    <w:uiPriority w:val="29"/>
    <w:qFormat/>
    <w:rsid w:val="005B458E"/>
    <w:pPr>
      <w:keepNext/>
    </w:pPr>
    <w:rPr>
      <w:b/>
    </w:rPr>
  </w:style>
  <w:style w:type="paragraph" w:customStyle="1" w:styleId="Boxed2Text">
    <w:name w:val="Boxed 2 Text"/>
    <w:basedOn w:val="Boxed1Text"/>
    <w:uiPriority w:val="31"/>
    <w:qFormat/>
    <w:rsid w:val="005B458E"/>
    <w:pPr>
      <w:pBdr>
        <w:top w:val="single" w:sz="4" w:space="14" w:color="00847E" w:themeColor="accent1"/>
        <w:left w:val="single" w:sz="4" w:space="14" w:color="00847E" w:themeColor="accent1"/>
        <w:bottom w:val="single" w:sz="4" w:space="14" w:color="00847E" w:themeColor="accent1"/>
        <w:right w:val="single" w:sz="4" w:space="14" w:color="00847E" w:themeColor="accent1"/>
      </w:pBdr>
      <w:shd w:val="clear" w:color="auto" w:fill="auto"/>
    </w:pPr>
  </w:style>
  <w:style w:type="paragraph" w:customStyle="1" w:styleId="Boxed2Bullet">
    <w:name w:val="Boxed 2 Bullet"/>
    <w:basedOn w:val="Boxed2Text"/>
    <w:uiPriority w:val="32"/>
    <w:qFormat/>
    <w:rsid w:val="005B458E"/>
    <w:pPr>
      <w:numPr>
        <w:ilvl w:val="1"/>
        <w:numId w:val="2"/>
      </w:numPr>
    </w:pPr>
  </w:style>
  <w:style w:type="paragraph" w:customStyle="1" w:styleId="Boxed2Heading">
    <w:name w:val="Boxed 2 Heading"/>
    <w:basedOn w:val="Boxed2Text"/>
    <w:uiPriority w:val="31"/>
    <w:qFormat/>
    <w:rsid w:val="005B458E"/>
    <w:pPr>
      <w:keepNext/>
    </w:pPr>
    <w:rPr>
      <w:b/>
    </w:rPr>
  </w:style>
  <w:style w:type="paragraph" w:customStyle="1" w:styleId="Bullet1">
    <w:name w:val="Bullet 1"/>
    <w:basedOn w:val="Normal"/>
    <w:uiPriority w:val="2"/>
    <w:qFormat/>
    <w:rsid w:val="005B458E"/>
    <w:pPr>
      <w:numPr>
        <w:numId w:val="3"/>
      </w:numPr>
    </w:pPr>
  </w:style>
  <w:style w:type="paragraph" w:customStyle="1" w:styleId="Bullet2">
    <w:name w:val="Bullet 2"/>
    <w:basedOn w:val="Normal"/>
    <w:uiPriority w:val="2"/>
    <w:qFormat/>
    <w:rsid w:val="005B458E"/>
    <w:pPr>
      <w:numPr>
        <w:ilvl w:val="1"/>
        <w:numId w:val="3"/>
      </w:numPr>
    </w:pPr>
  </w:style>
  <w:style w:type="paragraph" w:customStyle="1" w:styleId="Bullet3">
    <w:name w:val="Bullet 3"/>
    <w:basedOn w:val="Normal"/>
    <w:uiPriority w:val="2"/>
    <w:qFormat/>
    <w:rsid w:val="005B458E"/>
    <w:pPr>
      <w:numPr>
        <w:ilvl w:val="2"/>
        <w:numId w:val="3"/>
      </w:numPr>
    </w:pPr>
  </w:style>
  <w:style w:type="paragraph" w:customStyle="1" w:styleId="FigureTitle">
    <w:name w:val="Figure Title"/>
    <w:basedOn w:val="Normal"/>
    <w:uiPriority w:val="12"/>
    <w:qFormat/>
    <w:rsid w:val="005B458E"/>
    <w:pPr>
      <w:keepNext/>
      <w:numPr>
        <w:numId w:val="4"/>
      </w:numPr>
      <w:spacing w:before="240"/>
    </w:pPr>
    <w:rPr>
      <w:rFonts w:asciiTheme="majorHAnsi" w:hAnsiTheme="majorHAnsi"/>
      <w:color w:val="00847E" w:themeColor="accent1"/>
    </w:rPr>
  </w:style>
  <w:style w:type="paragraph" w:customStyle="1" w:styleId="Heading1Numbered">
    <w:name w:val="Heading 1 Numbered"/>
    <w:basedOn w:val="Heading1"/>
    <w:uiPriority w:val="10"/>
    <w:qFormat/>
    <w:rsid w:val="005B458E"/>
    <w:pPr>
      <w:numPr>
        <w:numId w:val="5"/>
      </w:numPr>
    </w:pPr>
  </w:style>
  <w:style w:type="character" w:customStyle="1" w:styleId="Heading1Char">
    <w:name w:val="Heading 1 Char"/>
    <w:basedOn w:val="DefaultParagraphFont"/>
    <w:link w:val="Heading1"/>
    <w:uiPriority w:val="9"/>
    <w:rsid w:val="005B458E"/>
    <w:rPr>
      <w:rFonts w:asciiTheme="majorHAnsi" w:eastAsiaTheme="majorEastAsia" w:hAnsiTheme="majorHAnsi" w:cstheme="majorBidi"/>
      <w:b/>
      <w:color w:val="00847E" w:themeColor="accent1"/>
      <w:sz w:val="48"/>
      <w:szCs w:val="32"/>
    </w:rPr>
  </w:style>
  <w:style w:type="paragraph" w:customStyle="1" w:styleId="Heading2Numbered">
    <w:name w:val="Heading 2 Numbered"/>
    <w:basedOn w:val="Heading2"/>
    <w:uiPriority w:val="10"/>
    <w:qFormat/>
    <w:rsid w:val="005B458E"/>
    <w:pPr>
      <w:numPr>
        <w:ilvl w:val="1"/>
        <w:numId w:val="5"/>
      </w:numPr>
    </w:pPr>
  </w:style>
  <w:style w:type="paragraph" w:customStyle="1" w:styleId="Heading3Numbered">
    <w:name w:val="Heading 3 Numbered"/>
    <w:basedOn w:val="Heading3"/>
    <w:uiPriority w:val="10"/>
    <w:qFormat/>
    <w:rsid w:val="005B458E"/>
    <w:pPr>
      <w:numPr>
        <w:ilvl w:val="2"/>
        <w:numId w:val="5"/>
      </w:numPr>
    </w:pPr>
  </w:style>
  <w:style w:type="character" w:customStyle="1" w:styleId="Heading3Char">
    <w:name w:val="Heading 3 Char"/>
    <w:basedOn w:val="DefaultParagraphFont"/>
    <w:link w:val="Heading3"/>
    <w:uiPriority w:val="9"/>
    <w:rsid w:val="007F78F7"/>
    <w:rPr>
      <w:rFonts w:asciiTheme="majorHAnsi" w:eastAsiaTheme="majorEastAsia" w:hAnsiTheme="majorHAnsi" w:cstheme="majorBidi"/>
      <w:color w:val="00A398"/>
      <w:sz w:val="32"/>
      <w:szCs w:val="24"/>
    </w:rPr>
  </w:style>
  <w:style w:type="paragraph" w:customStyle="1" w:styleId="Heading4Numbered">
    <w:name w:val="Heading 4 Numbered"/>
    <w:basedOn w:val="Heading4"/>
    <w:uiPriority w:val="10"/>
    <w:qFormat/>
    <w:rsid w:val="005B458E"/>
    <w:pPr>
      <w:numPr>
        <w:ilvl w:val="3"/>
        <w:numId w:val="5"/>
      </w:numPr>
    </w:pPr>
  </w:style>
  <w:style w:type="character" w:customStyle="1" w:styleId="Heading4Char">
    <w:name w:val="Heading 4 Char"/>
    <w:basedOn w:val="DefaultParagraphFont"/>
    <w:link w:val="Heading4"/>
    <w:uiPriority w:val="9"/>
    <w:rsid w:val="005B458E"/>
    <w:rPr>
      <w:rFonts w:eastAsiaTheme="majorEastAsia" w:cstheme="majorBidi"/>
      <w:b/>
      <w:iCs/>
      <w:color w:val="auto"/>
      <w:sz w:val="24"/>
    </w:rPr>
  </w:style>
  <w:style w:type="paragraph" w:customStyle="1" w:styleId="Heading5Numbered">
    <w:name w:val="Heading 5 Numbered"/>
    <w:basedOn w:val="Heading5"/>
    <w:uiPriority w:val="10"/>
    <w:qFormat/>
    <w:rsid w:val="005B458E"/>
    <w:pPr>
      <w:keepNext w:val="0"/>
      <w:numPr>
        <w:ilvl w:val="4"/>
        <w:numId w:val="5"/>
      </w:numPr>
    </w:pPr>
  </w:style>
  <w:style w:type="character" w:customStyle="1" w:styleId="Heading5Char">
    <w:name w:val="Heading 5 Char"/>
    <w:basedOn w:val="DefaultParagraphFont"/>
    <w:link w:val="Heading5"/>
    <w:uiPriority w:val="9"/>
    <w:rsid w:val="005B458E"/>
    <w:rPr>
      <w:rFonts w:eastAsiaTheme="majorEastAsia" w:cstheme="majorBidi"/>
      <w:b/>
      <w:i/>
      <w:color w:val="auto"/>
    </w:rPr>
  </w:style>
  <w:style w:type="paragraph" w:customStyle="1" w:styleId="Heading6Numbered">
    <w:name w:val="Heading 6 Numbered"/>
    <w:basedOn w:val="Heading6"/>
    <w:uiPriority w:val="10"/>
    <w:qFormat/>
    <w:rsid w:val="005B458E"/>
    <w:pPr>
      <w:keepNext w:val="0"/>
      <w:numPr>
        <w:ilvl w:val="5"/>
        <w:numId w:val="5"/>
      </w:numPr>
    </w:pPr>
    <w:rPr>
      <w:sz w:val="22"/>
      <w:szCs w:val="22"/>
    </w:rPr>
  </w:style>
  <w:style w:type="character" w:customStyle="1" w:styleId="Heading6Char">
    <w:name w:val="Heading 6 Char"/>
    <w:basedOn w:val="DefaultParagraphFont"/>
    <w:link w:val="Heading6"/>
    <w:uiPriority w:val="9"/>
    <w:rsid w:val="005B458E"/>
    <w:rPr>
      <w:rFonts w:eastAsiaTheme="majorEastAsia" w:cstheme="majorBidi"/>
      <w:b/>
      <w:i/>
      <w:sz w:val="20"/>
      <w:szCs w:val="20"/>
    </w:rPr>
  </w:style>
  <w:style w:type="paragraph" w:customStyle="1" w:styleId="Heading7Numbered">
    <w:name w:val="Heading 7 Numbered"/>
    <w:basedOn w:val="Heading7"/>
    <w:uiPriority w:val="10"/>
    <w:qFormat/>
    <w:rsid w:val="005B458E"/>
    <w:pPr>
      <w:numPr>
        <w:ilvl w:val="6"/>
        <w:numId w:val="5"/>
      </w:numPr>
    </w:pPr>
    <w:rPr>
      <w:sz w:val="22"/>
      <w:szCs w:val="22"/>
    </w:rPr>
  </w:style>
  <w:style w:type="character" w:customStyle="1" w:styleId="Heading7Char">
    <w:name w:val="Heading 7 Char"/>
    <w:basedOn w:val="DefaultParagraphFont"/>
    <w:link w:val="Heading7"/>
    <w:uiPriority w:val="9"/>
    <w:rsid w:val="005B458E"/>
    <w:rPr>
      <w:rFonts w:eastAsiaTheme="majorEastAsia" w:cstheme="majorBidi"/>
      <w:i/>
      <w:iCs/>
      <w:sz w:val="20"/>
      <w:szCs w:val="20"/>
    </w:rPr>
  </w:style>
  <w:style w:type="paragraph" w:customStyle="1" w:styleId="IntroPara">
    <w:name w:val="Intro Para"/>
    <w:basedOn w:val="Normal"/>
    <w:uiPriority w:val="1"/>
    <w:qFormat/>
    <w:rsid w:val="005B458E"/>
    <w:pPr>
      <w:spacing w:before="240" w:after="240"/>
      <w:contextualSpacing/>
    </w:pPr>
    <w:rPr>
      <w:rFonts w:asciiTheme="majorHAnsi" w:hAnsiTheme="majorHAnsi"/>
      <w:color w:val="00847E" w:themeColor="accent1"/>
    </w:rPr>
  </w:style>
  <w:style w:type="paragraph" w:customStyle="1" w:styleId="List1Numbered1">
    <w:name w:val="List 1 Numbered 1"/>
    <w:basedOn w:val="Normal"/>
    <w:uiPriority w:val="2"/>
    <w:qFormat/>
    <w:rsid w:val="005B458E"/>
    <w:pPr>
      <w:numPr>
        <w:numId w:val="6"/>
      </w:numPr>
    </w:pPr>
  </w:style>
  <w:style w:type="paragraph" w:customStyle="1" w:styleId="List1Numbered2">
    <w:name w:val="List 1 Numbered 2"/>
    <w:basedOn w:val="Normal"/>
    <w:uiPriority w:val="2"/>
    <w:qFormat/>
    <w:rsid w:val="005B458E"/>
    <w:pPr>
      <w:numPr>
        <w:ilvl w:val="1"/>
        <w:numId w:val="6"/>
      </w:numPr>
    </w:pPr>
  </w:style>
  <w:style w:type="paragraph" w:customStyle="1" w:styleId="List1Numbered3">
    <w:name w:val="List 1 Numbered 3"/>
    <w:basedOn w:val="Normal"/>
    <w:uiPriority w:val="2"/>
    <w:qFormat/>
    <w:rsid w:val="005B458E"/>
    <w:pPr>
      <w:numPr>
        <w:ilvl w:val="2"/>
        <w:numId w:val="6"/>
      </w:numPr>
    </w:pPr>
  </w:style>
  <w:style w:type="paragraph" w:customStyle="1" w:styleId="NormalIndent5mm">
    <w:name w:val="Normal Indent 5mm"/>
    <w:basedOn w:val="Normal"/>
    <w:qFormat/>
    <w:rsid w:val="005B458E"/>
    <w:pPr>
      <w:ind w:left="284"/>
    </w:pPr>
  </w:style>
  <w:style w:type="paragraph" w:customStyle="1" w:styleId="PullOut-Teal">
    <w:name w:val="Pull Out - Teal"/>
    <w:basedOn w:val="Normal"/>
    <w:uiPriority w:val="22"/>
    <w:qFormat/>
    <w:rsid w:val="005B458E"/>
    <w:pPr>
      <w:numPr>
        <w:numId w:val="7"/>
      </w:numPr>
      <w:spacing w:before="480" w:after="480" w:line="340" w:lineRule="atLeast"/>
    </w:pPr>
    <w:rPr>
      <w:color w:val="003B45" w:themeColor="text2"/>
      <w:sz w:val="28"/>
    </w:rPr>
  </w:style>
  <w:style w:type="paragraph" w:customStyle="1" w:styleId="SourceNotes">
    <w:name w:val="Source Notes"/>
    <w:basedOn w:val="Normal"/>
    <w:uiPriority w:val="21"/>
    <w:qFormat/>
    <w:rsid w:val="005B458E"/>
    <w:pPr>
      <w:spacing w:before="60" w:after="60"/>
    </w:pPr>
    <w:rPr>
      <w:sz w:val="16"/>
    </w:rPr>
  </w:style>
  <w:style w:type="paragraph" w:customStyle="1" w:styleId="SourceNotesHeading">
    <w:name w:val="Source Notes Heading"/>
    <w:basedOn w:val="SourceNotes"/>
    <w:uiPriority w:val="20"/>
    <w:qFormat/>
    <w:rsid w:val="005B458E"/>
    <w:pPr>
      <w:spacing w:before="120"/>
    </w:pPr>
    <w:rPr>
      <w:rFonts w:asciiTheme="majorHAnsi" w:hAnsiTheme="majorHAnsi"/>
      <w:b/>
    </w:rPr>
  </w:style>
  <w:style w:type="paragraph" w:customStyle="1" w:styleId="SourceNotesNumbered">
    <w:name w:val="Source Notes Numbered"/>
    <w:basedOn w:val="SourceNotes"/>
    <w:uiPriority w:val="21"/>
    <w:qFormat/>
    <w:rsid w:val="005B458E"/>
    <w:pPr>
      <w:numPr>
        <w:numId w:val="8"/>
      </w:numPr>
    </w:pPr>
  </w:style>
  <w:style w:type="paragraph" w:customStyle="1" w:styleId="TableTitle">
    <w:name w:val="Table Title"/>
    <w:basedOn w:val="FigureTitle"/>
    <w:uiPriority w:val="12"/>
    <w:qFormat/>
    <w:rsid w:val="005B458E"/>
    <w:pPr>
      <w:numPr>
        <w:numId w:val="9"/>
      </w:numPr>
    </w:pPr>
  </w:style>
  <w:style w:type="paragraph" w:customStyle="1" w:styleId="PullOut-Pink">
    <w:name w:val="Pull Out - Pink"/>
    <w:basedOn w:val="PullOut-Teal"/>
    <w:uiPriority w:val="22"/>
    <w:qFormat/>
    <w:rsid w:val="005B458E"/>
    <w:pPr>
      <w:numPr>
        <w:numId w:val="10"/>
      </w:numPr>
    </w:pPr>
  </w:style>
  <w:style w:type="paragraph" w:customStyle="1" w:styleId="PullOut-Yellow">
    <w:name w:val="Pull Out - Yellow"/>
    <w:basedOn w:val="PullOut-Teal"/>
    <w:qFormat/>
    <w:rsid w:val="005B458E"/>
    <w:pPr>
      <w:numPr>
        <w:numId w:val="11"/>
      </w:numPr>
    </w:pPr>
  </w:style>
  <w:style w:type="paragraph" w:styleId="Caption">
    <w:name w:val="caption"/>
    <w:basedOn w:val="Normal"/>
    <w:next w:val="Normal"/>
    <w:uiPriority w:val="19"/>
    <w:qFormat/>
    <w:rsid w:val="005B458E"/>
    <w:pPr>
      <w:spacing w:before="180" w:after="480" w:line="200" w:lineRule="atLeast"/>
      <w:ind w:right="2268"/>
    </w:pPr>
    <w:rPr>
      <w:rFonts w:asciiTheme="majorHAnsi" w:hAnsiTheme="majorHAnsi"/>
      <w:iCs/>
      <w:color w:val="00847E" w:themeColor="accent1"/>
      <w:sz w:val="16"/>
      <w:szCs w:val="18"/>
    </w:rPr>
  </w:style>
  <w:style w:type="paragraph" w:styleId="Title">
    <w:name w:val="Title"/>
    <w:basedOn w:val="Normal"/>
    <w:next w:val="Normal"/>
    <w:link w:val="TitleChar"/>
    <w:uiPriority w:val="22"/>
    <w:qFormat/>
    <w:rsid w:val="005B458E"/>
    <w:pPr>
      <w:keepLines/>
      <w:spacing w:before="0" w:after="360" w:line="640" w:lineRule="exact"/>
      <w:contextualSpacing/>
      <w:outlineLvl w:val="0"/>
    </w:pPr>
    <w:rPr>
      <w:rFonts w:asciiTheme="majorHAnsi" w:eastAsiaTheme="majorEastAsia" w:hAnsiTheme="majorHAnsi" w:cstheme="majorBidi"/>
      <w:color w:val="00847E" w:themeColor="accent1"/>
      <w:kern w:val="28"/>
      <w:sz w:val="60"/>
      <w:szCs w:val="56"/>
    </w:rPr>
  </w:style>
  <w:style w:type="character" w:customStyle="1" w:styleId="TitleChar">
    <w:name w:val="Title Char"/>
    <w:basedOn w:val="DefaultParagraphFont"/>
    <w:link w:val="Title"/>
    <w:uiPriority w:val="22"/>
    <w:rsid w:val="005B458E"/>
    <w:rPr>
      <w:rFonts w:asciiTheme="majorHAnsi" w:eastAsiaTheme="majorEastAsia" w:hAnsiTheme="majorHAnsi" w:cstheme="majorBidi"/>
      <w:color w:val="00847E" w:themeColor="accent1"/>
      <w:kern w:val="28"/>
      <w:sz w:val="60"/>
      <w:szCs w:val="56"/>
    </w:rPr>
  </w:style>
  <w:style w:type="paragraph" w:styleId="Subtitle">
    <w:name w:val="Subtitle"/>
    <w:basedOn w:val="Normal"/>
    <w:next w:val="Normal"/>
    <w:link w:val="SubtitleChar"/>
    <w:uiPriority w:val="23"/>
    <w:qFormat/>
    <w:rsid w:val="005B458E"/>
    <w:pPr>
      <w:keepLines/>
      <w:numPr>
        <w:ilvl w:val="1"/>
      </w:numPr>
      <w:spacing w:before="360" w:after="360" w:line="280" w:lineRule="exact"/>
      <w:contextualSpacing/>
    </w:pPr>
    <w:rPr>
      <w:rFonts w:eastAsiaTheme="minorEastAsia"/>
      <w:color w:val="00847E" w:themeColor="accent1"/>
      <w:sz w:val="24"/>
    </w:rPr>
  </w:style>
  <w:style w:type="character" w:customStyle="1" w:styleId="SubtitleChar">
    <w:name w:val="Subtitle Char"/>
    <w:basedOn w:val="DefaultParagraphFont"/>
    <w:link w:val="Subtitle"/>
    <w:uiPriority w:val="23"/>
    <w:rsid w:val="005B458E"/>
    <w:rPr>
      <w:rFonts w:eastAsiaTheme="minorEastAsia"/>
      <w:color w:val="00847E" w:themeColor="accent1"/>
      <w:sz w:val="24"/>
    </w:rPr>
  </w:style>
  <w:style w:type="character" w:styleId="Strong">
    <w:name w:val="Strong"/>
    <w:basedOn w:val="DefaultParagraphFont"/>
    <w:uiPriority w:val="33"/>
    <w:qFormat/>
    <w:rsid w:val="005B458E"/>
    <w:rPr>
      <w:b/>
      <w:bCs/>
    </w:rPr>
  </w:style>
  <w:style w:type="character" w:styleId="Emphasis">
    <w:name w:val="Emphasis"/>
    <w:basedOn w:val="DefaultParagraphFont"/>
    <w:uiPriority w:val="33"/>
    <w:qFormat/>
    <w:rsid w:val="005B458E"/>
    <w:rPr>
      <w:i/>
      <w:iCs/>
    </w:rPr>
  </w:style>
  <w:style w:type="paragraph" w:styleId="NoSpacing">
    <w:name w:val="No Spacing"/>
    <w:uiPriority w:val="1"/>
    <w:qFormat/>
    <w:rsid w:val="005B458E"/>
    <w:pPr>
      <w:spacing w:after="0"/>
    </w:pPr>
  </w:style>
  <w:style w:type="character" w:styleId="IntenseEmphasis">
    <w:name w:val="Intense Emphasis"/>
    <w:basedOn w:val="DefaultParagraphFont"/>
    <w:uiPriority w:val="33"/>
    <w:qFormat/>
    <w:rsid w:val="005B458E"/>
    <w:rPr>
      <w:b/>
      <w:i/>
      <w:iCs/>
      <w:color w:val="000000" w:themeColor="text1"/>
    </w:rPr>
  </w:style>
  <w:style w:type="paragraph" w:styleId="TOCHeading">
    <w:name w:val="TOC Heading"/>
    <w:basedOn w:val="Heading1"/>
    <w:next w:val="Normal"/>
    <w:uiPriority w:val="39"/>
    <w:qFormat/>
    <w:rsid w:val="005B458E"/>
    <w:pPr>
      <w:outlineLvl w:val="9"/>
    </w:pPr>
  </w:style>
  <w:style w:type="paragraph" w:styleId="Header">
    <w:name w:val="header"/>
    <w:basedOn w:val="Normal"/>
    <w:link w:val="HeaderChar"/>
    <w:uiPriority w:val="99"/>
    <w:unhideWhenUsed/>
    <w:rsid w:val="006C328D"/>
    <w:pPr>
      <w:tabs>
        <w:tab w:val="center" w:pos="4513"/>
        <w:tab w:val="right" w:pos="9026"/>
      </w:tabs>
      <w:spacing w:before="0" w:after="0"/>
    </w:pPr>
  </w:style>
  <w:style w:type="character" w:customStyle="1" w:styleId="HeaderChar">
    <w:name w:val="Header Char"/>
    <w:basedOn w:val="DefaultParagraphFont"/>
    <w:link w:val="Header"/>
    <w:uiPriority w:val="99"/>
    <w:rsid w:val="006C328D"/>
  </w:style>
  <w:style w:type="paragraph" w:styleId="Footer">
    <w:name w:val="footer"/>
    <w:basedOn w:val="Normal"/>
    <w:link w:val="FooterChar"/>
    <w:uiPriority w:val="99"/>
    <w:unhideWhenUsed/>
    <w:rsid w:val="006C328D"/>
    <w:pPr>
      <w:tabs>
        <w:tab w:val="center" w:pos="4513"/>
        <w:tab w:val="right" w:pos="9026"/>
      </w:tabs>
      <w:spacing w:before="0" w:after="0"/>
    </w:pPr>
  </w:style>
  <w:style w:type="character" w:customStyle="1" w:styleId="FooterChar">
    <w:name w:val="Footer Char"/>
    <w:basedOn w:val="DefaultParagraphFont"/>
    <w:link w:val="Footer"/>
    <w:uiPriority w:val="99"/>
    <w:rsid w:val="006C328D"/>
  </w:style>
  <w:style w:type="paragraph" w:styleId="BalloonText">
    <w:name w:val="Balloon Text"/>
    <w:basedOn w:val="Normal"/>
    <w:link w:val="BalloonTextChar"/>
    <w:uiPriority w:val="99"/>
    <w:semiHidden/>
    <w:unhideWhenUsed/>
    <w:rsid w:val="006C328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28D"/>
    <w:rPr>
      <w:rFonts w:ascii="Tahoma" w:hAnsi="Tahoma" w:cs="Tahoma"/>
      <w:sz w:val="16"/>
      <w:szCs w:val="16"/>
    </w:rPr>
  </w:style>
  <w:style w:type="paragraph" w:styleId="ListParagraph">
    <w:name w:val="List Paragraph"/>
    <w:basedOn w:val="Normal"/>
    <w:link w:val="ListParagraphChar"/>
    <w:uiPriority w:val="34"/>
    <w:qFormat/>
    <w:rsid w:val="000A7FA9"/>
    <w:pPr>
      <w:spacing w:before="40" w:after="160" w:line="280" w:lineRule="exact"/>
      <w:ind w:left="720"/>
      <w:contextualSpacing/>
    </w:pPr>
    <w:rPr>
      <w:rFonts w:ascii="Arial" w:hAnsi="Arial"/>
      <w:color w:val="auto"/>
    </w:rPr>
  </w:style>
  <w:style w:type="paragraph" w:customStyle="1" w:styleId="BulletsL2">
    <w:name w:val="Bullets L2"/>
    <w:basedOn w:val="Normal"/>
    <w:link w:val="BulletsL2Char"/>
    <w:qFormat/>
    <w:rsid w:val="000A7FA9"/>
    <w:pPr>
      <w:numPr>
        <w:numId w:val="12"/>
      </w:numPr>
      <w:spacing w:before="40" w:line="280" w:lineRule="exact"/>
      <w:ind w:left="709"/>
    </w:pPr>
    <w:rPr>
      <w:rFonts w:ascii="Arial" w:hAnsi="Arial"/>
      <w:color w:val="auto"/>
      <w:lang w:val="en-US"/>
    </w:rPr>
  </w:style>
  <w:style w:type="character" w:customStyle="1" w:styleId="ListParagraphChar">
    <w:name w:val="List Paragraph Char"/>
    <w:basedOn w:val="DefaultParagraphFont"/>
    <w:link w:val="ListParagraph"/>
    <w:uiPriority w:val="34"/>
    <w:rsid w:val="000A7FA9"/>
    <w:rPr>
      <w:rFonts w:ascii="Arial" w:hAnsi="Arial"/>
      <w:color w:val="auto"/>
    </w:rPr>
  </w:style>
  <w:style w:type="character" w:customStyle="1" w:styleId="BulletsL2Char">
    <w:name w:val="Bullets L2 Char"/>
    <w:basedOn w:val="DefaultParagraphFont"/>
    <w:link w:val="BulletsL2"/>
    <w:rsid w:val="000A7FA9"/>
    <w:rPr>
      <w:rFonts w:ascii="Arial" w:hAnsi="Arial"/>
      <w:color w:val="auto"/>
      <w:lang w:val="en-US"/>
    </w:rPr>
  </w:style>
  <w:style w:type="paragraph" w:styleId="FootnoteText">
    <w:name w:val="footnote text"/>
    <w:basedOn w:val="Normal"/>
    <w:link w:val="FootnoteTextChar"/>
    <w:uiPriority w:val="99"/>
    <w:semiHidden/>
    <w:unhideWhenUsed/>
    <w:rsid w:val="000A7FA9"/>
    <w:pPr>
      <w:spacing w:before="0" w:after="0"/>
    </w:pPr>
    <w:rPr>
      <w:color w:val="auto"/>
      <w:sz w:val="20"/>
      <w:szCs w:val="20"/>
      <w:lang w:val="en-GB"/>
    </w:rPr>
  </w:style>
  <w:style w:type="character" w:customStyle="1" w:styleId="FootnoteTextChar">
    <w:name w:val="Footnote Text Char"/>
    <w:basedOn w:val="DefaultParagraphFont"/>
    <w:link w:val="FootnoteText"/>
    <w:uiPriority w:val="99"/>
    <w:semiHidden/>
    <w:rsid w:val="000A7FA9"/>
    <w:rPr>
      <w:color w:val="auto"/>
      <w:sz w:val="20"/>
      <w:szCs w:val="20"/>
      <w:lang w:val="en-GB"/>
    </w:rPr>
  </w:style>
  <w:style w:type="character" w:styleId="FootnoteReference">
    <w:name w:val="footnote reference"/>
    <w:basedOn w:val="DefaultParagraphFont"/>
    <w:uiPriority w:val="99"/>
    <w:semiHidden/>
    <w:unhideWhenUsed/>
    <w:rsid w:val="000A7FA9"/>
    <w:rPr>
      <w:vertAlign w:val="superscript"/>
    </w:rPr>
  </w:style>
  <w:style w:type="character" w:styleId="Hyperlink">
    <w:name w:val="Hyperlink"/>
    <w:basedOn w:val="DefaultParagraphFont"/>
    <w:uiPriority w:val="99"/>
    <w:unhideWhenUsed/>
    <w:rsid w:val="000A7FA9"/>
    <w:rPr>
      <w:color w:val="00847E" w:themeColor="hyperlink"/>
      <w:u w:val="single"/>
    </w:rPr>
  </w:style>
  <w:style w:type="paragraph" w:customStyle="1" w:styleId="Normal1">
    <w:name w:val="Normal1"/>
    <w:basedOn w:val="Normal"/>
    <w:rsid w:val="000A7FA9"/>
    <w:pPr>
      <w:spacing w:before="0" w:after="0" w:line="276" w:lineRule="auto"/>
    </w:pPr>
    <w:rPr>
      <w:rFonts w:ascii="Arial" w:hAnsi="Arial" w:cs="Arial"/>
      <w:color w:val="000000"/>
    </w:rPr>
  </w:style>
  <w:style w:type="character" w:styleId="SubtleEmphasis">
    <w:name w:val="Subtle Emphasis"/>
    <w:basedOn w:val="DefaultParagraphFont"/>
    <w:uiPriority w:val="19"/>
    <w:qFormat/>
    <w:rsid w:val="00500A75"/>
    <w:rPr>
      <w:i/>
      <w:iCs/>
      <w:color w:val="808080" w:themeColor="text1" w:themeTint="7F"/>
    </w:rPr>
  </w:style>
  <w:style w:type="character" w:styleId="CommentReference">
    <w:name w:val="annotation reference"/>
    <w:basedOn w:val="DefaultParagraphFont"/>
    <w:uiPriority w:val="99"/>
    <w:semiHidden/>
    <w:unhideWhenUsed/>
    <w:rsid w:val="00016C26"/>
    <w:rPr>
      <w:sz w:val="16"/>
      <w:szCs w:val="16"/>
    </w:rPr>
  </w:style>
  <w:style w:type="paragraph" w:styleId="CommentText">
    <w:name w:val="annotation text"/>
    <w:basedOn w:val="Normal"/>
    <w:link w:val="CommentTextChar"/>
    <w:uiPriority w:val="99"/>
    <w:semiHidden/>
    <w:unhideWhenUsed/>
    <w:rsid w:val="00016C26"/>
    <w:rPr>
      <w:sz w:val="20"/>
      <w:szCs w:val="20"/>
    </w:rPr>
  </w:style>
  <w:style w:type="character" w:customStyle="1" w:styleId="CommentTextChar">
    <w:name w:val="Comment Text Char"/>
    <w:basedOn w:val="DefaultParagraphFont"/>
    <w:link w:val="CommentText"/>
    <w:uiPriority w:val="99"/>
    <w:semiHidden/>
    <w:rsid w:val="00016C26"/>
    <w:rPr>
      <w:sz w:val="20"/>
      <w:szCs w:val="20"/>
    </w:rPr>
  </w:style>
  <w:style w:type="paragraph" w:styleId="CommentSubject">
    <w:name w:val="annotation subject"/>
    <w:basedOn w:val="CommentText"/>
    <w:next w:val="CommentText"/>
    <w:link w:val="CommentSubjectChar"/>
    <w:uiPriority w:val="99"/>
    <w:semiHidden/>
    <w:unhideWhenUsed/>
    <w:rsid w:val="00016C26"/>
    <w:rPr>
      <w:b/>
      <w:bCs/>
    </w:rPr>
  </w:style>
  <w:style w:type="character" w:customStyle="1" w:styleId="CommentSubjectChar">
    <w:name w:val="Comment Subject Char"/>
    <w:basedOn w:val="CommentTextChar"/>
    <w:link w:val="CommentSubject"/>
    <w:uiPriority w:val="99"/>
    <w:semiHidden/>
    <w:rsid w:val="00016C2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jstor.org/stable/40177858?seq=1" TargetMode="External"/><Relationship Id="rId18" Type="http://schemas.openxmlformats.org/officeDocument/2006/relationships/hyperlink" Target="http://science.uniserve.edu.au/courses/benchmarking/benchmarking_manual.pdf" TargetMode="External"/><Relationship Id="rId26"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hyperlink" Target="http://www.assuringgraduatecapabilities.com/uploads/4/5/0/5/45053363/oliver,_b_deakin_fellowship_report_2015_with_evaluation.pdf" TargetMode="External"/><Relationship Id="rId7" Type="http://schemas.openxmlformats.org/officeDocument/2006/relationships/webSettings" Target="webSettings.xml"/><Relationship Id="rId12" Type="http://schemas.openxmlformats.org/officeDocument/2006/relationships/hyperlink" Target="http://www.aair.org.au/articles/volume-18-no-1/18-1-utilising-benchmarking-to-inform-decision-making-at-the-institutional-level" TargetMode="External"/><Relationship Id="rId17" Type="http://schemas.openxmlformats.org/officeDocument/2006/relationships/hyperlink" Target="https://www.iru.edu.au/action/calibration/" TargetMode="External"/><Relationship Id="rId25" Type="http://schemas.openxmlformats.org/officeDocument/2006/relationships/hyperlink" Target="http://www.teqsa.gov.au/hesf-2015-specific-guidance-notes" TargetMode="External"/><Relationship Id="rId2" Type="http://schemas.openxmlformats.org/officeDocument/2006/relationships/customXml" Target="../customXml/item2.xml"/><Relationship Id="rId16" Type="http://schemas.openxmlformats.org/officeDocument/2006/relationships/hyperlink" Target="https://www.researchgate.net/publication/235312267_Benchmarking_learning_and_teaching_Developing_a_method" TargetMode="External"/><Relationship Id="rId20" Type="http://schemas.openxmlformats.org/officeDocument/2006/relationships/hyperlink" Target="http://ctl.curtin.edu.au/events/conferences/atna2011/local/documents/Beverley%20Oliver%20ATNA2011.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qf.edu.au/" TargetMode="External"/><Relationship Id="rId24" Type="http://schemas.openxmlformats.org/officeDocument/2006/relationships/hyperlink" Target="http://www.teqsa.gov.au/explanations-hes-framework-terms"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app.griffith.edu.au/assessment-matters/" TargetMode="External"/><Relationship Id="rId23" Type="http://schemas.openxmlformats.org/officeDocument/2006/relationships/hyperlink" Target="http://pandora.nla.gov.au/pan/127066/20110826-0004/www.auqa.edu.au/files/publications/benchmarking_final_text_website.pdf" TargetMode="External"/><Relationship Id="rId28" Type="http://schemas.openxmlformats.org/officeDocument/2006/relationships/header" Target="header2.xml"/><Relationship Id="rId10" Type="http://schemas.openxmlformats.org/officeDocument/2006/relationships/hyperlink" Target="http://www.acode.edu.au/course/view.php?id=5" TargetMode="External"/><Relationship Id="rId19" Type="http://schemas.openxmlformats.org/officeDocument/2006/relationships/hyperlink" Target="http://www.olt.gov.au/resource-peer-review-assessment-networks"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flipcurric.edu.au/" TargetMode="External"/><Relationship Id="rId22" Type="http://schemas.openxmlformats.org/officeDocument/2006/relationships/hyperlink" Target="https://www.peerreviewportal.com" TargetMode="External"/><Relationship Id="rId27" Type="http://schemas.openxmlformats.org/officeDocument/2006/relationships/header" Target="header1.xml"/><Relationship Id="rId30"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TEQSA">
      <a:dk1>
        <a:srgbClr val="000000"/>
      </a:dk1>
      <a:lt1>
        <a:sysClr val="window" lastClr="FFFFFF"/>
      </a:lt1>
      <a:dk2>
        <a:srgbClr val="003B45"/>
      </a:dk2>
      <a:lt2>
        <a:srgbClr val="E7E6E6"/>
      </a:lt2>
      <a:accent1>
        <a:srgbClr val="00847E"/>
      </a:accent1>
      <a:accent2>
        <a:srgbClr val="003B45"/>
      </a:accent2>
      <a:accent3>
        <a:srgbClr val="F37A8A"/>
      </a:accent3>
      <a:accent4>
        <a:srgbClr val="FEC553"/>
      </a:accent4>
      <a:accent5>
        <a:srgbClr val="A2DADD"/>
      </a:accent5>
      <a:accent6>
        <a:srgbClr val="ED7D31"/>
      </a:accent6>
      <a:hlink>
        <a:srgbClr val="00847E"/>
      </a:hlink>
      <a:folHlink>
        <a:srgbClr val="00847E"/>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7dac4e8-3feb-44f4-96ca-b86e7c14d0f6">
      <Value>45</Value>
    </TaxCatchAll>
    <DocumentOwner xmlns="c7dac4e8-3feb-44f4-96ca-b86e7c14d0f6">
      <UserInfo>
        <DisplayName>Treloar, Karen</DisplayName>
        <AccountId>397</AccountId>
        <AccountType/>
      </UserInfo>
    </DocumentOwner>
    <DatePublished xmlns="c7dac4e8-3feb-44f4-96ca-b86e7c14d0f6">2017-08-06T14:00:00+00:00</DatePublished>
    <FormOrTemplate xmlns="c7dac4e8-3feb-44f4-96ca-b86e7c14d0f6">Template</FormOrTemplate>
    <e6aacab2b3734039bc8633068afcfbf5 xmlns="c7dac4e8-3feb-44f4-96ca-b86e7c14d0f6">
      <Terms xmlns="http://schemas.microsoft.com/office/infopath/2007/PartnerControls">
        <TermInfo xmlns="http://schemas.microsoft.com/office/infopath/2007/PartnerControls">
          <TermName xmlns="http://schemas.microsoft.com/office/infopath/2007/PartnerControls">Comms and International</TermName>
          <TermId xmlns="http://schemas.microsoft.com/office/infopath/2007/PartnerControls">f1db5572-7306-443e-a442-d56c9f2c52d1</TermId>
        </TermInfo>
      </Terms>
    </e6aacab2b3734039bc8633068afcfbf5>
  </documentManagement>
</p:properties>
</file>

<file path=customXml/item3.xml><?xml version="1.0" encoding="utf-8"?>
<ct:contentTypeSchema xmlns:ct="http://schemas.microsoft.com/office/2006/metadata/contentType" xmlns:ma="http://schemas.microsoft.com/office/2006/metadata/properties/metaAttributes" ct:_="" ma:_="" ma:contentTypeName="Forms and Templates" ma:contentTypeID="0x0101008B12DBA0513E054CBBB1E0A6BA75A4240300D297527A5029E444B0C317D38D273153" ma:contentTypeVersion="4" ma:contentTypeDescription="" ma:contentTypeScope="" ma:versionID="2e25f12e526be21e8e57d9281c7f5faa">
  <xsd:schema xmlns:xsd="http://www.w3.org/2001/XMLSchema" xmlns:xs="http://www.w3.org/2001/XMLSchema" xmlns:p="http://schemas.microsoft.com/office/2006/metadata/properties" xmlns:ns2="c7dac4e8-3feb-44f4-96ca-b86e7c14d0f6" targetNamespace="http://schemas.microsoft.com/office/2006/metadata/properties" ma:root="true" ma:fieldsID="73f842c38cd15afe6ce6e7cf45703cde" ns2:_="">
    <xsd:import namespace="c7dac4e8-3feb-44f4-96ca-b86e7c14d0f6"/>
    <xsd:element name="properties">
      <xsd:complexType>
        <xsd:sequence>
          <xsd:element name="documentManagement">
            <xsd:complexType>
              <xsd:all>
                <xsd:element ref="ns2:e6aacab2b3734039bc8633068afcfbf5" minOccurs="0"/>
                <xsd:element ref="ns2:TaxCatchAll" minOccurs="0"/>
                <xsd:element ref="ns2:TaxCatchAllLabel" minOccurs="0"/>
                <xsd:element ref="ns2:DocumentOwner"/>
                <xsd:element ref="ns2:DatePublished"/>
                <xsd:element ref="ns2:FormOrTemplat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dac4e8-3feb-44f4-96ca-b86e7c14d0f6" elementFormDefault="qualified">
    <xsd:import namespace="http://schemas.microsoft.com/office/2006/documentManagement/types"/>
    <xsd:import namespace="http://schemas.microsoft.com/office/infopath/2007/PartnerControls"/>
    <xsd:element name="e6aacab2b3734039bc8633068afcfbf5" ma:index="8" nillable="true" ma:taxonomy="true" ma:internalName="e6aacab2b3734039bc8633068afcfbf5" ma:taxonomyFieldName="Team" ma:displayName="Team" ma:default="" ma:fieldId="{e6aacab2-b373-4039-bc86-33068afcfbf5}" ma:taxonomyMulti="true" ma:sspId="be8905b2-f52b-44de-a206-1b32cf4e62f6" ma:termSetId="106e9e8c-657b-438c-9955-5d7da1bc388e"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83f939d1-56bc-40c0-957d-36b9f39c0f6e}" ma:internalName="TaxCatchAll" ma:showField="CatchAllData" ma:web="c7dac4e8-3feb-44f4-96ca-b86e7c14d0f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83f939d1-56bc-40c0-957d-36b9f39c0f6e}" ma:internalName="TaxCatchAllLabel" ma:readOnly="true" ma:showField="CatchAllDataLabel" ma:web="c7dac4e8-3feb-44f4-96ca-b86e7c14d0f6">
      <xsd:complexType>
        <xsd:complexContent>
          <xsd:extension base="dms:MultiChoiceLookup">
            <xsd:sequence>
              <xsd:element name="Value" type="dms:Lookup" maxOccurs="unbounded" minOccurs="0" nillable="true"/>
            </xsd:sequence>
          </xsd:extension>
        </xsd:complexContent>
      </xsd:complexType>
    </xsd:element>
    <xsd:element name="DocumentOwner" ma:index="12" ma:displayName="Document Owner" ma:list="UserInfo" ma:SharePointGroup="0" ma:internalName="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DatePublished" ma:index="13" ma:displayName="Date Published" ma:default="[today]" ma:format="DateOnly" ma:internalName="DatePublished" ma:readOnly="false">
      <xsd:simpleType>
        <xsd:restriction base="dms:DateTime"/>
      </xsd:simpleType>
    </xsd:element>
    <xsd:element name="FormOrTemplate" ma:index="14" ma:displayName="Form/Template" ma:format="Dropdown" ma:internalName="FormOrTemplate" ma:readOnly="false">
      <xsd:simpleType>
        <xsd:restriction base="dms:Choice">
          <xsd:enumeration value="Form"/>
          <xsd:enumeration value="Templat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6614D6-DA47-4A88-BB0E-7C89098DA12E}">
  <ds:schemaRefs>
    <ds:schemaRef ds:uri="http://schemas.microsoft.com/sharepoint/v3/contenttype/forms"/>
  </ds:schemaRefs>
</ds:datastoreItem>
</file>

<file path=customXml/itemProps2.xml><?xml version="1.0" encoding="utf-8"?>
<ds:datastoreItem xmlns:ds="http://schemas.openxmlformats.org/officeDocument/2006/customXml" ds:itemID="{A82E1C12-8773-409A-B29D-4FC4E6BF5F01}">
  <ds:schemaRefs>
    <ds:schemaRef ds:uri="http://schemas.microsoft.com/office/2006/metadata/properties"/>
    <ds:schemaRef ds:uri="http://schemas.microsoft.com/office/infopath/2007/PartnerControls"/>
    <ds:schemaRef ds:uri="c7dac4e8-3feb-44f4-96ca-b86e7c14d0f6"/>
  </ds:schemaRefs>
</ds:datastoreItem>
</file>

<file path=customXml/itemProps3.xml><?xml version="1.0" encoding="utf-8"?>
<ds:datastoreItem xmlns:ds="http://schemas.openxmlformats.org/officeDocument/2006/customXml" ds:itemID="{B0E73932-8B59-49A4-AA6D-1679CC7BA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dac4e8-3feb-44f4-96ca-b86e7c14d0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3608</Words>
  <Characters>20567</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Guidance Note: External Referencing</vt:lpstr>
    </vt:vector>
  </TitlesOfParts>
  <Company>Tertiary Education Quality and Standards Agency</Company>
  <LinksUpToDate>false</LinksUpToDate>
  <CharactersWithSpaces>24127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 External Referencing</dc:title>
  <dc:creator>May, Raphael</dc:creator>
  <cp:lastModifiedBy>Hewitt-McManus, Tom</cp:lastModifiedBy>
  <cp:revision>3</cp:revision>
  <cp:lastPrinted>2018-07-18T23:11:00Z</cp:lastPrinted>
  <dcterms:created xsi:type="dcterms:W3CDTF">2019-04-16T00:46:00Z</dcterms:created>
  <dcterms:modified xsi:type="dcterms:W3CDTF">2020-02-10T02:23:00Z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0x0101008B12DBA0513E054CBBB1E0A6BA75A4240300D297527A5029E444B0C317D38D273153</vt:lpwstr>
  </property>
  <property fmtid="{D5CDD505-2E9C-101B-9397-08002B2CF9AE}" pid="3" name="Team">
    <vt:lpwstr>45;#Comms and International|f1db5572-7306-443e-a442-d56c9f2c52d1</vt:lpwstr>
  </property>
</Properties>
</file>