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ECBE9" w14:textId="77777777" w:rsidR="00103021" w:rsidRDefault="00103021" w:rsidP="00103021">
      <w:pPr>
        <w:pStyle w:val="Heading1"/>
        <w:rPr>
          <w:i/>
          <w:color w:val="00A398"/>
        </w:rPr>
      </w:pPr>
      <w:r w:rsidRPr="00103021">
        <w:rPr>
          <w:color w:val="00A398"/>
        </w:rPr>
        <w:t xml:space="preserve">Guidance Note: </w:t>
      </w:r>
      <w:r w:rsidRPr="00103021">
        <w:rPr>
          <w:i/>
          <w:color w:val="00A398"/>
        </w:rPr>
        <w:t>Diversity and Equity</w:t>
      </w:r>
    </w:p>
    <w:p w14:paraId="07F169DD" w14:textId="77777777" w:rsidR="00C914FD" w:rsidRDefault="00C914FD" w:rsidP="00C914FD">
      <w:pPr>
        <w:rPr>
          <w:rStyle w:val="SubtleEmphasis"/>
        </w:rPr>
      </w:pPr>
      <w:r w:rsidRPr="00C37CC3">
        <w:rPr>
          <w:rStyle w:val="SubtleEmphasis"/>
        </w:rPr>
        <w:t>Version 1.</w:t>
      </w:r>
      <w:r w:rsidR="004E5E28" w:rsidRPr="00C37CC3">
        <w:rPr>
          <w:rStyle w:val="SubtleEmphasis"/>
        </w:rPr>
        <w:t xml:space="preserve">2 </w:t>
      </w:r>
      <w:r w:rsidRPr="00C37CC3">
        <w:rPr>
          <w:rStyle w:val="SubtleEmphasis"/>
        </w:rPr>
        <w:t>(</w:t>
      </w:r>
      <w:r w:rsidR="00C37CC3" w:rsidRPr="00C37CC3">
        <w:rPr>
          <w:rStyle w:val="SubtleEmphasis"/>
        </w:rPr>
        <w:t>11 October</w:t>
      </w:r>
      <w:r w:rsidRPr="00C37CC3">
        <w:rPr>
          <w:rStyle w:val="SubtleEmphasis"/>
        </w:rPr>
        <w:t xml:space="preserve"> 2017)</w:t>
      </w:r>
    </w:p>
    <w:p w14:paraId="5376E9F3" w14:textId="77777777" w:rsidR="006A1179" w:rsidRPr="006A1179" w:rsidRDefault="006A1179" w:rsidP="00C914FD">
      <w:pPr>
        <w:rPr>
          <w:rStyle w:val="SubtleEmphasis"/>
          <w:color w:val="000000" w:themeColor="text1"/>
        </w:rPr>
      </w:pPr>
      <w:r w:rsidRPr="006A1179">
        <w:rPr>
          <w:rStyle w:val="SubtleEmphasis"/>
          <w:color w:val="000000" w:themeColor="text1"/>
        </w:rPr>
        <w:t>Providers should note that Guidance Notes are intended to provide guidance only. They are not definitive or binding documents. Nor are they prescriptive. The definitive instruments for regulatory purposes remain the TEQSA Act and the Higher Education Standards Framework as amended from time to time.</w:t>
      </w:r>
    </w:p>
    <w:p w14:paraId="13F9DEA1" w14:textId="77777777" w:rsidR="00103021" w:rsidRDefault="00103021" w:rsidP="00103021">
      <w:pPr>
        <w:pStyle w:val="Heading2"/>
      </w:pPr>
      <w:r>
        <w:t>What constitutes diversity and equity?</w:t>
      </w:r>
    </w:p>
    <w:p w14:paraId="73DE87AC" w14:textId="77777777" w:rsidR="00103021" w:rsidRDefault="00103021" w:rsidP="00103021">
      <w:pPr>
        <w:jc w:val="both"/>
      </w:pPr>
      <w:r>
        <w:t xml:space="preserve">The terms ‘diversity’ and ‘equity’ as used in the </w:t>
      </w:r>
      <w:r w:rsidRPr="00015B24">
        <w:rPr>
          <w:i/>
        </w:rPr>
        <w:t>Higher Education Standards Framework (Threshold Standards) 2015</w:t>
      </w:r>
      <w:r w:rsidRPr="00015B24">
        <w:t xml:space="preserve"> (</w:t>
      </w:r>
      <w:r>
        <w:t>HES Framework) refer broadly to the creation of</w:t>
      </w:r>
      <w:r w:rsidRPr="00222778">
        <w:t xml:space="preserve"> </w:t>
      </w:r>
      <w:r>
        <w:t xml:space="preserve">equivalent </w:t>
      </w:r>
      <w:r w:rsidRPr="00222778">
        <w:t xml:space="preserve">opportunities for access and success in </w:t>
      </w:r>
      <w:r>
        <w:t xml:space="preserve">Australian </w:t>
      </w:r>
      <w:r w:rsidRPr="00222778">
        <w:t xml:space="preserve">higher education </w:t>
      </w:r>
      <w:r>
        <w:t>for</w:t>
      </w:r>
      <w:r w:rsidRPr="00222778">
        <w:t xml:space="preserve"> historically </w:t>
      </w:r>
      <w:r>
        <w:t xml:space="preserve">disadvantaged or </w:t>
      </w:r>
      <w:r w:rsidRPr="00222778">
        <w:t>underrepresented student populations</w:t>
      </w:r>
      <w:r>
        <w:t xml:space="preserve">, other groups protected in Equal Opportunity and anti-discrimination legislation, and those covered by the </w:t>
      </w:r>
      <w:hyperlink r:id="rId10" w:history="1">
        <w:r w:rsidRPr="00AF4014">
          <w:rPr>
            <w:rStyle w:val="Hyperlink"/>
          </w:rPr>
          <w:t>Higher Education Participation and Partnerships Program</w:t>
        </w:r>
      </w:hyperlink>
      <w:r>
        <w:t xml:space="preserve">. </w:t>
      </w:r>
    </w:p>
    <w:p w14:paraId="3B07D2BC" w14:textId="77777777" w:rsidR="00103021" w:rsidRDefault="00103021" w:rsidP="00103021">
      <w:pPr>
        <w:jc w:val="both"/>
      </w:pPr>
      <w:r>
        <w:t>The relevant Standards in the HES Framework require higher education providers to focus on ensuring equivalent opportunities for student academic success. They do not refer to the appointment of staff.</w:t>
      </w:r>
    </w:p>
    <w:p w14:paraId="362C5CE0" w14:textId="77777777" w:rsidR="00103021" w:rsidRDefault="00103021" w:rsidP="00103021">
      <w:pPr>
        <w:pStyle w:val="Heading2"/>
      </w:pPr>
      <w:r w:rsidRPr="004A4935">
        <w:t>Relevant Standards</w:t>
      </w:r>
      <w:r>
        <w:t xml:space="preserve"> in the HES Framework </w:t>
      </w:r>
    </w:p>
    <w:p w14:paraId="5EF3CA66" w14:textId="77777777" w:rsidR="00103021" w:rsidRDefault="00103021" w:rsidP="00103021">
      <w:pPr>
        <w:jc w:val="both"/>
      </w:pPr>
      <w:r>
        <w:t xml:space="preserve">The principal Standards concerned with diversity and equity are in Part A, Section 2.2, Diversity and Equity, which set out three broad requirements that apply to providers and courses of study: </w:t>
      </w:r>
    </w:p>
    <w:p w14:paraId="49A8A0C4" w14:textId="77777777" w:rsidR="00103021" w:rsidRPr="00125051" w:rsidRDefault="00103021" w:rsidP="00C914FD">
      <w:pPr>
        <w:pStyle w:val="BulletsL2"/>
        <w:numPr>
          <w:ilvl w:val="0"/>
          <w:numId w:val="12"/>
        </w:numPr>
        <w:ind w:left="1134" w:hanging="567"/>
        <w:rPr>
          <w:rFonts w:cs="Arial"/>
          <w:lang w:val="en-AU"/>
        </w:rPr>
      </w:pPr>
      <w:r w:rsidRPr="00125051">
        <w:rPr>
          <w:rFonts w:cs="Arial"/>
          <w:lang w:val="en-AU"/>
        </w:rPr>
        <w:t>Institutional policies, practices and approaches to teaching and learning are designed to accommodate student diversity, including the under-representation and/or disadvantage experienced by identified groups, and create equivalent opportunities for academic success regardless of students’ backgrounds.</w:t>
      </w:r>
    </w:p>
    <w:p w14:paraId="652C66C1" w14:textId="77777777" w:rsidR="00103021" w:rsidRPr="00125051" w:rsidRDefault="00103021" w:rsidP="00C914FD">
      <w:pPr>
        <w:pStyle w:val="BulletsL2"/>
        <w:numPr>
          <w:ilvl w:val="0"/>
          <w:numId w:val="12"/>
        </w:numPr>
        <w:ind w:left="1134" w:hanging="567"/>
        <w:rPr>
          <w:rFonts w:cs="Arial"/>
          <w:lang w:val="en-AU"/>
        </w:rPr>
      </w:pPr>
      <w:r w:rsidRPr="00125051">
        <w:rPr>
          <w:rFonts w:cs="Arial"/>
          <w:lang w:val="en-AU"/>
        </w:rPr>
        <w:t xml:space="preserve">Specific consideration is given to the recruitment, admission, </w:t>
      </w:r>
      <w:proofErr w:type="gramStart"/>
      <w:r w:rsidRPr="00125051">
        <w:rPr>
          <w:rFonts w:cs="Arial"/>
          <w:lang w:val="en-AU"/>
        </w:rPr>
        <w:t>participation</w:t>
      </w:r>
      <w:proofErr w:type="gramEnd"/>
      <w:r w:rsidRPr="00125051">
        <w:rPr>
          <w:rFonts w:cs="Arial"/>
          <w:lang w:val="en-AU"/>
        </w:rPr>
        <w:t xml:space="preserve"> and completion of Aboriginal and Torres Strait Islander peoples.</w:t>
      </w:r>
    </w:p>
    <w:p w14:paraId="736ED500" w14:textId="77777777" w:rsidR="00103021" w:rsidRPr="00125051" w:rsidRDefault="00103021" w:rsidP="00C914FD">
      <w:pPr>
        <w:pStyle w:val="BulletsL2"/>
        <w:numPr>
          <w:ilvl w:val="0"/>
          <w:numId w:val="12"/>
        </w:numPr>
        <w:ind w:left="1134" w:hanging="567"/>
        <w:rPr>
          <w:rFonts w:cs="Arial"/>
          <w:lang w:val="en-AU"/>
        </w:rPr>
      </w:pPr>
      <w:r w:rsidRPr="00125051">
        <w:rPr>
          <w:rFonts w:cs="Arial"/>
          <w:lang w:val="en-AU"/>
        </w:rPr>
        <w:t xml:space="preserve">Participation, progress, and completion by identified student subgroups are monitored and the findings are used to inform admission policies and improvement of teaching, learning and support strategies for those subgroups. </w:t>
      </w:r>
    </w:p>
    <w:p w14:paraId="7DEE4780" w14:textId="77777777" w:rsidR="00103021" w:rsidRDefault="00103021" w:rsidP="00103021">
      <w:pPr>
        <w:jc w:val="both"/>
        <w:rPr>
          <w:rFonts w:eastAsia="Times New Roman" w:cs="Times New Roman"/>
          <w:bCs/>
          <w:szCs w:val="28"/>
        </w:rPr>
      </w:pPr>
      <w:r>
        <w:rPr>
          <w:rFonts w:eastAsia="Times New Roman" w:cs="Times New Roman"/>
          <w:bCs/>
          <w:szCs w:val="28"/>
        </w:rPr>
        <w:t>Requirements for providers to consider diversity and equity are also woven into other Standards, reflecting the typical stages of being a student.</w:t>
      </w:r>
    </w:p>
    <w:p w14:paraId="3939E5EC" w14:textId="77777777" w:rsidR="00103021" w:rsidRDefault="00103021" w:rsidP="00103021">
      <w:pPr>
        <w:jc w:val="both"/>
        <w:rPr>
          <w:rFonts w:eastAsia="Times New Roman" w:cs="Times New Roman"/>
          <w:bCs/>
          <w:szCs w:val="28"/>
        </w:rPr>
      </w:pPr>
      <w:r>
        <w:rPr>
          <w:rFonts w:eastAsia="Times New Roman" w:cs="Times New Roman"/>
          <w:bCs/>
          <w:szCs w:val="28"/>
        </w:rPr>
        <w:t xml:space="preserve">Standard 1.1.1 on </w:t>
      </w:r>
      <w:r w:rsidRPr="00C31F20">
        <w:rPr>
          <w:rFonts w:eastAsia="Times New Roman" w:cs="Times New Roman"/>
          <w:bCs/>
          <w:szCs w:val="28"/>
        </w:rPr>
        <w:t>Admission</w:t>
      </w:r>
      <w:r>
        <w:rPr>
          <w:rFonts w:eastAsia="Times New Roman" w:cs="Times New Roman"/>
          <w:bCs/>
          <w:szCs w:val="28"/>
        </w:rPr>
        <w:t xml:space="preserve"> requires providers </w:t>
      </w:r>
      <w:r w:rsidRPr="00C31F20">
        <w:rPr>
          <w:rFonts w:eastAsia="Times New Roman" w:cs="Times New Roman"/>
          <w:bCs/>
          <w:szCs w:val="28"/>
        </w:rPr>
        <w:t xml:space="preserve">to ensure that admitted students have the academic preparation and proficiency in English needed to participate in their intended </w:t>
      </w:r>
      <w:r w:rsidRPr="00C31F20">
        <w:rPr>
          <w:rFonts w:eastAsia="Times New Roman" w:cs="Times New Roman"/>
          <w:bCs/>
          <w:szCs w:val="28"/>
        </w:rPr>
        <w:lastRenderedPageBreak/>
        <w:t xml:space="preserve">study, and no known limitations that would be expected to impede their progression and completion. </w:t>
      </w:r>
    </w:p>
    <w:p w14:paraId="7D366247" w14:textId="77777777" w:rsidR="00103021" w:rsidRDefault="00103021" w:rsidP="00103021">
      <w:pPr>
        <w:jc w:val="both"/>
        <w:rPr>
          <w:rFonts w:eastAsia="Times New Roman" w:cs="Times New Roman"/>
          <w:bCs/>
          <w:szCs w:val="28"/>
        </w:rPr>
      </w:pPr>
      <w:r>
        <w:rPr>
          <w:rFonts w:eastAsia="Times New Roman" w:cs="Times New Roman"/>
          <w:bCs/>
          <w:szCs w:val="28"/>
        </w:rPr>
        <w:t>Also relevant to student a</w:t>
      </w:r>
      <w:r w:rsidRPr="002C4F90">
        <w:rPr>
          <w:rFonts w:eastAsia="Times New Roman" w:cs="Times New Roman"/>
          <w:bCs/>
          <w:szCs w:val="28"/>
        </w:rPr>
        <w:t>dmissions is S</w:t>
      </w:r>
      <w:r>
        <w:rPr>
          <w:rFonts w:eastAsia="Times New Roman" w:cs="Times New Roman"/>
          <w:bCs/>
          <w:szCs w:val="28"/>
        </w:rPr>
        <w:t>ection</w:t>
      </w:r>
      <w:r w:rsidRPr="002C4F90">
        <w:rPr>
          <w:rFonts w:eastAsia="Times New Roman" w:cs="Times New Roman"/>
          <w:bCs/>
          <w:szCs w:val="28"/>
        </w:rPr>
        <w:t xml:space="preserve"> 7.2 on Information for Prospective and Current Students, which requires that </w:t>
      </w:r>
      <w:r>
        <w:rPr>
          <w:rFonts w:eastAsia="Times New Roman" w:cs="Times New Roman"/>
          <w:bCs/>
          <w:szCs w:val="28"/>
        </w:rPr>
        <w:t>a</w:t>
      </w:r>
      <w:r w:rsidRPr="002C4F90">
        <w:rPr>
          <w:rFonts w:eastAsia="Times New Roman" w:cs="Times New Roman"/>
          <w:bCs/>
          <w:szCs w:val="28"/>
        </w:rPr>
        <w:t xml:space="preserve">ccurate, </w:t>
      </w:r>
      <w:proofErr w:type="gramStart"/>
      <w:r w:rsidRPr="002C4F90">
        <w:rPr>
          <w:rFonts w:eastAsia="Times New Roman" w:cs="Times New Roman"/>
          <w:bCs/>
          <w:szCs w:val="28"/>
        </w:rPr>
        <w:t>relevant</w:t>
      </w:r>
      <w:proofErr w:type="gramEnd"/>
      <w:r w:rsidRPr="002C4F90">
        <w:rPr>
          <w:rFonts w:eastAsia="Times New Roman" w:cs="Times New Roman"/>
          <w:bCs/>
          <w:szCs w:val="28"/>
        </w:rPr>
        <w:t xml:space="preserve"> and timely information for students is publicly available and accessible, including access for students with special needs, to enable informed decision making about educational offerings and experiences. </w:t>
      </w:r>
    </w:p>
    <w:p w14:paraId="2A652BF0" w14:textId="77777777" w:rsidR="00103021" w:rsidRDefault="00103021" w:rsidP="00103021">
      <w:pPr>
        <w:jc w:val="both"/>
      </w:pPr>
      <w:r>
        <w:t xml:space="preserve">Standard 7.2.2d </w:t>
      </w:r>
      <w:r w:rsidRPr="002C4F90">
        <w:t>requires providers to give</w:t>
      </w:r>
      <w:r>
        <w:t xml:space="preserve"> prospective students,</w:t>
      </w:r>
      <w:r w:rsidRPr="002C4F90">
        <w:t xml:space="preserve"> </w:t>
      </w:r>
      <w:r w:rsidRPr="002C4F90">
        <w:rPr>
          <w:rFonts w:eastAsia="Calibri"/>
          <w:lang w:val="en-GB"/>
        </w:rPr>
        <w:t>prior to acceptance of an offer</w:t>
      </w:r>
      <w:r>
        <w:rPr>
          <w:rFonts w:eastAsia="Calibri"/>
          <w:lang w:val="en-GB"/>
        </w:rPr>
        <w:t xml:space="preserve">, </w:t>
      </w:r>
      <w:r w:rsidRPr="002C4F90">
        <w:t xml:space="preserve">access </w:t>
      </w:r>
      <w:r>
        <w:t xml:space="preserve">to </w:t>
      </w:r>
      <w:r w:rsidRPr="002C4F90">
        <w:t>current academic governance policies and requirements, including policies and requirements in respect of equity and diversity.</w:t>
      </w:r>
    </w:p>
    <w:p w14:paraId="065370A1" w14:textId="77777777" w:rsidR="00103021" w:rsidRDefault="00103021" w:rsidP="00103021">
      <w:pPr>
        <w:jc w:val="both"/>
      </w:pPr>
      <w:r>
        <w:t xml:space="preserve">Section 1.3 on Orientation and Progression requires providers to tailor their orientation programs to the needs of student cohorts, to assess </w:t>
      </w:r>
      <w:r w:rsidRPr="00C31F20">
        <w:t>the needs and preparedness of individual students and cohorts</w:t>
      </w:r>
      <w:r>
        <w:t>, and to ensure that students</w:t>
      </w:r>
      <w:r w:rsidRPr="008147EB">
        <w:t xml:space="preserve"> </w:t>
      </w:r>
      <w:r>
        <w:t xml:space="preserve">have </w:t>
      </w:r>
      <w:r w:rsidRPr="008147EB">
        <w:t xml:space="preserve">equivalent opportunities for successful transition into and progression through their course of study, irrespective of their educational background, entry pathway, </w:t>
      </w:r>
      <w:proofErr w:type="gramStart"/>
      <w:r w:rsidRPr="008147EB">
        <w:t>mode</w:t>
      </w:r>
      <w:proofErr w:type="gramEnd"/>
      <w:r w:rsidRPr="008147EB">
        <w:t xml:space="preserve"> or place of study.</w:t>
      </w:r>
    </w:p>
    <w:p w14:paraId="4A148D2E" w14:textId="77777777" w:rsidR="00103021" w:rsidRDefault="00103021" w:rsidP="00103021">
      <w:pPr>
        <w:jc w:val="both"/>
      </w:pPr>
      <w:r>
        <w:t>Section 2.3 on Wellbeing and Safety requires that t</w:t>
      </w:r>
      <w:r w:rsidRPr="002A3A38">
        <w:t xml:space="preserve">he nature and extent of support services available </w:t>
      </w:r>
      <w:r>
        <w:t>to</w:t>
      </w:r>
      <w:r w:rsidRPr="002A3A38">
        <w:t xml:space="preserve"> students are informed by the needs of student cohorts, including mental health, </w:t>
      </w:r>
      <w:proofErr w:type="gramStart"/>
      <w:r w:rsidRPr="002A3A38">
        <w:t>disability</w:t>
      </w:r>
      <w:proofErr w:type="gramEnd"/>
      <w:r w:rsidRPr="002A3A38">
        <w:t xml:space="preserve"> and wellbeing needs</w:t>
      </w:r>
      <w:r>
        <w:t xml:space="preserve"> (see Standard 2.3.3)</w:t>
      </w:r>
      <w:r w:rsidRPr="002A3A38">
        <w:t>.</w:t>
      </w:r>
    </w:p>
    <w:p w14:paraId="1178FC80" w14:textId="77777777" w:rsidR="00103021" w:rsidRDefault="00103021" w:rsidP="00103021">
      <w:pPr>
        <w:jc w:val="both"/>
      </w:pPr>
      <w:r>
        <w:t>Section 3.3 on Learnin</w:t>
      </w:r>
      <w:r w:rsidRPr="00E236C4">
        <w:t>g Resources and Education</w:t>
      </w:r>
      <w:r>
        <w:t>al S</w:t>
      </w:r>
      <w:r w:rsidRPr="00E236C4">
        <w:t xml:space="preserve">upport </w:t>
      </w:r>
      <w:r>
        <w:t xml:space="preserve">includes requirements that need to be considered </w:t>
      </w:r>
      <w:proofErr w:type="gramStart"/>
      <w:r>
        <w:t>in regard to</w:t>
      </w:r>
      <w:proofErr w:type="gramEnd"/>
      <w:r>
        <w:t xml:space="preserve"> student diversity and equity. Standard 3.3.3 requires that a</w:t>
      </w:r>
      <w:r w:rsidRPr="00E236C4">
        <w:t xml:space="preserve">ccess to learning resources does not present unexpected barriers, </w:t>
      </w:r>
      <w:proofErr w:type="gramStart"/>
      <w:r w:rsidRPr="00E236C4">
        <w:t>costs</w:t>
      </w:r>
      <w:proofErr w:type="gramEnd"/>
      <w:r w:rsidRPr="00E236C4">
        <w:t xml:space="preserve"> or technology requirements for students, including for students with special needs.</w:t>
      </w:r>
      <w:r>
        <w:t xml:space="preserve"> Standard 3.3.4 requires that s</w:t>
      </w:r>
      <w:r w:rsidRPr="00E236C4">
        <w:t xml:space="preserve">tudents have access to learning support services that are consistent with the requirements of their course </w:t>
      </w:r>
      <w:r>
        <w:t xml:space="preserve">and mode </w:t>
      </w:r>
      <w:r w:rsidRPr="00E236C4">
        <w:t>of study</w:t>
      </w:r>
      <w:r>
        <w:t>, and</w:t>
      </w:r>
      <w:r w:rsidRPr="00E236C4">
        <w:t xml:space="preserve"> </w:t>
      </w:r>
      <w:r>
        <w:t xml:space="preserve">with </w:t>
      </w:r>
      <w:r w:rsidRPr="00E236C4">
        <w:t>the learning needs of student cohorts.</w:t>
      </w:r>
    </w:p>
    <w:p w14:paraId="697B655B" w14:textId="77777777" w:rsidR="00103021" w:rsidRDefault="00103021" w:rsidP="00103021">
      <w:pPr>
        <w:jc w:val="both"/>
      </w:pPr>
      <w:r w:rsidRPr="00F72053">
        <w:t>Part B</w:t>
      </w:r>
      <w:r>
        <w:t>1</w:t>
      </w:r>
      <w:r w:rsidRPr="00F72053">
        <w:t>, on provider categories, sets out requirements for use of the title ‘university’. Any pro</w:t>
      </w:r>
      <w:r>
        <w:t>vider seeking to use the title ‘</w:t>
      </w:r>
      <w:r w:rsidRPr="00F72053">
        <w:t xml:space="preserve">university’ must </w:t>
      </w:r>
      <w:r>
        <w:t xml:space="preserve">demonstrate </w:t>
      </w:r>
      <w:r w:rsidRPr="00C31F20">
        <w:t>a commitment to social responsibility in its activities</w:t>
      </w:r>
      <w:r>
        <w:t xml:space="preserve">. </w:t>
      </w:r>
    </w:p>
    <w:p w14:paraId="3DEC505D" w14:textId="77777777" w:rsidR="00103021" w:rsidRDefault="00103021" w:rsidP="00103021">
      <w:pPr>
        <w:jc w:val="both"/>
      </w:pPr>
      <w:r>
        <w:t>Paragraph 2d of Part B2 requires that any provider seeking authority from TEQSA to self-accredit nominated courses must demonstrate that it has:</w:t>
      </w:r>
    </w:p>
    <w:p w14:paraId="2DD3E6BD" w14:textId="77777777" w:rsidR="00103021" w:rsidRDefault="00103021" w:rsidP="00C914FD">
      <w:pPr>
        <w:pStyle w:val="BulletsL2"/>
        <w:numPr>
          <w:ilvl w:val="0"/>
          <w:numId w:val="13"/>
        </w:numPr>
        <w:rPr>
          <w:rFonts w:cs="Arial"/>
          <w:lang w:val="en-AU"/>
        </w:rPr>
      </w:pPr>
      <w:r w:rsidRPr="002A777F">
        <w:rPr>
          <w:rFonts w:cs="Arial"/>
          <w:lang w:val="en-AU"/>
        </w:rPr>
        <w:t xml:space="preserve">completed at least one cycle of review and improvement in relation to the provider’s efforts to meet Standard 2.2.3 in its reviews and improvement activities of all courses </w:t>
      </w:r>
      <w:r>
        <w:rPr>
          <w:rFonts w:cs="Arial"/>
          <w:lang w:val="en-AU"/>
        </w:rPr>
        <w:t>proposed for self-accreditation</w:t>
      </w:r>
    </w:p>
    <w:p w14:paraId="3547AA2A" w14:textId="77777777" w:rsidR="00103021" w:rsidRPr="009725ED" w:rsidRDefault="00103021" w:rsidP="00C914FD">
      <w:pPr>
        <w:pStyle w:val="BulletsL2"/>
        <w:numPr>
          <w:ilvl w:val="0"/>
          <w:numId w:val="13"/>
        </w:numPr>
        <w:rPr>
          <w:rFonts w:cs="Arial"/>
          <w:lang w:val="en-AU"/>
        </w:rPr>
      </w:pPr>
      <w:r w:rsidRPr="009725ED">
        <w:rPr>
          <w:rFonts w:cs="Arial"/>
          <w:lang w:val="en-AU"/>
        </w:rPr>
        <w:t>demonstrated successful implementation of evidence-based improve</w:t>
      </w:r>
      <w:r w:rsidR="00C914FD">
        <w:rPr>
          <w:rFonts w:cs="Arial"/>
          <w:lang w:val="en-AU"/>
        </w:rPr>
        <w:t>ments arising from the reviews</w:t>
      </w:r>
    </w:p>
    <w:p w14:paraId="1957EE5E" w14:textId="77777777" w:rsidR="00103021" w:rsidRPr="009725ED" w:rsidRDefault="00103021" w:rsidP="00C914FD">
      <w:pPr>
        <w:pStyle w:val="BulletsL2"/>
        <w:numPr>
          <w:ilvl w:val="0"/>
          <w:numId w:val="13"/>
        </w:numPr>
        <w:rPr>
          <w:rFonts w:cs="Arial"/>
          <w:lang w:val="en-AU"/>
        </w:rPr>
      </w:pPr>
      <w:r w:rsidRPr="009725ED">
        <w:rPr>
          <w:rFonts w:cs="Arial"/>
          <w:lang w:val="en-AU"/>
        </w:rPr>
        <w:t>established these review and improvement activities as effective sustainable features of the provider’s operations.</w:t>
      </w:r>
    </w:p>
    <w:p w14:paraId="5D604F35" w14:textId="77777777" w:rsidR="00103021" w:rsidRPr="004A4935" w:rsidRDefault="00103021" w:rsidP="00103021">
      <w:pPr>
        <w:pStyle w:val="Heading2"/>
      </w:pPr>
      <w:r w:rsidRPr="004A4935">
        <w:t>Intent of the Standards</w:t>
      </w:r>
      <w:r>
        <w:t xml:space="preserve"> </w:t>
      </w:r>
    </w:p>
    <w:p w14:paraId="52CB93E5" w14:textId="77777777" w:rsidR="00103021" w:rsidRDefault="00103021" w:rsidP="00103021">
      <w:pPr>
        <w:jc w:val="both"/>
      </w:pPr>
      <w:r>
        <w:t xml:space="preserve">Section 2.2 </w:t>
      </w:r>
      <w:r w:rsidRPr="00C35BD1">
        <w:t xml:space="preserve">applies to all students, including students </w:t>
      </w:r>
      <w:r>
        <w:t>under</w:t>
      </w:r>
      <w:r w:rsidRPr="00C35BD1">
        <w:t>taking higher degrees by research.</w:t>
      </w:r>
    </w:p>
    <w:p w14:paraId="66F5AAC1" w14:textId="77777777" w:rsidR="00103021" w:rsidRDefault="00103021" w:rsidP="00103021">
      <w:pPr>
        <w:jc w:val="both"/>
      </w:pPr>
      <w:r>
        <w:t xml:space="preserve">The overall intent of the Standards is to ensure that providers consider and plan to meet the learning and support needs of all their students, so that as far as possible all students have equal opportunities for academic success. These learning and support </w:t>
      </w:r>
      <w:proofErr w:type="gramStart"/>
      <w:r>
        <w:t>needs</w:t>
      </w:r>
      <w:proofErr w:type="gramEnd"/>
      <w:r>
        <w:t xml:space="preserve"> often are broadly similar but they can also differ quite markedly for individuals or groups of students. </w:t>
      </w:r>
    </w:p>
    <w:p w14:paraId="79A4A3E6" w14:textId="289CC862" w:rsidR="00103021" w:rsidRDefault="00F2443D" w:rsidP="00103021">
      <w:pPr>
        <w:jc w:val="both"/>
      </w:pPr>
      <w:r w:rsidRPr="00F2443D">
        <w:lastRenderedPageBreak/>
        <w:t>The Standards necessitate that providers have: an understanding of the concepts of diversity and equity, and have considered the implications for their operations, including the creation of a culture that welcomes diversity (on campus and online). The individual mission of each provider gives the context for the development of institutional approaches to valuing diversity and supporting equity in its many forms. Where students are expected to make a commitment to support that mission (for example through a Statement of Faith), this should also not contravene a provider’s obligation to support freedom of speech and academic freedom (Standard 6.1.4 and Category Criterion B1.1.1). Measures taken to accommodate diversity should not contravene the standards, including Standard 6.1.4 and Category Criterion B1.1.1</w:t>
      </w:r>
      <w:r w:rsidR="00103021">
        <w:t>.</w:t>
      </w:r>
    </w:p>
    <w:p w14:paraId="3C309D13" w14:textId="77777777" w:rsidR="00103021" w:rsidRDefault="00103021" w:rsidP="00103021">
      <w:pPr>
        <w:jc w:val="both"/>
      </w:pPr>
      <w:r>
        <w:t>All providers can expect that there will be diversity in the backgrounds and characteristics of their student body. They need to plan to accommodate this diversity by:</w:t>
      </w:r>
    </w:p>
    <w:p w14:paraId="3006B8BF" w14:textId="77777777" w:rsidR="00103021" w:rsidRPr="009725ED" w:rsidRDefault="00103021" w:rsidP="00C914FD">
      <w:pPr>
        <w:pStyle w:val="BulletsL2"/>
        <w:numPr>
          <w:ilvl w:val="0"/>
          <w:numId w:val="14"/>
        </w:numPr>
        <w:rPr>
          <w:rFonts w:cs="Arial"/>
          <w:lang w:val="en-AU"/>
        </w:rPr>
      </w:pPr>
      <w:r w:rsidRPr="009725ED">
        <w:rPr>
          <w:rFonts w:cs="Arial"/>
          <w:lang w:val="en-AU"/>
        </w:rPr>
        <w:t>being aware of their obligations under Australian law</w:t>
      </w:r>
    </w:p>
    <w:p w14:paraId="0CEA3EDF" w14:textId="77777777" w:rsidR="00103021" w:rsidRPr="009725ED" w:rsidRDefault="00103021" w:rsidP="00C914FD">
      <w:pPr>
        <w:pStyle w:val="BulletsL2"/>
        <w:numPr>
          <w:ilvl w:val="0"/>
          <w:numId w:val="14"/>
        </w:numPr>
        <w:rPr>
          <w:rFonts w:cs="Arial"/>
          <w:lang w:val="en-AU"/>
        </w:rPr>
      </w:pPr>
      <w:r w:rsidRPr="009725ED">
        <w:rPr>
          <w:rFonts w:cs="Arial"/>
          <w:lang w:val="en-AU"/>
        </w:rPr>
        <w:t>carefully considering their targeting of</w:t>
      </w:r>
      <w:r>
        <w:rPr>
          <w:rFonts w:cs="Arial"/>
          <w:lang w:val="en-AU"/>
        </w:rPr>
        <w:t>,</w:t>
      </w:r>
      <w:r w:rsidRPr="009725ED">
        <w:rPr>
          <w:rFonts w:cs="Arial"/>
          <w:lang w:val="en-AU"/>
        </w:rPr>
        <w:t xml:space="preserve"> and marketing to</w:t>
      </w:r>
      <w:r>
        <w:rPr>
          <w:rFonts w:cs="Arial"/>
          <w:lang w:val="en-AU"/>
        </w:rPr>
        <w:t>,</w:t>
      </w:r>
      <w:r w:rsidRPr="009725ED">
        <w:rPr>
          <w:rFonts w:cs="Arial"/>
          <w:lang w:val="en-AU"/>
        </w:rPr>
        <w:t xml:space="preserve"> prospective students</w:t>
      </w:r>
    </w:p>
    <w:p w14:paraId="117AAF6E" w14:textId="77777777" w:rsidR="00103021" w:rsidRDefault="00103021" w:rsidP="00C914FD">
      <w:pPr>
        <w:pStyle w:val="BulletsL2"/>
        <w:numPr>
          <w:ilvl w:val="0"/>
          <w:numId w:val="14"/>
        </w:numPr>
        <w:rPr>
          <w:rFonts w:cs="Arial"/>
          <w:lang w:val="en-AU"/>
        </w:rPr>
      </w:pPr>
      <w:r>
        <w:rPr>
          <w:rFonts w:cs="Arial"/>
          <w:lang w:val="en-AU"/>
        </w:rPr>
        <w:t xml:space="preserve">ensuring that prospective students are aware of, and can access information about, any requirements associated with successful completion of a course, including those that might represent impediments for members of </w:t>
      </w:r>
      <w:proofErr w:type="gramStart"/>
      <w:r>
        <w:rPr>
          <w:rFonts w:cs="Arial"/>
          <w:lang w:val="en-AU"/>
        </w:rPr>
        <w:t>particular groups</w:t>
      </w:r>
      <w:proofErr w:type="gramEnd"/>
      <w:r>
        <w:rPr>
          <w:rFonts w:cs="Arial"/>
          <w:lang w:val="en-AU"/>
        </w:rPr>
        <w:t>, such as students with disabilities</w:t>
      </w:r>
    </w:p>
    <w:p w14:paraId="2AA8CE34" w14:textId="77777777" w:rsidR="00103021" w:rsidRPr="009725ED" w:rsidRDefault="00103021" w:rsidP="00C914FD">
      <w:pPr>
        <w:pStyle w:val="BulletsL2"/>
        <w:numPr>
          <w:ilvl w:val="0"/>
          <w:numId w:val="14"/>
        </w:numPr>
        <w:rPr>
          <w:rFonts w:cs="Arial"/>
          <w:lang w:val="en-AU"/>
        </w:rPr>
      </w:pPr>
      <w:r w:rsidRPr="009725ED">
        <w:rPr>
          <w:rFonts w:cs="Arial"/>
          <w:lang w:val="en-AU"/>
        </w:rPr>
        <w:t>committing resources to provide learning and other support likely to be required by their diverse student body, including international, off-campus</w:t>
      </w:r>
      <w:r>
        <w:rPr>
          <w:rFonts w:cs="Arial"/>
          <w:lang w:val="en-AU"/>
        </w:rPr>
        <w:t>,</w:t>
      </w:r>
      <w:r w:rsidRPr="009725ED">
        <w:rPr>
          <w:rFonts w:cs="Arial"/>
          <w:lang w:val="en-AU"/>
        </w:rPr>
        <w:t xml:space="preserve"> and online students</w:t>
      </w:r>
    </w:p>
    <w:p w14:paraId="28FB600F" w14:textId="77777777" w:rsidR="00103021" w:rsidRPr="009725ED" w:rsidRDefault="00103021" w:rsidP="00C914FD">
      <w:pPr>
        <w:pStyle w:val="BulletsL2"/>
        <w:numPr>
          <w:ilvl w:val="0"/>
          <w:numId w:val="14"/>
        </w:numPr>
        <w:rPr>
          <w:rFonts w:cs="Arial"/>
          <w:lang w:val="en-AU"/>
        </w:rPr>
      </w:pPr>
      <w:r w:rsidRPr="009725ED">
        <w:rPr>
          <w:rFonts w:cs="Arial"/>
          <w:lang w:val="en-AU"/>
        </w:rPr>
        <w:t xml:space="preserve">ensuring that institutional data systems capture relevant information for monitoring of participation, </w:t>
      </w:r>
      <w:proofErr w:type="gramStart"/>
      <w:r w:rsidRPr="009725ED">
        <w:rPr>
          <w:rFonts w:cs="Arial"/>
          <w:lang w:val="en-AU"/>
        </w:rPr>
        <w:t>progress</w:t>
      </w:r>
      <w:proofErr w:type="gramEnd"/>
      <w:r w:rsidRPr="009725ED">
        <w:rPr>
          <w:rFonts w:cs="Arial"/>
          <w:lang w:val="en-AU"/>
        </w:rPr>
        <w:t xml:space="preserve"> and completion.</w:t>
      </w:r>
    </w:p>
    <w:p w14:paraId="4EA0D7A5" w14:textId="77777777" w:rsidR="00103021" w:rsidRDefault="00103021" w:rsidP="00103021">
      <w:pPr>
        <w:jc w:val="both"/>
      </w:pPr>
      <w:r>
        <w:t>TEQSA accepts that the extent to which providers commit resources to accommodate and support student diversity will be conditioned by the scale and scope of each provider’s activities, as well as by its mission.</w:t>
      </w:r>
    </w:p>
    <w:p w14:paraId="0B7DB7A0" w14:textId="77777777" w:rsidR="00103021" w:rsidRDefault="00103021" w:rsidP="00103021">
      <w:pPr>
        <w:jc w:val="both"/>
      </w:pPr>
      <w:r>
        <w:t>Standard 2.2.1 makes specific reference to the need for providers to accommodate</w:t>
      </w:r>
      <w:r w:rsidRPr="00E14E1D">
        <w:t xml:space="preserve"> </w:t>
      </w:r>
      <w:r>
        <w:t xml:space="preserve">the </w:t>
      </w:r>
      <w:r w:rsidRPr="00E14E1D">
        <w:t>under-representation and/or disadvantage experienced by identified groups</w:t>
      </w:r>
      <w:r>
        <w:t>.</w:t>
      </w:r>
      <w:r w:rsidRPr="00496B00">
        <w:t xml:space="preserve"> Providers are expected to be aware of under-represented groups in higher education. </w:t>
      </w:r>
    </w:p>
    <w:p w14:paraId="70FA3111" w14:textId="77777777" w:rsidR="00103021" w:rsidRDefault="00103021" w:rsidP="00103021">
      <w:pPr>
        <w:jc w:val="both"/>
      </w:pPr>
      <w:r w:rsidRPr="00496B00">
        <w:t xml:space="preserve">The Standards do not require providers specifically to </w:t>
      </w:r>
      <w:r>
        <w:t>achieve</w:t>
      </w:r>
      <w:r w:rsidRPr="00496B00">
        <w:t xml:space="preserve"> ‘representational equity’ </w:t>
      </w:r>
      <w:r>
        <w:t>in</w:t>
      </w:r>
      <w:r w:rsidRPr="00496B00">
        <w:t xml:space="preserve"> the proportion of historically under-represented student populations they choose to admit</w:t>
      </w:r>
      <w:r>
        <w:t>,</w:t>
      </w:r>
      <w:r w:rsidRPr="00496B00">
        <w:t xml:space="preserve"> but </w:t>
      </w:r>
      <w:r>
        <w:t>providers</w:t>
      </w:r>
      <w:r w:rsidRPr="00496B00">
        <w:t xml:space="preserve"> must </w:t>
      </w:r>
      <w:proofErr w:type="gramStart"/>
      <w:r w:rsidRPr="00496B00">
        <w:t>give specific consideration to</w:t>
      </w:r>
      <w:proofErr w:type="gramEnd"/>
      <w:r w:rsidRPr="00496B00">
        <w:t xml:space="preserve"> the recruitment and admission of Aboriginal and Torres Strait Islander people</w:t>
      </w:r>
      <w:r>
        <w:t>s</w:t>
      </w:r>
      <w:r w:rsidRPr="00496B00">
        <w:t xml:space="preserve"> (Standard 2.2.2).</w:t>
      </w:r>
    </w:p>
    <w:p w14:paraId="49393F01" w14:textId="77777777" w:rsidR="00103021" w:rsidRDefault="00103021" w:rsidP="00103021">
      <w:pPr>
        <w:jc w:val="both"/>
      </w:pPr>
      <w:r>
        <w:t>In Australian higher education, there is an established tradition of acknowledgement of and support for specific equity groups that from time to time include, or have included:</w:t>
      </w:r>
    </w:p>
    <w:p w14:paraId="3432DD82" w14:textId="77777777" w:rsidR="00103021" w:rsidRPr="009725ED" w:rsidRDefault="00103021" w:rsidP="00C914FD">
      <w:pPr>
        <w:pStyle w:val="BulletsL2"/>
        <w:numPr>
          <w:ilvl w:val="0"/>
          <w:numId w:val="15"/>
        </w:numPr>
        <w:rPr>
          <w:rFonts w:cs="Arial"/>
          <w:lang w:val="en-AU"/>
        </w:rPr>
      </w:pPr>
      <w:r w:rsidRPr="009725ED">
        <w:rPr>
          <w:rFonts w:cs="Arial"/>
          <w:lang w:val="en-AU"/>
        </w:rPr>
        <w:t>Aboriginal and Torres Strait Islander people</w:t>
      </w:r>
      <w:r>
        <w:rPr>
          <w:rFonts w:cs="Arial"/>
          <w:lang w:val="en-AU"/>
        </w:rPr>
        <w:t>s</w:t>
      </w:r>
    </w:p>
    <w:p w14:paraId="1E689D65" w14:textId="77777777" w:rsidR="00103021" w:rsidRPr="009725ED" w:rsidRDefault="00103021" w:rsidP="00C914FD">
      <w:pPr>
        <w:pStyle w:val="BulletsL2"/>
        <w:numPr>
          <w:ilvl w:val="0"/>
          <w:numId w:val="15"/>
        </w:numPr>
        <w:rPr>
          <w:rFonts w:cs="Arial"/>
          <w:lang w:val="en-AU"/>
        </w:rPr>
      </w:pPr>
      <w:r>
        <w:rPr>
          <w:rFonts w:cs="Arial"/>
          <w:lang w:val="en-AU"/>
        </w:rPr>
        <w:t>p</w:t>
      </w:r>
      <w:r w:rsidRPr="009725ED">
        <w:rPr>
          <w:rFonts w:cs="Arial"/>
          <w:lang w:val="en-AU"/>
        </w:rPr>
        <w:t>eople from lower socio-economic backgrounds</w:t>
      </w:r>
    </w:p>
    <w:p w14:paraId="2E6AE503" w14:textId="77777777" w:rsidR="00103021" w:rsidRPr="009725ED" w:rsidRDefault="00103021" w:rsidP="00C914FD">
      <w:pPr>
        <w:pStyle w:val="BulletsL2"/>
        <w:numPr>
          <w:ilvl w:val="0"/>
          <w:numId w:val="15"/>
        </w:numPr>
        <w:rPr>
          <w:rFonts w:cs="Arial"/>
          <w:lang w:val="en-AU"/>
        </w:rPr>
      </w:pPr>
      <w:r>
        <w:rPr>
          <w:rFonts w:cs="Arial"/>
          <w:lang w:val="en-AU"/>
        </w:rPr>
        <w:t>p</w:t>
      </w:r>
      <w:r w:rsidRPr="009725ED">
        <w:rPr>
          <w:rFonts w:cs="Arial"/>
          <w:lang w:val="en-AU"/>
        </w:rPr>
        <w:t>eople with disability</w:t>
      </w:r>
    </w:p>
    <w:p w14:paraId="55E07C34" w14:textId="77777777" w:rsidR="00103021" w:rsidRPr="009725ED" w:rsidRDefault="00103021" w:rsidP="00C914FD">
      <w:pPr>
        <w:pStyle w:val="BulletsL2"/>
        <w:numPr>
          <w:ilvl w:val="0"/>
          <w:numId w:val="15"/>
        </w:numPr>
        <w:rPr>
          <w:rFonts w:cs="Arial"/>
          <w:lang w:val="en-AU"/>
        </w:rPr>
      </w:pPr>
      <w:r>
        <w:rPr>
          <w:rFonts w:cs="Arial"/>
          <w:lang w:val="en-AU"/>
        </w:rPr>
        <w:t>p</w:t>
      </w:r>
      <w:r w:rsidRPr="009725ED">
        <w:rPr>
          <w:rFonts w:cs="Arial"/>
          <w:lang w:val="en-AU"/>
        </w:rPr>
        <w:t xml:space="preserve">eople from remote, </w:t>
      </w:r>
      <w:proofErr w:type="gramStart"/>
      <w:r w:rsidRPr="009725ED">
        <w:rPr>
          <w:rFonts w:cs="Arial"/>
          <w:lang w:val="en-AU"/>
        </w:rPr>
        <w:t>rural</w:t>
      </w:r>
      <w:proofErr w:type="gramEnd"/>
      <w:r w:rsidRPr="009725ED">
        <w:rPr>
          <w:rFonts w:cs="Arial"/>
          <w:lang w:val="en-AU"/>
        </w:rPr>
        <w:t xml:space="preserve"> or isolated areas</w:t>
      </w:r>
    </w:p>
    <w:p w14:paraId="2009C81C" w14:textId="77777777" w:rsidR="00103021" w:rsidRPr="009725ED" w:rsidRDefault="00103021" w:rsidP="00C914FD">
      <w:pPr>
        <w:pStyle w:val="BulletsL2"/>
        <w:numPr>
          <w:ilvl w:val="0"/>
          <w:numId w:val="15"/>
        </w:numPr>
        <w:rPr>
          <w:rFonts w:cs="Arial"/>
          <w:lang w:val="en-AU"/>
        </w:rPr>
      </w:pPr>
      <w:r>
        <w:rPr>
          <w:rFonts w:cs="Arial"/>
          <w:lang w:val="en-AU"/>
        </w:rPr>
        <w:t>p</w:t>
      </w:r>
      <w:r w:rsidRPr="009725ED">
        <w:rPr>
          <w:rFonts w:cs="Arial"/>
          <w:lang w:val="en-AU"/>
        </w:rPr>
        <w:t>eople who are the first in their family to attend a university or other higher educational institution</w:t>
      </w:r>
    </w:p>
    <w:p w14:paraId="324E9F42" w14:textId="77777777" w:rsidR="00103021" w:rsidRPr="009725ED" w:rsidRDefault="00103021" w:rsidP="00C914FD">
      <w:pPr>
        <w:pStyle w:val="BulletsL2"/>
        <w:numPr>
          <w:ilvl w:val="0"/>
          <w:numId w:val="15"/>
        </w:numPr>
        <w:rPr>
          <w:rFonts w:cs="Arial"/>
          <w:lang w:val="en-AU"/>
        </w:rPr>
      </w:pPr>
      <w:r>
        <w:rPr>
          <w:rFonts w:cs="Arial"/>
          <w:lang w:val="en-AU"/>
        </w:rPr>
        <w:t>p</w:t>
      </w:r>
      <w:r w:rsidRPr="009725ED">
        <w:rPr>
          <w:rFonts w:cs="Arial"/>
          <w:lang w:val="en-AU"/>
        </w:rPr>
        <w:t>eople from non-English speaking backgrounds</w:t>
      </w:r>
    </w:p>
    <w:p w14:paraId="0D406C97" w14:textId="77777777" w:rsidR="00103021" w:rsidRPr="009725ED" w:rsidRDefault="00103021" w:rsidP="00C914FD">
      <w:pPr>
        <w:pStyle w:val="BulletsL2"/>
        <w:numPr>
          <w:ilvl w:val="0"/>
          <w:numId w:val="15"/>
        </w:numPr>
        <w:rPr>
          <w:rFonts w:cs="Arial"/>
          <w:lang w:val="en-AU"/>
        </w:rPr>
      </w:pPr>
      <w:r>
        <w:rPr>
          <w:rFonts w:cs="Arial"/>
          <w:lang w:val="en-AU"/>
        </w:rPr>
        <w:t>w</w:t>
      </w:r>
      <w:r w:rsidRPr="009725ED">
        <w:rPr>
          <w:rFonts w:cs="Arial"/>
          <w:lang w:val="en-AU"/>
        </w:rPr>
        <w:t>omen</w:t>
      </w:r>
      <w:r>
        <w:rPr>
          <w:rFonts w:cs="Arial"/>
          <w:lang w:val="en-AU"/>
        </w:rPr>
        <w:t>, especially</w:t>
      </w:r>
      <w:r w:rsidRPr="009725ED">
        <w:rPr>
          <w:rFonts w:cs="Arial"/>
          <w:lang w:val="en-AU"/>
        </w:rPr>
        <w:t xml:space="preserve"> in areas of study</w:t>
      </w:r>
      <w:r>
        <w:rPr>
          <w:rFonts w:cs="Arial"/>
          <w:lang w:val="en-AU"/>
        </w:rPr>
        <w:t xml:space="preserve"> where they have been under-represented</w:t>
      </w:r>
      <w:r w:rsidRPr="009725ED">
        <w:rPr>
          <w:rFonts w:cs="Arial"/>
          <w:lang w:val="en-AU"/>
        </w:rPr>
        <w:t xml:space="preserve">, </w:t>
      </w:r>
      <w:r>
        <w:rPr>
          <w:rFonts w:cs="Arial"/>
          <w:lang w:val="en-AU"/>
        </w:rPr>
        <w:t>such as</w:t>
      </w:r>
      <w:r w:rsidRPr="009725ED">
        <w:rPr>
          <w:rFonts w:cs="Arial"/>
          <w:lang w:val="en-AU"/>
        </w:rPr>
        <w:t xml:space="preserve"> engineering.</w:t>
      </w:r>
    </w:p>
    <w:p w14:paraId="7B928683" w14:textId="77777777" w:rsidR="00103021" w:rsidRDefault="00103021" w:rsidP="00103021">
      <w:pPr>
        <w:jc w:val="both"/>
      </w:pPr>
      <w:r>
        <w:lastRenderedPageBreak/>
        <w:t xml:space="preserve">Providers should consider, in the light of their missions, any other groups of prospective students that may have experienced disadvantage. </w:t>
      </w:r>
    </w:p>
    <w:p w14:paraId="3F3F4F7E" w14:textId="77777777" w:rsidR="00103021" w:rsidRDefault="00103021" w:rsidP="00103021">
      <w:pPr>
        <w:jc w:val="both"/>
      </w:pPr>
      <w:r>
        <w:t>While international students studying in Australia may not be under-represented or have experienced disadvantage, the principles of support for diverse learners and inclusive education should be applied to them as to all students.</w:t>
      </w:r>
    </w:p>
    <w:p w14:paraId="7AD97102" w14:textId="77777777" w:rsidR="00103021" w:rsidRDefault="00103021" w:rsidP="00103021">
      <w:pPr>
        <w:jc w:val="both"/>
      </w:pPr>
      <w:r>
        <w:t>The Australian legislation relating to diversity and equity that providers need to comply with includes:</w:t>
      </w:r>
    </w:p>
    <w:p w14:paraId="02D14A93" w14:textId="77777777" w:rsidR="00103021" w:rsidRPr="009725ED" w:rsidRDefault="00103021" w:rsidP="00C914FD">
      <w:pPr>
        <w:pStyle w:val="BulletsL2"/>
        <w:numPr>
          <w:ilvl w:val="0"/>
          <w:numId w:val="16"/>
        </w:numPr>
        <w:rPr>
          <w:rFonts w:cs="Arial"/>
          <w:lang w:val="en-AU"/>
        </w:rPr>
      </w:pPr>
      <w:r w:rsidRPr="007E4A4C">
        <w:rPr>
          <w:rFonts w:cs="Arial"/>
          <w:i/>
          <w:lang w:val="en-AU"/>
        </w:rPr>
        <w:t>Racial Discrimination Act 1975</w:t>
      </w:r>
      <w:r w:rsidRPr="009725ED">
        <w:rPr>
          <w:rFonts w:cs="Arial"/>
          <w:lang w:val="en-AU"/>
        </w:rPr>
        <w:t xml:space="preserve"> (</w:t>
      </w:r>
      <w:proofErr w:type="spellStart"/>
      <w:r>
        <w:rPr>
          <w:rFonts w:cs="Arial"/>
          <w:lang w:val="en-AU"/>
        </w:rPr>
        <w:t>Cth</w:t>
      </w:r>
      <w:proofErr w:type="spellEnd"/>
      <w:r w:rsidRPr="009725ED">
        <w:rPr>
          <w:rFonts w:cs="Arial"/>
          <w:lang w:val="en-AU"/>
        </w:rPr>
        <w:t>)</w:t>
      </w:r>
    </w:p>
    <w:p w14:paraId="32268BCC" w14:textId="77777777" w:rsidR="00103021" w:rsidRPr="009725ED" w:rsidRDefault="00103021" w:rsidP="00C914FD">
      <w:pPr>
        <w:pStyle w:val="BulletsL2"/>
        <w:numPr>
          <w:ilvl w:val="0"/>
          <w:numId w:val="16"/>
        </w:numPr>
        <w:rPr>
          <w:rFonts w:cs="Arial"/>
          <w:lang w:val="en-AU"/>
        </w:rPr>
      </w:pPr>
      <w:r w:rsidRPr="007E4A4C">
        <w:rPr>
          <w:rFonts w:cs="Arial"/>
          <w:i/>
          <w:lang w:val="en-AU"/>
        </w:rPr>
        <w:t>Sex Discrimination Act 1984</w:t>
      </w:r>
      <w:r w:rsidRPr="009725ED">
        <w:rPr>
          <w:rFonts w:cs="Arial"/>
          <w:lang w:val="en-AU"/>
        </w:rPr>
        <w:t xml:space="preserve"> (</w:t>
      </w:r>
      <w:proofErr w:type="spellStart"/>
      <w:r>
        <w:rPr>
          <w:rFonts w:cs="Arial"/>
          <w:lang w:val="en-AU"/>
        </w:rPr>
        <w:t>Cth</w:t>
      </w:r>
      <w:proofErr w:type="spellEnd"/>
      <w:r w:rsidRPr="009725ED">
        <w:rPr>
          <w:rFonts w:cs="Arial"/>
          <w:lang w:val="en-AU"/>
        </w:rPr>
        <w:t>)</w:t>
      </w:r>
    </w:p>
    <w:p w14:paraId="0BCDD2E7" w14:textId="77777777" w:rsidR="00103021" w:rsidRPr="009725ED" w:rsidRDefault="00103021" w:rsidP="00C914FD">
      <w:pPr>
        <w:pStyle w:val="BulletsL2"/>
        <w:numPr>
          <w:ilvl w:val="0"/>
          <w:numId w:val="16"/>
        </w:numPr>
        <w:rPr>
          <w:rFonts w:cs="Arial"/>
          <w:lang w:val="en-AU"/>
        </w:rPr>
      </w:pPr>
      <w:r w:rsidRPr="007E4A4C">
        <w:rPr>
          <w:rFonts w:cs="Arial"/>
          <w:i/>
          <w:lang w:val="en-AU"/>
        </w:rPr>
        <w:t>Disability Discrimination Act 1992</w:t>
      </w:r>
      <w:r w:rsidRPr="009725ED">
        <w:rPr>
          <w:rFonts w:cs="Arial"/>
          <w:lang w:val="en-AU"/>
        </w:rPr>
        <w:t xml:space="preserve"> (</w:t>
      </w:r>
      <w:proofErr w:type="spellStart"/>
      <w:r>
        <w:rPr>
          <w:rFonts w:cs="Arial"/>
          <w:lang w:val="en-AU"/>
        </w:rPr>
        <w:t>Cth</w:t>
      </w:r>
      <w:proofErr w:type="spellEnd"/>
      <w:r w:rsidRPr="009725ED">
        <w:rPr>
          <w:rFonts w:cs="Arial"/>
          <w:lang w:val="en-AU"/>
        </w:rPr>
        <w:t>)</w:t>
      </w:r>
    </w:p>
    <w:p w14:paraId="72209E77" w14:textId="77777777" w:rsidR="00103021" w:rsidRPr="009725ED" w:rsidRDefault="00103021" w:rsidP="00C914FD">
      <w:pPr>
        <w:pStyle w:val="BulletsL2"/>
        <w:numPr>
          <w:ilvl w:val="0"/>
          <w:numId w:val="16"/>
        </w:numPr>
        <w:rPr>
          <w:rFonts w:cs="Arial"/>
          <w:lang w:val="en-AU"/>
        </w:rPr>
      </w:pPr>
      <w:r w:rsidRPr="007E4A4C">
        <w:rPr>
          <w:rFonts w:cs="Arial"/>
          <w:i/>
          <w:lang w:val="en-AU"/>
        </w:rPr>
        <w:t>Disability Standards for Education 2005</w:t>
      </w:r>
      <w:r>
        <w:rPr>
          <w:rFonts w:cs="Arial"/>
          <w:lang w:val="en-AU"/>
        </w:rPr>
        <w:t xml:space="preserve"> (</w:t>
      </w:r>
      <w:proofErr w:type="spellStart"/>
      <w:r>
        <w:rPr>
          <w:rFonts w:cs="Arial"/>
          <w:lang w:val="en-AU"/>
        </w:rPr>
        <w:t>Cth</w:t>
      </w:r>
      <w:proofErr w:type="spellEnd"/>
      <w:r w:rsidRPr="009725ED">
        <w:rPr>
          <w:rFonts w:cs="Arial"/>
          <w:lang w:val="en-AU"/>
        </w:rPr>
        <w:t>)</w:t>
      </w:r>
    </w:p>
    <w:p w14:paraId="686C1E0F" w14:textId="77777777" w:rsidR="00103021" w:rsidRPr="009725ED" w:rsidRDefault="00103021" w:rsidP="00C914FD">
      <w:pPr>
        <w:pStyle w:val="BulletsL2"/>
        <w:numPr>
          <w:ilvl w:val="0"/>
          <w:numId w:val="16"/>
        </w:numPr>
        <w:rPr>
          <w:rFonts w:cs="Arial"/>
          <w:lang w:val="en-AU"/>
        </w:rPr>
      </w:pPr>
      <w:r w:rsidRPr="007E4A4C">
        <w:rPr>
          <w:rFonts w:cs="Arial"/>
          <w:i/>
          <w:lang w:val="en-AU"/>
        </w:rPr>
        <w:t>Australian Human Rights Commission Act 1986</w:t>
      </w:r>
      <w:r w:rsidRPr="009725ED">
        <w:rPr>
          <w:rFonts w:cs="Arial"/>
          <w:lang w:val="en-AU"/>
        </w:rPr>
        <w:t xml:space="preserve"> (</w:t>
      </w:r>
      <w:proofErr w:type="spellStart"/>
      <w:r>
        <w:rPr>
          <w:rFonts w:cs="Arial"/>
          <w:lang w:val="en-AU"/>
        </w:rPr>
        <w:t>Cth</w:t>
      </w:r>
      <w:proofErr w:type="spellEnd"/>
      <w:r w:rsidRPr="009725ED">
        <w:rPr>
          <w:rFonts w:cs="Arial"/>
          <w:lang w:val="en-AU"/>
        </w:rPr>
        <w:t>)</w:t>
      </w:r>
    </w:p>
    <w:p w14:paraId="16CA15C5" w14:textId="77777777" w:rsidR="00103021" w:rsidRPr="009725ED" w:rsidRDefault="00103021" w:rsidP="00C914FD">
      <w:pPr>
        <w:pStyle w:val="BulletsL2"/>
        <w:numPr>
          <w:ilvl w:val="0"/>
          <w:numId w:val="16"/>
        </w:numPr>
        <w:rPr>
          <w:rFonts w:cs="Arial"/>
          <w:lang w:val="en-AU"/>
        </w:rPr>
      </w:pPr>
      <w:r w:rsidRPr="007E4A4C">
        <w:rPr>
          <w:rFonts w:cs="Arial"/>
          <w:i/>
          <w:lang w:val="en-AU"/>
        </w:rPr>
        <w:t>Workplace Gender Equality Act 2012</w:t>
      </w:r>
      <w:r w:rsidRPr="009725ED">
        <w:rPr>
          <w:rFonts w:cs="Arial"/>
          <w:lang w:val="en-AU"/>
        </w:rPr>
        <w:t xml:space="preserve"> (</w:t>
      </w:r>
      <w:proofErr w:type="spellStart"/>
      <w:r>
        <w:rPr>
          <w:rFonts w:cs="Arial"/>
          <w:lang w:val="en-AU"/>
        </w:rPr>
        <w:t>Cth</w:t>
      </w:r>
      <w:proofErr w:type="spellEnd"/>
      <w:r w:rsidRPr="009725ED">
        <w:rPr>
          <w:rFonts w:cs="Arial"/>
          <w:lang w:val="en-AU"/>
        </w:rPr>
        <w:t>)</w:t>
      </w:r>
    </w:p>
    <w:p w14:paraId="61B1E4C1" w14:textId="77777777" w:rsidR="00103021" w:rsidRDefault="00103021" w:rsidP="00C914FD">
      <w:pPr>
        <w:pStyle w:val="BulletsL2"/>
        <w:numPr>
          <w:ilvl w:val="0"/>
          <w:numId w:val="16"/>
        </w:numPr>
        <w:rPr>
          <w:rFonts w:cs="Arial"/>
          <w:lang w:val="en-AU"/>
        </w:rPr>
      </w:pPr>
      <w:r w:rsidRPr="007E4A4C">
        <w:t>Age Discrimination Act 2004</w:t>
      </w:r>
      <w:r w:rsidRPr="009725ED">
        <w:rPr>
          <w:rFonts w:cs="Arial"/>
          <w:lang w:val="en-AU"/>
        </w:rPr>
        <w:t xml:space="preserve"> (</w:t>
      </w:r>
      <w:proofErr w:type="spellStart"/>
      <w:r>
        <w:rPr>
          <w:rFonts w:cs="Arial"/>
          <w:lang w:val="en-AU"/>
        </w:rPr>
        <w:t>Cth</w:t>
      </w:r>
      <w:proofErr w:type="spellEnd"/>
      <w:r w:rsidRPr="009725ED">
        <w:rPr>
          <w:rFonts w:cs="Arial"/>
          <w:lang w:val="en-AU"/>
        </w:rPr>
        <w:t>)</w:t>
      </w:r>
    </w:p>
    <w:p w14:paraId="00A1B72E" w14:textId="77777777" w:rsidR="00103021" w:rsidRPr="005C2D57" w:rsidRDefault="00103021" w:rsidP="00C914FD">
      <w:pPr>
        <w:pStyle w:val="BulletsL2"/>
        <w:numPr>
          <w:ilvl w:val="0"/>
          <w:numId w:val="16"/>
        </w:numPr>
        <w:rPr>
          <w:rFonts w:cs="Arial"/>
        </w:rPr>
      </w:pPr>
      <w:r w:rsidRPr="005C2D57">
        <w:rPr>
          <w:rFonts w:cs="Arial"/>
        </w:rPr>
        <w:t>Various State and Territory Anti-Discrimination legislation</w:t>
      </w:r>
      <w:r>
        <w:rPr>
          <w:rFonts w:cs="Arial"/>
        </w:rPr>
        <w:t>.</w:t>
      </w:r>
      <w:r w:rsidRPr="005C2D57">
        <w:rPr>
          <w:rFonts w:cs="Arial"/>
        </w:rPr>
        <w:t xml:space="preserve"> </w:t>
      </w:r>
    </w:p>
    <w:p w14:paraId="56FD04E0" w14:textId="77777777" w:rsidR="00103021" w:rsidRPr="00A539DC" w:rsidRDefault="00103021" w:rsidP="00103021">
      <w:pPr>
        <w:jc w:val="both"/>
        <w:rPr>
          <w:rFonts w:ascii="Calibri" w:hAnsi="Calibri" w:cs="Calibri"/>
          <w:color w:val="000000"/>
          <w:sz w:val="24"/>
          <w:szCs w:val="24"/>
        </w:rPr>
      </w:pPr>
      <w:r>
        <w:t xml:space="preserve">Section 22 of the </w:t>
      </w:r>
      <w:r w:rsidRPr="00A539DC">
        <w:rPr>
          <w:i/>
        </w:rPr>
        <w:t>Disability Discrimination Act (1992</w:t>
      </w:r>
      <w:r>
        <w:t>) applies specifically to education, and prohibits providers from discriminating, directly or indirectly, against a person on the grounds of a person’s disability by:</w:t>
      </w:r>
    </w:p>
    <w:p w14:paraId="43B0E2D0" w14:textId="77777777" w:rsidR="00103021" w:rsidRPr="00A539DC" w:rsidRDefault="00103021" w:rsidP="00C914FD">
      <w:pPr>
        <w:pStyle w:val="BulletsL2"/>
        <w:numPr>
          <w:ilvl w:val="0"/>
          <w:numId w:val="17"/>
        </w:numPr>
        <w:rPr>
          <w:rFonts w:cs="Arial"/>
        </w:rPr>
      </w:pPr>
      <w:r w:rsidRPr="00A539DC">
        <w:rPr>
          <w:rFonts w:cs="Arial"/>
          <w:lang w:val="en-AU"/>
        </w:rPr>
        <w:t>refusing or failing to accept the person’s application for admission as a student</w:t>
      </w:r>
    </w:p>
    <w:p w14:paraId="73FA17E8" w14:textId="77777777" w:rsidR="00103021" w:rsidRPr="00A539DC" w:rsidRDefault="00103021" w:rsidP="00C914FD">
      <w:pPr>
        <w:pStyle w:val="BulletsL2"/>
        <w:numPr>
          <w:ilvl w:val="0"/>
          <w:numId w:val="17"/>
        </w:numPr>
        <w:rPr>
          <w:rFonts w:cs="Arial"/>
        </w:rPr>
      </w:pPr>
      <w:r w:rsidRPr="00A539DC">
        <w:rPr>
          <w:rFonts w:cs="Arial"/>
          <w:lang w:val="en-AU"/>
        </w:rPr>
        <w:t>denying the student access, or limiting the student’s access, to any benefit provided by the educational authority</w:t>
      </w:r>
    </w:p>
    <w:p w14:paraId="5C741105" w14:textId="77777777" w:rsidR="00103021" w:rsidRPr="00A539DC" w:rsidRDefault="00103021" w:rsidP="00C914FD">
      <w:pPr>
        <w:pStyle w:val="BulletsL2"/>
        <w:numPr>
          <w:ilvl w:val="0"/>
          <w:numId w:val="17"/>
        </w:numPr>
        <w:rPr>
          <w:rFonts w:cs="Arial"/>
        </w:rPr>
      </w:pPr>
      <w:r w:rsidRPr="00A539DC">
        <w:rPr>
          <w:rFonts w:cs="Arial"/>
          <w:lang w:val="en-AU"/>
        </w:rPr>
        <w:t>expelling the student</w:t>
      </w:r>
    </w:p>
    <w:p w14:paraId="6BBDE2D3" w14:textId="77777777" w:rsidR="00103021" w:rsidRPr="00A539DC" w:rsidRDefault="00103021" w:rsidP="00C914FD">
      <w:pPr>
        <w:pStyle w:val="BulletsL2"/>
        <w:numPr>
          <w:ilvl w:val="0"/>
          <w:numId w:val="17"/>
        </w:numPr>
        <w:rPr>
          <w:rFonts w:cs="Arial"/>
        </w:rPr>
      </w:pPr>
      <w:r w:rsidRPr="00A539DC">
        <w:rPr>
          <w:rFonts w:cs="Arial"/>
          <w:lang w:val="en-AU"/>
        </w:rPr>
        <w:t>subjecting the student to any other detriment</w:t>
      </w:r>
    </w:p>
    <w:p w14:paraId="6EB3BC13" w14:textId="77777777" w:rsidR="00103021" w:rsidRPr="00A539DC" w:rsidRDefault="00103021" w:rsidP="00C914FD">
      <w:pPr>
        <w:pStyle w:val="BulletsL2"/>
        <w:numPr>
          <w:ilvl w:val="0"/>
          <w:numId w:val="17"/>
        </w:numPr>
        <w:rPr>
          <w:rFonts w:cs="Arial"/>
        </w:rPr>
      </w:pPr>
      <w:r w:rsidRPr="00A539DC">
        <w:rPr>
          <w:rFonts w:cs="Arial"/>
          <w:lang w:val="en-AU"/>
        </w:rPr>
        <w:t xml:space="preserve">developing curricula or training courses having content that will exclude the person from participation. </w:t>
      </w:r>
    </w:p>
    <w:p w14:paraId="004315D3" w14:textId="77777777" w:rsidR="00103021" w:rsidRDefault="00103021" w:rsidP="00103021">
      <w:pPr>
        <w:jc w:val="both"/>
      </w:pPr>
      <w:r>
        <w:t xml:space="preserve">Further, the </w:t>
      </w:r>
      <w:r w:rsidRPr="00A539DC">
        <w:rPr>
          <w:i/>
        </w:rPr>
        <w:t>Disability Standards for Education</w:t>
      </w:r>
      <w:r>
        <w:t xml:space="preserve"> impose certain obligations on providers. Providers must take ‘reasonable steps’ to enable students with disability to apply for and participate in a program on the same basis as other </w:t>
      </w:r>
      <w:proofErr w:type="gramStart"/>
      <w:r>
        <w:t>students, and</w:t>
      </w:r>
      <w:proofErr w:type="gramEnd"/>
      <w:r>
        <w:t xml:space="preserve"> make ‘reasonable adjustments’ to assist a student with a disability to apply for admission or enrolment; to participate in the course or program and to use facilities or services on the same basis as a student without a disability.</w:t>
      </w:r>
    </w:p>
    <w:p w14:paraId="28A8E8F1" w14:textId="77777777" w:rsidR="00103021" w:rsidRDefault="00103021" w:rsidP="00103021">
      <w:pPr>
        <w:jc w:val="both"/>
      </w:pPr>
      <w:r>
        <w:t xml:space="preserve">The Standards in the HES Framework require that providers develop and implement systems to monitor and use data on the: </w:t>
      </w:r>
    </w:p>
    <w:p w14:paraId="72FD1C3F" w14:textId="77777777" w:rsidR="00103021" w:rsidRPr="00770407" w:rsidRDefault="00103021" w:rsidP="00C914FD">
      <w:pPr>
        <w:pStyle w:val="BulletsL2"/>
        <w:numPr>
          <w:ilvl w:val="0"/>
          <w:numId w:val="18"/>
        </w:numPr>
        <w:rPr>
          <w:rFonts w:cs="Arial"/>
          <w:lang w:val="en-AU"/>
        </w:rPr>
      </w:pPr>
      <w:r>
        <w:rPr>
          <w:rFonts w:cs="Arial"/>
          <w:lang w:val="en-AU"/>
        </w:rPr>
        <w:t>p</w:t>
      </w:r>
      <w:r w:rsidRPr="00770407">
        <w:rPr>
          <w:rFonts w:cs="Arial"/>
          <w:lang w:val="en-AU"/>
        </w:rPr>
        <w:t>articipation</w:t>
      </w:r>
    </w:p>
    <w:p w14:paraId="73319C0A" w14:textId="77777777" w:rsidR="00103021" w:rsidRPr="00770407" w:rsidRDefault="00C914FD" w:rsidP="00C914FD">
      <w:pPr>
        <w:pStyle w:val="BulletsL2"/>
        <w:numPr>
          <w:ilvl w:val="0"/>
          <w:numId w:val="18"/>
        </w:numPr>
        <w:rPr>
          <w:rFonts w:cs="Arial"/>
          <w:lang w:val="en-AU"/>
        </w:rPr>
      </w:pPr>
      <w:r>
        <w:rPr>
          <w:rFonts w:cs="Arial"/>
          <w:lang w:val="en-AU"/>
        </w:rPr>
        <w:t>progress</w:t>
      </w:r>
    </w:p>
    <w:p w14:paraId="513C0EE9" w14:textId="77777777" w:rsidR="00103021" w:rsidRPr="00770407" w:rsidRDefault="00103021" w:rsidP="00C914FD">
      <w:pPr>
        <w:pStyle w:val="BulletsL2"/>
        <w:numPr>
          <w:ilvl w:val="0"/>
          <w:numId w:val="18"/>
        </w:numPr>
        <w:rPr>
          <w:rFonts w:cs="Arial"/>
          <w:lang w:val="en-AU"/>
        </w:rPr>
      </w:pPr>
      <w:r w:rsidRPr="00770407">
        <w:rPr>
          <w:rFonts w:cs="Arial"/>
          <w:lang w:val="en-AU"/>
        </w:rPr>
        <w:t xml:space="preserve">completion of identified student subgroups. </w:t>
      </w:r>
    </w:p>
    <w:p w14:paraId="0814F46A" w14:textId="77777777" w:rsidR="00103021" w:rsidRDefault="00103021" w:rsidP="00103021">
      <w:pPr>
        <w:jc w:val="both"/>
      </w:pPr>
      <w:r>
        <w:t xml:space="preserve">For some providers this is also an Australian Government requirement related to funding. </w:t>
      </w:r>
    </w:p>
    <w:p w14:paraId="26F12BF9" w14:textId="77777777" w:rsidR="00103021" w:rsidRDefault="00103021" w:rsidP="00103021">
      <w:pPr>
        <w:jc w:val="both"/>
      </w:pPr>
      <w:r>
        <w:t xml:space="preserve">Under the HES Framework, all providers are expected to have and to use information reflecting diverse student groups. The selection of groups is not mandated by the HES Framework but must include Aboriginal and Torres Strait Islander peoples (Standard 2.2.2). </w:t>
      </w:r>
      <w:r>
        <w:lastRenderedPageBreak/>
        <w:t xml:space="preserve">Guidelines for how to measure and monitor </w:t>
      </w:r>
      <w:r w:rsidRPr="00E34D89">
        <w:t>participation, progress, and completion</w:t>
      </w:r>
      <w:r>
        <w:t xml:space="preserve"> are available in various publications </w:t>
      </w:r>
      <w:r w:rsidRPr="008E32AB">
        <w:t xml:space="preserve">(see for example </w:t>
      </w:r>
      <w:r>
        <w:t>AIHW, 2014; Pitman and Koshy, 2014</w:t>
      </w:r>
      <w:r w:rsidRPr="008E32AB">
        <w:t>).</w:t>
      </w:r>
    </w:p>
    <w:p w14:paraId="0D30C268" w14:textId="77777777" w:rsidR="00103021" w:rsidRPr="00A71970" w:rsidRDefault="000474E0" w:rsidP="00103021">
      <w:pPr>
        <w:pStyle w:val="Heading2"/>
      </w:pPr>
      <w:r>
        <w:t xml:space="preserve">Risks to </w:t>
      </w:r>
      <w:r w:rsidR="00D66867">
        <w:t>Quality</w:t>
      </w:r>
    </w:p>
    <w:p w14:paraId="229EC62E" w14:textId="77777777" w:rsidR="00103021" w:rsidRDefault="00103021" w:rsidP="00103021">
      <w:pPr>
        <w:jc w:val="both"/>
      </w:pPr>
      <w:r>
        <w:t>The major risks of a failure by a provider to implement plans for diversity and equity among its student cohorts are:</w:t>
      </w:r>
    </w:p>
    <w:p w14:paraId="4025A79B" w14:textId="77777777" w:rsidR="00103021" w:rsidRPr="009725ED" w:rsidRDefault="00103021" w:rsidP="00C914FD">
      <w:pPr>
        <w:pStyle w:val="BulletsL2"/>
        <w:numPr>
          <w:ilvl w:val="0"/>
          <w:numId w:val="19"/>
        </w:numPr>
        <w:rPr>
          <w:rFonts w:cs="Arial"/>
          <w:lang w:val="en-AU"/>
        </w:rPr>
      </w:pPr>
      <w:r w:rsidRPr="009725ED">
        <w:rPr>
          <w:rFonts w:cs="Arial"/>
          <w:lang w:val="en-AU"/>
        </w:rPr>
        <w:t>a poor experience for learners and potential damage to their self-esteem and prospects for future learning</w:t>
      </w:r>
    </w:p>
    <w:p w14:paraId="7F9BB76D" w14:textId="77777777" w:rsidR="00103021" w:rsidRPr="009725ED" w:rsidRDefault="00103021" w:rsidP="00C914FD">
      <w:pPr>
        <w:pStyle w:val="BulletsL2"/>
        <w:numPr>
          <w:ilvl w:val="0"/>
          <w:numId w:val="19"/>
        </w:numPr>
        <w:rPr>
          <w:rFonts w:cs="Arial"/>
          <w:lang w:val="en-AU"/>
        </w:rPr>
      </w:pPr>
      <w:r w:rsidRPr="009725ED">
        <w:rPr>
          <w:rFonts w:cs="Arial"/>
          <w:lang w:val="en-AU"/>
        </w:rPr>
        <w:t>low retention and completion rates among under-represented groups or those that have experienced disadvantage, due to the lack of adequate support or an appropriate learning environment</w:t>
      </w:r>
    </w:p>
    <w:p w14:paraId="13D8D3CD" w14:textId="77777777" w:rsidR="00103021" w:rsidRPr="009725ED" w:rsidRDefault="00103021" w:rsidP="00C914FD">
      <w:pPr>
        <w:pStyle w:val="BulletsL2"/>
        <w:numPr>
          <w:ilvl w:val="0"/>
          <w:numId w:val="19"/>
        </w:numPr>
        <w:rPr>
          <w:rFonts w:cs="Arial"/>
          <w:lang w:val="en-AU"/>
        </w:rPr>
      </w:pPr>
      <w:r w:rsidRPr="009725ED">
        <w:rPr>
          <w:rFonts w:cs="Arial"/>
          <w:lang w:val="en-AU"/>
        </w:rPr>
        <w:t xml:space="preserve">a failure to meet legal obligations by the provider not being aware of actions that are discriminatory or unfair, which in turn could result in legal action and/or reputational damage. </w:t>
      </w:r>
    </w:p>
    <w:p w14:paraId="0042150D" w14:textId="77777777" w:rsidR="00103021" w:rsidRPr="00770407" w:rsidRDefault="00103021" w:rsidP="00103021">
      <w:pPr>
        <w:jc w:val="both"/>
        <w:rPr>
          <w:rFonts w:cs="Arial"/>
        </w:rPr>
      </w:pPr>
      <w:r w:rsidRPr="00D861FF">
        <w:t xml:space="preserve">The social and emotional consequences for individuals of not achieving and succeeding in higher education can be severe. </w:t>
      </w:r>
      <w:r>
        <w:t xml:space="preserve">While not every student will complete their studies, providers are expected to mitigate the risks to students who experience disadvantage or come from under-represented groups by providing appropriate support and a suitable learning environment. </w:t>
      </w:r>
    </w:p>
    <w:p w14:paraId="022E4255" w14:textId="77777777" w:rsidR="00103021" w:rsidRDefault="00103021" w:rsidP="00103021">
      <w:pPr>
        <w:pStyle w:val="Heading2"/>
      </w:pPr>
      <w:r w:rsidRPr="00DE59A9">
        <w:t>What will TEQSA look for?</w:t>
      </w:r>
    </w:p>
    <w:p w14:paraId="43B3699B" w14:textId="77777777" w:rsidR="000474E0" w:rsidRPr="000C7F31" w:rsidRDefault="000474E0" w:rsidP="000474E0">
      <w:pPr>
        <w:pBdr>
          <w:top w:val="single" w:sz="4" w:space="1" w:color="auto"/>
          <w:left w:val="single" w:sz="4" w:space="4" w:color="auto"/>
          <w:bottom w:val="single" w:sz="4" w:space="1" w:color="auto"/>
          <w:right w:val="single" w:sz="4" w:space="4" w:color="auto"/>
        </w:pBdr>
        <w:shd w:val="clear" w:color="auto" w:fill="A2DADD" w:themeFill="accent5"/>
      </w:pPr>
      <w:r w:rsidRPr="000C7F31">
        <w:t xml:space="preserve">This part of the guidance note covers the full extent of the Standards, and corresponding evidence that TEQSA may require, in relation to </w:t>
      </w:r>
      <w:r>
        <w:t>the management of diversity and equity</w:t>
      </w:r>
      <w:r w:rsidRPr="000C7F31">
        <w:t>.</w:t>
      </w:r>
    </w:p>
    <w:p w14:paraId="54E74666" w14:textId="77777777" w:rsidR="000474E0" w:rsidRPr="000C7F31" w:rsidRDefault="000474E0" w:rsidP="000474E0">
      <w:pPr>
        <w:pBdr>
          <w:top w:val="single" w:sz="4" w:space="1" w:color="auto"/>
          <w:left w:val="single" w:sz="4" w:space="4" w:color="auto"/>
          <w:bottom w:val="single" w:sz="4" w:space="1" w:color="auto"/>
          <w:right w:val="single" w:sz="4" w:space="4" w:color="auto"/>
        </w:pBdr>
        <w:shd w:val="clear" w:color="auto" w:fill="A2DADD" w:themeFill="accent5"/>
      </w:pPr>
      <w:r w:rsidRPr="000C7F31">
        <w:t xml:space="preserve">For new applicants seeking initial registration and course accreditation, TEQSA will require evidence to be provided in relation to all relevant Standards. </w:t>
      </w:r>
    </w:p>
    <w:p w14:paraId="47848E92" w14:textId="77777777" w:rsidR="000474E0" w:rsidRPr="000C7F31" w:rsidRDefault="000474E0" w:rsidP="000474E0">
      <w:pPr>
        <w:pBdr>
          <w:top w:val="single" w:sz="4" w:space="1" w:color="auto"/>
          <w:left w:val="single" w:sz="4" w:space="4" w:color="auto"/>
          <w:bottom w:val="single" w:sz="4" w:space="1" w:color="auto"/>
          <w:right w:val="single" w:sz="4" w:space="4" w:color="auto"/>
        </w:pBdr>
        <w:shd w:val="clear" w:color="auto" w:fill="A2DADD" w:themeFill="accent5"/>
      </w:pPr>
      <w:r w:rsidRPr="000C7F31">
        <w:t xml:space="preserve">For existing providers, the scope of Standards to be assessed </w:t>
      </w:r>
      <w:r>
        <w:t xml:space="preserve">for renewal of registration or course accreditation </w:t>
      </w:r>
      <w:r w:rsidRPr="000C7F31">
        <w:t xml:space="preserve">and the evidence required may vary. This is consistent with the regulatory principles in the TEQSA Act, under which TEQSA has discretion to vary the scope of its assessments and the related evidence required. In exercising this discretion, TEQSA will be guided by the provider’s regulatory history, its risk </w:t>
      </w:r>
      <w:proofErr w:type="gramStart"/>
      <w:r w:rsidRPr="000C7F31">
        <w:t>profile</w:t>
      </w:r>
      <w:proofErr w:type="gramEnd"/>
      <w:r w:rsidRPr="000C7F31">
        <w:t xml:space="preserve"> and its track record in delivering high quality higher education. </w:t>
      </w:r>
    </w:p>
    <w:p w14:paraId="435E56DF" w14:textId="77777777" w:rsidR="000474E0" w:rsidRPr="000C7F31" w:rsidRDefault="000474E0" w:rsidP="000474E0">
      <w:pPr>
        <w:pBdr>
          <w:top w:val="single" w:sz="4" w:space="1" w:color="auto"/>
          <w:left w:val="single" w:sz="4" w:space="4" w:color="auto"/>
          <w:bottom w:val="single" w:sz="4" w:space="1" w:color="auto"/>
          <w:right w:val="single" w:sz="4" w:space="4" w:color="auto"/>
        </w:pBdr>
        <w:shd w:val="clear" w:color="auto" w:fill="A2DADD" w:themeFill="accent5"/>
      </w:pPr>
      <w:r w:rsidRPr="000C7F31">
        <w:t xml:space="preserve">TEQSA’s case managers will discuss with providers the scope of assessments and evidence required well ahead of the due date for </w:t>
      </w:r>
      <w:proofErr w:type="gramStart"/>
      <w:r w:rsidRPr="000C7F31">
        <w:t>submitting an application</w:t>
      </w:r>
      <w:proofErr w:type="gramEnd"/>
      <w:r w:rsidRPr="000C7F31">
        <w:t>.</w:t>
      </w:r>
    </w:p>
    <w:p w14:paraId="15378F11" w14:textId="77777777" w:rsidR="000474E0" w:rsidRPr="000C7F31" w:rsidRDefault="000474E0" w:rsidP="000474E0">
      <w:pPr>
        <w:pBdr>
          <w:top w:val="single" w:sz="4" w:space="1" w:color="auto"/>
          <w:left w:val="single" w:sz="4" w:space="4" w:color="auto"/>
          <w:bottom w:val="single" w:sz="4" w:space="1" w:color="auto"/>
          <w:right w:val="single" w:sz="4" w:space="4" w:color="auto"/>
        </w:pBdr>
        <w:shd w:val="clear" w:color="auto" w:fill="A2DADD" w:themeFill="accent5"/>
      </w:pPr>
      <w:r w:rsidRPr="000C7F31">
        <w:t xml:space="preserve">The evidence required for </w:t>
      </w:r>
      <w:proofErr w:type="gramStart"/>
      <w:r w:rsidRPr="000C7F31">
        <w:t>particular types</w:t>
      </w:r>
      <w:proofErr w:type="gramEnd"/>
      <w:r w:rsidRPr="000C7F31">
        <w:t xml:space="preserve"> of application is available from the Application Guides on the TEQSA website. </w:t>
      </w:r>
    </w:p>
    <w:p w14:paraId="0F7841CA" w14:textId="77777777" w:rsidR="000474E0" w:rsidRDefault="000474E0" w:rsidP="000474E0">
      <w:pPr>
        <w:pBdr>
          <w:top w:val="single" w:sz="4" w:space="1" w:color="auto"/>
          <w:left w:val="single" w:sz="4" w:space="4" w:color="auto"/>
          <w:bottom w:val="single" w:sz="4" w:space="1" w:color="auto"/>
          <w:right w:val="single" w:sz="4" w:space="4" w:color="auto"/>
        </w:pBdr>
        <w:shd w:val="clear" w:color="auto" w:fill="A2DADD" w:themeFill="accent5"/>
      </w:pPr>
      <w:r>
        <w:t xml:space="preserve">Providers are required to </w:t>
      </w:r>
      <w:proofErr w:type="gramStart"/>
      <w:r>
        <w:t xml:space="preserve">comply with </w:t>
      </w:r>
      <w:r w:rsidR="004E5E28">
        <w:t>the Standards</w:t>
      </w:r>
      <w:r>
        <w:t xml:space="preserve"> at all times</w:t>
      </w:r>
      <w:proofErr w:type="gramEnd"/>
      <w:r>
        <w:t>, not just at the time of application, and TEQSA may seek evidence of compliance at other times if a risk of non-compliance is identified.</w:t>
      </w:r>
    </w:p>
    <w:p w14:paraId="1380A838" w14:textId="77777777" w:rsidR="00103021" w:rsidRDefault="00103021" w:rsidP="00103021">
      <w:pPr>
        <w:spacing w:before="160"/>
        <w:jc w:val="both"/>
      </w:pPr>
      <w:r>
        <w:t xml:space="preserve">In the first instance, TEQSA will consider the provider’s statements in respect of diversity and equity, including the policy frameworks and procedures to create and maintain </w:t>
      </w:r>
      <w:r w:rsidRPr="00641F63">
        <w:t>equivalent opportunities for academic success regardless of students’ backgrounds, within the context of the provider’s mission.</w:t>
      </w:r>
      <w:r>
        <w:t xml:space="preserve"> TEQSA will consider the implementation of policies for </w:t>
      </w:r>
      <w:r>
        <w:lastRenderedPageBreak/>
        <w:t xml:space="preserve">teaching and learning for the extent to which they accommodate diversity and create equivalent opportunities for students. </w:t>
      </w:r>
    </w:p>
    <w:p w14:paraId="49C22AE9" w14:textId="77777777" w:rsidR="00103021" w:rsidRDefault="00103021" w:rsidP="00103021">
      <w:pPr>
        <w:jc w:val="both"/>
      </w:pPr>
      <w:r>
        <w:t>As noted above, in</w:t>
      </w:r>
      <w:r w:rsidRPr="0064104B">
        <w:t xml:space="preserve"> advance of offering higher education</w:t>
      </w:r>
      <w:r>
        <w:t xml:space="preserve">, a provider needs to understand and consider: </w:t>
      </w:r>
    </w:p>
    <w:p w14:paraId="38F4F9D2" w14:textId="77777777" w:rsidR="00103021" w:rsidRPr="00AC562B" w:rsidRDefault="00103021" w:rsidP="00C914FD">
      <w:pPr>
        <w:pStyle w:val="BulletsL2"/>
        <w:numPr>
          <w:ilvl w:val="0"/>
          <w:numId w:val="20"/>
        </w:numPr>
        <w:rPr>
          <w:rFonts w:cs="Arial"/>
          <w:lang w:val="en-AU"/>
        </w:rPr>
      </w:pPr>
      <w:r w:rsidRPr="00AC562B">
        <w:rPr>
          <w:rFonts w:cs="Arial"/>
          <w:lang w:val="en-AU"/>
        </w:rPr>
        <w:t>their legal obligations, including obligations not to discriminate</w:t>
      </w:r>
    </w:p>
    <w:p w14:paraId="2920CA94" w14:textId="77777777" w:rsidR="00103021" w:rsidRPr="00AC562B" w:rsidRDefault="00103021" w:rsidP="00C914FD">
      <w:pPr>
        <w:pStyle w:val="BulletsL2"/>
        <w:numPr>
          <w:ilvl w:val="0"/>
          <w:numId w:val="20"/>
        </w:numPr>
        <w:rPr>
          <w:rFonts w:cs="Arial"/>
          <w:lang w:val="en-AU"/>
        </w:rPr>
      </w:pPr>
      <w:r w:rsidRPr="00AC562B">
        <w:rPr>
          <w:rFonts w:cs="Arial"/>
          <w:lang w:val="en-AU"/>
        </w:rPr>
        <w:t>the characteristics of their expected student mix</w:t>
      </w:r>
    </w:p>
    <w:p w14:paraId="6A0848B5" w14:textId="77777777" w:rsidR="00103021" w:rsidRPr="00AC562B" w:rsidRDefault="00103021" w:rsidP="00C914FD">
      <w:pPr>
        <w:pStyle w:val="BulletsL2"/>
        <w:numPr>
          <w:ilvl w:val="0"/>
          <w:numId w:val="20"/>
        </w:numPr>
        <w:rPr>
          <w:rFonts w:cs="Arial"/>
          <w:lang w:val="en-AU"/>
        </w:rPr>
      </w:pPr>
      <w:r w:rsidRPr="00AC562B">
        <w:rPr>
          <w:rFonts w:cs="Arial"/>
          <w:lang w:val="en-AU"/>
        </w:rPr>
        <w:t xml:space="preserve">their stance </w:t>
      </w:r>
      <w:r>
        <w:rPr>
          <w:rFonts w:cs="Arial"/>
          <w:lang w:val="en-AU"/>
        </w:rPr>
        <w:t>on</w:t>
      </w:r>
      <w:r w:rsidRPr="00AC562B">
        <w:rPr>
          <w:rFonts w:cs="Arial"/>
          <w:lang w:val="en-AU"/>
        </w:rPr>
        <w:t xml:space="preserve"> diversity and equity</w:t>
      </w:r>
    </w:p>
    <w:p w14:paraId="5ADA49C1" w14:textId="77777777" w:rsidR="00103021" w:rsidRPr="00AC562B" w:rsidRDefault="00103021" w:rsidP="00C914FD">
      <w:pPr>
        <w:pStyle w:val="BulletsL2"/>
        <w:numPr>
          <w:ilvl w:val="0"/>
          <w:numId w:val="20"/>
        </w:numPr>
        <w:rPr>
          <w:rFonts w:cs="Arial"/>
          <w:lang w:val="en-AU"/>
        </w:rPr>
      </w:pPr>
      <w:r w:rsidRPr="00AC562B">
        <w:rPr>
          <w:rFonts w:cs="Arial"/>
          <w:lang w:val="en-AU"/>
        </w:rPr>
        <w:t xml:space="preserve">how they will incorporate inclusivity in </w:t>
      </w:r>
      <w:r>
        <w:rPr>
          <w:rFonts w:cs="Arial"/>
          <w:lang w:val="en-AU"/>
        </w:rPr>
        <w:t xml:space="preserve">admissions practices, course design and </w:t>
      </w:r>
      <w:r w:rsidRPr="00AC562B">
        <w:rPr>
          <w:rFonts w:cs="Arial"/>
          <w:lang w:val="en-AU"/>
        </w:rPr>
        <w:t>education and learner support (student services</w:t>
      </w:r>
      <w:r>
        <w:rPr>
          <w:rFonts w:cs="Arial"/>
          <w:lang w:val="en-AU"/>
        </w:rPr>
        <w:t>,</w:t>
      </w:r>
      <w:r w:rsidRPr="00AC562B">
        <w:rPr>
          <w:rFonts w:cs="Arial"/>
          <w:lang w:val="en-AU"/>
        </w:rPr>
        <w:t xml:space="preserve"> </w:t>
      </w:r>
      <w:proofErr w:type="gramStart"/>
      <w:r w:rsidRPr="00AC562B">
        <w:rPr>
          <w:rFonts w:cs="Arial"/>
          <w:lang w:val="en-AU"/>
        </w:rPr>
        <w:t>resources</w:t>
      </w:r>
      <w:proofErr w:type="gramEnd"/>
      <w:r w:rsidRPr="00AC562B">
        <w:rPr>
          <w:rFonts w:cs="Arial"/>
          <w:lang w:val="en-AU"/>
        </w:rPr>
        <w:t xml:space="preserve"> and infrastructure), and </w:t>
      </w:r>
    </w:p>
    <w:p w14:paraId="034C5093" w14:textId="77777777" w:rsidR="00103021" w:rsidRPr="00AC562B" w:rsidRDefault="00103021" w:rsidP="00C914FD">
      <w:pPr>
        <w:pStyle w:val="BulletsL2"/>
        <w:numPr>
          <w:ilvl w:val="0"/>
          <w:numId w:val="20"/>
        </w:numPr>
        <w:rPr>
          <w:rFonts w:cs="Arial"/>
          <w:lang w:val="en-AU"/>
        </w:rPr>
      </w:pPr>
      <w:r w:rsidRPr="00AC562B">
        <w:rPr>
          <w:rFonts w:cs="Arial"/>
          <w:lang w:val="en-AU"/>
        </w:rPr>
        <w:t xml:space="preserve">how they will monitor participation, </w:t>
      </w:r>
      <w:proofErr w:type="gramStart"/>
      <w:r w:rsidRPr="00AC562B">
        <w:rPr>
          <w:rFonts w:cs="Arial"/>
          <w:lang w:val="en-AU"/>
        </w:rPr>
        <w:t>progress</w:t>
      </w:r>
      <w:proofErr w:type="gramEnd"/>
      <w:r w:rsidRPr="00AC562B">
        <w:rPr>
          <w:rFonts w:cs="Arial"/>
          <w:lang w:val="en-AU"/>
        </w:rPr>
        <w:t xml:space="preserve"> and completions. </w:t>
      </w:r>
    </w:p>
    <w:p w14:paraId="21BBDA9D" w14:textId="77777777" w:rsidR="00103021" w:rsidRDefault="00103021" w:rsidP="00103021">
      <w:pPr>
        <w:jc w:val="both"/>
      </w:pPr>
      <w:r w:rsidRPr="00627EAD">
        <w:t>A</w:t>
      </w:r>
      <w:r>
        <w:t>ny</w:t>
      </w:r>
      <w:r w:rsidRPr="00627EAD">
        <w:t xml:space="preserve"> provider that admits students without considering how </w:t>
      </w:r>
      <w:r>
        <w:t>all</w:t>
      </w:r>
      <w:r w:rsidRPr="00627EAD">
        <w:t xml:space="preserve"> students will have </w:t>
      </w:r>
      <w:r>
        <w:t xml:space="preserve">equivalent </w:t>
      </w:r>
      <w:r w:rsidRPr="00627EAD">
        <w:t xml:space="preserve">opportunities for academic success and an appropriate learning environment is likely to face multiple difficulties in meeting </w:t>
      </w:r>
      <w:r>
        <w:t>the HES Framework</w:t>
      </w:r>
      <w:r w:rsidRPr="00627EAD">
        <w:t>.</w:t>
      </w:r>
    </w:p>
    <w:p w14:paraId="3EBE9041" w14:textId="77777777" w:rsidR="00103021" w:rsidRDefault="00103021" w:rsidP="00103021">
      <w:pPr>
        <w:jc w:val="both"/>
      </w:pPr>
      <w:r>
        <w:t xml:space="preserve">TEQSA will consider whether a provider’s admission requirements (Section 1.1), advice to prospective and enrolled students (Section 7.2) and transition support (Section 1.3) are consistent with its statements and policies on diversity and equity, and adequate to meet Standard 2.2.1. As part of this consideration, TEQSA will explore how the provider has assessed the needs and preparedness of individual students and cohorts. TEQSA will also have regard to how the provider has </w:t>
      </w:r>
      <w:proofErr w:type="gramStart"/>
      <w:r>
        <w:t>given s</w:t>
      </w:r>
      <w:r w:rsidRPr="00EA01DC">
        <w:t>pecific consideration to</w:t>
      </w:r>
      <w:proofErr w:type="gramEnd"/>
      <w:r w:rsidRPr="00EA01DC">
        <w:t xml:space="preserve"> the recruitment, admission, participation and completion of Aboriginal and Torres Strait Islander peoples.</w:t>
      </w:r>
      <w:r>
        <w:t xml:space="preserve"> For other identified groups, TEQSA will review the arrangements for monitoring participation, progress and completions, and the outcomes achieved.</w:t>
      </w:r>
    </w:p>
    <w:p w14:paraId="2FB0E894" w14:textId="77777777" w:rsidR="00103021" w:rsidRDefault="00103021" w:rsidP="00103021">
      <w:pPr>
        <w:jc w:val="both"/>
      </w:pPr>
      <w:r w:rsidRPr="00444ED3">
        <w:t>Providers should note that the Standards require providers to monitor the participation and success of any identified groups (such as an identified equity group) and use that information to improve academic and support strategies for such groups.</w:t>
      </w:r>
      <w:r>
        <w:t xml:space="preserve"> The Standards do not require providers to achieve equality of </w:t>
      </w:r>
      <w:r w:rsidRPr="00A539DC">
        <w:rPr>
          <w:i/>
        </w:rPr>
        <w:t>outcomes</w:t>
      </w:r>
      <w:r>
        <w:t xml:space="preserve">, however they do require them to ensure equivalent </w:t>
      </w:r>
      <w:r w:rsidRPr="00A539DC">
        <w:rPr>
          <w:i/>
        </w:rPr>
        <w:t>opportunities</w:t>
      </w:r>
      <w:r>
        <w:t xml:space="preserve"> for all groups. </w:t>
      </w:r>
    </w:p>
    <w:p w14:paraId="30D73CE0" w14:textId="77777777" w:rsidR="00103021" w:rsidRPr="00301667" w:rsidRDefault="00103021" w:rsidP="00103021">
      <w:pPr>
        <w:jc w:val="both"/>
      </w:pPr>
      <w:r w:rsidRPr="00771187">
        <w:t>TEQSA will investigate whether the nature and extent of support services available for students are informed by the needs of student cohorts (</w:t>
      </w:r>
      <w:r>
        <w:t xml:space="preserve">Standard </w:t>
      </w:r>
      <w:r w:rsidRPr="00771187">
        <w:t xml:space="preserve">2.3.3). TEQSA will consider the adequacy of these services, </w:t>
      </w:r>
      <w:proofErr w:type="gramStart"/>
      <w:r w:rsidRPr="00771187">
        <w:t>taking into account</w:t>
      </w:r>
      <w:proofErr w:type="gramEnd"/>
      <w:r w:rsidRPr="00771187">
        <w:t xml:space="preserve"> the scale and scope of the provider’s operations.</w:t>
      </w:r>
      <w:r>
        <w:t xml:space="preserve"> </w:t>
      </w:r>
      <w:r w:rsidRPr="00301667">
        <w:t xml:space="preserve">Similarly, TEQSA will be interested to </w:t>
      </w:r>
      <w:r>
        <w:t>see</w:t>
      </w:r>
      <w:r w:rsidRPr="00301667">
        <w:t xml:space="preserve"> how students with special or specific needs </w:t>
      </w:r>
      <w:proofErr w:type="gramStart"/>
      <w:r w:rsidRPr="00301667">
        <w:t>have access</w:t>
      </w:r>
      <w:proofErr w:type="gramEnd"/>
      <w:r w:rsidRPr="00301667">
        <w:t xml:space="preserve"> to learning resources and learning support services</w:t>
      </w:r>
      <w:r>
        <w:t xml:space="preserve"> (Section 3.3)</w:t>
      </w:r>
      <w:r w:rsidRPr="00301667">
        <w:t>.</w:t>
      </w:r>
    </w:p>
    <w:p w14:paraId="4C471F50" w14:textId="77777777" w:rsidR="00103021" w:rsidRDefault="00103021" w:rsidP="00103021">
      <w:pPr>
        <w:jc w:val="both"/>
      </w:pPr>
      <w:r>
        <w:t>For providers seeking to use an Australian University title under Part B1, TEQSA will</w:t>
      </w:r>
      <w:r w:rsidRPr="00E43886">
        <w:t xml:space="preserve"> </w:t>
      </w:r>
      <w:r>
        <w:t xml:space="preserve">consider the extent to which the provider has demonstrated a commitment to social responsibility. This may include an exploration of </w:t>
      </w:r>
      <w:r w:rsidRPr="00F51482">
        <w:rPr>
          <w:rFonts w:cs="Arial"/>
        </w:rPr>
        <w:t>the provider’s commitment to valuing diversity and to representational equity</w:t>
      </w:r>
      <w:r>
        <w:rPr>
          <w:rFonts w:cs="Arial"/>
        </w:rPr>
        <w:t xml:space="preserve">. This may also include consideration of </w:t>
      </w:r>
      <w:r w:rsidRPr="00F51482">
        <w:rPr>
          <w:rFonts w:cs="Arial"/>
        </w:rPr>
        <w:t xml:space="preserve">the provider’s track record in ensuring equivalent support to diverse student cohorts to enable them to achieve the best </w:t>
      </w:r>
      <w:r>
        <w:rPr>
          <w:rFonts w:cs="Arial"/>
        </w:rPr>
        <w:t xml:space="preserve">possible </w:t>
      </w:r>
      <w:r w:rsidRPr="00F51482">
        <w:rPr>
          <w:rFonts w:cs="Arial"/>
        </w:rPr>
        <w:t xml:space="preserve">outcomes they </w:t>
      </w:r>
      <w:proofErr w:type="gramStart"/>
      <w:r w:rsidRPr="00F51482">
        <w:rPr>
          <w:rFonts w:cs="Arial"/>
        </w:rPr>
        <w:t>are capable</w:t>
      </w:r>
      <w:r>
        <w:t xml:space="preserve"> of achieving</w:t>
      </w:r>
      <w:proofErr w:type="gramEnd"/>
      <w:r>
        <w:t>.</w:t>
      </w:r>
    </w:p>
    <w:p w14:paraId="5F8913E8" w14:textId="77777777" w:rsidR="00103021" w:rsidRDefault="00103021" w:rsidP="00103021">
      <w:pPr>
        <w:jc w:val="both"/>
      </w:pPr>
      <w:r>
        <w:t xml:space="preserve">For providers seeking </w:t>
      </w:r>
      <w:r w:rsidRPr="00106D2D">
        <w:t>authority from TEQSA to self-accredit nominated courses of study</w:t>
      </w:r>
      <w:r>
        <w:t xml:space="preserve"> under Part B2, TEQSA will check that the review requirements of Section 2.2 relating to diversity and equity for all proposed course(s) of study have been implemented. </w:t>
      </w:r>
    </w:p>
    <w:p w14:paraId="28CD8EF0" w14:textId="77777777" w:rsidR="00103021" w:rsidRPr="00863630" w:rsidRDefault="00103021" w:rsidP="00103021">
      <w:pPr>
        <w:pStyle w:val="Heading2"/>
      </w:pPr>
      <w:r>
        <w:lastRenderedPageBreak/>
        <w:t>Further inquiry</w:t>
      </w:r>
    </w:p>
    <w:p w14:paraId="70F156FD" w14:textId="77777777" w:rsidR="00103021" w:rsidRPr="00C914FD" w:rsidRDefault="00103021" w:rsidP="00C914FD">
      <w:pPr>
        <w:jc w:val="both"/>
        <w:rPr>
          <w:b/>
        </w:rPr>
      </w:pPr>
      <w:r>
        <w:t>If concerns are raised over a provider’s understanding or implementation of policies or legislated responsibilities concerning student diversity and equity, TEQSA may explore the extent to which these concerns reflect any systemic challenges for the provider’s ability to meet the HES Framework</w:t>
      </w:r>
      <w:r w:rsidRPr="001953D4">
        <w:t xml:space="preserve">. </w:t>
      </w:r>
      <w:r>
        <w:t xml:space="preserve">In determining whether to explore the issue further, TEQSA will take account of the scale and scope of the provider’s activities. </w:t>
      </w:r>
    </w:p>
    <w:p w14:paraId="75A324E3" w14:textId="77777777" w:rsidR="00103021" w:rsidRPr="00863630" w:rsidRDefault="00103021" w:rsidP="00C914FD">
      <w:pPr>
        <w:pStyle w:val="Heading2"/>
      </w:pPr>
      <w:r>
        <w:t>Resources and references</w:t>
      </w:r>
    </w:p>
    <w:p w14:paraId="0ECB17C5" w14:textId="77777777" w:rsidR="00103021" w:rsidRDefault="00103021" w:rsidP="00103021">
      <w:r>
        <w:t xml:space="preserve">Australian Government, </w:t>
      </w:r>
      <w:r w:rsidRPr="00B7450F">
        <w:rPr>
          <w:i/>
        </w:rPr>
        <w:t>Age Discrimination Act 2004</w:t>
      </w:r>
      <w:r>
        <w:rPr>
          <w:i/>
        </w:rPr>
        <w:t xml:space="preserve">, </w:t>
      </w:r>
      <w:r w:rsidRPr="00EC5ECA">
        <w:t>&lt;</w:t>
      </w:r>
      <w:hyperlink r:id="rId11" w:history="1">
        <w:r w:rsidRPr="00EC5ECA">
          <w:rPr>
            <w:rStyle w:val="Hyperlink"/>
          </w:rPr>
          <w:t>https://www.legislation.gov.au/</w:t>
        </w:r>
      </w:hyperlink>
      <w:r w:rsidRPr="00EC5ECA">
        <w:t>&gt;</w:t>
      </w:r>
      <w:r>
        <w:t>.</w:t>
      </w:r>
    </w:p>
    <w:p w14:paraId="205BAB6C" w14:textId="77777777" w:rsidR="00103021" w:rsidRDefault="00103021" w:rsidP="00103021">
      <w:r>
        <w:t xml:space="preserve">Australian Government, </w:t>
      </w:r>
      <w:r w:rsidRPr="004100DD">
        <w:rPr>
          <w:i/>
        </w:rPr>
        <w:t>Australian Human Rights Commission Act 1986</w:t>
      </w:r>
      <w:r>
        <w:rPr>
          <w:i/>
        </w:rPr>
        <w:t xml:space="preserve">, </w:t>
      </w:r>
      <w:r w:rsidRPr="00BF7840">
        <w:t>&lt;</w:t>
      </w:r>
      <w:hyperlink r:id="rId12" w:history="1">
        <w:r w:rsidRPr="00BF7840">
          <w:rPr>
            <w:rStyle w:val="Hyperlink"/>
          </w:rPr>
          <w:t>https://www.legislation.gov.au/</w:t>
        </w:r>
      </w:hyperlink>
      <w:r w:rsidRPr="00BF7840">
        <w:t>&gt;</w:t>
      </w:r>
      <w:r>
        <w:t>.</w:t>
      </w:r>
    </w:p>
    <w:p w14:paraId="77CC1351" w14:textId="77777777" w:rsidR="00103021" w:rsidRDefault="00103021" w:rsidP="00103021">
      <w:r>
        <w:t xml:space="preserve">Australian Government, </w:t>
      </w:r>
      <w:r w:rsidRPr="008D1F34">
        <w:rPr>
          <w:i/>
        </w:rPr>
        <w:t>Disability Discrimination Act 1992</w:t>
      </w:r>
      <w:r>
        <w:rPr>
          <w:i/>
        </w:rPr>
        <w:t xml:space="preserve">, </w:t>
      </w:r>
      <w:r w:rsidRPr="00BF7840">
        <w:t>&lt;</w:t>
      </w:r>
      <w:hyperlink r:id="rId13" w:history="1">
        <w:r w:rsidRPr="00BF7840">
          <w:rPr>
            <w:rStyle w:val="Hyperlink"/>
          </w:rPr>
          <w:t>https://www.legislation.gov.au/</w:t>
        </w:r>
      </w:hyperlink>
      <w:r w:rsidRPr="00BF7840">
        <w:t>&gt;</w:t>
      </w:r>
      <w:r>
        <w:t>.</w:t>
      </w:r>
    </w:p>
    <w:p w14:paraId="6B0DF665" w14:textId="77777777" w:rsidR="00103021" w:rsidRDefault="00103021" w:rsidP="00103021">
      <w:r>
        <w:t xml:space="preserve">Australian Government, </w:t>
      </w:r>
      <w:r w:rsidRPr="00BD100F">
        <w:rPr>
          <w:i/>
        </w:rPr>
        <w:t>Disability Standards for Education 2005</w:t>
      </w:r>
      <w:r>
        <w:rPr>
          <w:i/>
        </w:rPr>
        <w:t>,</w:t>
      </w:r>
      <w:r>
        <w:t xml:space="preserve"> &lt;</w:t>
      </w:r>
      <w:hyperlink r:id="rId14" w:history="1">
        <w:r w:rsidRPr="00DA3563">
          <w:rPr>
            <w:rStyle w:val="Hyperlink"/>
          </w:rPr>
          <w:t>https://www.education.gov.au/disability-standards-education</w:t>
        </w:r>
      </w:hyperlink>
      <w:r>
        <w:t xml:space="preserve">&gt;. </w:t>
      </w:r>
    </w:p>
    <w:p w14:paraId="11B27728" w14:textId="77777777" w:rsidR="00103021" w:rsidRDefault="00103021" w:rsidP="00103021">
      <w:r>
        <w:t xml:space="preserve">Australian Government (2015), </w:t>
      </w:r>
      <w:r w:rsidRPr="00BD100F">
        <w:rPr>
          <w:i/>
        </w:rPr>
        <w:t>Final Report for the 2015 Review of the Disability Standards for Education 2005</w:t>
      </w:r>
      <w:r>
        <w:t>, &lt;</w:t>
      </w:r>
      <w:hyperlink r:id="rId15" w:history="1">
        <w:r w:rsidRPr="00595EE1">
          <w:rPr>
            <w:rStyle w:val="Hyperlink"/>
          </w:rPr>
          <w:t>https://docs.education.gov.au/documents/final-report-2015-review-disability-standards-education-2005</w:t>
        </w:r>
      </w:hyperlink>
      <w:r>
        <w:t>&gt;.</w:t>
      </w:r>
    </w:p>
    <w:p w14:paraId="0691F3C1" w14:textId="77777777" w:rsidR="00103021" w:rsidRDefault="00103021" w:rsidP="00103021">
      <w:r>
        <w:t xml:space="preserve">Australian Government, </w:t>
      </w:r>
      <w:r w:rsidRPr="00EC5ECA">
        <w:rPr>
          <w:i/>
        </w:rPr>
        <w:t>Racial Discrimination Act 1975</w:t>
      </w:r>
      <w:r>
        <w:rPr>
          <w:i/>
        </w:rPr>
        <w:t xml:space="preserve">, </w:t>
      </w:r>
      <w:r w:rsidRPr="00BF7840">
        <w:t>&lt;</w:t>
      </w:r>
      <w:hyperlink r:id="rId16" w:history="1">
        <w:r w:rsidRPr="00BF7840">
          <w:rPr>
            <w:rStyle w:val="Hyperlink"/>
          </w:rPr>
          <w:t>https://www.legislation.gov.au/</w:t>
        </w:r>
      </w:hyperlink>
      <w:r w:rsidRPr="00BF7840">
        <w:t>&gt;</w:t>
      </w:r>
      <w:r>
        <w:t>.</w:t>
      </w:r>
    </w:p>
    <w:p w14:paraId="2840EBC3" w14:textId="77777777" w:rsidR="00103021" w:rsidRDefault="00103021" w:rsidP="00103021">
      <w:r>
        <w:t xml:space="preserve">Australian Government, </w:t>
      </w:r>
      <w:r w:rsidRPr="00221538">
        <w:rPr>
          <w:i/>
        </w:rPr>
        <w:t>Sex Discrimination Act 1984</w:t>
      </w:r>
      <w:r>
        <w:rPr>
          <w:i/>
        </w:rPr>
        <w:t xml:space="preserve">, </w:t>
      </w:r>
      <w:r w:rsidRPr="00BF7840">
        <w:t>&lt;</w:t>
      </w:r>
      <w:hyperlink r:id="rId17" w:history="1">
        <w:r w:rsidRPr="00BF7840">
          <w:rPr>
            <w:rStyle w:val="Hyperlink"/>
          </w:rPr>
          <w:t>https://www.legislation.gov.au/</w:t>
        </w:r>
      </w:hyperlink>
      <w:r w:rsidRPr="00BF7840">
        <w:t>&gt;</w:t>
      </w:r>
      <w:r>
        <w:t>.</w:t>
      </w:r>
    </w:p>
    <w:p w14:paraId="5DA1579A" w14:textId="77777777" w:rsidR="00103021" w:rsidRDefault="00103021" w:rsidP="00103021">
      <w:r>
        <w:t xml:space="preserve">Australian Government, </w:t>
      </w:r>
      <w:r w:rsidRPr="00C56C87">
        <w:rPr>
          <w:i/>
        </w:rPr>
        <w:t>Workplace Gender Equality Act 2012</w:t>
      </w:r>
      <w:r>
        <w:rPr>
          <w:i/>
        </w:rPr>
        <w:t xml:space="preserve">, </w:t>
      </w:r>
      <w:r w:rsidRPr="00BF7840">
        <w:t>&lt;</w:t>
      </w:r>
      <w:hyperlink r:id="rId18" w:history="1">
        <w:r w:rsidRPr="00BF7840">
          <w:rPr>
            <w:rStyle w:val="Hyperlink"/>
          </w:rPr>
          <w:t>https://www.legislation.gov.au/</w:t>
        </w:r>
      </w:hyperlink>
      <w:r w:rsidRPr="00BF7840">
        <w:t>&gt;</w:t>
      </w:r>
      <w:r>
        <w:t>.</w:t>
      </w:r>
    </w:p>
    <w:p w14:paraId="11AA9EE4" w14:textId="77777777" w:rsidR="00103021" w:rsidRDefault="00103021" w:rsidP="00103021">
      <w:r>
        <w:t xml:space="preserve">Australian Human Rights Commission (2016), </w:t>
      </w:r>
      <w:r w:rsidRPr="002F0E38">
        <w:rPr>
          <w:i/>
        </w:rPr>
        <w:t>A quick guide to Australian discrimination laws</w:t>
      </w:r>
      <w:r>
        <w:t>, &lt;</w:t>
      </w:r>
      <w:hyperlink r:id="rId19" w:history="1">
        <w:r w:rsidRPr="00DA3563">
          <w:rPr>
            <w:rStyle w:val="Hyperlink"/>
          </w:rPr>
          <w:t>https://www.humanrights.gov.au/employers/good-practice-good-business-factsheets/quick-guide-australian-discrimination-laws</w:t>
        </w:r>
      </w:hyperlink>
      <w:r>
        <w:t xml:space="preserve">&gt;. </w:t>
      </w:r>
    </w:p>
    <w:p w14:paraId="599E528A" w14:textId="77777777" w:rsidR="00103021" w:rsidRDefault="00103021" w:rsidP="00103021">
      <w:r>
        <w:t xml:space="preserve">Australian Institute of Health and Welfare (2014), </w:t>
      </w:r>
      <w:r w:rsidRPr="00106D2D">
        <w:rPr>
          <w:i/>
        </w:rPr>
        <w:t>Towards a performance measurement framework for equity in higher education</w:t>
      </w:r>
      <w:r>
        <w:t>, &lt;</w:t>
      </w:r>
      <w:hyperlink r:id="rId20" w:history="1">
        <w:r w:rsidRPr="00DA3563">
          <w:rPr>
            <w:rStyle w:val="Hyperlink"/>
          </w:rPr>
          <w:t>http://www.aihw.gov.au/WorkArea/DownloadAsset.aspx?id=60129547954</w:t>
        </w:r>
      </w:hyperlink>
      <w:r>
        <w:t xml:space="preserve">&gt;. </w:t>
      </w:r>
    </w:p>
    <w:p w14:paraId="29D15D70" w14:textId="77777777" w:rsidR="00103021" w:rsidRDefault="00103021" w:rsidP="00103021">
      <w:r>
        <w:t>Higher Education Participation and Partnerships Programme, &lt;</w:t>
      </w:r>
      <w:hyperlink r:id="rId21" w:history="1">
        <w:r w:rsidRPr="00842AD9">
          <w:rPr>
            <w:rStyle w:val="Hyperlink"/>
          </w:rPr>
          <w:t>https://www.education.gov.au/higher-education-participation-and-partnerships-programme-heppp</w:t>
        </w:r>
      </w:hyperlink>
      <w:r>
        <w:rPr>
          <w:rStyle w:val="Hyperlink"/>
        </w:rPr>
        <w:t>&gt;</w:t>
      </w:r>
    </w:p>
    <w:p w14:paraId="5FFA5B57" w14:textId="77777777" w:rsidR="00103021" w:rsidRDefault="00103021" w:rsidP="00103021">
      <w:r>
        <w:t>Research reports available through the National Centre for Student Equity in Higher Education, Curtin University (2016 and previous), &lt;</w:t>
      </w:r>
      <w:hyperlink r:id="rId22" w:history="1">
        <w:r w:rsidRPr="00DA3563">
          <w:rPr>
            <w:rStyle w:val="Hyperlink"/>
          </w:rPr>
          <w:t>https://www.ncsehe.edu.au/research/research-reports/</w:t>
        </w:r>
      </w:hyperlink>
      <w:r>
        <w:t>&gt;.</w:t>
      </w:r>
    </w:p>
    <w:p w14:paraId="228F07A7" w14:textId="77777777" w:rsidR="00103021" w:rsidRPr="003D4810" w:rsidRDefault="00103021" w:rsidP="00103021">
      <w:pPr>
        <w:rPr>
          <w:rStyle w:val="Hyperlink"/>
        </w:rPr>
      </w:pPr>
      <w:r w:rsidRPr="006442F6">
        <w:t>National Education Association</w:t>
      </w:r>
      <w:r>
        <w:t xml:space="preserve"> [NEA] (2015), </w:t>
      </w:r>
      <w:r w:rsidRPr="002F0E38">
        <w:rPr>
          <w:i/>
        </w:rPr>
        <w:t>Diversity Toolkit Introduction</w:t>
      </w:r>
      <w:r>
        <w:t>, &lt;</w:t>
      </w:r>
      <w:hyperlink r:id="rId23" w:history="1">
        <w:r w:rsidRPr="00DE7DF9">
          <w:rPr>
            <w:rStyle w:val="Hyperlink"/>
          </w:rPr>
          <w:t>http://www.nea.org/tools/diversity-toolkit-introduction.html</w:t>
        </w:r>
      </w:hyperlink>
      <w:r>
        <w:t>&gt;.</w:t>
      </w:r>
    </w:p>
    <w:p w14:paraId="64254C7C" w14:textId="77777777" w:rsidR="00103021" w:rsidRPr="00106D2D" w:rsidRDefault="00103021" w:rsidP="00103021">
      <w:r w:rsidRPr="00106D2D">
        <w:t>Pitman, T. and Koshy, P. (2014)</w:t>
      </w:r>
      <w:r>
        <w:t>,</w:t>
      </w:r>
      <w:r w:rsidRPr="00106D2D">
        <w:t xml:space="preserve"> </w:t>
      </w:r>
      <w:r w:rsidRPr="00106D2D">
        <w:rPr>
          <w:i/>
        </w:rPr>
        <w:t>A Framework for Measuring Equity Performance in Australian Higher Education – Draft Framework Document</w:t>
      </w:r>
      <w:r>
        <w:t>, &lt;</w:t>
      </w:r>
      <w:hyperlink r:id="rId24" w:history="1">
        <w:r w:rsidRPr="00DA3563">
          <w:rPr>
            <w:rStyle w:val="Hyperlink"/>
          </w:rPr>
          <w:t>https://www.ncsehe.edu.au/wp-content/uploads/2014/11/Draft_Equity_Performance_Framework_Report_V1.6.pdf</w:t>
        </w:r>
      </w:hyperlink>
      <w:r>
        <w:t>&gt;.</w:t>
      </w:r>
    </w:p>
    <w:p w14:paraId="05F42171" w14:textId="77777777" w:rsidR="00103021" w:rsidRDefault="00103021" w:rsidP="00103021">
      <w:pPr>
        <w:rPr>
          <w:rFonts w:cstheme="minorHAnsi"/>
          <w:iCs/>
        </w:rPr>
      </w:pPr>
      <w:r>
        <w:rPr>
          <w:rFonts w:cstheme="minorHAnsi"/>
          <w:iCs/>
        </w:rPr>
        <w:t xml:space="preserve">TEQSA (2016), </w:t>
      </w:r>
      <w:r w:rsidRPr="00760A2C">
        <w:rPr>
          <w:rFonts w:cstheme="minorHAnsi"/>
          <w:i/>
          <w:iCs/>
        </w:rPr>
        <w:t>Explanations of terms in Part A of the HES Framework 2015</w:t>
      </w:r>
      <w:r>
        <w:rPr>
          <w:rFonts w:cstheme="minorHAnsi"/>
          <w:iCs/>
        </w:rPr>
        <w:t>, &lt;</w:t>
      </w:r>
      <w:hyperlink r:id="rId25" w:history="1">
        <w:r w:rsidRPr="00C639FE">
          <w:rPr>
            <w:rStyle w:val="Hyperlink"/>
          </w:rPr>
          <w:t>http://www.teqsa.gov.au/explanations-hes-framework-terms</w:t>
        </w:r>
      </w:hyperlink>
      <w:r>
        <w:rPr>
          <w:rFonts w:cstheme="minorHAnsi"/>
          <w:iCs/>
        </w:rPr>
        <w:t xml:space="preserve">&gt;. </w:t>
      </w:r>
    </w:p>
    <w:p w14:paraId="01B3B137" w14:textId="77777777" w:rsidR="00103021" w:rsidRDefault="00103021" w:rsidP="00103021">
      <w:r>
        <w:t xml:space="preserve">Universities Australia (October 2011), </w:t>
      </w:r>
      <w:r w:rsidRPr="00106D2D">
        <w:rPr>
          <w:i/>
        </w:rPr>
        <w:t>National Best Practice Framework for Indigenous Cultural Competency in Australian Universities</w:t>
      </w:r>
      <w:r>
        <w:t xml:space="preserve">, </w:t>
      </w:r>
      <w:r>
        <w:lastRenderedPageBreak/>
        <w:t>&lt;</w:t>
      </w:r>
      <w:r w:rsidRPr="00611F38">
        <w:rPr>
          <w:rStyle w:val="Hyperlink"/>
        </w:rPr>
        <w:t>https://www.universitiesaustralia.edu.au/ArticleDocuments/376/National Best Practice Framework for Indigenous Cultural Competency in Australian Universities.pdf.aspx</w:t>
      </w:r>
      <w:r>
        <w:t>&gt;.</w:t>
      </w:r>
    </w:p>
    <w:p w14:paraId="65A23131" w14:textId="77777777" w:rsidR="000474E0" w:rsidRDefault="00103021" w:rsidP="00103021">
      <w:r>
        <w:t>Various State and Territory legislation, Anti-Discrimination Acts &lt;</w:t>
      </w:r>
      <w:hyperlink r:id="rId26" w:history="1">
        <w:r w:rsidR="00AC15A2" w:rsidRPr="004813D1">
          <w:rPr>
            <w:rStyle w:val="Hyperlink"/>
          </w:rPr>
          <w:t>http://www.austlii.edu.au/</w:t>
        </w:r>
      </w:hyperlink>
      <w:r>
        <w:t>&gt;</w:t>
      </w:r>
    </w:p>
    <w:p w14:paraId="1A461712" w14:textId="77777777" w:rsidR="006A1179" w:rsidRDefault="006A1179" w:rsidP="00103021"/>
    <w:p w14:paraId="0DEFD819" w14:textId="77777777" w:rsidR="006A1179" w:rsidRDefault="006A1179" w:rsidP="00103021">
      <w:r w:rsidRPr="006A1179">
        <w:t xml:space="preserve">TEQSA welcomes the diversity of educational delivery across the sector and acknowledges that its Guidance Notes may not encompass </w:t>
      </w:r>
      <w:proofErr w:type="gramStart"/>
      <w:r w:rsidRPr="006A1179">
        <w:t>all of</w:t>
      </w:r>
      <w:proofErr w:type="gramEnd"/>
      <w:r w:rsidRPr="006A1179">
        <w:t xml:space="preserve"> the circumstances seen in the sector. TEQSA also recognises that the requirements of the HESF can be met in different ways according to the circumstances of the provider. Provided the requirements of the HESF are met, TEQSA will not prescribe how they are met. If in doubt, please consult your TEQSA case manager.</w:t>
      </w:r>
    </w:p>
    <w:p w14:paraId="4541E04B" w14:textId="77777777" w:rsidR="000474E0" w:rsidRDefault="000474E0" w:rsidP="000474E0">
      <w:r>
        <w:br w:type="page"/>
      </w:r>
    </w:p>
    <w:p w14:paraId="0B467358" w14:textId="77777777" w:rsidR="00103021" w:rsidRDefault="00103021" w:rsidP="00103021"/>
    <w:tbl>
      <w:tblPr>
        <w:tblW w:w="9356" w:type="dxa"/>
        <w:tblInd w:w="100" w:type="dxa"/>
        <w:tblCellMar>
          <w:left w:w="0" w:type="dxa"/>
          <w:right w:w="0" w:type="dxa"/>
        </w:tblCellMar>
        <w:tblLook w:val="04A0" w:firstRow="1" w:lastRow="0" w:firstColumn="1" w:lastColumn="0" w:noHBand="0" w:noVBand="1"/>
      </w:tblPr>
      <w:tblGrid>
        <w:gridCol w:w="1276"/>
        <w:gridCol w:w="2126"/>
        <w:gridCol w:w="5954"/>
      </w:tblGrid>
      <w:tr w:rsidR="00103021" w:rsidRPr="00110318" w14:paraId="611B515B" w14:textId="77777777" w:rsidTr="00C914FD">
        <w:trPr>
          <w:tblHeader/>
        </w:trPr>
        <w:tc>
          <w:tcPr>
            <w:tcW w:w="1276" w:type="dxa"/>
            <w:tcBorders>
              <w:top w:val="single" w:sz="8" w:space="0" w:color="999999"/>
              <w:left w:val="single" w:sz="8" w:space="0" w:color="999999"/>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28C39F22" w14:textId="77777777" w:rsidR="00103021" w:rsidRPr="009C4E44" w:rsidRDefault="00103021" w:rsidP="0004309F">
            <w:pPr>
              <w:pStyle w:val="Normal1"/>
              <w:spacing w:line="240" w:lineRule="auto"/>
              <w:rPr>
                <w:b/>
                <w:color w:val="E7E6E6" w:themeColor="background2"/>
                <w:sz w:val="20"/>
                <w:szCs w:val="20"/>
                <w:lang w:val="en-US"/>
              </w:rPr>
            </w:pPr>
            <w:r w:rsidRPr="009C4E44">
              <w:rPr>
                <w:b/>
                <w:color w:val="E7E6E6" w:themeColor="background2"/>
                <w:sz w:val="20"/>
                <w:szCs w:val="20"/>
                <w:lang w:val="en-US"/>
              </w:rPr>
              <w:t>Version #</w:t>
            </w:r>
          </w:p>
        </w:tc>
        <w:tc>
          <w:tcPr>
            <w:tcW w:w="2126"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73BC9C9C" w14:textId="77777777" w:rsidR="00103021" w:rsidRPr="009C4E44" w:rsidRDefault="00103021" w:rsidP="0004309F">
            <w:pPr>
              <w:pStyle w:val="Normal1"/>
              <w:spacing w:line="240" w:lineRule="auto"/>
              <w:rPr>
                <w:b/>
                <w:color w:val="E7E6E6" w:themeColor="background2"/>
                <w:sz w:val="20"/>
                <w:szCs w:val="20"/>
                <w:lang w:val="en-US"/>
              </w:rPr>
            </w:pPr>
            <w:r w:rsidRPr="009C4E44">
              <w:rPr>
                <w:b/>
                <w:color w:val="E7E6E6" w:themeColor="background2"/>
                <w:sz w:val="20"/>
                <w:szCs w:val="20"/>
                <w:lang w:val="en-US"/>
              </w:rPr>
              <w:t>Date</w:t>
            </w:r>
          </w:p>
        </w:tc>
        <w:tc>
          <w:tcPr>
            <w:tcW w:w="5954"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25D114E5" w14:textId="77777777" w:rsidR="00103021" w:rsidRPr="009C4E44" w:rsidRDefault="00103021" w:rsidP="0004309F">
            <w:pPr>
              <w:pStyle w:val="Normal1"/>
              <w:spacing w:line="240" w:lineRule="auto"/>
              <w:rPr>
                <w:b/>
                <w:color w:val="E7E6E6" w:themeColor="background2"/>
                <w:sz w:val="20"/>
                <w:szCs w:val="20"/>
                <w:lang w:val="en-US"/>
              </w:rPr>
            </w:pPr>
            <w:r w:rsidRPr="009C4E44">
              <w:rPr>
                <w:b/>
                <w:color w:val="E7E6E6" w:themeColor="background2"/>
                <w:sz w:val="20"/>
                <w:szCs w:val="20"/>
                <w:lang w:val="en-US"/>
              </w:rPr>
              <w:t>Key changes</w:t>
            </w:r>
          </w:p>
        </w:tc>
      </w:tr>
      <w:tr w:rsidR="00103021" w14:paraId="559BE5FA" w14:textId="77777777" w:rsidTr="0004309F">
        <w:tc>
          <w:tcPr>
            <w:tcW w:w="127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700D0ACA" w14:textId="77777777" w:rsidR="00103021" w:rsidRDefault="00103021" w:rsidP="0004309F">
            <w:pPr>
              <w:pStyle w:val="Normal1"/>
              <w:spacing w:line="240" w:lineRule="auto"/>
              <w:rPr>
                <w:sz w:val="20"/>
                <w:szCs w:val="20"/>
                <w:lang w:val="en-US"/>
              </w:rPr>
            </w:pPr>
            <w:r>
              <w:rPr>
                <w:sz w:val="20"/>
                <w:szCs w:val="20"/>
                <w:lang w:val="en-US"/>
              </w:rPr>
              <w:t>1.0</w:t>
            </w:r>
          </w:p>
        </w:tc>
        <w:tc>
          <w:tcPr>
            <w:tcW w:w="2126" w:type="dxa"/>
            <w:tcBorders>
              <w:top w:val="nil"/>
              <w:left w:val="nil"/>
              <w:bottom w:val="single" w:sz="4" w:space="0" w:color="auto"/>
              <w:right w:val="single" w:sz="8" w:space="0" w:color="000000"/>
            </w:tcBorders>
            <w:tcMar>
              <w:top w:w="100" w:type="dxa"/>
              <w:left w:w="100" w:type="dxa"/>
              <w:bottom w:w="100" w:type="dxa"/>
              <w:right w:w="100" w:type="dxa"/>
            </w:tcMar>
          </w:tcPr>
          <w:p w14:paraId="3F63D574" w14:textId="77777777" w:rsidR="00103021" w:rsidRDefault="00103021" w:rsidP="0004309F">
            <w:pPr>
              <w:pStyle w:val="Normal1"/>
              <w:spacing w:line="240" w:lineRule="auto"/>
              <w:rPr>
                <w:sz w:val="20"/>
                <w:szCs w:val="20"/>
                <w:lang w:val="en-US"/>
              </w:rPr>
            </w:pPr>
            <w:r w:rsidRPr="00E05662">
              <w:rPr>
                <w:sz w:val="20"/>
                <w:szCs w:val="20"/>
              </w:rPr>
              <w:t xml:space="preserve">21 October </w:t>
            </w:r>
            <w:r w:rsidRPr="00E05662">
              <w:rPr>
                <w:sz w:val="20"/>
                <w:szCs w:val="20"/>
                <w:lang w:val="en-US"/>
              </w:rPr>
              <w:t>2016</w:t>
            </w:r>
          </w:p>
        </w:tc>
        <w:tc>
          <w:tcPr>
            <w:tcW w:w="5954" w:type="dxa"/>
            <w:tcBorders>
              <w:top w:val="nil"/>
              <w:left w:val="nil"/>
              <w:bottom w:val="single" w:sz="4" w:space="0" w:color="auto"/>
              <w:right w:val="single" w:sz="8" w:space="0" w:color="000000"/>
            </w:tcBorders>
            <w:tcMar>
              <w:top w:w="100" w:type="dxa"/>
              <w:left w:w="100" w:type="dxa"/>
              <w:bottom w:w="100" w:type="dxa"/>
              <w:right w:w="100" w:type="dxa"/>
            </w:tcMar>
          </w:tcPr>
          <w:p w14:paraId="74009688" w14:textId="77777777" w:rsidR="00103021" w:rsidRDefault="00103021" w:rsidP="0004309F">
            <w:pPr>
              <w:pStyle w:val="Normal1"/>
              <w:spacing w:line="240" w:lineRule="auto"/>
              <w:rPr>
                <w:sz w:val="20"/>
                <w:szCs w:val="20"/>
                <w:lang w:val="en-US"/>
              </w:rPr>
            </w:pPr>
            <w:r>
              <w:rPr>
                <w:sz w:val="20"/>
                <w:szCs w:val="20"/>
                <w:lang w:val="en-US"/>
              </w:rPr>
              <w:t>M</w:t>
            </w:r>
            <w:r w:rsidRPr="00A30291">
              <w:rPr>
                <w:sz w:val="20"/>
                <w:szCs w:val="20"/>
                <w:lang w:val="en-US"/>
              </w:rPr>
              <w:t>ade available as beta version for consultation.</w:t>
            </w:r>
            <w:r>
              <w:rPr>
                <w:sz w:val="20"/>
                <w:szCs w:val="20"/>
                <w:lang w:val="en-US"/>
              </w:rPr>
              <w:tab/>
            </w:r>
          </w:p>
        </w:tc>
      </w:tr>
      <w:tr w:rsidR="00103021" w14:paraId="5075236C" w14:textId="77777777" w:rsidTr="0004309F">
        <w:trPr>
          <w:trHeight w:val="287"/>
        </w:trPr>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8D28A5A" w14:textId="77777777" w:rsidR="00103021" w:rsidRDefault="00103021" w:rsidP="0004309F">
            <w:pPr>
              <w:pStyle w:val="Normal1"/>
              <w:spacing w:line="240" w:lineRule="auto"/>
              <w:rPr>
                <w:sz w:val="20"/>
                <w:szCs w:val="20"/>
                <w:lang w:val="en-US"/>
              </w:rPr>
            </w:pPr>
            <w:r>
              <w:rPr>
                <w:sz w:val="20"/>
                <w:szCs w:val="20"/>
                <w:lang w:val="en-US"/>
              </w:rPr>
              <w:t>1.1</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20127311" w14:textId="77777777" w:rsidR="00103021" w:rsidRPr="00E05662" w:rsidRDefault="00103021" w:rsidP="0004309F">
            <w:pPr>
              <w:pStyle w:val="Normal1"/>
              <w:spacing w:line="240" w:lineRule="auto"/>
              <w:rPr>
                <w:sz w:val="20"/>
                <w:szCs w:val="20"/>
              </w:rPr>
            </w:pPr>
            <w:r w:rsidRPr="0011504F">
              <w:rPr>
                <w:sz w:val="20"/>
                <w:szCs w:val="20"/>
              </w:rPr>
              <w:t>9 May 2017</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7ED51AE1" w14:textId="77777777" w:rsidR="00103021" w:rsidRDefault="00103021" w:rsidP="0004309F">
            <w:pPr>
              <w:pStyle w:val="Normal1"/>
              <w:spacing w:line="240" w:lineRule="auto"/>
              <w:rPr>
                <w:sz w:val="20"/>
                <w:szCs w:val="20"/>
                <w:lang w:val="en-US"/>
              </w:rPr>
            </w:pPr>
            <w:r>
              <w:rPr>
                <w:sz w:val="20"/>
                <w:szCs w:val="20"/>
                <w:lang w:val="en-US"/>
              </w:rPr>
              <w:t xml:space="preserve">Amended </w:t>
            </w:r>
            <w:proofErr w:type="gramStart"/>
            <w:r>
              <w:rPr>
                <w:sz w:val="20"/>
                <w:szCs w:val="20"/>
                <w:lang w:val="en-US"/>
              </w:rPr>
              <w:t>as a result of</w:t>
            </w:r>
            <w:proofErr w:type="gramEnd"/>
            <w:r>
              <w:rPr>
                <w:sz w:val="20"/>
                <w:szCs w:val="20"/>
                <w:lang w:val="en-US"/>
              </w:rPr>
              <w:t xml:space="preserve"> consultation feedback. </w:t>
            </w:r>
          </w:p>
        </w:tc>
      </w:tr>
      <w:tr w:rsidR="004E5E28" w14:paraId="01D2525A" w14:textId="77777777" w:rsidTr="0004309F">
        <w:trPr>
          <w:trHeight w:val="287"/>
        </w:trPr>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38DCBF7A" w14:textId="77777777" w:rsidR="004E5E28" w:rsidRDefault="004E5E28" w:rsidP="0004309F">
            <w:pPr>
              <w:pStyle w:val="Normal1"/>
              <w:spacing w:line="240" w:lineRule="auto"/>
              <w:rPr>
                <w:sz w:val="20"/>
                <w:szCs w:val="20"/>
                <w:lang w:val="en-US"/>
              </w:rPr>
            </w:pPr>
            <w:r>
              <w:rPr>
                <w:sz w:val="20"/>
                <w:szCs w:val="20"/>
                <w:lang w:val="en-US"/>
              </w:rPr>
              <w:t>1.2</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07AA6B9D" w14:textId="77777777" w:rsidR="004E5E28" w:rsidRPr="0011504F" w:rsidRDefault="00C37CC3" w:rsidP="0004309F">
            <w:pPr>
              <w:pStyle w:val="Normal1"/>
              <w:spacing w:line="240" w:lineRule="auto"/>
              <w:rPr>
                <w:sz w:val="20"/>
                <w:szCs w:val="20"/>
              </w:rPr>
            </w:pPr>
            <w:r>
              <w:rPr>
                <w:sz w:val="20"/>
                <w:szCs w:val="20"/>
                <w:lang w:val="en-US"/>
              </w:rPr>
              <w:t>11 October 2017</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2FEF13AB" w14:textId="77777777" w:rsidR="004E5E28" w:rsidRDefault="004E5E28" w:rsidP="0004309F">
            <w:pPr>
              <w:pStyle w:val="Normal1"/>
              <w:spacing w:line="240" w:lineRule="auto"/>
              <w:rPr>
                <w:sz w:val="20"/>
                <w:szCs w:val="20"/>
                <w:lang w:val="en-US"/>
              </w:rPr>
            </w:pPr>
            <w:r>
              <w:rPr>
                <w:sz w:val="20"/>
                <w:szCs w:val="20"/>
                <w:lang w:val="en-US"/>
              </w:rPr>
              <w:t>Amendment to ‘What will TEQSA look for?” text box.</w:t>
            </w:r>
          </w:p>
        </w:tc>
      </w:tr>
    </w:tbl>
    <w:p w14:paraId="7CAE0841" w14:textId="77777777" w:rsidR="00103021" w:rsidRPr="009D05E7" w:rsidRDefault="00103021" w:rsidP="00103021">
      <w:pPr>
        <w:pStyle w:val="Default"/>
      </w:pPr>
    </w:p>
    <w:p w14:paraId="3B7FA359" w14:textId="77777777" w:rsidR="006C328D" w:rsidRPr="00103021" w:rsidRDefault="006C328D" w:rsidP="00103021"/>
    <w:sectPr w:rsidR="006C328D" w:rsidRPr="00103021" w:rsidSect="00FF2540">
      <w:headerReference w:type="default" r:id="rId27"/>
      <w:footerReference w:type="default" r:id="rId28"/>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07162" w14:textId="77777777" w:rsidR="004D3A72" w:rsidRDefault="004D3A72" w:rsidP="006C328D">
      <w:pPr>
        <w:spacing w:before="0" w:after="0"/>
      </w:pPr>
      <w:r>
        <w:separator/>
      </w:r>
    </w:p>
  </w:endnote>
  <w:endnote w:type="continuationSeparator" w:id="0">
    <w:p w14:paraId="4592FF71" w14:textId="77777777" w:rsidR="004D3A72" w:rsidRDefault="004D3A72"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p w14:paraId="5092184A" w14:textId="77777777" w:rsidR="00FF2540" w:rsidRPr="00FF2540" w:rsidRDefault="00FF2540">
            <w:pPr>
              <w:pStyle w:val="Footer"/>
              <w:jc w:val="right"/>
              <w:rPr>
                <w:color w:val="00847E" w:themeColor="accent1"/>
                <w:sz w:val="20"/>
                <w:szCs w:val="20"/>
              </w:rPr>
            </w:pPr>
            <w:r w:rsidRPr="00FF2540">
              <w:rPr>
                <w:color w:val="00847E" w:themeColor="accent1"/>
                <w:sz w:val="20"/>
                <w:szCs w:val="20"/>
              </w:rPr>
              <w:t xml:space="preserve">Page </w:t>
            </w:r>
            <w:r w:rsidRPr="00FF2540">
              <w:rPr>
                <w:b/>
                <w:bCs/>
                <w:color w:val="00847E" w:themeColor="accent1"/>
                <w:sz w:val="20"/>
                <w:szCs w:val="20"/>
              </w:rPr>
              <w:fldChar w:fldCharType="begin"/>
            </w:r>
            <w:r w:rsidRPr="00FF2540">
              <w:rPr>
                <w:b/>
                <w:bCs/>
                <w:color w:val="00847E" w:themeColor="accent1"/>
                <w:sz w:val="20"/>
                <w:szCs w:val="20"/>
              </w:rPr>
              <w:instrText xml:space="preserve"> PAGE </w:instrText>
            </w:r>
            <w:r w:rsidRPr="00FF2540">
              <w:rPr>
                <w:b/>
                <w:bCs/>
                <w:color w:val="00847E" w:themeColor="accent1"/>
                <w:sz w:val="20"/>
                <w:szCs w:val="20"/>
              </w:rPr>
              <w:fldChar w:fldCharType="separate"/>
            </w:r>
            <w:r w:rsidR="006A1179">
              <w:rPr>
                <w:b/>
                <w:bCs/>
                <w:noProof/>
                <w:color w:val="00847E" w:themeColor="accent1"/>
                <w:sz w:val="20"/>
                <w:szCs w:val="20"/>
              </w:rPr>
              <w:t>7</w:t>
            </w:r>
            <w:r w:rsidRPr="00FF2540">
              <w:rPr>
                <w:b/>
                <w:bCs/>
                <w:color w:val="00847E" w:themeColor="accent1"/>
                <w:sz w:val="20"/>
                <w:szCs w:val="20"/>
              </w:rPr>
              <w:fldChar w:fldCharType="end"/>
            </w:r>
            <w:r w:rsidRPr="00FF2540">
              <w:rPr>
                <w:color w:val="00847E" w:themeColor="accent1"/>
                <w:sz w:val="20"/>
                <w:szCs w:val="20"/>
              </w:rPr>
              <w:t xml:space="preserve"> of </w:t>
            </w:r>
            <w:r w:rsidRPr="00FF2540">
              <w:rPr>
                <w:b/>
                <w:bCs/>
                <w:color w:val="00847E" w:themeColor="accent1"/>
                <w:sz w:val="20"/>
                <w:szCs w:val="20"/>
              </w:rPr>
              <w:fldChar w:fldCharType="begin"/>
            </w:r>
            <w:r w:rsidRPr="00FF2540">
              <w:rPr>
                <w:b/>
                <w:bCs/>
                <w:color w:val="00847E" w:themeColor="accent1"/>
                <w:sz w:val="20"/>
                <w:szCs w:val="20"/>
              </w:rPr>
              <w:instrText xml:space="preserve"> NUMPAGES  </w:instrText>
            </w:r>
            <w:r w:rsidRPr="00FF2540">
              <w:rPr>
                <w:b/>
                <w:bCs/>
                <w:color w:val="00847E" w:themeColor="accent1"/>
                <w:sz w:val="20"/>
                <w:szCs w:val="20"/>
              </w:rPr>
              <w:fldChar w:fldCharType="separate"/>
            </w:r>
            <w:r w:rsidR="006A1179">
              <w:rPr>
                <w:b/>
                <w:bCs/>
                <w:noProof/>
                <w:color w:val="00847E" w:themeColor="accent1"/>
                <w:sz w:val="20"/>
                <w:szCs w:val="20"/>
              </w:rPr>
              <w:t>9</w:t>
            </w:r>
            <w:r w:rsidRPr="00FF2540">
              <w:rPr>
                <w:b/>
                <w:bCs/>
                <w:color w:val="00847E" w:themeColor="accent1"/>
                <w:sz w:val="20"/>
                <w:szCs w:val="20"/>
              </w:rPr>
              <w:fldChar w:fldCharType="end"/>
            </w:r>
          </w:p>
        </w:sdtContent>
      </w:sdt>
    </w:sdtContent>
  </w:sdt>
  <w:p w14:paraId="0FBAA248" w14:textId="77777777" w:rsidR="00FF2540" w:rsidRDefault="00FF2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A4FF2" w14:textId="77777777" w:rsidR="004D3A72" w:rsidRDefault="004D3A72" w:rsidP="006C328D">
      <w:pPr>
        <w:spacing w:before="0" w:after="0"/>
      </w:pPr>
      <w:r>
        <w:separator/>
      </w:r>
    </w:p>
  </w:footnote>
  <w:footnote w:type="continuationSeparator" w:id="0">
    <w:p w14:paraId="705AD050" w14:textId="77777777" w:rsidR="004D3A72" w:rsidRDefault="004D3A72" w:rsidP="006C328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23082" w14:textId="77777777" w:rsidR="006C328D" w:rsidRPr="006C328D" w:rsidRDefault="006C328D"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t xml:space="preserve"> </w:t>
    </w:r>
    <w:r>
      <w:rPr>
        <w:rFonts w:ascii="Georgia" w:hAnsi="Georgia" w:cs="Arial"/>
        <w:b/>
        <w:noProof/>
        <w:color w:val="004855"/>
        <w:sz w:val="28"/>
        <w:szCs w:val="28"/>
        <w:lang w:eastAsia="en-AU"/>
      </w:rPr>
      <w:drawing>
        <wp:inline distT="0" distB="0" distL="0" distR="0" wp14:anchorId="197B1DC7" wp14:editId="23322327">
          <wp:extent cx="3228975" cy="476067"/>
          <wp:effectExtent l="0" t="0" r="0" b="635"/>
          <wp:docPr id="7" name="Picture 7"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Pr>
        <w:rFonts w:ascii="Georgia" w:hAnsi="Georgia" w:cs="Arial"/>
        <w:b/>
        <w:noProof/>
        <w:color w:val="004855"/>
        <w:sz w:val="28"/>
        <w:szCs w:val="28"/>
        <w:lang w:eastAsia="en-AU"/>
      </w:rPr>
      <w:tab/>
    </w:r>
    <w:r>
      <w:rPr>
        <w:rFonts w:ascii="Georgia" w:hAnsi="Georgia" w:cs="Arial"/>
        <w:b/>
        <w:noProof/>
        <w:color w:val="004855"/>
        <w:sz w:val="28"/>
        <w:szCs w:val="28"/>
        <w:lang w:eastAsia="en-AU"/>
      </w:rPr>
      <w:drawing>
        <wp:inline distT="0" distB="0" distL="0" distR="0" wp14:anchorId="557B4A10" wp14:editId="75D518CF">
          <wp:extent cx="1428750" cy="353174"/>
          <wp:effectExtent l="0" t="0" r="0" b="8890"/>
          <wp:docPr id="8" name="Picture 8" descr="I:\Corporate\Communications\Logos\2017 New Brand Logo\Wordmark\PNG\TEQSA-WM-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Communications\Logos\2017 New Brand Logo\Wordmark\PNG\TEQSA-WM-te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107" cy="3532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in;height:36pt" o:bullet="t">
        <v:imagedata r:id="rId1" o:title="Teal-Triangles"/>
      </v:shape>
    </w:pict>
  </w:numPicBullet>
  <w:numPicBullet w:numPicBulletId="1">
    <w:pict>
      <v:shape id="_x0000_i1054" type="#_x0000_t75" style="width:1in;height:36pt" o:bullet="t">
        <v:imagedata r:id="rId2" o:title="Pink-Triangles"/>
      </v:shape>
    </w:pict>
  </w:numPicBullet>
  <w:numPicBullet w:numPicBulletId="2">
    <w:pict>
      <v:shape id="_x0000_i1055" type="#_x0000_t75" style="width:1in;height:36pt" o:bullet="t">
        <v:imagedata r:id="rId3" o:title="Yellow-Triangles"/>
      </v:shape>
    </w:pict>
  </w:numPicBullet>
  <w:abstractNum w:abstractNumId="0" w15:restartNumberingAfterBreak="0">
    <w:nsid w:val="21643B93"/>
    <w:multiLevelType w:val="hybridMultilevel"/>
    <w:tmpl w:val="79CE3B7E"/>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03239D6"/>
    <w:multiLevelType w:val="hybridMultilevel"/>
    <w:tmpl w:val="312CE2BA"/>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3A6324B4"/>
    <w:multiLevelType w:val="hybridMultilevel"/>
    <w:tmpl w:val="AC70CCD8"/>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A67723"/>
    <w:multiLevelType w:val="hybridMultilevel"/>
    <w:tmpl w:val="717ACA64"/>
    <w:lvl w:ilvl="0" w:tplc="50427060">
      <w:start w:val="1"/>
      <w:numFmt w:val="decimal"/>
      <w:lvlText w:val="2.2.%1"/>
      <w:lvlJc w:val="left"/>
      <w:pPr>
        <w:ind w:left="720" w:hanging="360"/>
      </w:pPr>
      <w:rPr>
        <w:rFonts w:hint="default"/>
        <w:color w:val="00485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DC05A79"/>
    <w:multiLevelType w:val="hybridMultilevel"/>
    <w:tmpl w:val="1ACA07E2"/>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E07276"/>
    <w:multiLevelType w:val="hybridMultilevel"/>
    <w:tmpl w:val="D8E43270"/>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561EE7"/>
    <w:multiLevelType w:val="hybridMultilevel"/>
    <w:tmpl w:val="96FCB504"/>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7F0630"/>
    <w:multiLevelType w:val="hybridMultilevel"/>
    <w:tmpl w:val="FBE89D9E"/>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8" w15:restartNumberingAfterBreak="0">
    <w:nsid w:val="7A7D5FFE"/>
    <w:multiLevelType w:val="hybridMultilevel"/>
    <w:tmpl w:val="D930A132"/>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9"/>
  </w:num>
  <w:num w:numId="2">
    <w:abstractNumId w:val="17"/>
  </w:num>
  <w:num w:numId="3">
    <w:abstractNumId w:val="5"/>
  </w:num>
  <w:num w:numId="4">
    <w:abstractNumId w:val="12"/>
  </w:num>
  <w:num w:numId="5">
    <w:abstractNumId w:val="11"/>
  </w:num>
  <w:num w:numId="6">
    <w:abstractNumId w:val="9"/>
  </w:num>
  <w:num w:numId="7">
    <w:abstractNumId w:val="1"/>
  </w:num>
  <w:num w:numId="8">
    <w:abstractNumId w:val="2"/>
  </w:num>
  <w:num w:numId="9">
    <w:abstractNumId w:val="3"/>
  </w:num>
  <w:num w:numId="10">
    <w:abstractNumId w:val="10"/>
  </w:num>
  <w:num w:numId="11">
    <w:abstractNumId w:val="7"/>
  </w:num>
  <w:num w:numId="12">
    <w:abstractNumId w:val="8"/>
  </w:num>
  <w:num w:numId="13">
    <w:abstractNumId w:val="16"/>
  </w:num>
  <w:num w:numId="14">
    <w:abstractNumId w:val="13"/>
  </w:num>
  <w:num w:numId="15">
    <w:abstractNumId w:val="18"/>
  </w:num>
  <w:num w:numId="16">
    <w:abstractNumId w:val="15"/>
  </w:num>
  <w:num w:numId="17">
    <w:abstractNumId w:val="4"/>
  </w:num>
  <w:num w:numId="18">
    <w:abstractNumId w:val="6"/>
  </w:num>
  <w:num w:numId="19">
    <w:abstractNumId w:val="14"/>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328D"/>
    <w:rsid w:val="000474E0"/>
    <w:rsid w:val="00103021"/>
    <w:rsid w:val="001F39F5"/>
    <w:rsid w:val="004D3A72"/>
    <w:rsid w:val="004E5E28"/>
    <w:rsid w:val="005B458E"/>
    <w:rsid w:val="006601DB"/>
    <w:rsid w:val="006A1179"/>
    <w:rsid w:val="006B4636"/>
    <w:rsid w:val="006C328D"/>
    <w:rsid w:val="007B01C8"/>
    <w:rsid w:val="007F78F7"/>
    <w:rsid w:val="009B769E"/>
    <w:rsid w:val="00AC15A2"/>
    <w:rsid w:val="00C37CC3"/>
    <w:rsid w:val="00C914FD"/>
    <w:rsid w:val="00D66867"/>
    <w:rsid w:val="00F2443D"/>
    <w:rsid w:val="00FF2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874E6"/>
  <w15:docId w15:val="{4C46624E-2DF0-4980-8779-F41D1447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58E"/>
  </w:style>
  <w:style w:type="paragraph" w:styleId="Heading1">
    <w:name w:val="heading 1"/>
    <w:basedOn w:val="Normal"/>
    <w:next w:val="Normal"/>
    <w:link w:val="Heading1Char"/>
    <w:uiPriority w:val="9"/>
    <w:qFormat/>
    <w:rsid w:val="005B458E"/>
    <w:pPr>
      <w:keepNext/>
      <w:keepLines/>
      <w:pageBreakBefore/>
      <w:spacing w:before="0" w:after="1800" w:line="540" w:lineRule="atLeast"/>
      <w:outlineLvl w:val="0"/>
    </w:pPr>
    <w:rPr>
      <w:rFonts w:asciiTheme="majorHAnsi" w:eastAsiaTheme="majorEastAsia" w:hAnsiTheme="majorHAnsi" w:cstheme="majorBidi"/>
      <w:b/>
      <w:color w:val="00847E" w:themeColor="accent1"/>
      <w:sz w:val="48"/>
      <w:szCs w:val="3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3"/>
      </w:numPr>
    </w:pPr>
  </w:style>
  <w:style w:type="paragraph" w:customStyle="1" w:styleId="Bullet2">
    <w:name w:val="Bullet 2"/>
    <w:basedOn w:val="Normal"/>
    <w:uiPriority w:val="2"/>
    <w:qFormat/>
    <w:rsid w:val="005B458E"/>
    <w:pPr>
      <w:numPr>
        <w:ilvl w:val="1"/>
        <w:numId w:val="3"/>
      </w:numPr>
    </w:pPr>
  </w:style>
  <w:style w:type="paragraph" w:customStyle="1" w:styleId="Bullet3">
    <w:name w:val="Bullet 3"/>
    <w:basedOn w:val="Normal"/>
    <w:uiPriority w:val="2"/>
    <w:qFormat/>
    <w:rsid w:val="005B458E"/>
    <w:pPr>
      <w:numPr>
        <w:ilvl w:val="2"/>
        <w:numId w:val="3"/>
      </w:numPr>
    </w:pPr>
  </w:style>
  <w:style w:type="paragraph" w:customStyle="1" w:styleId="FigureTitle">
    <w:name w:val="Figure Title"/>
    <w:basedOn w:val="Normal"/>
    <w:uiPriority w:val="12"/>
    <w:qFormat/>
    <w:rsid w:val="005B458E"/>
    <w:pPr>
      <w:keepNext/>
      <w:numPr>
        <w:numId w:val="4"/>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5"/>
      </w:numPr>
    </w:pPr>
  </w:style>
  <w:style w:type="character" w:customStyle="1" w:styleId="Heading1Char">
    <w:name w:val="Heading 1 Char"/>
    <w:basedOn w:val="DefaultParagraphFont"/>
    <w:link w:val="Heading1"/>
    <w:uiPriority w:val="9"/>
    <w:rsid w:val="005B458E"/>
    <w:rPr>
      <w:rFonts w:asciiTheme="majorHAnsi" w:eastAsiaTheme="majorEastAsia" w:hAnsiTheme="majorHAnsi" w:cstheme="majorBidi"/>
      <w:b/>
      <w:color w:val="00847E" w:themeColor="accent1"/>
      <w:sz w:val="48"/>
      <w:szCs w:val="32"/>
    </w:rPr>
  </w:style>
  <w:style w:type="paragraph" w:customStyle="1" w:styleId="Heading2Numbered">
    <w:name w:val="Heading 2 Numbered"/>
    <w:basedOn w:val="Heading2"/>
    <w:uiPriority w:val="10"/>
    <w:qFormat/>
    <w:rsid w:val="005B458E"/>
    <w:pPr>
      <w:numPr>
        <w:ilvl w:val="1"/>
        <w:numId w:val="5"/>
      </w:numPr>
    </w:pPr>
  </w:style>
  <w:style w:type="paragraph" w:customStyle="1" w:styleId="Heading3Numbered">
    <w:name w:val="Heading 3 Numbered"/>
    <w:basedOn w:val="Heading3"/>
    <w:uiPriority w:val="10"/>
    <w:qFormat/>
    <w:rsid w:val="005B458E"/>
    <w:pPr>
      <w:numPr>
        <w:ilvl w:val="2"/>
        <w:numId w:val="5"/>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5"/>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5"/>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5"/>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5"/>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6"/>
      </w:numPr>
    </w:pPr>
  </w:style>
  <w:style w:type="paragraph" w:customStyle="1" w:styleId="List1Numbered2">
    <w:name w:val="List 1 Numbered 2"/>
    <w:basedOn w:val="Normal"/>
    <w:uiPriority w:val="2"/>
    <w:qFormat/>
    <w:rsid w:val="005B458E"/>
    <w:pPr>
      <w:numPr>
        <w:ilvl w:val="1"/>
        <w:numId w:val="6"/>
      </w:numPr>
    </w:pPr>
  </w:style>
  <w:style w:type="paragraph" w:customStyle="1" w:styleId="List1Numbered3">
    <w:name w:val="List 1 Numbered 3"/>
    <w:basedOn w:val="Normal"/>
    <w:uiPriority w:val="2"/>
    <w:qFormat/>
    <w:rsid w:val="005B458E"/>
    <w:pPr>
      <w:numPr>
        <w:ilvl w:val="2"/>
        <w:numId w:val="6"/>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7"/>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8"/>
      </w:numPr>
    </w:pPr>
  </w:style>
  <w:style w:type="paragraph" w:customStyle="1" w:styleId="TableTitle">
    <w:name w:val="Table Title"/>
    <w:basedOn w:val="FigureTitle"/>
    <w:uiPriority w:val="12"/>
    <w:qFormat/>
    <w:rsid w:val="005B458E"/>
    <w:pPr>
      <w:numPr>
        <w:numId w:val="9"/>
      </w:numPr>
    </w:pPr>
  </w:style>
  <w:style w:type="paragraph" w:customStyle="1" w:styleId="PullOut-Pink">
    <w:name w:val="Pull Out - Pink"/>
    <w:basedOn w:val="PullOut-Teal"/>
    <w:uiPriority w:val="22"/>
    <w:qFormat/>
    <w:rsid w:val="005B458E"/>
    <w:pPr>
      <w:numPr>
        <w:numId w:val="10"/>
      </w:numPr>
    </w:pPr>
  </w:style>
  <w:style w:type="paragraph" w:customStyle="1" w:styleId="PullOut-Yellow">
    <w:name w:val="Pull Out - Yellow"/>
    <w:basedOn w:val="PullOut-Teal"/>
    <w:qFormat/>
    <w:rsid w:val="005B458E"/>
    <w:pPr>
      <w:numPr>
        <w:numId w:val="11"/>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customStyle="1" w:styleId="BulletsL2">
    <w:name w:val="Bullets L2"/>
    <w:basedOn w:val="Normal"/>
    <w:link w:val="BulletsL2Char"/>
    <w:qFormat/>
    <w:rsid w:val="00103021"/>
    <w:pPr>
      <w:spacing w:before="40" w:line="280" w:lineRule="exact"/>
    </w:pPr>
    <w:rPr>
      <w:rFonts w:ascii="Arial" w:hAnsi="Arial"/>
      <w:color w:val="auto"/>
      <w:lang w:val="en-US"/>
    </w:rPr>
  </w:style>
  <w:style w:type="character" w:customStyle="1" w:styleId="BulletsL2Char">
    <w:name w:val="Bullets L2 Char"/>
    <w:basedOn w:val="DefaultParagraphFont"/>
    <w:link w:val="BulletsL2"/>
    <w:rsid w:val="00103021"/>
    <w:rPr>
      <w:rFonts w:ascii="Arial" w:hAnsi="Arial"/>
      <w:color w:val="auto"/>
      <w:lang w:val="en-US"/>
    </w:rPr>
  </w:style>
  <w:style w:type="character" w:styleId="Hyperlink">
    <w:name w:val="Hyperlink"/>
    <w:basedOn w:val="DefaultParagraphFont"/>
    <w:uiPriority w:val="99"/>
    <w:unhideWhenUsed/>
    <w:rsid w:val="00103021"/>
    <w:rPr>
      <w:color w:val="00847E" w:themeColor="hyperlink"/>
      <w:u w:val="single"/>
    </w:rPr>
  </w:style>
  <w:style w:type="paragraph" w:customStyle="1" w:styleId="Default">
    <w:name w:val="Default"/>
    <w:rsid w:val="00103021"/>
    <w:pPr>
      <w:autoSpaceDE w:val="0"/>
      <w:autoSpaceDN w:val="0"/>
      <w:adjustRightInd w:val="0"/>
      <w:spacing w:before="0" w:after="0"/>
    </w:pPr>
    <w:rPr>
      <w:rFonts w:ascii="Calibri" w:hAnsi="Calibri" w:cs="Calibri"/>
      <w:color w:val="000000"/>
      <w:sz w:val="24"/>
      <w:szCs w:val="24"/>
      <w:lang w:val="en-US"/>
    </w:rPr>
  </w:style>
  <w:style w:type="paragraph" w:customStyle="1" w:styleId="Normal1">
    <w:name w:val="Normal1"/>
    <w:basedOn w:val="Normal"/>
    <w:rsid w:val="00103021"/>
    <w:pPr>
      <w:spacing w:before="0" w:after="0" w:line="276" w:lineRule="auto"/>
    </w:pPr>
    <w:rPr>
      <w:rFonts w:ascii="Arial" w:hAnsi="Arial" w:cs="Arial"/>
      <w:color w:val="000000"/>
    </w:rPr>
  </w:style>
  <w:style w:type="character" w:styleId="SubtleEmphasis">
    <w:name w:val="Subtle Emphasis"/>
    <w:basedOn w:val="DefaultParagraphFont"/>
    <w:uiPriority w:val="19"/>
    <w:qFormat/>
    <w:rsid w:val="00C914FD"/>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au/" TargetMode="External"/><Relationship Id="rId18" Type="http://schemas.openxmlformats.org/officeDocument/2006/relationships/hyperlink" Target="https://www.legislation.gov.au/" TargetMode="External"/><Relationship Id="rId26" Type="http://schemas.openxmlformats.org/officeDocument/2006/relationships/hyperlink" Target="http://www.austlii.edu.au/" TargetMode="External"/><Relationship Id="rId3" Type="http://schemas.openxmlformats.org/officeDocument/2006/relationships/customXml" Target="../customXml/item3.xml"/><Relationship Id="rId21" Type="http://schemas.openxmlformats.org/officeDocument/2006/relationships/hyperlink" Target="https://www.education.gov.au/higher-education-participation-and-partnerships-programme-heppp" TargetMode="External"/><Relationship Id="rId7" Type="http://schemas.openxmlformats.org/officeDocument/2006/relationships/webSettings" Target="webSettings.xml"/><Relationship Id="rId12" Type="http://schemas.openxmlformats.org/officeDocument/2006/relationships/hyperlink" Target="https://www.legislation.gov.au/" TargetMode="External"/><Relationship Id="rId17" Type="http://schemas.openxmlformats.org/officeDocument/2006/relationships/hyperlink" Target="https://www.legislation.gov.au/" TargetMode="External"/><Relationship Id="rId25" Type="http://schemas.openxmlformats.org/officeDocument/2006/relationships/hyperlink" Target="http://www.teqsa.gov.au/explanations-hes-framework-terms" TargetMode="External"/><Relationship Id="rId2" Type="http://schemas.openxmlformats.org/officeDocument/2006/relationships/customXml" Target="../customXml/item2.xml"/><Relationship Id="rId16" Type="http://schemas.openxmlformats.org/officeDocument/2006/relationships/hyperlink" Target="https://www.legislation.gov.au/" TargetMode="External"/><Relationship Id="rId20" Type="http://schemas.openxmlformats.org/officeDocument/2006/relationships/hyperlink" Target="http://www.aihw.gov.au/WorkArea/DownloadAsset.aspx?id=6012954795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 TargetMode="External"/><Relationship Id="rId24" Type="http://schemas.openxmlformats.org/officeDocument/2006/relationships/hyperlink" Target="https://www.ncsehe.edu.au/wp-content/uploads/2014/11/Draft_Equity_Performance_Framework_Report_V1.6.pdf" TargetMode="External"/><Relationship Id="rId5" Type="http://schemas.openxmlformats.org/officeDocument/2006/relationships/styles" Target="styles.xml"/><Relationship Id="rId15" Type="http://schemas.openxmlformats.org/officeDocument/2006/relationships/hyperlink" Target="https://docs.education.gov.au/documents/final-report-2015-review-disability-standards-education-2005" TargetMode="External"/><Relationship Id="rId23" Type="http://schemas.openxmlformats.org/officeDocument/2006/relationships/hyperlink" Target="http://www.nea.org/tools/diversity-toolkit-introduction.html" TargetMode="External"/><Relationship Id="rId28" Type="http://schemas.openxmlformats.org/officeDocument/2006/relationships/footer" Target="footer1.xml"/><Relationship Id="rId10" Type="http://schemas.openxmlformats.org/officeDocument/2006/relationships/hyperlink" Target="https://www.education.gov.au/higher-education-participation-and-partnerships-programme-heppp" TargetMode="External"/><Relationship Id="rId19" Type="http://schemas.openxmlformats.org/officeDocument/2006/relationships/hyperlink" Target="https://www.humanrights.gov.au/employers/good-practice-good-business-factsheets/quick-guide-australian-discrimination-law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ucation.gov.au/disability-standards-education" TargetMode="External"/><Relationship Id="rId22" Type="http://schemas.openxmlformats.org/officeDocument/2006/relationships/hyperlink" Target="https://www.ncsehe.edu.au/research/research-reports/"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45</Value>
    </TaxCatchAll>
    <DocumentOwner xmlns="c7dac4e8-3feb-44f4-96ca-b86e7c14d0f6">
      <UserInfo>
        <DisplayName>Treloar, Karen</DisplayName>
        <AccountId>397</AccountId>
        <AccountType/>
      </UserInfo>
    </DocumentOwner>
    <DatePublished xmlns="c7dac4e8-3feb-44f4-96ca-b86e7c14d0f6">2017-08-06T14:00:00+00:00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Comms and International</TermName>
          <TermId xmlns="http://schemas.microsoft.com/office/infopath/2007/PartnerControls">f1db5572-7306-443e-a442-d56c9f2c52d1</TermId>
        </TermInfo>
      </Terms>
    </e6aacab2b3734039bc8633068afcfbf5>
  </documentManagement>
</p:properties>
</file>

<file path=customXml/item3.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614D6-DA47-4A88-BB0E-7C89098DA12E}">
  <ds:schemaRefs>
    <ds:schemaRef ds:uri="http://schemas.microsoft.com/sharepoint/v3/contenttype/forms"/>
  </ds:schemaRefs>
</ds:datastoreItem>
</file>

<file path=customXml/itemProps2.xml><?xml version="1.0" encoding="utf-8"?>
<ds:datastoreItem xmlns:ds="http://schemas.openxmlformats.org/officeDocument/2006/customXml" ds:itemID="{A82E1C12-8773-409A-B29D-4FC4E6BF5F01}">
  <ds:schemaRefs>
    <ds:schemaRef ds:uri="http://schemas.microsoft.com/office/2006/metadata/properties"/>
    <ds:schemaRef ds:uri="http://schemas.microsoft.com/office/infopath/2007/PartnerControls"/>
    <ds:schemaRef ds:uri="c7dac4e8-3feb-44f4-96ca-b86e7c14d0f6"/>
  </ds:schemaRefs>
</ds:datastoreItem>
</file>

<file path=customXml/itemProps3.xml><?xml version="1.0" encoding="utf-8"?>
<ds:datastoreItem xmlns:ds="http://schemas.openxmlformats.org/officeDocument/2006/customXml" ds:itemID="{B0E73932-8B59-49A4-AA6D-1679CC7BA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3294</Words>
  <Characters>18778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Guidance Note: Diversity and Equity</vt:lpstr>
    </vt:vector>
  </TitlesOfParts>
  <Company>Tertiary Education Quality and Standards Agency</Company>
  <LinksUpToDate>false</LinksUpToDate>
  <CharactersWithSpaces>22028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Diversity and Equity</dc:title>
  <dc:creator>May, Raphael</dc:creator>
  <cp:lastModifiedBy>Hewitt-McManus, Tom</cp:lastModifiedBy>
  <cp:revision>12</cp:revision>
  <cp:lastPrinted>2017-10-11T01:07:00Z</cp:lastPrinted>
  <dcterms:created xsi:type="dcterms:W3CDTF">2017-09-25T04:29:00Z</dcterms:created>
  <dcterms:modified xsi:type="dcterms:W3CDTF">2021-12-16T01:40:00Z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45;#Comms and International|f1db5572-7306-443e-a442-d56c9f2c52d1</vt:lpwstr>
  </property>
</Properties>
</file>