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5EB0" w14:textId="4BC46669" w:rsidR="00C50DC2" w:rsidRDefault="00C50DC2" w:rsidP="000B00F7">
      <w:pPr>
        <w:rPr>
          <w:i/>
          <w:color w:val="808080" w:themeColor="background1" w:themeShade="80"/>
        </w:rPr>
      </w:pPr>
      <w:r>
        <w:rPr>
          <w:i/>
          <w:noProof/>
          <w:color w:val="808080" w:themeColor="background1" w:themeShade="80"/>
        </w:rPr>
        <w:drawing>
          <wp:inline distT="0" distB="0" distL="0" distR="0" wp14:anchorId="4899A2F0" wp14:editId="5B68A6EE">
            <wp:extent cx="5777292" cy="2105025"/>
            <wp:effectExtent l="0" t="0" r="0" b="0"/>
            <wp:docPr id="1" name="Picture 1" descr="Banner with the text: Guidance Note: Admissions (cours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nner with the text: Guidance Note: Admissions (coursework)"/>
                    <pic:cNvPicPr/>
                  </pic:nvPicPr>
                  <pic:blipFill>
                    <a:blip r:embed="rId11">
                      <a:extLst>
                        <a:ext uri="{28A0092B-C50C-407E-A947-70E740481C1C}">
                          <a14:useLocalDpi xmlns:a14="http://schemas.microsoft.com/office/drawing/2010/main" val="0"/>
                        </a:ext>
                      </a:extLst>
                    </a:blip>
                    <a:stretch>
                      <a:fillRect/>
                    </a:stretch>
                  </pic:blipFill>
                  <pic:spPr>
                    <a:xfrm>
                      <a:off x="0" y="0"/>
                      <a:ext cx="5794039" cy="2111127"/>
                    </a:xfrm>
                    <a:prstGeom prst="rect">
                      <a:avLst/>
                    </a:prstGeom>
                  </pic:spPr>
                </pic:pic>
              </a:graphicData>
            </a:graphic>
          </wp:inline>
        </w:drawing>
      </w:r>
    </w:p>
    <w:p w14:paraId="6D6F860E" w14:textId="3D3E2125" w:rsidR="000B00F7" w:rsidRDefault="008D5BEB" w:rsidP="000B00F7">
      <w:pPr>
        <w:rPr>
          <w:i/>
          <w:color w:val="808080" w:themeColor="background1" w:themeShade="80"/>
        </w:rPr>
      </w:pPr>
      <w:r w:rsidRPr="00C50DC2">
        <w:rPr>
          <w:i/>
          <w:color w:val="808080" w:themeColor="background1" w:themeShade="80"/>
        </w:rPr>
        <w:t xml:space="preserve">Version </w:t>
      </w:r>
      <w:r w:rsidR="0043614A" w:rsidRPr="00C50DC2">
        <w:rPr>
          <w:i/>
          <w:color w:val="808080" w:themeColor="background1" w:themeShade="80"/>
        </w:rPr>
        <w:t>2.</w:t>
      </w:r>
      <w:r w:rsidR="001709C9" w:rsidRPr="00C50DC2">
        <w:rPr>
          <w:i/>
          <w:color w:val="808080" w:themeColor="background1" w:themeShade="80"/>
        </w:rPr>
        <w:t>0</w:t>
      </w:r>
      <w:r w:rsidR="005F1001" w:rsidRPr="00C50DC2">
        <w:rPr>
          <w:i/>
          <w:color w:val="808080" w:themeColor="background1" w:themeShade="80"/>
        </w:rPr>
        <w:t xml:space="preserve"> (</w:t>
      </w:r>
      <w:r w:rsidR="00C50DC2" w:rsidRPr="00C50DC2">
        <w:rPr>
          <w:i/>
          <w:color w:val="808080" w:themeColor="background1" w:themeShade="80"/>
        </w:rPr>
        <w:t>4</w:t>
      </w:r>
      <w:r w:rsidR="00723529" w:rsidRPr="00C50DC2">
        <w:rPr>
          <w:i/>
          <w:color w:val="808080" w:themeColor="background1" w:themeShade="80"/>
        </w:rPr>
        <w:t xml:space="preserve"> </w:t>
      </w:r>
      <w:r w:rsidR="00C50DC2" w:rsidRPr="00C50DC2">
        <w:rPr>
          <w:i/>
          <w:color w:val="808080" w:themeColor="background1" w:themeShade="80"/>
        </w:rPr>
        <w:t>May</w:t>
      </w:r>
      <w:r w:rsidR="00723529" w:rsidRPr="00C50DC2">
        <w:rPr>
          <w:i/>
          <w:color w:val="808080" w:themeColor="background1" w:themeShade="80"/>
        </w:rPr>
        <w:t xml:space="preserve"> </w:t>
      </w:r>
      <w:r w:rsidRPr="00C50DC2">
        <w:rPr>
          <w:i/>
          <w:color w:val="808080" w:themeColor="background1" w:themeShade="80"/>
        </w:rPr>
        <w:t>202</w:t>
      </w:r>
      <w:r w:rsidR="00B37BF4" w:rsidRPr="00C50DC2">
        <w:rPr>
          <w:i/>
          <w:color w:val="808080" w:themeColor="background1" w:themeShade="80"/>
        </w:rPr>
        <w:t>2</w:t>
      </w:r>
      <w:r w:rsidR="005F1001" w:rsidRPr="00C50DC2">
        <w:rPr>
          <w:i/>
          <w:color w:val="808080" w:themeColor="background1" w:themeShade="80"/>
        </w:rPr>
        <w:t>)</w:t>
      </w:r>
    </w:p>
    <w:p w14:paraId="1299A40B" w14:textId="71227313" w:rsidR="00FB06FF" w:rsidRPr="00D22365" w:rsidRDefault="00FB06FF" w:rsidP="00BB2631">
      <w:pPr>
        <w:pBdr>
          <w:top w:val="single" w:sz="4" w:space="1" w:color="004E7D"/>
          <w:left w:val="single" w:sz="4" w:space="4" w:color="004E7D"/>
          <w:bottom w:val="single" w:sz="4" w:space="1" w:color="004E7D"/>
          <w:right w:val="single" w:sz="4" w:space="4" w:color="004E7D"/>
        </w:pBdr>
        <w:shd w:val="clear" w:color="auto" w:fill="004E7D"/>
        <w:spacing w:line="276" w:lineRule="auto"/>
        <w:rPr>
          <w:i/>
          <w:iCs/>
          <w:noProof/>
        </w:rPr>
      </w:pPr>
      <w:r w:rsidRPr="00BB2631">
        <w:rPr>
          <w:rStyle w:val="SubtleEmphasis"/>
          <w:noProof/>
          <w:color w:val="FFFFFF" w:themeColor="background1"/>
        </w:rPr>
        <w:t xml:space="preserve">Providers should note that </w:t>
      </w:r>
      <w:r w:rsidR="002B278D" w:rsidRPr="00BB2631">
        <w:rPr>
          <w:rStyle w:val="SubtleEmphasis"/>
          <w:noProof/>
          <w:color w:val="FFFFFF" w:themeColor="background1"/>
        </w:rPr>
        <w:t>g</w:t>
      </w:r>
      <w:r w:rsidR="00C97DD4" w:rsidRPr="00BB2631">
        <w:rPr>
          <w:rStyle w:val="SubtleEmphasis"/>
          <w:noProof/>
          <w:color w:val="FFFFFF" w:themeColor="background1"/>
        </w:rPr>
        <w:t>uidance notes</w:t>
      </w:r>
      <w:r w:rsidR="006B7772" w:rsidRPr="00BB2631">
        <w:rPr>
          <w:rStyle w:val="SubtleEmphasis"/>
          <w:noProof/>
          <w:color w:val="FFFFFF" w:themeColor="background1"/>
        </w:rPr>
        <w:t xml:space="preserve"> </w:t>
      </w:r>
      <w:r w:rsidRPr="00BB2631">
        <w:rPr>
          <w:rStyle w:val="SubtleEmphasis"/>
          <w:noProof/>
          <w:color w:val="FFFFFF" w:themeColor="background1"/>
        </w:rPr>
        <w:t>are intended to provide guidance only. The definitive instruments for regulatory purposes remain the TEQSA Act and the Higher Education Standards Framework as amended from time to time.</w:t>
      </w:r>
    </w:p>
    <w:p w14:paraId="6A18B002" w14:textId="4BFB0521" w:rsidR="000B00F7" w:rsidRPr="000B00F7" w:rsidRDefault="00FB06FF" w:rsidP="002B278D">
      <w:pPr>
        <w:pStyle w:val="Heading2"/>
        <w:numPr>
          <w:ilvl w:val="0"/>
          <w:numId w:val="40"/>
        </w:numPr>
        <w:ind w:left="720"/>
      </w:pPr>
      <w:r>
        <w:t xml:space="preserve">What does admissions (coursework) encompass? </w:t>
      </w:r>
    </w:p>
    <w:p w14:paraId="3440DBC1" w14:textId="5A352958" w:rsidR="00AA127C" w:rsidRDefault="00AA127C" w:rsidP="00077B96">
      <w:r>
        <w:t xml:space="preserve">The </w:t>
      </w:r>
      <w:r w:rsidRPr="0030666F">
        <w:rPr>
          <w:i/>
          <w:iCs/>
        </w:rPr>
        <w:t>Higher Education Standards Framework (Threshold Standards) 2021</w:t>
      </w:r>
      <w:r w:rsidRPr="000611A5">
        <w:t xml:space="preserve"> (HES Framework)</w:t>
      </w:r>
      <w:r>
        <w:t xml:space="preserve"> sets out the admissions standards for all registered higher education providers. T</w:t>
      </w:r>
      <w:r w:rsidRPr="000611A5">
        <w:t xml:space="preserve">he </w:t>
      </w:r>
      <w:r w:rsidRPr="0030666F">
        <w:rPr>
          <w:i/>
          <w:iCs/>
        </w:rPr>
        <w:t>National Code of Practice for Providers of Education and Training to Overseas Students 2018</w:t>
      </w:r>
      <w:r w:rsidRPr="000611A5">
        <w:t xml:space="preserve"> (National Code)</w:t>
      </w:r>
      <w:r>
        <w:t xml:space="preserve"> includes admissions standards where higher education providers offer courses of study to overseas students.</w:t>
      </w:r>
    </w:p>
    <w:p w14:paraId="4045A060" w14:textId="6B22C96D" w:rsidR="00B83A32" w:rsidRDefault="00131292" w:rsidP="00077B96">
      <w:r>
        <w:t>A</w:t>
      </w:r>
      <w:r w:rsidR="00307506">
        <w:t xml:space="preserve">dmissions policies, </w:t>
      </w:r>
      <w:r w:rsidR="00284DE2">
        <w:t>requirements and procedures</w:t>
      </w:r>
      <w:r w:rsidR="00080F21">
        <w:t xml:space="preserve"> (the admissions framework)</w:t>
      </w:r>
      <w:r w:rsidR="00307506">
        <w:t xml:space="preserve"> </w:t>
      </w:r>
      <w:r w:rsidR="002F28D7">
        <w:t>should</w:t>
      </w:r>
      <w:r w:rsidR="001E01BB">
        <w:t xml:space="preserve"> ensure students</w:t>
      </w:r>
      <w:r w:rsidR="008F0E77">
        <w:t>:</w:t>
      </w:r>
    </w:p>
    <w:p w14:paraId="2741AFFD" w14:textId="081655C8" w:rsidR="00B83A32" w:rsidRPr="00D22365" w:rsidRDefault="001E01BB" w:rsidP="007C3D28">
      <w:pPr>
        <w:pStyle w:val="BulletsL2"/>
        <w:numPr>
          <w:ilvl w:val="0"/>
          <w:numId w:val="41"/>
        </w:numPr>
        <w:spacing w:line="240" w:lineRule="auto"/>
      </w:pPr>
      <w:r w:rsidRPr="009929A5">
        <w:t xml:space="preserve">have the academic preparation and </w:t>
      </w:r>
      <w:r w:rsidR="00307506" w:rsidRPr="00D22365">
        <w:t>English language proficiency</w:t>
      </w:r>
      <w:r w:rsidRPr="00D22365">
        <w:t xml:space="preserve"> to </w:t>
      </w:r>
      <w:r w:rsidR="00EC469B" w:rsidRPr="00D22365">
        <w:t>participate</w:t>
      </w:r>
      <w:r w:rsidR="00103979" w:rsidRPr="00D22365">
        <w:t xml:space="preserve"> in their intended study</w:t>
      </w:r>
    </w:p>
    <w:p w14:paraId="1391AD22" w14:textId="6D9DFA8C" w:rsidR="008F0E77" w:rsidRDefault="00080F21" w:rsidP="007C3D28">
      <w:pPr>
        <w:pStyle w:val="BulletsL2"/>
        <w:numPr>
          <w:ilvl w:val="0"/>
          <w:numId w:val="41"/>
        </w:numPr>
        <w:spacing w:line="240" w:lineRule="auto"/>
      </w:pPr>
      <w:r>
        <w:t>are admitted with no know</w:t>
      </w:r>
      <w:r w:rsidR="008F0E77">
        <w:t>n</w:t>
      </w:r>
      <w:r>
        <w:t xml:space="preserve"> limitations</w:t>
      </w:r>
      <w:r w:rsidR="006C34DB">
        <w:t xml:space="preserve"> </w:t>
      </w:r>
      <w:r>
        <w:t>that would</w:t>
      </w:r>
      <w:r w:rsidR="00B83A32">
        <w:t xml:space="preserve"> impede their progression and completion</w:t>
      </w:r>
      <w:r w:rsidR="004A3647">
        <w:t xml:space="preserve"> (except those who may require reasonable adjustments to complete their course)</w:t>
      </w:r>
    </w:p>
    <w:p w14:paraId="11BE2405" w14:textId="60A1D1C8" w:rsidR="008F0E77" w:rsidRDefault="008F0E77" w:rsidP="007C3D28">
      <w:pPr>
        <w:pStyle w:val="BulletsL2"/>
        <w:numPr>
          <w:ilvl w:val="0"/>
          <w:numId w:val="41"/>
        </w:numPr>
        <w:spacing w:line="240" w:lineRule="auto"/>
      </w:pPr>
      <w:r>
        <w:t>are not disadvantaged in achieving the expected learning outcomes for their course of study where credit through recognition of prior learning</w:t>
      </w:r>
      <w:r w:rsidR="00952200">
        <w:t xml:space="preserve"> </w:t>
      </w:r>
      <w:r>
        <w:t>has been granted</w:t>
      </w:r>
      <w:r w:rsidR="00BB2631">
        <w:t>.</w:t>
      </w:r>
    </w:p>
    <w:p w14:paraId="34337D81" w14:textId="1377AA55" w:rsidR="00F817A6" w:rsidRDefault="00801049" w:rsidP="00077B96">
      <w:pPr>
        <w:rPr>
          <w:color w:val="auto"/>
        </w:rPr>
      </w:pPr>
      <w:r>
        <w:rPr>
          <w:color w:val="auto"/>
        </w:rPr>
        <w:t xml:space="preserve">An </w:t>
      </w:r>
      <w:r w:rsidR="004C0715">
        <w:rPr>
          <w:color w:val="auto"/>
        </w:rPr>
        <w:t>effective</w:t>
      </w:r>
      <w:r w:rsidR="002B6A9E">
        <w:rPr>
          <w:color w:val="auto"/>
        </w:rPr>
        <w:t xml:space="preserve"> admissions framework requires </w:t>
      </w:r>
      <w:hyperlink r:id="rId12" w:history="1">
        <w:r w:rsidR="002B6A9E" w:rsidRPr="00BB2631">
          <w:rPr>
            <w:rStyle w:val="Hyperlink"/>
            <w:rFonts w:ascii="Arial" w:hAnsi="Arial"/>
            <w:color w:val="004E7D"/>
            <w:lang w:val="en-US"/>
          </w:rPr>
          <w:t>transparency</w:t>
        </w:r>
      </w:hyperlink>
      <w:r w:rsidR="004D4E27">
        <w:rPr>
          <w:color w:val="auto"/>
        </w:rPr>
        <w:t>, is applied consistently and fairly, and accommodates student diversity</w:t>
      </w:r>
      <w:r w:rsidR="00DA4D09">
        <w:rPr>
          <w:color w:val="auto"/>
        </w:rPr>
        <w:t xml:space="preserve"> and contributes to creating</w:t>
      </w:r>
      <w:r w:rsidR="00DA4D09" w:rsidRPr="00DA4D09">
        <w:rPr>
          <w:color w:val="auto"/>
        </w:rPr>
        <w:t xml:space="preserve"> equivalent opportunities for academic success</w:t>
      </w:r>
      <w:r w:rsidR="002B6A9E">
        <w:rPr>
          <w:color w:val="auto"/>
        </w:rPr>
        <w:t>.</w:t>
      </w:r>
    </w:p>
    <w:p w14:paraId="713BCE89" w14:textId="3B067FBE" w:rsidR="0035019B" w:rsidRDefault="00AB1289">
      <w:r>
        <w:rPr>
          <w:color w:val="auto"/>
        </w:rPr>
        <w:t xml:space="preserve">Once students are admitted, </w:t>
      </w:r>
      <w:r w:rsidR="002C1608">
        <w:rPr>
          <w:color w:val="auto"/>
        </w:rPr>
        <w:t>regular</w:t>
      </w:r>
      <w:r>
        <w:rPr>
          <w:color w:val="auto"/>
        </w:rPr>
        <w:t xml:space="preserve"> monitoring</w:t>
      </w:r>
      <w:r w:rsidR="009665EC">
        <w:rPr>
          <w:color w:val="auto"/>
        </w:rPr>
        <w:t xml:space="preserve"> and analysis of student performance </w:t>
      </w:r>
      <w:r w:rsidR="007B517F">
        <w:rPr>
          <w:color w:val="auto"/>
        </w:rPr>
        <w:t xml:space="preserve">is </w:t>
      </w:r>
      <w:r w:rsidR="00B821E5">
        <w:rPr>
          <w:color w:val="auto"/>
        </w:rPr>
        <w:t xml:space="preserve">critical </w:t>
      </w:r>
      <w:r w:rsidR="000650C9">
        <w:rPr>
          <w:color w:val="auto"/>
        </w:rPr>
        <w:t>in</w:t>
      </w:r>
      <w:r w:rsidR="00B821E5">
        <w:rPr>
          <w:color w:val="auto"/>
        </w:rPr>
        <w:t xml:space="preserve"> review</w:t>
      </w:r>
      <w:r w:rsidR="000650C9">
        <w:rPr>
          <w:color w:val="auto"/>
        </w:rPr>
        <w:t>ing</w:t>
      </w:r>
      <w:r w:rsidR="00B821E5">
        <w:rPr>
          <w:color w:val="auto"/>
        </w:rPr>
        <w:t xml:space="preserve"> and improv</w:t>
      </w:r>
      <w:r w:rsidR="000650C9">
        <w:rPr>
          <w:color w:val="auto"/>
        </w:rPr>
        <w:t>ing</w:t>
      </w:r>
      <w:r w:rsidR="000A0656">
        <w:rPr>
          <w:color w:val="auto"/>
        </w:rPr>
        <w:t xml:space="preserve"> </w:t>
      </w:r>
      <w:r w:rsidR="004C0715">
        <w:rPr>
          <w:color w:val="auto"/>
        </w:rPr>
        <w:t xml:space="preserve">the </w:t>
      </w:r>
      <w:r w:rsidR="000A0656">
        <w:rPr>
          <w:color w:val="auto"/>
        </w:rPr>
        <w:t>admission</w:t>
      </w:r>
      <w:r w:rsidR="004C0715">
        <w:rPr>
          <w:color w:val="auto"/>
        </w:rPr>
        <w:t>s framework</w:t>
      </w:r>
      <w:r w:rsidR="00B821E5">
        <w:rPr>
          <w:color w:val="auto"/>
        </w:rPr>
        <w:t>.</w:t>
      </w:r>
      <w:r w:rsidR="005F59A6">
        <w:t xml:space="preserve"> </w:t>
      </w:r>
      <w:r w:rsidR="00F817A6">
        <w:t>Providers must be able to demonstrate that governance oversight</w:t>
      </w:r>
      <w:r w:rsidR="00851F00">
        <w:t xml:space="preserve"> and the management</w:t>
      </w:r>
      <w:r w:rsidR="00F817A6">
        <w:t xml:space="preserve"> of </w:t>
      </w:r>
      <w:r w:rsidR="003A4E0D">
        <w:t xml:space="preserve">the </w:t>
      </w:r>
      <w:r w:rsidR="00F817A6">
        <w:t>admissions</w:t>
      </w:r>
      <w:r w:rsidR="003A4E0D">
        <w:t xml:space="preserve"> framework</w:t>
      </w:r>
      <w:r w:rsidR="0052317A">
        <w:t>,</w:t>
      </w:r>
      <w:r w:rsidR="00F817A6">
        <w:t xml:space="preserve"> and </w:t>
      </w:r>
      <w:r w:rsidR="003A4E0D">
        <w:t xml:space="preserve">the corresponding </w:t>
      </w:r>
      <w:r w:rsidR="00F817A6">
        <w:t>monitoring</w:t>
      </w:r>
      <w:r w:rsidR="003A4E0D">
        <w:t xml:space="preserve"> and review arrangements</w:t>
      </w:r>
      <w:r w:rsidR="00F817A6">
        <w:t xml:space="preserve"> </w:t>
      </w:r>
      <w:r w:rsidR="000F14C8">
        <w:t>are</w:t>
      </w:r>
      <w:r w:rsidR="00F817A6">
        <w:t xml:space="preserve"> effective.</w:t>
      </w:r>
    </w:p>
    <w:p w14:paraId="62157D6E" w14:textId="71434017" w:rsidR="00E314B2" w:rsidRPr="00724811" w:rsidRDefault="0035019B" w:rsidP="002B278D">
      <w:pPr>
        <w:pStyle w:val="Heading2"/>
        <w:numPr>
          <w:ilvl w:val="0"/>
          <w:numId w:val="40"/>
        </w:numPr>
        <w:ind w:left="720"/>
      </w:pPr>
      <w:r>
        <w:br w:type="page"/>
      </w:r>
      <w:r w:rsidR="008B5BA6" w:rsidRPr="00D71234">
        <w:lastRenderedPageBreak/>
        <w:t>What TEQSA will look for</w:t>
      </w:r>
    </w:p>
    <w:p w14:paraId="7074AE75" w14:textId="6F1362BF" w:rsidR="00B27077" w:rsidRDefault="0052317A" w:rsidP="00214CDD">
      <w:pPr>
        <w:rPr>
          <w:color w:val="auto"/>
        </w:rPr>
      </w:pPr>
      <w:r>
        <w:rPr>
          <w:color w:val="auto"/>
        </w:rPr>
        <w:t>The HES Framework require</w:t>
      </w:r>
      <w:r w:rsidR="00B27077">
        <w:rPr>
          <w:color w:val="auto"/>
        </w:rPr>
        <w:t>s</w:t>
      </w:r>
      <w:r>
        <w:rPr>
          <w:color w:val="auto"/>
        </w:rPr>
        <w:t xml:space="preserve"> TEQSA to consider the following </w:t>
      </w:r>
      <w:r w:rsidR="00B27077">
        <w:rPr>
          <w:color w:val="auto"/>
        </w:rPr>
        <w:t>aspects of a provider’s admissions framework:</w:t>
      </w:r>
    </w:p>
    <w:tbl>
      <w:tblPr>
        <w:tblStyle w:val="TableGrid1"/>
        <w:tblW w:w="9067" w:type="dxa"/>
        <w:tblLook w:val="04A0" w:firstRow="1" w:lastRow="0" w:firstColumn="1" w:lastColumn="0" w:noHBand="0" w:noVBand="1"/>
      </w:tblPr>
      <w:tblGrid>
        <w:gridCol w:w="3964"/>
        <w:gridCol w:w="5103"/>
      </w:tblGrid>
      <w:tr w:rsidR="00BB2631" w:rsidRPr="00BB2631" w14:paraId="7E754510" w14:textId="77777777" w:rsidTr="00BB2631">
        <w:trPr>
          <w:trHeight w:val="521"/>
        </w:trPr>
        <w:tc>
          <w:tcPr>
            <w:tcW w:w="3964" w:type="dxa"/>
            <w:tcBorders>
              <w:top w:val="single" w:sz="4" w:space="0" w:color="004E7D"/>
              <w:left w:val="single" w:sz="4" w:space="0" w:color="004E7D"/>
              <w:bottom w:val="single" w:sz="4" w:space="0" w:color="004E7D"/>
              <w:right w:val="single" w:sz="4" w:space="0" w:color="004E7D"/>
            </w:tcBorders>
            <w:shd w:val="clear" w:color="auto" w:fill="004E7D"/>
          </w:tcPr>
          <w:p w14:paraId="5B84F647" w14:textId="77777777" w:rsidR="00ED25CC" w:rsidRPr="00BB2631" w:rsidRDefault="00ED25CC" w:rsidP="00ED25CC">
            <w:pPr>
              <w:spacing w:before="120" w:after="120"/>
              <w:rPr>
                <w:b/>
                <w:bCs/>
                <w:noProof/>
                <w:color w:val="FFFFFF" w:themeColor="background1"/>
              </w:rPr>
            </w:pPr>
            <w:r w:rsidRPr="00BB2631">
              <w:rPr>
                <w:b/>
                <w:bCs/>
                <w:noProof/>
                <w:color w:val="FFFFFF" w:themeColor="background1"/>
              </w:rPr>
              <w:t>Part A: Standards for HE Providers</w:t>
            </w:r>
          </w:p>
        </w:tc>
        <w:tc>
          <w:tcPr>
            <w:tcW w:w="5103" w:type="dxa"/>
            <w:tcBorders>
              <w:top w:val="single" w:sz="4" w:space="0" w:color="004E7D"/>
              <w:left w:val="single" w:sz="4" w:space="0" w:color="004E7D"/>
              <w:bottom w:val="single" w:sz="4" w:space="0" w:color="004E7D"/>
              <w:right w:val="single" w:sz="4" w:space="0" w:color="004E7D"/>
            </w:tcBorders>
            <w:shd w:val="clear" w:color="auto" w:fill="004E7D"/>
          </w:tcPr>
          <w:p w14:paraId="16E8DD0F" w14:textId="77777777" w:rsidR="00ED25CC" w:rsidRPr="00BB2631" w:rsidRDefault="00ED25CC" w:rsidP="00ED25CC">
            <w:pPr>
              <w:spacing w:before="120" w:after="120"/>
              <w:rPr>
                <w:b/>
                <w:bCs/>
                <w:noProof/>
                <w:color w:val="FFFFFF" w:themeColor="background1"/>
              </w:rPr>
            </w:pPr>
            <w:r w:rsidRPr="00BB2631">
              <w:rPr>
                <w:b/>
                <w:bCs/>
                <w:noProof/>
                <w:color w:val="FFFFFF" w:themeColor="background1"/>
              </w:rPr>
              <w:t>Key considerations</w:t>
            </w:r>
          </w:p>
        </w:tc>
      </w:tr>
      <w:tr w:rsidR="00ED25CC" w:rsidRPr="00ED25CC" w14:paraId="5DF01913" w14:textId="77777777" w:rsidTr="00BB2631">
        <w:trPr>
          <w:trHeight w:val="521"/>
        </w:trPr>
        <w:tc>
          <w:tcPr>
            <w:tcW w:w="3964" w:type="dxa"/>
            <w:tcBorders>
              <w:top w:val="single" w:sz="4" w:space="0" w:color="004E7D"/>
            </w:tcBorders>
          </w:tcPr>
          <w:p w14:paraId="73E774FD" w14:textId="1E0E9A0D" w:rsidR="00ED25CC" w:rsidRPr="00ED25CC" w:rsidRDefault="00ED25CC" w:rsidP="00ED25CC">
            <w:pPr>
              <w:spacing w:before="120" w:after="120"/>
              <w:rPr>
                <w:noProof/>
              </w:rPr>
            </w:pPr>
            <w:r>
              <w:rPr>
                <w:noProof/>
              </w:rPr>
              <w:t>1.1.1: Admissions policies</w:t>
            </w:r>
          </w:p>
        </w:tc>
        <w:tc>
          <w:tcPr>
            <w:tcW w:w="5103" w:type="dxa"/>
            <w:vMerge w:val="restart"/>
            <w:tcBorders>
              <w:top w:val="single" w:sz="4" w:space="0" w:color="004E7D"/>
            </w:tcBorders>
            <w:vAlign w:val="center"/>
          </w:tcPr>
          <w:p w14:paraId="1180099F" w14:textId="3BFEA79E" w:rsidR="00ED25CC" w:rsidRPr="00ED25CC" w:rsidRDefault="007A37DF">
            <w:pPr>
              <w:numPr>
                <w:ilvl w:val="0"/>
                <w:numId w:val="39"/>
              </w:numPr>
              <w:contextualSpacing/>
              <w:rPr>
                <w:noProof/>
              </w:rPr>
            </w:pPr>
            <w:r>
              <w:rPr>
                <w:noProof/>
              </w:rPr>
              <w:t>Clear documentation and consistent application of</w:t>
            </w:r>
            <w:r w:rsidR="006074D6">
              <w:rPr>
                <w:noProof/>
              </w:rPr>
              <w:t xml:space="preserve"> the</w:t>
            </w:r>
            <w:r>
              <w:rPr>
                <w:noProof/>
              </w:rPr>
              <w:t xml:space="preserve"> admissions </w:t>
            </w:r>
            <w:r w:rsidR="00FC5276">
              <w:rPr>
                <w:noProof/>
              </w:rPr>
              <w:t>framework</w:t>
            </w:r>
            <w:r w:rsidR="006074D6">
              <w:rPr>
                <w:noProof/>
              </w:rPr>
              <w:t>.</w:t>
            </w:r>
          </w:p>
          <w:p w14:paraId="77FDC80A" w14:textId="77777777" w:rsidR="00ED25CC" w:rsidRPr="00ED25CC" w:rsidRDefault="00ED25CC">
            <w:pPr>
              <w:spacing w:before="120" w:after="120"/>
              <w:rPr>
                <w:noProof/>
              </w:rPr>
            </w:pPr>
          </w:p>
        </w:tc>
      </w:tr>
      <w:tr w:rsidR="00ED25CC" w:rsidRPr="00ED25CC" w14:paraId="7B324E9D" w14:textId="77777777" w:rsidTr="002B278D">
        <w:trPr>
          <w:trHeight w:val="521"/>
        </w:trPr>
        <w:tc>
          <w:tcPr>
            <w:tcW w:w="3964" w:type="dxa"/>
          </w:tcPr>
          <w:p w14:paraId="5EFEC80A" w14:textId="7045DFD9" w:rsidR="00ED25CC" w:rsidRPr="00ED25CC" w:rsidRDefault="00ED25CC" w:rsidP="00ED25CC">
            <w:pPr>
              <w:spacing w:before="120" w:after="120"/>
              <w:rPr>
                <w:noProof/>
              </w:rPr>
            </w:pPr>
            <w:r>
              <w:rPr>
                <w:noProof/>
              </w:rPr>
              <w:t xml:space="preserve">1.1.2: Admissions procedures </w:t>
            </w:r>
          </w:p>
        </w:tc>
        <w:tc>
          <w:tcPr>
            <w:tcW w:w="5103" w:type="dxa"/>
            <w:vMerge/>
          </w:tcPr>
          <w:p w14:paraId="6F4D152D" w14:textId="77777777" w:rsidR="00ED25CC" w:rsidRPr="00ED25CC" w:rsidRDefault="00ED25CC" w:rsidP="00ED25CC">
            <w:pPr>
              <w:spacing w:before="120" w:after="120"/>
              <w:rPr>
                <w:noProof/>
              </w:rPr>
            </w:pPr>
          </w:p>
        </w:tc>
      </w:tr>
      <w:tr w:rsidR="007A37DF" w:rsidRPr="00ED25CC" w14:paraId="1E0AC450" w14:textId="77777777" w:rsidTr="002B278D">
        <w:trPr>
          <w:trHeight w:val="521"/>
        </w:trPr>
        <w:tc>
          <w:tcPr>
            <w:tcW w:w="3964" w:type="dxa"/>
          </w:tcPr>
          <w:p w14:paraId="394712AE" w14:textId="39B13D12" w:rsidR="007A37DF" w:rsidRDefault="007A37DF" w:rsidP="00ED25CC">
            <w:pPr>
              <w:rPr>
                <w:noProof/>
              </w:rPr>
            </w:pPr>
            <w:r>
              <w:rPr>
                <w:noProof/>
              </w:rPr>
              <w:t>1.2.1: Credit and recognition of prior learning</w:t>
            </w:r>
          </w:p>
        </w:tc>
        <w:tc>
          <w:tcPr>
            <w:tcW w:w="5103" w:type="dxa"/>
          </w:tcPr>
          <w:p w14:paraId="337BFE26" w14:textId="77777777" w:rsidR="007A37DF" w:rsidRDefault="00FC5276">
            <w:pPr>
              <w:pStyle w:val="ListParagraph"/>
              <w:numPr>
                <w:ilvl w:val="0"/>
                <w:numId w:val="39"/>
              </w:numPr>
              <w:spacing w:after="0"/>
              <w:rPr>
                <w:noProof/>
              </w:rPr>
            </w:pPr>
            <w:r>
              <w:rPr>
                <w:noProof/>
              </w:rPr>
              <w:t>Clear documentation and consistent granting of credit or recognition of prior learning</w:t>
            </w:r>
          </w:p>
          <w:p w14:paraId="76A47433" w14:textId="68FEE226" w:rsidR="00172465" w:rsidRPr="00ED25CC" w:rsidRDefault="006074D6" w:rsidP="002B278D">
            <w:pPr>
              <w:pStyle w:val="ListParagraph"/>
              <w:numPr>
                <w:ilvl w:val="0"/>
                <w:numId w:val="39"/>
              </w:numPr>
              <w:spacing w:after="0"/>
              <w:rPr>
                <w:noProof/>
              </w:rPr>
            </w:pPr>
            <w:r>
              <w:rPr>
                <w:noProof/>
              </w:rPr>
              <w:t>Granting of credit or recognition of prior learning is consistent with the Australian Qualifications Framework</w:t>
            </w:r>
            <w:r w:rsidR="002B278D">
              <w:rPr>
                <w:noProof/>
              </w:rPr>
              <w:t xml:space="preserve"> </w:t>
            </w:r>
            <w:r w:rsidR="002B278D">
              <w:t>pathways policy</w:t>
            </w:r>
            <w:r>
              <w:rPr>
                <w:noProof/>
              </w:rPr>
              <w:t>, does not disadvantage a student, and maintains the integrity of the course.</w:t>
            </w:r>
          </w:p>
        </w:tc>
      </w:tr>
      <w:tr w:rsidR="008A51F6" w:rsidRPr="00ED25CC" w14:paraId="7681369F" w14:textId="77777777" w:rsidTr="002B278D">
        <w:trPr>
          <w:trHeight w:val="521"/>
        </w:trPr>
        <w:tc>
          <w:tcPr>
            <w:tcW w:w="3964" w:type="dxa"/>
          </w:tcPr>
          <w:p w14:paraId="140B8EC5" w14:textId="4630DA4B" w:rsidR="008A51F6" w:rsidRDefault="008A51F6" w:rsidP="00ED25CC">
            <w:pPr>
              <w:rPr>
                <w:noProof/>
              </w:rPr>
            </w:pPr>
            <w:r>
              <w:rPr>
                <w:noProof/>
              </w:rPr>
              <w:t>1.3.5</w:t>
            </w:r>
            <w:r w:rsidR="007A37DF">
              <w:rPr>
                <w:noProof/>
              </w:rPr>
              <w:t xml:space="preserve">, </w:t>
            </w:r>
            <w:r>
              <w:rPr>
                <w:noProof/>
              </w:rPr>
              <w:t>2.2.3</w:t>
            </w:r>
            <w:r w:rsidR="007A37DF">
              <w:rPr>
                <w:noProof/>
              </w:rPr>
              <w:t>, 5.3.4 and 5.3.7</w:t>
            </w:r>
            <w:r>
              <w:rPr>
                <w:noProof/>
              </w:rPr>
              <w:t xml:space="preserve">: Student monitoring </w:t>
            </w:r>
          </w:p>
        </w:tc>
        <w:tc>
          <w:tcPr>
            <w:tcW w:w="5103" w:type="dxa"/>
          </w:tcPr>
          <w:p w14:paraId="1A70DAA9" w14:textId="72F0CDAF" w:rsidR="008A51F6" w:rsidRPr="00ED25CC" w:rsidRDefault="00FC5276" w:rsidP="002B278D">
            <w:pPr>
              <w:pStyle w:val="ListParagraph"/>
              <w:numPr>
                <w:ilvl w:val="0"/>
                <w:numId w:val="39"/>
              </w:numPr>
              <w:spacing w:after="0"/>
              <w:rPr>
                <w:noProof/>
              </w:rPr>
            </w:pPr>
            <w:r>
              <w:rPr>
                <w:noProof/>
              </w:rPr>
              <w:t xml:space="preserve">Student monitoring informs and contributes to </w:t>
            </w:r>
            <w:r w:rsidR="002B278D">
              <w:rPr>
                <w:noProof/>
              </w:rPr>
              <w:t>t</w:t>
            </w:r>
            <w:r w:rsidR="002B278D">
              <w:t xml:space="preserve">he </w:t>
            </w:r>
            <w:r>
              <w:rPr>
                <w:noProof/>
              </w:rPr>
              <w:t>admissions framework</w:t>
            </w:r>
            <w:r w:rsidR="006074D6">
              <w:rPr>
                <w:noProof/>
              </w:rPr>
              <w:t>.</w:t>
            </w:r>
          </w:p>
        </w:tc>
      </w:tr>
      <w:tr w:rsidR="007A37DF" w:rsidRPr="00ED25CC" w14:paraId="7AF0BD49" w14:textId="77777777" w:rsidTr="002B278D">
        <w:trPr>
          <w:trHeight w:val="521"/>
        </w:trPr>
        <w:tc>
          <w:tcPr>
            <w:tcW w:w="3964" w:type="dxa"/>
          </w:tcPr>
          <w:p w14:paraId="53FED332" w14:textId="33713C94" w:rsidR="007A37DF" w:rsidRPr="00ED25CC" w:rsidRDefault="007A37DF" w:rsidP="007A37DF">
            <w:pPr>
              <w:spacing w:before="120" w:after="120"/>
              <w:rPr>
                <w:noProof/>
              </w:rPr>
            </w:pPr>
            <w:r>
              <w:rPr>
                <w:noProof/>
              </w:rPr>
              <w:t xml:space="preserve">2.2.1 and 2.2.2: Student diversity </w:t>
            </w:r>
          </w:p>
        </w:tc>
        <w:tc>
          <w:tcPr>
            <w:tcW w:w="5103" w:type="dxa"/>
          </w:tcPr>
          <w:p w14:paraId="71F9103C" w14:textId="66DDBF03" w:rsidR="007A37DF" w:rsidRPr="00ED25CC" w:rsidRDefault="00FC5276" w:rsidP="007A37DF">
            <w:pPr>
              <w:numPr>
                <w:ilvl w:val="0"/>
                <w:numId w:val="39"/>
              </w:numPr>
              <w:contextualSpacing/>
              <w:rPr>
                <w:noProof/>
              </w:rPr>
            </w:pPr>
            <w:r>
              <w:rPr>
                <w:noProof/>
              </w:rPr>
              <w:t>Student diversity is accom</w:t>
            </w:r>
            <w:r w:rsidR="0033282B">
              <w:rPr>
                <w:noProof/>
              </w:rPr>
              <w:t>m</w:t>
            </w:r>
            <w:r>
              <w:rPr>
                <w:noProof/>
              </w:rPr>
              <w:t>odated and considered in the admissions framework</w:t>
            </w:r>
            <w:r w:rsidR="006074D6">
              <w:rPr>
                <w:noProof/>
              </w:rPr>
              <w:t>.</w:t>
            </w:r>
          </w:p>
        </w:tc>
      </w:tr>
      <w:tr w:rsidR="007A37DF" w:rsidRPr="00ED25CC" w14:paraId="554E9CC2" w14:textId="77777777" w:rsidTr="002B278D">
        <w:trPr>
          <w:trHeight w:val="521"/>
        </w:trPr>
        <w:tc>
          <w:tcPr>
            <w:tcW w:w="3964" w:type="dxa"/>
            <w:vAlign w:val="center"/>
          </w:tcPr>
          <w:p w14:paraId="3948F126" w14:textId="6A441CAD" w:rsidR="007A37DF" w:rsidRDefault="007A37DF">
            <w:pPr>
              <w:rPr>
                <w:noProof/>
              </w:rPr>
            </w:pPr>
            <w:r>
              <w:rPr>
                <w:noProof/>
              </w:rPr>
              <w:t xml:space="preserve">5.4.2: Third party arrangements </w:t>
            </w:r>
          </w:p>
        </w:tc>
        <w:tc>
          <w:tcPr>
            <w:tcW w:w="5103" w:type="dxa"/>
          </w:tcPr>
          <w:p w14:paraId="3E581C9E" w14:textId="1B0FA0DF" w:rsidR="007A37DF" w:rsidRPr="00ED25CC" w:rsidRDefault="005E71F7" w:rsidP="007A37DF">
            <w:pPr>
              <w:numPr>
                <w:ilvl w:val="0"/>
                <w:numId w:val="39"/>
              </w:numPr>
              <w:contextualSpacing/>
              <w:rPr>
                <w:noProof/>
              </w:rPr>
            </w:pPr>
            <w:r>
              <w:rPr>
                <w:noProof/>
              </w:rPr>
              <w:t>Third party arrangements are included in the admissions framework</w:t>
            </w:r>
            <w:r w:rsidR="006074D6">
              <w:rPr>
                <w:noProof/>
              </w:rPr>
              <w:t>.</w:t>
            </w:r>
          </w:p>
        </w:tc>
      </w:tr>
      <w:tr w:rsidR="007A37DF" w:rsidRPr="00ED25CC" w14:paraId="2742F8F1" w14:textId="77777777" w:rsidTr="002B278D">
        <w:trPr>
          <w:trHeight w:val="521"/>
        </w:trPr>
        <w:tc>
          <w:tcPr>
            <w:tcW w:w="3964" w:type="dxa"/>
            <w:vAlign w:val="center"/>
          </w:tcPr>
          <w:p w14:paraId="187C5A49" w14:textId="520D1AC6" w:rsidR="007A37DF" w:rsidRDefault="007A37DF">
            <w:pPr>
              <w:rPr>
                <w:noProof/>
              </w:rPr>
            </w:pPr>
            <w:r>
              <w:rPr>
                <w:noProof/>
              </w:rPr>
              <w:t xml:space="preserve">6.1 </w:t>
            </w:r>
            <w:r w:rsidR="005E71F7">
              <w:rPr>
                <w:noProof/>
              </w:rPr>
              <w:t xml:space="preserve">and </w:t>
            </w:r>
            <w:r>
              <w:rPr>
                <w:noProof/>
              </w:rPr>
              <w:t xml:space="preserve">6.3: Governance and Accountability </w:t>
            </w:r>
          </w:p>
        </w:tc>
        <w:tc>
          <w:tcPr>
            <w:tcW w:w="5103" w:type="dxa"/>
          </w:tcPr>
          <w:p w14:paraId="75A07204" w14:textId="59E85A0C" w:rsidR="007A37DF" w:rsidRPr="00ED25CC" w:rsidRDefault="005E71F7" w:rsidP="007A37DF">
            <w:pPr>
              <w:numPr>
                <w:ilvl w:val="0"/>
                <w:numId w:val="39"/>
              </w:numPr>
              <w:contextualSpacing/>
              <w:rPr>
                <w:noProof/>
              </w:rPr>
            </w:pPr>
            <w:r>
              <w:rPr>
                <w:noProof/>
              </w:rPr>
              <w:t>Corporate and academic governance provide effective oversight of the admissions framework</w:t>
            </w:r>
            <w:r w:rsidR="006074D6">
              <w:rPr>
                <w:noProof/>
              </w:rPr>
              <w:t>.</w:t>
            </w:r>
          </w:p>
        </w:tc>
      </w:tr>
      <w:tr w:rsidR="007A37DF" w:rsidRPr="00ED25CC" w14:paraId="52063D44" w14:textId="77777777" w:rsidTr="002B278D">
        <w:trPr>
          <w:trHeight w:val="521"/>
        </w:trPr>
        <w:tc>
          <w:tcPr>
            <w:tcW w:w="3964" w:type="dxa"/>
          </w:tcPr>
          <w:p w14:paraId="11073CB3" w14:textId="661F3861" w:rsidR="007A37DF" w:rsidRDefault="007A37DF">
            <w:pPr>
              <w:rPr>
                <w:noProof/>
              </w:rPr>
            </w:pPr>
            <w:r>
              <w:rPr>
                <w:noProof/>
              </w:rPr>
              <w:t xml:space="preserve">7.2: Information for prospective students </w:t>
            </w:r>
          </w:p>
        </w:tc>
        <w:tc>
          <w:tcPr>
            <w:tcW w:w="5103" w:type="dxa"/>
          </w:tcPr>
          <w:p w14:paraId="5DB05DAA" w14:textId="5BC8F66B" w:rsidR="007A37DF" w:rsidRPr="00ED25CC" w:rsidRDefault="005E71F7" w:rsidP="007A37DF">
            <w:pPr>
              <w:numPr>
                <w:ilvl w:val="0"/>
                <w:numId w:val="39"/>
              </w:numPr>
              <w:contextualSpacing/>
              <w:rPr>
                <w:noProof/>
              </w:rPr>
            </w:pPr>
            <w:r>
              <w:rPr>
                <w:noProof/>
              </w:rPr>
              <w:t>Admissions information is readily available to prospective students</w:t>
            </w:r>
            <w:r w:rsidR="006074D6">
              <w:rPr>
                <w:noProof/>
              </w:rPr>
              <w:t>.</w:t>
            </w:r>
          </w:p>
        </w:tc>
      </w:tr>
    </w:tbl>
    <w:p w14:paraId="14EFFF8C" w14:textId="346B8D77" w:rsidR="006074D6" w:rsidRDefault="006074D6" w:rsidP="00214CDD">
      <w:pPr>
        <w:rPr>
          <w:color w:val="auto"/>
        </w:rPr>
      </w:pPr>
      <w:r>
        <w:rPr>
          <w:color w:val="auto"/>
        </w:rPr>
        <w:t>The HES Framework requires admissions policies, procedures and requirements to be clearly documented. Further, requirements for implementing an admissions framework include:</w:t>
      </w:r>
    </w:p>
    <w:p w14:paraId="42897FAE" w14:textId="0542105D" w:rsidR="002315BC" w:rsidRDefault="0073239D" w:rsidP="007C3D28">
      <w:pPr>
        <w:pStyle w:val="BulletsL2"/>
        <w:numPr>
          <w:ilvl w:val="0"/>
          <w:numId w:val="42"/>
        </w:numPr>
      </w:pPr>
      <w:r>
        <w:t>t</w:t>
      </w:r>
      <w:r w:rsidR="002315BC">
        <w:t>he admissions framework must be applied fairly and consistently.</w:t>
      </w:r>
      <w:r w:rsidR="00047460">
        <w:t xml:space="preserve"> Decisions on admitting students </w:t>
      </w:r>
      <w:r w:rsidR="00193C4E">
        <w:t>must</w:t>
      </w:r>
      <w:r w:rsidR="00047460">
        <w:t xml:space="preserve"> not be arbitrary</w:t>
      </w:r>
      <w:r w:rsidR="00193C4E">
        <w:t>, nor should such decisions result in potential students being disadvantage</w:t>
      </w:r>
      <w:r w:rsidR="00331FF0">
        <w:t>d</w:t>
      </w:r>
      <w:r w:rsidR="00193C4E">
        <w:t xml:space="preserve"> because of personal characteristics that are not related to the academic preparation and English language proficiency required to be eligible for admission (</w:t>
      </w:r>
      <w:r w:rsidR="00331FF0">
        <w:t>noting the need to accommodate student diversity and equity, as detailed below)</w:t>
      </w:r>
    </w:p>
    <w:p w14:paraId="4B5FEABA" w14:textId="527A7954" w:rsidR="00CB16A3" w:rsidRDefault="0073239D" w:rsidP="007C3D28">
      <w:pPr>
        <w:pStyle w:val="BulletsL2"/>
        <w:numPr>
          <w:ilvl w:val="0"/>
          <w:numId w:val="42"/>
        </w:numPr>
      </w:pPr>
      <w:r>
        <w:t>t</w:t>
      </w:r>
      <w:r w:rsidR="000B1A17">
        <w:t>he</w:t>
      </w:r>
      <w:r w:rsidR="00573281">
        <w:t xml:space="preserve"> a</w:t>
      </w:r>
      <w:r w:rsidR="00CB16A3">
        <w:t xml:space="preserve">dmissions </w:t>
      </w:r>
      <w:r w:rsidR="00573281">
        <w:t xml:space="preserve">framework </w:t>
      </w:r>
      <w:r w:rsidR="00CB16A3">
        <w:t>take</w:t>
      </w:r>
      <w:r w:rsidR="00573281">
        <w:t>s</w:t>
      </w:r>
      <w:r w:rsidR="00CB16A3">
        <w:t xml:space="preserve"> into account</w:t>
      </w:r>
      <w:r w:rsidR="002A49D8">
        <w:t xml:space="preserve">, </w:t>
      </w:r>
      <w:r w:rsidR="00CB16A3">
        <w:t>accommodate</w:t>
      </w:r>
      <w:r w:rsidR="00E940BE">
        <w:t>s</w:t>
      </w:r>
      <w:r w:rsidR="002A49D8">
        <w:t xml:space="preserve"> and considers</w:t>
      </w:r>
      <w:r w:rsidR="00CB16A3">
        <w:t xml:space="preserve"> </w:t>
      </w:r>
      <w:r w:rsidR="002A49D8">
        <w:t xml:space="preserve">student diversity including the under-representation and disadvantage experienced by </w:t>
      </w:r>
      <w:r w:rsidR="00CB16A3">
        <w:t>identified groups.</w:t>
      </w:r>
      <w:r w:rsidR="002A49D8">
        <w:t xml:space="preserve"> </w:t>
      </w:r>
      <w:r w:rsidR="002B278D">
        <w:t>T</w:t>
      </w:r>
      <w:r w:rsidR="002A49D8">
        <w:t xml:space="preserve">he admissions framework </w:t>
      </w:r>
      <w:r w:rsidR="002B278D">
        <w:t>should be</w:t>
      </w:r>
      <w:r w:rsidR="002A49D8">
        <w:t xml:space="preserve"> designed to ensure admitted students have no known limitations that would be expected to impede their progression and completion, and creates equivalent opportunities for academic success regardless of students’ backgrounds</w:t>
      </w:r>
    </w:p>
    <w:p w14:paraId="29456C02" w14:textId="3F8D7889" w:rsidR="001C3900" w:rsidRDefault="0073239D" w:rsidP="007C3D28">
      <w:pPr>
        <w:pStyle w:val="BulletsL2"/>
        <w:numPr>
          <w:ilvl w:val="0"/>
          <w:numId w:val="42"/>
        </w:numPr>
      </w:pPr>
      <w:r>
        <w:t>a</w:t>
      </w:r>
      <w:r w:rsidR="001C3900">
        <w:t>ccurate and current admissions information is made available to prospective students in a timely manner to enable an informed decision about educational offerings</w:t>
      </w:r>
      <w:r w:rsidR="004F1FDD">
        <w:t xml:space="preserve"> and experiences</w:t>
      </w:r>
      <w:r w:rsidR="00E720E3">
        <w:t>.</w:t>
      </w:r>
      <w:r w:rsidR="00C12955">
        <w:t xml:space="preserve"> Further information regarding admissions information and transparency can be found in </w:t>
      </w:r>
      <w:hyperlink r:id="rId13" w:history="1">
        <w:r w:rsidR="00C12955" w:rsidRPr="00BB2631">
          <w:rPr>
            <w:rStyle w:val="Hyperlink"/>
            <w:color w:val="004E7D"/>
          </w:rPr>
          <w:t>Good Practice Note: Making higher education admissions transparent for prospective students</w:t>
        </w:r>
      </w:hyperlink>
    </w:p>
    <w:p w14:paraId="3BD7980D" w14:textId="06EA6C58" w:rsidR="00036348" w:rsidRPr="00BB2631" w:rsidRDefault="0073239D" w:rsidP="007C3D28">
      <w:pPr>
        <w:pStyle w:val="BulletsL2"/>
        <w:numPr>
          <w:ilvl w:val="0"/>
          <w:numId w:val="43"/>
        </w:numPr>
        <w:rPr>
          <w:color w:val="004E7D"/>
        </w:rPr>
      </w:pPr>
      <w:r>
        <w:lastRenderedPageBreak/>
        <w:t>r</w:t>
      </w:r>
      <w:r w:rsidR="00952200">
        <w:t>eview</w:t>
      </w:r>
      <w:r w:rsidR="00C26FDA">
        <w:t>s of</w:t>
      </w:r>
      <w:r w:rsidR="00952200">
        <w:t xml:space="preserve"> and i</w:t>
      </w:r>
      <w:r w:rsidR="00FB254B">
        <w:t xml:space="preserve">mprovements to the admissions framework are informed by regular monitoring of students’ performance, including but not limited to, </w:t>
      </w:r>
      <w:r w:rsidR="00CB16A3">
        <w:t xml:space="preserve">the performance of student cohorts and identified groups </w:t>
      </w:r>
      <w:r w:rsidR="00FB254B">
        <w:t xml:space="preserve">and </w:t>
      </w:r>
      <w:r w:rsidR="00CB16A3">
        <w:t>regular external referencing of students’ performance</w:t>
      </w:r>
      <w:r w:rsidR="00FB254B">
        <w:t>.</w:t>
      </w:r>
      <w:r w:rsidR="00036348">
        <w:t xml:space="preserve"> </w:t>
      </w:r>
      <w:r w:rsidR="00036348" w:rsidRPr="00D22365">
        <w:t xml:space="preserve">Further information about </w:t>
      </w:r>
      <w:r w:rsidR="00036348">
        <w:t xml:space="preserve">monitoring and reviewing student performance can be found in </w:t>
      </w:r>
      <w:hyperlink r:id="rId14" w:history="1">
        <w:r w:rsidR="00036348" w:rsidRPr="00BB2631">
          <w:rPr>
            <w:rStyle w:val="Hyperlink"/>
            <w:color w:val="004E7D"/>
          </w:rPr>
          <w:t xml:space="preserve">Guidance Note: Monitoring and </w:t>
        </w:r>
        <w:r w:rsidR="0033282B">
          <w:rPr>
            <w:rStyle w:val="Hyperlink"/>
            <w:color w:val="004E7D"/>
          </w:rPr>
          <w:t>a</w:t>
        </w:r>
        <w:r w:rsidR="00036348" w:rsidRPr="00BB2631">
          <w:rPr>
            <w:rStyle w:val="Hyperlink"/>
            <w:color w:val="004E7D"/>
          </w:rPr>
          <w:t xml:space="preserve">nalysis of </w:t>
        </w:r>
        <w:r w:rsidR="0033282B">
          <w:rPr>
            <w:rStyle w:val="Hyperlink"/>
            <w:color w:val="004E7D"/>
          </w:rPr>
          <w:t>s</w:t>
        </w:r>
        <w:r w:rsidR="00036348" w:rsidRPr="00BB2631">
          <w:rPr>
            <w:rStyle w:val="Hyperlink"/>
            <w:color w:val="004E7D"/>
          </w:rPr>
          <w:t xml:space="preserve">tudent </w:t>
        </w:r>
        <w:r w:rsidR="0033282B">
          <w:rPr>
            <w:rStyle w:val="Hyperlink"/>
            <w:color w:val="004E7D"/>
          </w:rPr>
          <w:t>p</w:t>
        </w:r>
        <w:r w:rsidR="00036348" w:rsidRPr="00BB2631">
          <w:rPr>
            <w:rStyle w:val="Hyperlink"/>
            <w:color w:val="004E7D"/>
          </w:rPr>
          <w:t>erformance</w:t>
        </w:r>
      </w:hyperlink>
    </w:p>
    <w:p w14:paraId="5E755F0E" w14:textId="243B792A" w:rsidR="00E720E3" w:rsidRDefault="0073239D" w:rsidP="007C3D28">
      <w:pPr>
        <w:pStyle w:val="BulletsL2"/>
        <w:numPr>
          <w:ilvl w:val="0"/>
          <w:numId w:val="43"/>
        </w:numPr>
      </w:pPr>
      <w:r>
        <w:t>c</w:t>
      </w:r>
      <w:r w:rsidR="00E720E3">
        <w:t xml:space="preserve">orporate and academic governance arrangements provide </w:t>
      </w:r>
      <w:r w:rsidR="00952200">
        <w:t xml:space="preserve">effective </w:t>
      </w:r>
      <w:r w:rsidR="00E720E3">
        <w:t xml:space="preserve">oversight </w:t>
      </w:r>
      <w:r w:rsidR="004F1FDD">
        <w:t xml:space="preserve">of </w:t>
      </w:r>
      <w:r w:rsidR="00E720E3">
        <w:t>the</w:t>
      </w:r>
      <w:r w:rsidR="004F1FDD">
        <w:t xml:space="preserve"> approval,</w:t>
      </w:r>
      <w:r w:rsidR="00E720E3">
        <w:t xml:space="preserve"> implementation, and the monitoring and review</w:t>
      </w:r>
      <w:r w:rsidR="004F1FDD">
        <w:t xml:space="preserve"> of the admissions framework. This includes oversight of the admissions framework for courses of study delivered wholly or in part by a </w:t>
      </w:r>
      <w:hyperlink r:id="rId15" w:history="1">
        <w:r w:rsidR="004F1FDD" w:rsidRPr="00BB2631">
          <w:rPr>
            <w:rStyle w:val="Hyperlink"/>
            <w:color w:val="004E7D"/>
          </w:rPr>
          <w:t>third party</w:t>
        </w:r>
      </w:hyperlink>
      <w:r w:rsidR="00524362">
        <w:rPr>
          <w:rStyle w:val="Hyperlink"/>
          <w:color w:val="004E7D"/>
          <w:u w:val="none"/>
        </w:rPr>
        <w:t>.</w:t>
      </w:r>
    </w:p>
    <w:p w14:paraId="6E34304A" w14:textId="6B413BAF" w:rsidR="008861C1" w:rsidRDefault="008861C1" w:rsidP="008861C1">
      <w:pPr>
        <w:pStyle w:val="BulletsL2"/>
        <w:numPr>
          <w:ilvl w:val="0"/>
          <w:numId w:val="0"/>
        </w:numPr>
      </w:pPr>
      <w:r>
        <w:t>TEQSA will also consider, with reference to the National Code, a pr</w:t>
      </w:r>
      <w:r w:rsidR="00A65DD0">
        <w:t xml:space="preserve">ovider’s ability to demonstrate: </w:t>
      </w:r>
    </w:p>
    <w:p w14:paraId="5489406A" w14:textId="6C97342F" w:rsidR="00A65DD0" w:rsidRDefault="00952200" w:rsidP="007C3D28">
      <w:pPr>
        <w:pStyle w:val="BulletsL2"/>
        <w:numPr>
          <w:ilvl w:val="0"/>
          <w:numId w:val="44"/>
        </w:numPr>
      </w:pPr>
      <w:r>
        <w:t xml:space="preserve">appropriate </w:t>
      </w:r>
      <w:r w:rsidR="006C308A">
        <w:t>coverage</w:t>
      </w:r>
      <w:r w:rsidR="00A65DD0">
        <w:t xml:space="preserve"> </w:t>
      </w:r>
      <w:r w:rsidR="00573281">
        <w:t>in the admissions framework</w:t>
      </w:r>
      <w:r w:rsidR="00A65DD0">
        <w:t xml:space="preserve"> </w:t>
      </w:r>
      <w:r w:rsidR="006C308A">
        <w:t>of</w:t>
      </w:r>
      <w:r w:rsidR="00A65DD0">
        <w:t xml:space="preserve"> English language proficiency, educational qualifications, and work experience</w:t>
      </w:r>
    </w:p>
    <w:p w14:paraId="409B906D" w14:textId="18A40292" w:rsidR="00A65DD0" w:rsidRDefault="00BB44F8" w:rsidP="007C3D28">
      <w:pPr>
        <w:pStyle w:val="BulletsL2"/>
        <w:numPr>
          <w:ilvl w:val="0"/>
          <w:numId w:val="44"/>
        </w:numPr>
      </w:pPr>
      <w:r>
        <w:t>a</w:t>
      </w:r>
      <w:r w:rsidR="00A65DD0">
        <w:t xml:space="preserve">ppropriate documentation and recording of </w:t>
      </w:r>
      <w:r w:rsidR="005E71F7">
        <w:t>recognition of prior learning</w:t>
      </w:r>
      <w:r w:rsidR="00A65DD0">
        <w:t xml:space="preserve">, and the integrity of </w:t>
      </w:r>
      <w:r w:rsidR="005E71F7">
        <w:t xml:space="preserve">prior learning </w:t>
      </w:r>
      <w:r w:rsidR="00A65DD0">
        <w:t>assessments in the admission</w:t>
      </w:r>
      <w:r w:rsidR="006C308A">
        <w:t xml:space="preserve"> framework</w:t>
      </w:r>
      <w:r w:rsidR="00524362">
        <w:t>.</w:t>
      </w:r>
    </w:p>
    <w:p w14:paraId="42A3E42F" w14:textId="11DDD6EE" w:rsidR="00FB254B" w:rsidRPr="00724811" w:rsidRDefault="0048300D" w:rsidP="002B278D">
      <w:pPr>
        <w:pStyle w:val="Heading2"/>
        <w:numPr>
          <w:ilvl w:val="0"/>
          <w:numId w:val="40"/>
        </w:numPr>
        <w:ind w:left="720"/>
      </w:pPr>
      <w:r>
        <w:t>Identified</w:t>
      </w:r>
      <w:r w:rsidR="00FB254B">
        <w:t xml:space="preserve"> issues</w:t>
      </w:r>
    </w:p>
    <w:p w14:paraId="4FF7A2CA" w14:textId="068B1C2A" w:rsidR="00FB254B" w:rsidRDefault="006C57A5" w:rsidP="00214CDD">
      <w:pPr>
        <w:rPr>
          <w:color w:val="auto"/>
        </w:rPr>
      </w:pPr>
      <w:r w:rsidRPr="006C57A5">
        <w:rPr>
          <w:color w:val="auto"/>
        </w:rPr>
        <w:t xml:space="preserve">TEQSA has identified a </w:t>
      </w:r>
      <w:proofErr w:type="gramStart"/>
      <w:r w:rsidRPr="006C57A5">
        <w:rPr>
          <w:color w:val="auto"/>
        </w:rPr>
        <w:t>range issues</w:t>
      </w:r>
      <w:proofErr w:type="gramEnd"/>
      <w:r w:rsidRPr="006C57A5">
        <w:rPr>
          <w:color w:val="auto"/>
        </w:rPr>
        <w:t xml:space="preserve"> which are indicative of</w:t>
      </w:r>
      <w:r>
        <w:rPr>
          <w:color w:val="auto"/>
        </w:rPr>
        <w:t xml:space="preserve"> potential deficiencies in a provider’s admissions framework. These include, but are not limited to:</w:t>
      </w:r>
    </w:p>
    <w:p w14:paraId="0BDED58E" w14:textId="70CFF9D5" w:rsidR="005B4C15" w:rsidRDefault="0073239D" w:rsidP="007C3D28">
      <w:pPr>
        <w:pStyle w:val="BulletsL2"/>
        <w:numPr>
          <w:ilvl w:val="0"/>
          <w:numId w:val="45"/>
        </w:numPr>
      </w:pPr>
      <w:r>
        <w:t>a</w:t>
      </w:r>
      <w:r w:rsidR="005B4C15">
        <w:t xml:space="preserve">dmissions decisions made without sufficient documentation of English language proficiency, work experience or </w:t>
      </w:r>
      <w:r w:rsidR="00E940BE">
        <w:t xml:space="preserve">the basis for granting credit for </w:t>
      </w:r>
      <w:r w:rsidR="00A942F0">
        <w:t>recognition of prior learning</w:t>
      </w:r>
      <w:r w:rsidR="005B4C15">
        <w:t xml:space="preserve">. </w:t>
      </w:r>
      <w:r w:rsidR="00E940BE">
        <w:t>This includes inadequate record</w:t>
      </w:r>
      <w:r w:rsidR="00CD095A">
        <w:t>-</w:t>
      </w:r>
      <w:r w:rsidR="00E940BE">
        <w:t xml:space="preserve">keeping in relation to exemptions </w:t>
      </w:r>
      <w:r w:rsidR="00384D6D">
        <w:t>or</w:t>
      </w:r>
      <w:r w:rsidR="00E940BE">
        <w:t xml:space="preserve"> waivers</w:t>
      </w:r>
      <w:r w:rsidR="00657056">
        <w:t xml:space="preserve">, especially waivers granted against English language proficiency requirements (see TEQSA’s </w:t>
      </w:r>
      <w:hyperlink r:id="rId16" w:history="1">
        <w:r w:rsidR="00657056" w:rsidRPr="00BB2631">
          <w:rPr>
            <w:rStyle w:val="Hyperlink"/>
            <w:color w:val="004E7D"/>
          </w:rPr>
          <w:t>communiqué</w:t>
        </w:r>
      </w:hyperlink>
      <w:r w:rsidR="00657056" w:rsidRPr="00BB2631">
        <w:rPr>
          <w:color w:val="004E7D"/>
        </w:rPr>
        <w:t xml:space="preserve"> </w:t>
      </w:r>
      <w:r w:rsidR="00657056">
        <w:t>covering English language waivers for more information)</w:t>
      </w:r>
      <w:r w:rsidR="00663C2C">
        <w:t xml:space="preserve"> (Standard 1.1.1)</w:t>
      </w:r>
    </w:p>
    <w:p w14:paraId="45231A5D" w14:textId="10BB8247" w:rsidR="005B12B1" w:rsidRDefault="0073239D" w:rsidP="007C3D28">
      <w:pPr>
        <w:pStyle w:val="BulletsL2"/>
        <w:numPr>
          <w:ilvl w:val="0"/>
          <w:numId w:val="45"/>
        </w:numPr>
      </w:pPr>
      <w:r>
        <w:t>p</w:t>
      </w:r>
      <w:r w:rsidR="005B12B1">
        <w:t>oorly specified or a lack of arrangements to identify student subgroups and cohorts which limits the capacity of a provider to ensure students are admitted with no known limitations, and creates difficulties in monitoring and reviewing the efficacy of the admissions framework by student subgroups and cohorts</w:t>
      </w:r>
    </w:p>
    <w:p w14:paraId="054C961D" w14:textId="0481A7C0" w:rsidR="00AC5E26" w:rsidRDefault="0073239D" w:rsidP="007C3D28">
      <w:pPr>
        <w:pStyle w:val="BulletsL2"/>
        <w:numPr>
          <w:ilvl w:val="0"/>
          <w:numId w:val="45"/>
        </w:numPr>
      </w:pPr>
      <w:r>
        <w:t>l</w:t>
      </w:r>
      <w:r w:rsidR="00AC5E26">
        <w:t>imited use of student performance monitoring to inform reviews</w:t>
      </w:r>
      <w:r w:rsidR="00C26FDA">
        <w:t xml:space="preserve"> of</w:t>
      </w:r>
      <w:r w:rsidR="00AC5E26">
        <w:t xml:space="preserve"> and improvements to a provider’s admission framework</w:t>
      </w:r>
    </w:p>
    <w:p w14:paraId="25D97D86" w14:textId="7B7FF6D9" w:rsidR="005B12B1" w:rsidRDefault="0073239D" w:rsidP="007C3D28">
      <w:pPr>
        <w:pStyle w:val="BulletsL2"/>
        <w:numPr>
          <w:ilvl w:val="0"/>
          <w:numId w:val="45"/>
        </w:numPr>
      </w:pPr>
      <w:r>
        <w:t>i</w:t>
      </w:r>
      <w:r w:rsidR="005B12B1">
        <w:t>nadequately specified governance arrangements including lack of clear delegations for admissions decisions, especially in relation to decisions to grant exemptions or waivers, and insufficient monitoring of delegated decision making</w:t>
      </w:r>
    </w:p>
    <w:p w14:paraId="4C7A9DBC" w14:textId="772DEDAC" w:rsidR="00573281" w:rsidRDefault="0073239D" w:rsidP="007C3D28">
      <w:pPr>
        <w:pStyle w:val="BulletsL2"/>
        <w:numPr>
          <w:ilvl w:val="0"/>
          <w:numId w:val="45"/>
        </w:numPr>
      </w:pPr>
      <w:r>
        <w:t>a</w:t>
      </w:r>
      <w:r w:rsidR="00573281">
        <w:t xml:space="preserve"> lack of</w:t>
      </w:r>
      <w:r w:rsidR="00384D6D">
        <w:t xml:space="preserve"> systematic</w:t>
      </w:r>
      <w:r w:rsidR="00573281">
        <w:t xml:space="preserve"> reporting</w:t>
      </w:r>
      <w:r w:rsidR="00384D6D">
        <w:t xml:space="preserve"> on the monitoring and review of the admissions framework</w:t>
      </w:r>
      <w:r w:rsidR="00573281">
        <w:t xml:space="preserve"> to relevant governing bodies </w:t>
      </w:r>
      <w:r w:rsidR="006C308A">
        <w:t>causing in</w:t>
      </w:r>
      <w:r w:rsidR="00573281">
        <w:t>effective oversi</w:t>
      </w:r>
      <w:r w:rsidR="006C308A">
        <w:t>ght</w:t>
      </w:r>
      <w:r w:rsidR="00573281">
        <w:t xml:space="preserve"> of </w:t>
      </w:r>
      <w:r w:rsidR="00384D6D">
        <w:t>a</w:t>
      </w:r>
      <w:r w:rsidR="00573281">
        <w:t xml:space="preserve"> </w:t>
      </w:r>
      <w:r w:rsidR="006C308A">
        <w:t xml:space="preserve">provider’s </w:t>
      </w:r>
      <w:r w:rsidR="00573281">
        <w:t>admissions framework</w:t>
      </w:r>
    </w:p>
    <w:p w14:paraId="48F256BF" w14:textId="7FB9EEAC" w:rsidR="00573281" w:rsidRDefault="0073239D" w:rsidP="007C3D28">
      <w:pPr>
        <w:pStyle w:val="BulletsL2"/>
        <w:numPr>
          <w:ilvl w:val="0"/>
          <w:numId w:val="45"/>
        </w:numPr>
      </w:pPr>
      <w:r>
        <w:t>i</w:t>
      </w:r>
      <w:r w:rsidR="00573281">
        <w:t xml:space="preserve">nsufficient oversight of the application of </w:t>
      </w:r>
      <w:r w:rsidR="00384D6D">
        <w:t xml:space="preserve">a provider’s </w:t>
      </w:r>
      <w:r w:rsidR="00573281">
        <w:t xml:space="preserve">admissions </w:t>
      </w:r>
      <w:r w:rsidR="006C308A">
        <w:t xml:space="preserve">framework </w:t>
      </w:r>
      <w:r w:rsidR="00573281">
        <w:t>in third party arrangements</w:t>
      </w:r>
      <w:r w:rsidR="00524362">
        <w:t>.</w:t>
      </w:r>
    </w:p>
    <w:p w14:paraId="3215106B" w14:textId="77777777" w:rsidR="00C26FDA" w:rsidRDefault="00B8750B" w:rsidP="00BF5F58">
      <w:pPr>
        <w:rPr>
          <w:rFonts w:ascii="Arial" w:hAnsi="Arial" w:cs="Arial"/>
        </w:rPr>
      </w:pPr>
      <w:r>
        <w:rPr>
          <w:rFonts w:ascii="Arial" w:hAnsi="Arial" w:cs="Arial"/>
        </w:rPr>
        <w:t>When providers systematically admit students via poor admissions practices, students may struggle or fail to succeed in their studies as a result, and, more broadly, the integrity and reputation of Australia’s higher education sector may be undermined.</w:t>
      </w:r>
    </w:p>
    <w:p w14:paraId="0BA8D785" w14:textId="1A14DB1A" w:rsidR="00C26FDA" w:rsidRDefault="00B8750B" w:rsidP="00BF5F58">
      <w:pPr>
        <w:rPr>
          <w:rFonts w:ascii="Arial" w:hAnsi="Arial" w:cs="Arial"/>
        </w:rPr>
      </w:pPr>
      <w:r>
        <w:rPr>
          <w:rFonts w:ascii="Arial" w:hAnsi="Arial" w:cs="Arial"/>
        </w:rPr>
        <w:lastRenderedPageBreak/>
        <w:t xml:space="preserve">There are also risks to the students themselves. </w:t>
      </w:r>
      <w:r>
        <w:t xml:space="preserve">If </w:t>
      </w:r>
      <w:r w:rsidR="006C308A">
        <w:t xml:space="preserve">an </w:t>
      </w:r>
      <w:r>
        <w:t xml:space="preserve">admissions </w:t>
      </w:r>
      <w:r w:rsidR="006C308A">
        <w:t>framework</w:t>
      </w:r>
      <w:r>
        <w:t xml:space="preserve"> </w:t>
      </w:r>
      <w:r w:rsidR="006C308A">
        <w:t>is</w:t>
      </w:r>
      <w:r>
        <w:t xml:space="preserve"> inadequate, a provider’s student support services may be overwhelmed by demand for support from students who do not have the academic preparedness </w:t>
      </w:r>
      <w:r w:rsidR="006C308A">
        <w:t>or</w:t>
      </w:r>
      <w:r>
        <w:t xml:space="preserve"> English language proficiency needed to participate effectively in their course of study.</w:t>
      </w:r>
    </w:p>
    <w:p w14:paraId="44006218" w14:textId="463EC79A" w:rsidR="008D77C0" w:rsidRPr="004A6F4E" w:rsidRDefault="00B8750B" w:rsidP="006F158F">
      <w:pPr>
        <w:rPr>
          <w:color w:val="auto"/>
        </w:rPr>
      </w:pPr>
      <w:r>
        <w:rPr>
          <w:rFonts w:ascii="Arial" w:hAnsi="Arial" w:cs="Arial"/>
        </w:rPr>
        <w:t>In contrast, a robust admissions framework, and its consistent and equitable application, contributes to safeguarding the quality and reputation of Australian higher education and the quality of the student experience.</w:t>
      </w:r>
    </w:p>
    <w:p w14:paraId="05D3DAA2" w14:textId="091755A8" w:rsidR="009F34BF" w:rsidRPr="00D0375C" w:rsidRDefault="00BB44F8" w:rsidP="00BB44F8">
      <w:pPr>
        <w:rPr>
          <w:rFonts w:ascii="Arial" w:hAnsi="Arial" w:cs="Arial"/>
          <w:i/>
          <w:noProof/>
          <w:color w:val="auto"/>
        </w:rPr>
      </w:pPr>
      <w:r w:rsidRPr="00D0375C">
        <w:rPr>
          <w:rFonts w:ascii="Arial" w:hAnsi="Arial" w:cs="Arial"/>
          <w:i/>
          <w:noProof/>
          <w:color w:val="auto"/>
        </w:rPr>
        <w:t xml:space="preserve">TEQSA welcomes the diversity of educational delivery across the sector and acknowledges that its </w:t>
      </w:r>
      <w:r w:rsidR="00C97DD4" w:rsidRPr="00D0375C">
        <w:rPr>
          <w:rFonts w:ascii="Arial" w:hAnsi="Arial" w:cs="Arial"/>
          <w:i/>
          <w:noProof/>
          <w:color w:val="auto"/>
        </w:rPr>
        <w:t xml:space="preserve">Guidance </w:t>
      </w:r>
      <w:r w:rsidR="00CD095A" w:rsidRPr="00D0375C">
        <w:rPr>
          <w:rFonts w:ascii="Arial" w:hAnsi="Arial" w:cs="Arial"/>
          <w:i/>
          <w:noProof/>
          <w:color w:val="auto"/>
        </w:rPr>
        <w:t>N</w:t>
      </w:r>
      <w:r w:rsidR="00C97DD4" w:rsidRPr="00D0375C">
        <w:rPr>
          <w:rFonts w:ascii="Arial" w:hAnsi="Arial" w:cs="Arial"/>
          <w:i/>
          <w:noProof/>
          <w:color w:val="auto"/>
        </w:rPr>
        <w:t>otes</w:t>
      </w:r>
      <w:r w:rsidRPr="00D0375C">
        <w:rPr>
          <w:rFonts w:ascii="Arial" w:hAnsi="Arial" w:cs="Arial"/>
          <w:i/>
          <w:noProof/>
          <w:color w:val="auto"/>
        </w:rPr>
        <w:t xml:space="preserve"> may not encompass all of the circumstances seen in the sector. TEQSA also recognises that the requirements of the HES Framework can be met in different ways according to the circumstances of the provider. Provided the requirements of the HES Framework are met, TEQSA will not prescribe how they are met. If in doubt, please consult your TEQSA case manager.</w:t>
      </w:r>
    </w:p>
    <w:p w14:paraId="2CF6A7DC" w14:textId="77777777" w:rsidR="008D77C0" w:rsidRDefault="008D77C0" w:rsidP="006F158F"/>
    <w:tbl>
      <w:tblPr>
        <w:tblW w:w="9356" w:type="dxa"/>
        <w:tblInd w:w="100" w:type="dxa"/>
        <w:tblCellMar>
          <w:left w:w="0" w:type="dxa"/>
          <w:right w:w="0" w:type="dxa"/>
        </w:tblCellMar>
        <w:tblLook w:val="04A0" w:firstRow="1" w:lastRow="0" w:firstColumn="1" w:lastColumn="0" w:noHBand="0" w:noVBand="1"/>
      </w:tblPr>
      <w:tblGrid>
        <w:gridCol w:w="1276"/>
        <w:gridCol w:w="2126"/>
        <w:gridCol w:w="5954"/>
      </w:tblGrid>
      <w:tr w:rsidR="009F34BF" w14:paraId="353D2492" w14:textId="77777777" w:rsidTr="00BB2631">
        <w:trPr>
          <w:tblHeader/>
        </w:trPr>
        <w:tc>
          <w:tcPr>
            <w:tcW w:w="1276" w:type="dxa"/>
            <w:tcBorders>
              <w:top w:val="single" w:sz="8" w:space="0" w:color="999999"/>
              <w:left w:val="single" w:sz="8" w:space="0" w:color="999999"/>
              <w:bottom w:val="single" w:sz="8" w:space="0" w:color="999999"/>
              <w:right w:val="single" w:sz="8" w:space="0" w:color="999999"/>
            </w:tcBorders>
            <w:shd w:val="clear" w:color="auto" w:fill="004E7D"/>
            <w:tcMar>
              <w:top w:w="100" w:type="dxa"/>
              <w:left w:w="100" w:type="dxa"/>
              <w:bottom w:w="100" w:type="dxa"/>
              <w:right w:w="100" w:type="dxa"/>
            </w:tcMar>
            <w:hideMark/>
          </w:tcPr>
          <w:p w14:paraId="2B7727A5" w14:textId="77777777" w:rsidR="009F34BF" w:rsidRDefault="009F34BF" w:rsidP="003A2A53">
            <w:pPr>
              <w:pStyle w:val="Normal1"/>
              <w:spacing w:line="240" w:lineRule="auto"/>
              <w:rPr>
                <w:b/>
                <w:color w:val="E7E6E6" w:themeColor="background2"/>
                <w:sz w:val="20"/>
                <w:szCs w:val="20"/>
                <w:lang w:val="en-US"/>
              </w:rPr>
            </w:pPr>
            <w:r>
              <w:rPr>
                <w:b/>
                <w:color w:val="E7E6E6" w:themeColor="background2"/>
                <w:sz w:val="20"/>
                <w:szCs w:val="20"/>
                <w:lang w:val="en-US"/>
              </w:rPr>
              <w:t>Version #</w:t>
            </w:r>
          </w:p>
        </w:tc>
        <w:tc>
          <w:tcPr>
            <w:tcW w:w="2126" w:type="dxa"/>
            <w:tcBorders>
              <w:top w:val="single" w:sz="8" w:space="0" w:color="999999"/>
              <w:left w:val="nil"/>
              <w:bottom w:val="single" w:sz="8" w:space="0" w:color="999999"/>
              <w:right w:val="single" w:sz="8" w:space="0" w:color="999999"/>
            </w:tcBorders>
            <w:shd w:val="clear" w:color="auto" w:fill="004E7D"/>
            <w:tcMar>
              <w:top w:w="100" w:type="dxa"/>
              <w:left w:w="100" w:type="dxa"/>
              <w:bottom w:w="100" w:type="dxa"/>
              <w:right w:w="100" w:type="dxa"/>
            </w:tcMar>
            <w:hideMark/>
          </w:tcPr>
          <w:p w14:paraId="1538BC46" w14:textId="77777777" w:rsidR="009F34BF" w:rsidRDefault="009F34BF" w:rsidP="003A2A53">
            <w:pPr>
              <w:pStyle w:val="Normal1"/>
              <w:spacing w:line="240" w:lineRule="auto"/>
              <w:rPr>
                <w:b/>
                <w:color w:val="E7E6E6" w:themeColor="background2"/>
                <w:sz w:val="20"/>
                <w:szCs w:val="20"/>
                <w:lang w:val="en-US"/>
              </w:rPr>
            </w:pPr>
            <w:r>
              <w:rPr>
                <w:b/>
                <w:color w:val="E7E6E6" w:themeColor="background2"/>
                <w:sz w:val="20"/>
                <w:szCs w:val="20"/>
                <w:lang w:val="en-US"/>
              </w:rPr>
              <w:t>Date</w:t>
            </w:r>
          </w:p>
        </w:tc>
        <w:tc>
          <w:tcPr>
            <w:tcW w:w="5954" w:type="dxa"/>
            <w:tcBorders>
              <w:top w:val="single" w:sz="8" w:space="0" w:color="999999"/>
              <w:left w:val="nil"/>
              <w:bottom w:val="single" w:sz="8" w:space="0" w:color="999999"/>
              <w:right w:val="single" w:sz="8" w:space="0" w:color="999999"/>
            </w:tcBorders>
            <w:shd w:val="clear" w:color="auto" w:fill="004E7D"/>
            <w:tcMar>
              <w:top w:w="100" w:type="dxa"/>
              <w:left w:w="100" w:type="dxa"/>
              <w:bottom w:w="100" w:type="dxa"/>
              <w:right w:w="100" w:type="dxa"/>
            </w:tcMar>
            <w:hideMark/>
          </w:tcPr>
          <w:p w14:paraId="3C9B84A9" w14:textId="77777777" w:rsidR="009F34BF" w:rsidRDefault="009F34BF" w:rsidP="003A2A53">
            <w:pPr>
              <w:pStyle w:val="Normal1"/>
              <w:spacing w:line="240" w:lineRule="auto"/>
              <w:rPr>
                <w:b/>
                <w:color w:val="E7E6E6" w:themeColor="background2"/>
                <w:sz w:val="20"/>
                <w:szCs w:val="20"/>
                <w:lang w:val="en-US"/>
              </w:rPr>
            </w:pPr>
            <w:r>
              <w:rPr>
                <w:b/>
                <w:color w:val="E7E6E6" w:themeColor="background2"/>
                <w:sz w:val="20"/>
                <w:szCs w:val="20"/>
                <w:lang w:val="en-US"/>
              </w:rPr>
              <w:t>Key changes</w:t>
            </w:r>
          </w:p>
        </w:tc>
      </w:tr>
      <w:tr w:rsidR="009F34BF" w14:paraId="7A6ADC7F" w14:textId="77777777" w:rsidTr="006F158F">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hideMark/>
          </w:tcPr>
          <w:p w14:paraId="05B0B6AE" w14:textId="77777777" w:rsidR="009F34BF" w:rsidRDefault="009F34BF" w:rsidP="003A2A53">
            <w:pPr>
              <w:pStyle w:val="Normal1"/>
              <w:spacing w:line="240" w:lineRule="auto"/>
              <w:rPr>
                <w:sz w:val="20"/>
                <w:szCs w:val="20"/>
                <w:lang w:val="en-US"/>
              </w:rPr>
            </w:pPr>
            <w:r>
              <w:rPr>
                <w:sz w:val="20"/>
                <w:szCs w:val="20"/>
                <w:lang w:val="en-US"/>
              </w:rPr>
              <w:t>1.0</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hideMark/>
          </w:tcPr>
          <w:p w14:paraId="675CE92E" w14:textId="2E9C37D1" w:rsidR="009F34BF" w:rsidRPr="008D5BEB" w:rsidRDefault="008D5BEB" w:rsidP="003A2A53">
            <w:pPr>
              <w:pStyle w:val="Normal1"/>
              <w:spacing w:line="240" w:lineRule="auto"/>
              <w:rPr>
                <w:color w:val="000000" w:themeColor="text1"/>
                <w:sz w:val="20"/>
                <w:szCs w:val="20"/>
                <w:highlight w:val="yellow"/>
                <w:lang w:val="en-US"/>
              </w:rPr>
            </w:pPr>
            <w:r>
              <w:rPr>
                <w:color w:val="000000" w:themeColor="text1"/>
                <w:sz w:val="20"/>
                <w:szCs w:val="20"/>
                <w:lang w:val="en-US"/>
              </w:rPr>
              <w:t>8 February 2021</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hideMark/>
          </w:tcPr>
          <w:p w14:paraId="726A7DD9" w14:textId="77777777" w:rsidR="009F34BF" w:rsidRPr="008D5BEB" w:rsidRDefault="009F34BF" w:rsidP="003A2A53">
            <w:pPr>
              <w:pStyle w:val="Normal1"/>
              <w:spacing w:line="240" w:lineRule="auto"/>
              <w:rPr>
                <w:color w:val="000000" w:themeColor="text1"/>
                <w:sz w:val="20"/>
                <w:szCs w:val="20"/>
                <w:lang w:val="en-US"/>
              </w:rPr>
            </w:pPr>
            <w:r w:rsidRPr="008D5BEB">
              <w:rPr>
                <w:color w:val="000000" w:themeColor="text1"/>
                <w:sz w:val="20"/>
                <w:szCs w:val="20"/>
                <w:lang w:val="en-US"/>
              </w:rPr>
              <w:t>Made available as beta version for consultation.</w:t>
            </w:r>
          </w:p>
        </w:tc>
      </w:tr>
      <w:tr w:rsidR="00F23F28" w14:paraId="5E66B6CB" w14:textId="77777777" w:rsidTr="006F158F">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3D239A89" w14:textId="5350065C" w:rsidR="00F23F28" w:rsidRPr="00C50DC2" w:rsidRDefault="00F23F28" w:rsidP="003A2A53">
            <w:pPr>
              <w:pStyle w:val="Normal1"/>
              <w:spacing w:line="240" w:lineRule="auto"/>
              <w:rPr>
                <w:sz w:val="20"/>
                <w:szCs w:val="20"/>
                <w:lang w:val="en-US"/>
              </w:rPr>
            </w:pPr>
            <w:r w:rsidRPr="00C50DC2">
              <w:rPr>
                <w:sz w:val="20"/>
                <w:szCs w:val="20"/>
                <w:lang w:val="en-US"/>
              </w:rPr>
              <w:t>2.</w:t>
            </w:r>
            <w:r w:rsidR="00D10195" w:rsidRPr="00C50DC2">
              <w:rPr>
                <w:sz w:val="20"/>
                <w:szCs w:val="20"/>
                <w:lang w:val="en-US"/>
              </w:rPr>
              <w:t>0</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19EC5350" w14:textId="073E68DE" w:rsidR="00F23F28" w:rsidRPr="00C50DC2" w:rsidRDefault="00723529" w:rsidP="003A2A53">
            <w:pPr>
              <w:pStyle w:val="Normal1"/>
              <w:spacing w:line="240" w:lineRule="auto"/>
              <w:rPr>
                <w:color w:val="000000" w:themeColor="text1"/>
                <w:sz w:val="20"/>
                <w:szCs w:val="20"/>
                <w:lang w:val="en-US"/>
              </w:rPr>
            </w:pPr>
            <w:r w:rsidRPr="00C50DC2">
              <w:rPr>
                <w:color w:val="000000" w:themeColor="text1"/>
                <w:sz w:val="20"/>
                <w:szCs w:val="20"/>
                <w:lang w:val="en-US"/>
              </w:rPr>
              <w:t xml:space="preserve">4 </w:t>
            </w:r>
            <w:r w:rsidR="00C50DC2" w:rsidRPr="00C50DC2">
              <w:rPr>
                <w:color w:val="000000" w:themeColor="text1"/>
                <w:sz w:val="20"/>
                <w:szCs w:val="20"/>
                <w:lang w:val="en-US"/>
              </w:rPr>
              <w:t>May</w:t>
            </w:r>
            <w:r w:rsidRPr="00C50DC2">
              <w:rPr>
                <w:color w:val="000000" w:themeColor="text1"/>
                <w:sz w:val="20"/>
                <w:szCs w:val="20"/>
                <w:lang w:val="en-US"/>
              </w:rPr>
              <w:t xml:space="preserve"> 2022</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1A44D9DD" w14:textId="72472472" w:rsidR="00F23F28" w:rsidRPr="00C50DC2" w:rsidRDefault="00D10195" w:rsidP="003A2A53">
            <w:pPr>
              <w:pStyle w:val="Normal1"/>
              <w:spacing w:line="240" w:lineRule="auto"/>
              <w:rPr>
                <w:color w:val="000000" w:themeColor="text1"/>
                <w:sz w:val="20"/>
                <w:szCs w:val="20"/>
                <w:lang w:val="en-US"/>
              </w:rPr>
            </w:pPr>
            <w:r w:rsidRPr="00C50DC2">
              <w:rPr>
                <w:color w:val="000000" w:themeColor="text1"/>
                <w:sz w:val="20"/>
                <w:szCs w:val="20"/>
                <w:lang w:val="en-US"/>
              </w:rPr>
              <w:t>Major revision.</w:t>
            </w:r>
            <w:r w:rsidR="0005288F" w:rsidRPr="00C50DC2">
              <w:rPr>
                <w:color w:val="000000" w:themeColor="text1"/>
                <w:sz w:val="20"/>
                <w:szCs w:val="20"/>
                <w:lang w:val="en-US"/>
              </w:rPr>
              <w:t xml:space="preserve"> </w:t>
            </w:r>
          </w:p>
        </w:tc>
      </w:tr>
    </w:tbl>
    <w:p w14:paraId="7099FF47" w14:textId="22B0448F" w:rsidR="009F34BF" w:rsidRPr="009F34BF" w:rsidRDefault="009F34BF" w:rsidP="009F34BF">
      <w:pPr>
        <w:ind w:left="567" w:hanging="567"/>
      </w:pPr>
    </w:p>
    <w:sectPr w:rsidR="009F34BF" w:rsidRPr="009F34BF" w:rsidSect="00D71234">
      <w:headerReference w:type="default" r:id="rId17"/>
      <w:footerReference w:type="even" r:id="rId18"/>
      <w:footerReference w:type="default" r:id="rId19"/>
      <w:headerReference w:type="first" r:id="rId20"/>
      <w:footerReference w:type="first" r:id="rId21"/>
      <w:pgSz w:w="11906" w:h="16838" w:code="9"/>
      <w:pgMar w:top="1440" w:right="1440" w:bottom="1440" w:left="1440" w:header="567" w:footer="56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36468" w14:textId="77777777" w:rsidR="00667614" w:rsidRDefault="00667614" w:rsidP="008E21DE">
      <w:pPr>
        <w:spacing w:before="0" w:after="0"/>
      </w:pPr>
      <w:r>
        <w:separator/>
      </w:r>
    </w:p>
  </w:endnote>
  <w:endnote w:type="continuationSeparator" w:id="0">
    <w:p w14:paraId="01A1AF6F" w14:textId="77777777" w:rsidR="00667614" w:rsidRDefault="00667614"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127858"/>
      <w:docPartObj>
        <w:docPartGallery w:val="Page Numbers (Bottom of Page)"/>
        <w:docPartUnique/>
      </w:docPartObj>
    </w:sdtPr>
    <w:sdtEndPr>
      <w:rPr>
        <w:noProof/>
      </w:rPr>
    </w:sdtEndPr>
    <w:sdtContent>
      <w:p w14:paraId="17E34D0A" w14:textId="77777777" w:rsidR="000D3834" w:rsidRDefault="00CC1310">
        <w:pPr>
          <w:pStyle w:val="Footer"/>
          <w:jc w:val="center"/>
        </w:pPr>
      </w:p>
    </w:sdtContent>
  </w:sdt>
  <w:p w14:paraId="060F4A15" w14:textId="77777777" w:rsidR="000D3834" w:rsidRDefault="000D3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4E7D"/>
        <w:sz w:val="20"/>
        <w:szCs w:val="20"/>
      </w:rPr>
      <w:id w:val="-1988930592"/>
      <w:docPartObj>
        <w:docPartGallery w:val="Page Numbers (Bottom of Page)"/>
        <w:docPartUnique/>
      </w:docPartObj>
    </w:sdtPr>
    <w:sdtEndPr/>
    <w:sdtContent>
      <w:sdt>
        <w:sdtPr>
          <w:rPr>
            <w:color w:val="004E7D"/>
            <w:sz w:val="20"/>
            <w:szCs w:val="20"/>
          </w:rPr>
          <w:id w:val="860082579"/>
          <w:docPartObj>
            <w:docPartGallery w:val="Page Numbers (Top of Page)"/>
            <w:docPartUnique/>
          </w:docPartObj>
        </w:sdtPr>
        <w:sdtEndPr/>
        <w:sdtContent>
          <w:p w14:paraId="0E384F20" w14:textId="20B2D0CB" w:rsidR="000D3834" w:rsidRPr="00BB2631" w:rsidRDefault="000D3834" w:rsidP="00080615">
            <w:pPr>
              <w:pStyle w:val="Footer"/>
              <w:rPr>
                <w:color w:val="004E7D"/>
                <w:sz w:val="20"/>
                <w:szCs w:val="20"/>
              </w:rPr>
            </w:pPr>
            <w:r w:rsidRPr="00BB2631">
              <w:rPr>
                <w:color w:val="004E7D"/>
                <w:sz w:val="20"/>
                <w:szCs w:val="20"/>
              </w:rPr>
              <w:tab/>
            </w:r>
            <w:r w:rsidRPr="00BB2631">
              <w:rPr>
                <w:color w:val="004E7D"/>
                <w:sz w:val="20"/>
                <w:szCs w:val="20"/>
              </w:rPr>
              <w:tab/>
              <w:t xml:space="preserve">Page </w:t>
            </w:r>
            <w:r w:rsidRPr="00BB2631">
              <w:rPr>
                <w:b/>
                <w:bCs/>
                <w:color w:val="004E7D"/>
                <w:sz w:val="20"/>
                <w:szCs w:val="20"/>
              </w:rPr>
              <w:fldChar w:fldCharType="begin"/>
            </w:r>
            <w:r w:rsidRPr="00BB2631">
              <w:rPr>
                <w:b/>
                <w:bCs/>
                <w:color w:val="004E7D"/>
                <w:sz w:val="20"/>
                <w:szCs w:val="20"/>
              </w:rPr>
              <w:instrText xml:space="preserve"> PAGE </w:instrText>
            </w:r>
            <w:r w:rsidRPr="00BB2631">
              <w:rPr>
                <w:b/>
                <w:bCs/>
                <w:color w:val="004E7D"/>
                <w:sz w:val="20"/>
                <w:szCs w:val="20"/>
              </w:rPr>
              <w:fldChar w:fldCharType="separate"/>
            </w:r>
            <w:r w:rsidR="00BF165F" w:rsidRPr="00BB2631">
              <w:rPr>
                <w:b/>
                <w:bCs/>
                <w:noProof/>
                <w:color w:val="004E7D"/>
                <w:sz w:val="20"/>
                <w:szCs w:val="20"/>
              </w:rPr>
              <w:t>10</w:t>
            </w:r>
            <w:r w:rsidRPr="00BB2631">
              <w:rPr>
                <w:b/>
                <w:bCs/>
                <w:color w:val="004E7D"/>
                <w:sz w:val="20"/>
                <w:szCs w:val="20"/>
              </w:rPr>
              <w:fldChar w:fldCharType="end"/>
            </w:r>
            <w:r w:rsidRPr="00BB2631">
              <w:rPr>
                <w:color w:val="004E7D"/>
                <w:sz w:val="20"/>
                <w:szCs w:val="20"/>
              </w:rPr>
              <w:t xml:space="preserve"> of </w:t>
            </w:r>
            <w:r w:rsidRPr="00BB2631">
              <w:rPr>
                <w:b/>
                <w:bCs/>
                <w:color w:val="004E7D"/>
                <w:sz w:val="20"/>
                <w:szCs w:val="20"/>
              </w:rPr>
              <w:fldChar w:fldCharType="begin"/>
            </w:r>
            <w:r w:rsidRPr="00BB2631">
              <w:rPr>
                <w:b/>
                <w:bCs/>
                <w:color w:val="004E7D"/>
                <w:sz w:val="20"/>
                <w:szCs w:val="20"/>
              </w:rPr>
              <w:instrText xml:space="preserve"> NUMPAGES  </w:instrText>
            </w:r>
            <w:r w:rsidRPr="00BB2631">
              <w:rPr>
                <w:b/>
                <w:bCs/>
                <w:color w:val="004E7D"/>
                <w:sz w:val="20"/>
                <w:szCs w:val="20"/>
              </w:rPr>
              <w:fldChar w:fldCharType="separate"/>
            </w:r>
            <w:r w:rsidR="00BF165F" w:rsidRPr="00BB2631">
              <w:rPr>
                <w:b/>
                <w:bCs/>
                <w:noProof/>
                <w:color w:val="004E7D"/>
                <w:sz w:val="20"/>
                <w:szCs w:val="20"/>
              </w:rPr>
              <w:t>10</w:t>
            </w:r>
            <w:r w:rsidRPr="00BB2631">
              <w:rPr>
                <w:b/>
                <w:bCs/>
                <w:color w:val="004E7D"/>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54C4" w14:textId="77777777" w:rsidR="000D3834" w:rsidRPr="00080615" w:rsidRDefault="000D3834" w:rsidP="00080615">
    <w:pPr>
      <w:pStyle w:val="Footer"/>
    </w:pPr>
    <w:r w:rsidRPr="00080615">
      <w:rPr>
        <w:noProof/>
        <w:lang w:eastAsia="en-AU"/>
      </w:rPr>
      <mc:AlternateContent>
        <mc:Choice Requires="wps">
          <w:drawing>
            <wp:anchor distT="0" distB="0" distL="114300" distR="114300" simplePos="0" relativeHeight="251658752" behindDoc="0" locked="1" layoutInCell="1" allowOverlap="1" wp14:anchorId="15F0F47A" wp14:editId="57DFA604">
              <wp:simplePos x="0" y="0"/>
              <wp:positionH relativeFrom="page">
                <wp:posOffset>6070600</wp:posOffset>
              </wp:positionH>
              <wp:positionV relativeFrom="page">
                <wp:posOffset>10083800</wp:posOffset>
              </wp:positionV>
              <wp:extent cx="1490345" cy="600710"/>
              <wp:effectExtent l="0" t="0" r="0" b="8890"/>
              <wp:wrapNone/>
              <wp:docPr id="4" name="Text Box 4"/>
              <wp:cNvGraphicFramePr/>
              <a:graphic xmlns:a="http://schemas.openxmlformats.org/drawingml/2006/main">
                <a:graphicData uri="http://schemas.microsoft.com/office/word/2010/wordprocessingShape">
                  <wps:wsp>
                    <wps:cNvSpPr txBox="1"/>
                    <wps:spPr>
                      <a:xfrm>
                        <a:off x="0" y="0"/>
                        <a:ext cx="1490345" cy="600710"/>
                      </a:xfrm>
                      <a:prstGeom prst="rect">
                        <a:avLst/>
                      </a:prstGeom>
                      <a:noFill/>
                      <a:ln w="6350">
                        <a:noFill/>
                      </a:ln>
                    </wps:spPr>
                    <wps:txbx>
                      <w:txbxContent>
                        <w:p w14:paraId="7CD6ABDE" w14:textId="77777777" w:rsidR="000D3834" w:rsidRDefault="000D3834" w:rsidP="008E21DE">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12</w:t>
                          </w:r>
                          <w:r>
                            <w:rPr>
                              <w:noProof/>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0F47A" id="_x0000_t202" coordsize="21600,21600" o:spt="202" path="m,l,21600r21600,l21600,xe">
              <v:stroke joinstyle="miter"/>
              <v:path gradientshapeok="t" o:connecttype="rect"/>
            </v:shapetype>
            <v:shape id="Text Box 4" o:spid="_x0000_s1026" type="#_x0000_t202" style="position:absolute;margin-left:478pt;margin-top:794pt;width:117.35pt;height:47.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" filled="f" stroked="f" strokeweight=".5pt">
              <v:textbox inset="0,0,20mm,0">
                <w:txbxContent>
                  <w:p w14:paraId="7CD6ABDE" w14:textId="77777777" w:rsidR="000D3834" w:rsidRDefault="000D3834" w:rsidP="008E21DE">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12</w:t>
                    </w:r>
                    <w:r>
                      <w:rPr>
                        <w:noProof/>
                      </w:rPr>
                      <w:fldChar w:fldCharType="end"/>
                    </w:r>
                  </w:p>
                </w:txbxContent>
              </v:textbox>
              <w10:wrap anchorx="page" anchory="page"/>
              <w10:anchorlock/>
            </v:shape>
          </w:pict>
        </mc:Fallback>
      </mc:AlternateContent>
    </w:r>
    <w:r>
      <w:fldChar w:fldCharType="begin"/>
    </w:r>
    <w:r>
      <w:instrText xml:space="preserve"> STYLEREF  Title  \* MERGEFORMAT </w:instrText>
    </w:r>
    <w:r>
      <w:fldChar w:fldCharType="separate"/>
    </w:r>
    <w:r>
      <w:rPr>
        <w:b/>
        <w:bCs/>
        <w:noProof/>
        <w:lang w:val="en-US"/>
      </w:rPr>
      <w:t>Error! No text of specified style in document.</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FBFF" w14:textId="77777777" w:rsidR="00667614" w:rsidRDefault="00667614" w:rsidP="008E21DE">
      <w:pPr>
        <w:spacing w:before="0" w:after="0"/>
      </w:pPr>
      <w:r>
        <w:separator/>
      </w:r>
    </w:p>
  </w:footnote>
  <w:footnote w:type="continuationSeparator" w:id="0">
    <w:p w14:paraId="2D313D24" w14:textId="77777777" w:rsidR="00667614" w:rsidRDefault="00667614"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4EB7" w14:textId="41032452" w:rsidR="000D3834" w:rsidRDefault="000D3834">
    <w:pPr>
      <w:pStyle w:val="Header"/>
    </w:pPr>
    <w:r>
      <w:rPr>
        <w:rFonts w:ascii="Georgia" w:hAnsi="Georgia" w:cs="Arial"/>
        <w:b w:val="0"/>
        <w:noProof/>
        <w:color w:val="004855"/>
        <w:sz w:val="28"/>
        <w:szCs w:val="28"/>
        <w:lang w:eastAsia="en-AU"/>
      </w:rPr>
      <w:drawing>
        <wp:anchor distT="0" distB="0" distL="114300" distR="114300" simplePos="0" relativeHeight="251656704" behindDoc="0" locked="0" layoutInCell="1" allowOverlap="1" wp14:anchorId="635AFC83" wp14:editId="295371A5">
          <wp:simplePos x="0" y="0"/>
          <wp:positionH relativeFrom="column">
            <wp:posOffset>3945495</wp:posOffset>
          </wp:positionH>
          <wp:positionV relativeFrom="paragraph">
            <wp:posOffset>116205</wp:posOffset>
          </wp:positionV>
          <wp:extent cx="1424459" cy="353060"/>
          <wp:effectExtent l="0" t="0" r="4445"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4459" cy="353060"/>
                  </a:xfrm>
                  <a:prstGeom prst="rect">
                    <a:avLst/>
                  </a:prstGeom>
                  <a:noFill/>
                  <a:ln>
                    <a:noFill/>
                  </a:ln>
                </pic:spPr>
              </pic:pic>
            </a:graphicData>
          </a:graphic>
        </wp:anchor>
      </w:drawing>
    </w:r>
    <w:r>
      <w:rPr>
        <w:rFonts w:ascii="Georgia" w:hAnsi="Georgia" w:cs="Arial"/>
        <w:b w:val="0"/>
        <w:noProof/>
        <w:color w:val="004855"/>
        <w:sz w:val="28"/>
        <w:szCs w:val="28"/>
        <w:lang w:eastAsia="en-AU"/>
      </w:rPr>
      <w:drawing>
        <wp:inline distT="0" distB="0" distL="0" distR="0" wp14:anchorId="7ADB964D" wp14:editId="24CAC234">
          <wp:extent cx="3205353" cy="47680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205353" cy="476804"/>
                  </a:xfrm>
                  <a:prstGeom prst="rect">
                    <a:avLst/>
                  </a:prstGeom>
                  <a:noFill/>
                  <a:ln>
                    <a:noFill/>
                  </a:ln>
                </pic:spPr>
              </pic:pic>
            </a:graphicData>
          </a:graphic>
        </wp:inline>
      </w:drawing>
    </w:r>
  </w:p>
  <w:p w14:paraId="30953D40" w14:textId="77777777" w:rsidR="000D3834" w:rsidRDefault="000D3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1928" w14:textId="77777777" w:rsidR="000D3834" w:rsidRPr="00080615" w:rsidRDefault="000D3834" w:rsidP="00080615">
    <w:pPr>
      <w:pStyle w:val="Header"/>
    </w:pPr>
    <w:r w:rsidRPr="00080615">
      <w:t>Client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in;height:36pt" o:bullet="t">
        <v:imagedata r:id="rId1" o:title="Teal-Triangles"/>
      </v:shape>
    </w:pict>
  </w:numPicBullet>
  <w:numPicBullet w:numPicBulletId="1">
    <w:pict>
      <v:shape id="_x0000_i1030" type="#_x0000_t75" style="width:1in;height:36pt" o:bullet="t">
        <v:imagedata r:id="rId2" o:title="Pink-Triangles"/>
      </v:shape>
    </w:pict>
  </w:numPicBullet>
  <w:numPicBullet w:numPicBulletId="2">
    <w:pict>
      <v:shape id="_x0000_i1031" type="#_x0000_t75" style="width:1in;height:36pt" o:bullet="t">
        <v:imagedata r:id="rId3" o:title="Yellow-Triangles"/>
      </v:shape>
    </w:pict>
  </w:numPicBullet>
  <w:abstractNum w:abstractNumId="0" w15:restartNumberingAfterBreak="0">
    <w:nsid w:val="002954DA"/>
    <w:multiLevelType w:val="hybridMultilevel"/>
    <w:tmpl w:val="02909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64383"/>
    <w:multiLevelType w:val="hybridMultilevel"/>
    <w:tmpl w:val="6C6E2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3B45" w:themeColor="text2"/>
      </w:rPr>
    </w:lvl>
    <w:lvl w:ilvl="2">
      <w:start w:val="1"/>
      <w:numFmt w:val="bullet"/>
      <w:lvlText w:val="»"/>
      <w:lvlJc w:val="left"/>
      <w:pPr>
        <w:ind w:left="852" w:hanging="284"/>
      </w:pPr>
      <w:rPr>
        <w:rFonts w:ascii="Arial" w:hAnsi="Arial" w:hint="default"/>
        <w:color w:val="003B45"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7AE1129"/>
    <w:multiLevelType w:val="hybridMultilevel"/>
    <w:tmpl w:val="07ACA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B29223F6"/>
    <w:styleLink w:val="FigureNumbers"/>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DD0C63"/>
    <w:multiLevelType w:val="multilevel"/>
    <w:tmpl w:val="ECC6EBA4"/>
    <w:lvl w:ilvl="0">
      <w:start w:val="1"/>
      <w:numFmt w:val="bullet"/>
      <w:lvlText w:val=""/>
      <w:lvlJc w:val="left"/>
      <w:pPr>
        <w:ind w:left="568" w:hanging="284"/>
      </w:pPr>
      <w:rPr>
        <w:rFonts w:ascii="Symbol" w:hAnsi="Symbol" w:hint="default"/>
        <w:color w:val="004E7D"/>
      </w:rPr>
    </w:lvl>
    <w:lvl w:ilvl="1">
      <w:start w:val="1"/>
      <w:numFmt w:val="bullet"/>
      <w:lvlText w:val="–"/>
      <w:lvlJc w:val="left"/>
      <w:pPr>
        <w:ind w:left="852" w:hanging="284"/>
      </w:pPr>
      <w:rPr>
        <w:rFonts w:ascii="Arial" w:hAnsi="Arial" w:hint="default"/>
        <w:color w:val="00847E" w:themeColor="accent1"/>
      </w:rPr>
    </w:lvl>
    <w:lvl w:ilvl="2">
      <w:start w:val="1"/>
      <w:numFmt w:val="bullet"/>
      <w:lvlText w:val="»"/>
      <w:lvlJc w:val="left"/>
      <w:pPr>
        <w:ind w:left="1136" w:hanging="284"/>
      </w:pPr>
      <w:rPr>
        <w:rFonts w:ascii="Arial" w:hAnsi="Arial" w:hint="default"/>
        <w:color w:val="00847E" w:themeColor="accent1"/>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7"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1761EE"/>
    <w:multiLevelType w:val="multilevel"/>
    <w:tmpl w:val="131EEC6C"/>
    <w:numStyleLink w:val="TableNumbers"/>
  </w:abstractNum>
  <w:abstractNum w:abstractNumId="11" w15:restartNumberingAfterBreak="0">
    <w:nsid w:val="335A332E"/>
    <w:multiLevelType w:val="multilevel"/>
    <w:tmpl w:val="EDDCBB3C"/>
    <w:numStyleLink w:val="DefaultBullets"/>
  </w:abstractNum>
  <w:abstractNum w:abstractNumId="12" w15:restartNumberingAfterBreak="0">
    <w:nsid w:val="3619129F"/>
    <w:multiLevelType w:val="hybridMultilevel"/>
    <w:tmpl w:val="41A01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F11E8A"/>
    <w:multiLevelType w:val="hybridMultilevel"/>
    <w:tmpl w:val="8B327CE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F22498"/>
    <w:multiLevelType w:val="hybridMultilevel"/>
    <w:tmpl w:val="D2B030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B69598E"/>
    <w:multiLevelType w:val="multilevel"/>
    <w:tmpl w:val="C30EA83E"/>
    <w:lvl w:ilvl="0">
      <w:start w:val="1"/>
      <w:numFmt w:val="bullet"/>
      <w:lvlText w:val=""/>
      <w:lvlJc w:val="left"/>
      <w:pPr>
        <w:ind w:left="568" w:hanging="284"/>
      </w:pPr>
      <w:rPr>
        <w:rFonts w:ascii="Symbol" w:hAnsi="Symbol" w:hint="default"/>
        <w:color w:val="004E7D"/>
      </w:rPr>
    </w:lvl>
    <w:lvl w:ilvl="1">
      <w:start w:val="1"/>
      <w:numFmt w:val="bullet"/>
      <w:lvlText w:val="–"/>
      <w:lvlJc w:val="left"/>
      <w:pPr>
        <w:ind w:left="852" w:hanging="284"/>
      </w:pPr>
      <w:rPr>
        <w:rFonts w:ascii="Arial" w:hAnsi="Arial" w:hint="default"/>
        <w:color w:val="00847E" w:themeColor="accent1"/>
      </w:rPr>
    </w:lvl>
    <w:lvl w:ilvl="2">
      <w:start w:val="1"/>
      <w:numFmt w:val="bullet"/>
      <w:lvlText w:val="»"/>
      <w:lvlJc w:val="left"/>
      <w:pPr>
        <w:ind w:left="1136" w:hanging="284"/>
      </w:pPr>
      <w:rPr>
        <w:rFonts w:ascii="Arial" w:hAnsi="Arial" w:hint="default"/>
        <w:color w:val="00847E" w:themeColor="accent1"/>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6"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D95AA3"/>
    <w:multiLevelType w:val="multilevel"/>
    <w:tmpl w:val="C5C0D730"/>
    <w:lvl w:ilvl="0">
      <w:start w:val="1"/>
      <w:numFmt w:val="bullet"/>
      <w:lvlText w:val=""/>
      <w:lvlJc w:val="left"/>
      <w:pPr>
        <w:ind w:left="568" w:hanging="284"/>
      </w:pPr>
      <w:rPr>
        <w:rFonts w:ascii="Symbol" w:hAnsi="Symbol" w:hint="default"/>
        <w:color w:val="004E7D"/>
      </w:rPr>
    </w:lvl>
    <w:lvl w:ilvl="1">
      <w:start w:val="1"/>
      <w:numFmt w:val="bullet"/>
      <w:lvlText w:val="–"/>
      <w:lvlJc w:val="left"/>
      <w:pPr>
        <w:ind w:left="852" w:hanging="284"/>
      </w:pPr>
      <w:rPr>
        <w:rFonts w:ascii="Arial" w:hAnsi="Arial" w:hint="default"/>
        <w:color w:val="00847E" w:themeColor="accent1"/>
      </w:rPr>
    </w:lvl>
    <w:lvl w:ilvl="2">
      <w:start w:val="1"/>
      <w:numFmt w:val="bullet"/>
      <w:lvlText w:val="»"/>
      <w:lvlJc w:val="left"/>
      <w:pPr>
        <w:ind w:left="1136" w:hanging="284"/>
      </w:pPr>
      <w:rPr>
        <w:rFonts w:ascii="Arial" w:hAnsi="Arial" w:hint="default"/>
        <w:color w:val="00847E" w:themeColor="accent1"/>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18" w15:restartNumberingAfterBreak="0">
    <w:nsid w:val="41175F19"/>
    <w:multiLevelType w:val="hybridMultilevel"/>
    <w:tmpl w:val="30BE6CDE"/>
    <w:lvl w:ilvl="0" w:tplc="A96AEBA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0" w15:restartNumberingAfterBreak="0">
    <w:nsid w:val="46AC6D91"/>
    <w:multiLevelType w:val="hybridMultilevel"/>
    <w:tmpl w:val="4A5E6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253C71"/>
    <w:multiLevelType w:val="hybridMultilevel"/>
    <w:tmpl w:val="FD02CE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1F02E74"/>
    <w:multiLevelType w:val="hybridMultilevel"/>
    <w:tmpl w:val="CE8210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5249AF"/>
    <w:multiLevelType w:val="multilevel"/>
    <w:tmpl w:val="CC9AB0EE"/>
    <w:styleLink w:val="AppendixNumbers"/>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3C030CE"/>
    <w:multiLevelType w:val="hybridMultilevel"/>
    <w:tmpl w:val="357400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6DB5F4C"/>
    <w:multiLevelType w:val="multilevel"/>
    <w:tmpl w:val="BA4CA9E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615703"/>
    <w:multiLevelType w:val="multilevel"/>
    <w:tmpl w:val="803CF862"/>
    <w:numStyleLink w:val="List1Numbered"/>
  </w:abstractNum>
  <w:abstractNum w:abstractNumId="27"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F51665"/>
    <w:multiLevelType w:val="multilevel"/>
    <w:tmpl w:val="BA4CA9E6"/>
    <w:numStyleLink w:val="NumberedHeadings"/>
  </w:abstractNum>
  <w:abstractNum w:abstractNumId="29" w15:restartNumberingAfterBreak="0">
    <w:nsid w:val="5C283B55"/>
    <w:multiLevelType w:val="multilevel"/>
    <w:tmpl w:val="B29223F6"/>
    <w:numStyleLink w:val="FigureNumbers"/>
  </w:abstractNum>
  <w:abstractNum w:abstractNumId="30" w15:restartNumberingAfterBreak="0">
    <w:nsid w:val="6C34433C"/>
    <w:multiLevelType w:val="hybridMultilevel"/>
    <w:tmpl w:val="0C009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8A2546"/>
    <w:multiLevelType w:val="multilevel"/>
    <w:tmpl w:val="35C67158"/>
    <w:lvl w:ilvl="0">
      <w:start w:val="1"/>
      <w:numFmt w:val="bullet"/>
      <w:lvlText w:val=""/>
      <w:lvlJc w:val="left"/>
      <w:pPr>
        <w:ind w:left="568" w:hanging="284"/>
      </w:pPr>
      <w:rPr>
        <w:rFonts w:ascii="Symbol" w:hAnsi="Symbol" w:hint="default"/>
        <w:color w:val="004E7D"/>
      </w:rPr>
    </w:lvl>
    <w:lvl w:ilvl="1">
      <w:start w:val="1"/>
      <w:numFmt w:val="bullet"/>
      <w:lvlText w:val="–"/>
      <w:lvlJc w:val="left"/>
      <w:pPr>
        <w:ind w:left="852" w:hanging="284"/>
      </w:pPr>
      <w:rPr>
        <w:rFonts w:ascii="Arial" w:hAnsi="Arial" w:hint="default"/>
        <w:color w:val="00847E" w:themeColor="accent1"/>
      </w:rPr>
    </w:lvl>
    <w:lvl w:ilvl="2">
      <w:start w:val="1"/>
      <w:numFmt w:val="bullet"/>
      <w:lvlText w:val="»"/>
      <w:lvlJc w:val="left"/>
      <w:pPr>
        <w:ind w:left="1136" w:hanging="284"/>
      </w:pPr>
      <w:rPr>
        <w:rFonts w:ascii="Arial" w:hAnsi="Arial" w:hint="default"/>
        <w:color w:val="00847E" w:themeColor="accent1"/>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32" w15:restartNumberingAfterBreak="0">
    <w:nsid w:val="738A4D83"/>
    <w:multiLevelType w:val="multilevel"/>
    <w:tmpl w:val="EDDCBB3C"/>
    <w:styleLink w:val="DefaultBullets"/>
    <w:lvl w:ilvl="0">
      <w:start w:val="1"/>
      <w:numFmt w:val="bullet"/>
      <w:pStyle w:val="BulletsL2"/>
      <w:lvlText w:val=""/>
      <w:lvlJc w:val="left"/>
      <w:pPr>
        <w:ind w:left="568" w:hanging="284"/>
      </w:pPr>
      <w:rPr>
        <w:rFonts w:ascii="Symbol" w:hAnsi="Symbol" w:hint="default"/>
        <w:color w:val="00847E" w:themeColor="accent1"/>
      </w:rPr>
    </w:lvl>
    <w:lvl w:ilvl="1">
      <w:start w:val="1"/>
      <w:numFmt w:val="bullet"/>
      <w:pStyle w:val="Bullet2"/>
      <w:lvlText w:val="–"/>
      <w:lvlJc w:val="left"/>
      <w:pPr>
        <w:ind w:left="852" w:hanging="284"/>
      </w:pPr>
      <w:rPr>
        <w:rFonts w:ascii="Arial" w:hAnsi="Arial" w:hint="default"/>
        <w:color w:val="00847E" w:themeColor="accent1"/>
      </w:rPr>
    </w:lvl>
    <w:lvl w:ilvl="2">
      <w:start w:val="1"/>
      <w:numFmt w:val="bullet"/>
      <w:pStyle w:val="Bullet3"/>
      <w:lvlText w:val="»"/>
      <w:lvlJc w:val="left"/>
      <w:pPr>
        <w:ind w:left="1136" w:hanging="284"/>
      </w:pPr>
      <w:rPr>
        <w:rFonts w:ascii="Arial" w:hAnsi="Arial" w:hint="default"/>
        <w:color w:val="00847E" w:themeColor="accent1"/>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33" w15:restartNumberingAfterBreak="0">
    <w:nsid w:val="77AF42DA"/>
    <w:multiLevelType w:val="multilevel"/>
    <w:tmpl w:val="E0FE2BD6"/>
    <w:lvl w:ilvl="0">
      <w:start w:val="1"/>
      <w:numFmt w:val="bullet"/>
      <w:lvlText w:val=""/>
      <w:lvlJc w:val="left"/>
      <w:pPr>
        <w:ind w:left="568" w:hanging="284"/>
      </w:pPr>
      <w:rPr>
        <w:rFonts w:ascii="Symbol" w:hAnsi="Symbol" w:hint="default"/>
        <w:color w:val="004E7D"/>
      </w:rPr>
    </w:lvl>
    <w:lvl w:ilvl="1">
      <w:start w:val="1"/>
      <w:numFmt w:val="bullet"/>
      <w:lvlText w:val="–"/>
      <w:lvlJc w:val="left"/>
      <w:pPr>
        <w:ind w:left="852" w:hanging="284"/>
      </w:pPr>
      <w:rPr>
        <w:rFonts w:ascii="Arial" w:hAnsi="Arial" w:hint="default"/>
        <w:color w:val="00847E" w:themeColor="accent1"/>
      </w:rPr>
    </w:lvl>
    <w:lvl w:ilvl="2">
      <w:start w:val="1"/>
      <w:numFmt w:val="bullet"/>
      <w:lvlText w:val="»"/>
      <w:lvlJc w:val="left"/>
      <w:pPr>
        <w:ind w:left="1136" w:hanging="284"/>
      </w:pPr>
      <w:rPr>
        <w:rFonts w:ascii="Arial" w:hAnsi="Arial" w:hint="default"/>
        <w:color w:val="00847E" w:themeColor="accent1"/>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34" w15:restartNumberingAfterBreak="0">
    <w:nsid w:val="77FF4B30"/>
    <w:multiLevelType w:val="hybridMultilevel"/>
    <w:tmpl w:val="77627E8A"/>
    <w:lvl w:ilvl="0" w:tplc="4906EE8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0B67C4"/>
    <w:multiLevelType w:val="multilevel"/>
    <w:tmpl w:val="FE688822"/>
    <w:numStyleLink w:val="BoxedBullets"/>
  </w:abstractNum>
  <w:abstractNum w:abstractNumId="36" w15:restartNumberingAfterBreak="0">
    <w:nsid w:val="7DF7329A"/>
    <w:multiLevelType w:val="hybridMultilevel"/>
    <w:tmpl w:val="03682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E44065"/>
    <w:multiLevelType w:val="multilevel"/>
    <w:tmpl w:val="CC9AB0EE"/>
    <w:numStyleLink w:val="AppendixNumbers"/>
  </w:abstractNum>
  <w:abstractNum w:abstractNumId="38" w15:restartNumberingAfterBreak="0">
    <w:nsid w:val="7F775216"/>
    <w:multiLevelType w:val="hybridMultilevel"/>
    <w:tmpl w:val="B274B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6126236">
    <w:abstractNumId w:val="2"/>
  </w:num>
  <w:num w:numId="2" w16cid:durableId="856894079">
    <w:abstractNumId w:val="37"/>
  </w:num>
  <w:num w:numId="3" w16cid:durableId="981665131">
    <w:abstractNumId w:val="23"/>
  </w:num>
  <w:num w:numId="4" w16cid:durableId="97911453">
    <w:abstractNumId w:val="35"/>
  </w:num>
  <w:num w:numId="5" w16cid:durableId="1613515259">
    <w:abstractNumId w:val="19"/>
  </w:num>
  <w:num w:numId="6" w16cid:durableId="100880242">
    <w:abstractNumId w:val="5"/>
  </w:num>
  <w:num w:numId="7" w16cid:durableId="2084402592">
    <w:abstractNumId w:val="28"/>
  </w:num>
  <w:num w:numId="8" w16cid:durableId="1138642647">
    <w:abstractNumId w:val="4"/>
  </w:num>
  <w:num w:numId="9" w16cid:durableId="1709799434">
    <w:abstractNumId w:val="26"/>
  </w:num>
  <w:num w:numId="10" w16cid:durableId="635841974">
    <w:abstractNumId w:val="25"/>
  </w:num>
  <w:num w:numId="11" w16cid:durableId="684403534">
    <w:abstractNumId w:val="9"/>
  </w:num>
  <w:num w:numId="12" w16cid:durableId="2076661781">
    <w:abstractNumId w:val="7"/>
  </w:num>
  <w:num w:numId="13" w16cid:durableId="178082271">
    <w:abstractNumId w:val="32"/>
  </w:num>
  <w:num w:numId="14" w16cid:durableId="1491293332">
    <w:abstractNumId w:val="11"/>
  </w:num>
  <w:num w:numId="15" w16cid:durableId="140464291">
    <w:abstractNumId w:val="8"/>
  </w:num>
  <w:num w:numId="16" w16cid:durableId="1274097257">
    <w:abstractNumId w:val="27"/>
  </w:num>
  <w:num w:numId="17" w16cid:durableId="1824659724">
    <w:abstractNumId w:val="16"/>
  </w:num>
  <w:num w:numId="18" w16cid:durableId="1423336834">
    <w:abstractNumId w:val="29"/>
  </w:num>
  <w:num w:numId="19" w16cid:durableId="2055109261">
    <w:abstractNumId w:val="10"/>
  </w:num>
  <w:num w:numId="20" w16cid:durableId="1111973920">
    <w:abstractNumId w:val="13"/>
  </w:num>
  <w:num w:numId="21" w16cid:durableId="341325293">
    <w:abstractNumId w:val="0"/>
  </w:num>
  <w:num w:numId="22" w16cid:durableId="1937014260">
    <w:abstractNumId w:val="12"/>
  </w:num>
  <w:num w:numId="23" w16cid:durableId="946354692">
    <w:abstractNumId w:val="30"/>
  </w:num>
  <w:num w:numId="24" w16cid:durableId="2103645941">
    <w:abstractNumId w:val="36"/>
  </w:num>
  <w:num w:numId="25" w16cid:durableId="750079471">
    <w:abstractNumId w:val="1"/>
  </w:num>
  <w:num w:numId="26" w16cid:durableId="576090918">
    <w:abstractNumId w:val="22"/>
  </w:num>
  <w:num w:numId="27" w16cid:durableId="716660634">
    <w:abstractNumId w:val="38"/>
  </w:num>
  <w:num w:numId="28" w16cid:durableId="1513716148">
    <w:abstractNumId w:val="24"/>
  </w:num>
  <w:num w:numId="29" w16cid:durableId="50153338">
    <w:abstractNumId w:val="20"/>
  </w:num>
  <w:num w:numId="30" w16cid:durableId="240069498">
    <w:abstractNumId w:val="3"/>
  </w:num>
  <w:num w:numId="31" w16cid:durableId="2053918038">
    <w:abstractNumId w:val="21"/>
  </w:num>
  <w:num w:numId="32" w16cid:durableId="2077969257">
    <w:abstractNumId w:val="32"/>
  </w:num>
  <w:num w:numId="33" w16cid:durableId="1683898012">
    <w:abstractNumId w:val="32"/>
  </w:num>
  <w:num w:numId="34" w16cid:durableId="1303996887">
    <w:abstractNumId w:val="32"/>
  </w:num>
  <w:num w:numId="35" w16cid:durableId="727798503">
    <w:abstractNumId w:val="32"/>
  </w:num>
  <w:num w:numId="36" w16cid:durableId="837960294">
    <w:abstractNumId w:val="18"/>
  </w:num>
  <w:num w:numId="37" w16cid:durableId="1018047232">
    <w:abstractNumId w:val="32"/>
  </w:num>
  <w:num w:numId="38" w16cid:durableId="1031682360">
    <w:abstractNumId w:val="32"/>
  </w:num>
  <w:num w:numId="39" w16cid:durableId="1831016943">
    <w:abstractNumId w:val="14"/>
  </w:num>
  <w:num w:numId="40" w16cid:durableId="1809128254">
    <w:abstractNumId w:val="34"/>
  </w:num>
  <w:num w:numId="41" w16cid:durableId="1957523595">
    <w:abstractNumId w:val="31"/>
  </w:num>
  <w:num w:numId="42" w16cid:durableId="933905092">
    <w:abstractNumId w:val="6"/>
  </w:num>
  <w:num w:numId="43" w16cid:durableId="130561662">
    <w:abstractNumId w:val="33"/>
  </w:num>
  <w:num w:numId="44" w16cid:durableId="896280192">
    <w:abstractNumId w:val="15"/>
  </w:num>
  <w:num w:numId="45" w16cid:durableId="1375929160">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35C"/>
    <w:rsid w:val="00000804"/>
    <w:rsid w:val="00004DE0"/>
    <w:rsid w:val="00004FC6"/>
    <w:rsid w:val="000203D4"/>
    <w:rsid w:val="00024F87"/>
    <w:rsid w:val="00025EB2"/>
    <w:rsid w:val="00026FC7"/>
    <w:rsid w:val="00027EAA"/>
    <w:rsid w:val="00027EC1"/>
    <w:rsid w:val="0003046C"/>
    <w:rsid w:val="00030EAD"/>
    <w:rsid w:val="00031F34"/>
    <w:rsid w:val="00035726"/>
    <w:rsid w:val="00035CC2"/>
    <w:rsid w:val="00035F1C"/>
    <w:rsid w:val="00036348"/>
    <w:rsid w:val="00037F3E"/>
    <w:rsid w:val="00040701"/>
    <w:rsid w:val="00047460"/>
    <w:rsid w:val="00052876"/>
    <w:rsid w:val="0005288F"/>
    <w:rsid w:val="0005348F"/>
    <w:rsid w:val="0006066A"/>
    <w:rsid w:val="000611A5"/>
    <w:rsid w:val="00063CAA"/>
    <w:rsid w:val="000650C9"/>
    <w:rsid w:val="00067CED"/>
    <w:rsid w:val="00071636"/>
    <w:rsid w:val="00072298"/>
    <w:rsid w:val="0007654E"/>
    <w:rsid w:val="0007793E"/>
    <w:rsid w:val="00077B96"/>
    <w:rsid w:val="00080615"/>
    <w:rsid w:val="00080F21"/>
    <w:rsid w:val="0008282C"/>
    <w:rsid w:val="00086F42"/>
    <w:rsid w:val="00087ECF"/>
    <w:rsid w:val="000931E1"/>
    <w:rsid w:val="00094344"/>
    <w:rsid w:val="00097C31"/>
    <w:rsid w:val="000A0656"/>
    <w:rsid w:val="000A22E4"/>
    <w:rsid w:val="000B00F7"/>
    <w:rsid w:val="000B0FC2"/>
    <w:rsid w:val="000B1A17"/>
    <w:rsid w:val="000B2C4F"/>
    <w:rsid w:val="000B5F77"/>
    <w:rsid w:val="000C1070"/>
    <w:rsid w:val="000C5BAD"/>
    <w:rsid w:val="000D3834"/>
    <w:rsid w:val="000D5D4A"/>
    <w:rsid w:val="000E128C"/>
    <w:rsid w:val="000E6484"/>
    <w:rsid w:val="000F14C8"/>
    <w:rsid w:val="000F1719"/>
    <w:rsid w:val="000F633B"/>
    <w:rsid w:val="001009D6"/>
    <w:rsid w:val="0010234C"/>
    <w:rsid w:val="00103979"/>
    <w:rsid w:val="001046CE"/>
    <w:rsid w:val="00107288"/>
    <w:rsid w:val="001202B3"/>
    <w:rsid w:val="001250F9"/>
    <w:rsid w:val="0012533D"/>
    <w:rsid w:val="00126256"/>
    <w:rsid w:val="001272C6"/>
    <w:rsid w:val="00131292"/>
    <w:rsid w:val="00133961"/>
    <w:rsid w:val="00136A02"/>
    <w:rsid w:val="00140C2E"/>
    <w:rsid w:val="00147F21"/>
    <w:rsid w:val="00154DC1"/>
    <w:rsid w:val="0016112E"/>
    <w:rsid w:val="001652E5"/>
    <w:rsid w:val="001702CB"/>
    <w:rsid w:val="001709C9"/>
    <w:rsid w:val="00172465"/>
    <w:rsid w:val="00173CEC"/>
    <w:rsid w:val="0017415B"/>
    <w:rsid w:val="00174434"/>
    <w:rsid w:val="00174453"/>
    <w:rsid w:val="00181370"/>
    <w:rsid w:val="001813F7"/>
    <w:rsid w:val="001917E8"/>
    <w:rsid w:val="001930A0"/>
    <w:rsid w:val="00193C4E"/>
    <w:rsid w:val="001959C5"/>
    <w:rsid w:val="0019636A"/>
    <w:rsid w:val="001A2D62"/>
    <w:rsid w:val="001A4E61"/>
    <w:rsid w:val="001B4997"/>
    <w:rsid w:val="001B6C75"/>
    <w:rsid w:val="001C3900"/>
    <w:rsid w:val="001D0CA8"/>
    <w:rsid w:val="001D0F8D"/>
    <w:rsid w:val="001D348D"/>
    <w:rsid w:val="001D4E25"/>
    <w:rsid w:val="001D5719"/>
    <w:rsid w:val="001D5B6D"/>
    <w:rsid w:val="001E01BB"/>
    <w:rsid w:val="001E3BEB"/>
    <w:rsid w:val="001E5585"/>
    <w:rsid w:val="001E7E95"/>
    <w:rsid w:val="001F158B"/>
    <w:rsid w:val="001F5070"/>
    <w:rsid w:val="001F5F42"/>
    <w:rsid w:val="001F6FBB"/>
    <w:rsid w:val="00202EEE"/>
    <w:rsid w:val="002052B2"/>
    <w:rsid w:val="00205615"/>
    <w:rsid w:val="002109EF"/>
    <w:rsid w:val="00212834"/>
    <w:rsid w:val="00213E8E"/>
    <w:rsid w:val="00214CDD"/>
    <w:rsid w:val="002230DE"/>
    <w:rsid w:val="0022409D"/>
    <w:rsid w:val="002260BB"/>
    <w:rsid w:val="002273EB"/>
    <w:rsid w:val="002315BC"/>
    <w:rsid w:val="00234478"/>
    <w:rsid w:val="002424CE"/>
    <w:rsid w:val="00242FED"/>
    <w:rsid w:val="002463ED"/>
    <w:rsid w:val="00250C92"/>
    <w:rsid w:val="002512B2"/>
    <w:rsid w:val="0025299D"/>
    <w:rsid w:val="0025339E"/>
    <w:rsid w:val="002541E2"/>
    <w:rsid w:val="00254FC8"/>
    <w:rsid w:val="00257197"/>
    <w:rsid w:val="002577EE"/>
    <w:rsid w:val="00260464"/>
    <w:rsid w:val="00263A85"/>
    <w:rsid w:val="002667F1"/>
    <w:rsid w:val="00277BC1"/>
    <w:rsid w:val="00277E10"/>
    <w:rsid w:val="002804D3"/>
    <w:rsid w:val="00283725"/>
    <w:rsid w:val="00284DE2"/>
    <w:rsid w:val="00285DED"/>
    <w:rsid w:val="0029128D"/>
    <w:rsid w:val="0029194F"/>
    <w:rsid w:val="002923CB"/>
    <w:rsid w:val="002970BC"/>
    <w:rsid w:val="002A49D8"/>
    <w:rsid w:val="002B26EC"/>
    <w:rsid w:val="002B278D"/>
    <w:rsid w:val="002B6A9E"/>
    <w:rsid w:val="002C1608"/>
    <w:rsid w:val="002C4FD3"/>
    <w:rsid w:val="002D2391"/>
    <w:rsid w:val="002D23C3"/>
    <w:rsid w:val="002D50A0"/>
    <w:rsid w:val="002D6C4C"/>
    <w:rsid w:val="002E74FD"/>
    <w:rsid w:val="002F1FEC"/>
    <w:rsid w:val="002F2794"/>
    <w:rsid w:val="002F28D7"/>
    <w:rsid w:val="002F4425"/>
    <w:rsid w:val="002F5E3F"/>
    <w:rsid w:val="00303012"/>
    <w:rsid w:val="00305584"/>
    <w:rsid w:val="00307506"/>
    <w:rsid w:val="0032145C"/>
    <w:rsid w:val="00321904"/>
    <w:rsid w:val="00326484"/>
    <w:rsid w:val="00326FAC"/>
    <w:rsid w:val="00331FF0"/>
    <w:rsid w:val="0033282B"/>
    <w:rsid w:val="00334F45"/>
    <w:rsid w:val="003467B1"/>
    <w:rsid w:val="00346E12"/>
    <w:rsid w:val="0035019B"/>
    <w:rsid w:val="003502A9"/>
    <w:rsid w:val="00356588"/>
    <w:rsid w:val="003611CC"/>
    <w:rsid w:val="003642B4"/>
    <w:rsid w:val="003703F6"/>
    <w:rsid w:val="00375762"/>
    <w:rsid w:val="00375B3D"/>
    <w:rsid w:val="00383678"/>
    <w:rsid w:val="00384D6D"/>
    <w:rsid w:val="00390AA8"/>
    <w:rsid w:val="00391462"/>
    <w:rsid w:val="003917CF"/>
    <w:rsid w:val="00393D7A"/>
    <w:rsid w:val="003A2A53"/>
    <w:rsid w:val="003A4E0D"/>
    <w:rsid w:val="003A7848"/>
    <w:rsid w:val="003B16F2"/>
    <w:rsid w:val="003B4B4D"/>
    <w:rsid w:val="003B5139"/>
    <w:rsid w:val="003B6FE6"/>
    <w:rsid w:val="003B7FB7"/>
    <w:rsid w:val="003C0075"/>
    <w:rsid w:val="003C1643"/>
    <w:rsid w:val="003C2567"/>
    <w:rsid w:val="003C4112"/>
    <w:rsid w:val="003C479D"/>
    <w:rsid w:val="003C6B80"/>
    <w:rsid w:val="003D6336"/>
    <w:rsid w:val="003D6F86"/>
    <w:rsid w:val="003E0E38"/>
    <w:rsid w:val="003E4561"/>
    <w:rsid w:val="003F01A0"/>
    <w:rsid w:val="003F0BEE"/>
    <w:rsid w:val="003F0FE9"/>
    <w:rsid w:val="003F10ED"/>
    <w:rsid w:val="003F2763"/>
    <w:rsid w:val="003F5583"/>
    <w:rsid w:val="00400926"/>
    <w:rsid w:val="004054AD"/>
    <w:rsid w:val="004128DC"/>
    <w:rsid w:val="0041293C"/>
    <w:rsid w:val="00412ED1"/>
    <w:rsid w:val="004154E2"/>
    <w:rsid w:val="00415A8B"/>
    <w:rsid w:val="00420B8B"/>
    <w:rsid w:val="00422FA9"/>
    <w:rsid w:val="004319D9"/>
    <w:rsid w:val="0043241F"/>
    <w:rsid w:val="0043614A"/>
    <w:rsid w:val="004440FA"/>
    <w:rsid w:val="004446CB"/>
    <w:rsid w:val="004449BB"/>
    <w:rsid w:val="00444C46"/>
    <w:rsid w:val="00445DB3"/>
    <w:rsid w:val="00445F94"/>
    <w:rsid w:val="00460CEA"/>
    <w:rsid w:val="004615CA"/>
    <w:rsid w:val="0046712D"/>
    <w:rsid w:val="00470B0A"/>
    <w:rsid w:val="0047177F"/>
    <w:rsid w:val="004718C1"/>
    <w:rsid w:val="00471ADC"/>
    <w:rsid w:val="00473DFA"/>
    <w:rsid w:val="00474BBE"/>
    <w:rsid w:val="004770C2"/>
    <w:rsid w:val="004774BD"/>
    <w:rsid w:val="004807A2"/>
    <w:rsid w:val="004819DA"/>
    <w:rsid w:val="0048300D"/>
    <w:rsid w:val="004855A3"/>
    <w:rsid w:val="0049590C"/>
    <w:rsid w:val="00497513"/>
    <w:rsid w:val="004A3647"/>
    <w:rsid w:val="004A6F4E"/>
    <w:rsid w:val="004B0E33"/>
    <w:rsid w:val="004B1B03"/>
    <w:rsid w:val="004B51A9"/>
    <w:rsid w:val="004B534E"/>
    <w:rsid w:val="004B6B3D"/>
    <w:rsid w:val="004B6E86"/>
    <w:rsid w:val="004B7117"/>
    <w:rsid w:val="004C0715"/>
    <w:rsid w:val="004C17B6"/>
    <w:rsid w:val="004C68F6"/>
    <w:rsid w:val="004C6FE4"/>
    <w:rsid w:val="004D20F4"/>
    <w:rsid w:val="004D301B"/>
    <w:rsid w:val="004D4E27"/>
    <w:rsid w:val="004E08C7"/>
    <w:rsid w:val="004E1E35"/>
    <w:rsid w:val="004E49AA"/>
    <w:rsid w:val="004F1FDD"/>
    <w:rsid w:val="004F24B3"/>
    <w:rsid w:val="004F4DF0"/>
    <w:rsid w:val="004F698E"/>
    <w:rsid w:val="005045CF"/>
    <w:rsid w:val="005048F1"/>
    <w:rsid w:val="00506BFB"/>
    <w:rsid w:val="00507FB1"/>
    <w:rsid w:val="00511652"/>
    <w:rsid w:val="00516119"/>
    <w:rsid w:val="00522EE4"/>
    <w:rsid w:val="0052317A"/>
    <w:rsid w:val="00524362"/>
    <w:rsid w:val="00524D1D"/>
    <w:rsid w:val="0052733A"/>
    <w:rsid w:val="00530B68"/>
    <w:rsid w:val="00531F23"/>
    <w:rsid w:val="00532BB0"/>
    <w:rsid w:val="00534D53"/>
    <w:rsid w:val="00534D75"/>
    <w:rsid w:val="00540F8B"/>
    <w:rsid w:val="00544806"/>
    <w:rsid w:val="005449C4"/>
    <w:rsid w:val="00544C25"/>
    <w:rsid w:val="005462ED"/>
    <w:rsid w:val="00547B34"/>
    <w:rsid w:val="00547E62"/>
    <w:rsid w:val="00551249"/>
    <w:rsid w:val="00551AD9"/>
    <w:rsid w:val="00551B1B"/>
    <w:rsid w:val="0055728D"/>
    <w:rsid w:val="005656DE"/>
    <w:rsid w:val="005660E5"/>
    <w:rsid w:val="00566F07"/>
    <w:rsid w:val="00573281"/>
    <w:rsid w:val="00575D7B"/>
    <w:rsid w:val="00582A57"/>
    <w:rsid w:val="005863F6"/>
    <w:rsid w:val="0059107A"/>
    <w:rsid w:val="00591E1E"/>
    <w:rsid w:val="00595F5B"/>
    <w:rsid w:val="00596853"/>
    <w:rsid w:val="005A28F9"/>
    <w:rsid w:val="005A3E2F"/>
    <w:rsid w:val="005A3EBF"/>
    <w:rsid w:val="005A6166"/>
    <w:rsid w:val="005A649B"/>
    <w:rsid w:val="005B12B1"/>
    <w:rsid w:val="005B4676"/>
    <w:rsid w:val="005B4C15"/>
    <w:rsid w:val="005B5140"/>
    <w:rsid w:val="005B7D8A"/>
    <w:rsid w:val="005C16BE"/>
    <w:rsid w:val="005C73A1"/>
    <w:rsid w:val="005C7460"/>
    <w:rsid w:val="005C7658"/>
    <w:rsid w:val="005D45FE"/>
    <w:rsid w:val="005D6EBE"/>
    <w:rsid w:val="005E5133"/>
    <w:rsid w:val="005E71F7"/>
    <w:rsid w:val="005E772F"/>
    <w:rsid w:val="005F1001"/>
    <w:rsid w:val="005F26BB"/>
    <w:rsid w:val="005F59A6"/>
    <w:rsid w:val="005F7441"/>
    <w:rsid w:val="00602E9B"/>
    <w:rsid w:val="0060724C"/>
    <w:rsid w:val="006074D6"/>
    <w:rsid w:val="00610EC1"/>
    <w:rsid w:val="00615AD3"/>
    <w:rsid w:val="00622136"/>
    <w:rsid w:val="00624068"/>
    <w:rsid w:val="00624E94"/>
    <w:rsid w:val="0062765F"/>
    <w:rsid w:val="00631D06"/>
    <w:rsid w:val="0063431A"/>
    <w:rsid w:val="00644FC9"/>
    <w:rsid w:val="0065009F"/>
    <w:rsid w:val="00650B72"/>
    <w:rsid w:val="00651C61"/>
    <w:rsid w:val="00653541"/>
    <w:rsid w:val="00657056"/>
    <w:rsid w:val="006613B5"/>
    <w:rsid w:val="00662CC8"/>
    <w:rsid w:val="00663C2C"/>
    <w:rsid w:val="00667614"/>
    <w:rsid w:val="00671D8A"/>
    <w:rsid w:val="00683726"/>
    <w:rsid w:val="00687E73"/>
    <w:rsid w:val="006976A6"/>
    <w:rsid w:val="006B10EC"/>
    <w:rsid w:val="006B6F8D"/>
    <w:rsid w:val="006B7772"/>
    <w:rsid w:val="006C308A"/>
    <w:rsid w:val="006C34DB"/>
    <w:rsid w:val="006C486B"/>
    <w:rsid w:val="006C577B"/>
    <w:rsid w:val="006C57A5"/>
    <w:rsid w:val="006C766C"/>
    <w:rsid w:val="006C7E20"/>
    <w:rsid w:val="006D2070"/>
    <w:rsid w:val="006D6BDE"/>
    <w:rsid w:val="006E4049"/>
    <w:rsid w:val="006E4803"/>
    <w:rsid w:val="006E7917"/>
    <w:rsid w:val="006F0F97"/>
    <w:rsid w:val="006F158F"/>
    <w:rsid w:val="006F4075"/>
    <w:rsid w:val="00706C54"/>
    <w:rsid w:val="007071B5"/>
    <w:rsid w:val="007102AF"/>
    <w:rsid w:val="00710DF2"/>
    <w:rsid w:val="00712695"/>
    <w:rsid w:val="00717566"/>
    <w:rsid w:val="00721596"/>
    <w:rsid w:val="00723529"/>
    <w:rsid w:val="00731200"/>
    <w:rsid w:val="0073239D"/>
    <w:rsid w:val="007328D6"/>
    <w:rsid w:val="007333A0"/>
    <w:rsid w:val="0073678F"/>
    <w:rsid w:val="0074112D"/>
    <w:rsid w:val="00743037"/>
    <w:rsid w:val="00757B33"/>
    <w:rsid w:val="00757B98"/>
    <w:rsid w:val="00757E77"/>
    <w:rsid w:val="00762AF8"/>
    <w:rsid w:val="00767272"/>
    <w:rsid w:val="007741BD"/>
    <w:rsid w:val="007765EC"/>
    <w:rsid w:val="007821F9"/>
    <w:rsid w:val="0078452A"/>
    <w:rsid w:val="007846A4"/>
    <w:rsid w:val="0078660A"/>
    <w:rsid w:val="00786916"/>
    <w:rsid w:val="00792855"/>
    <w:rsid w:val="00793CF0"/>
    <w:rsid w:val="00796021"/>
    <w:rsid w:val="007A1E32"/>
    <w:rsid w:val="007A2F6D"/>
    <w:rsid w:val="007A37DF"/>
    <w:rsid w:val="007A788A"/>
    <w:rsid w:val="007B0DF0"/>
    <w:rsid w:val="007B1525"/>
    <w:rsid w:val="007B25EA"/>
    <w:rsid w:val="007B517F"/>
    <w:rsid w:val="007C08F6"/>
    <w:rsid w:val="007C0E5F"/>
    <w:rsid w:val="007C38CE"/>
    <w:rsid w:val="007C3D28"/>
    <w:rsid w:val="007C5B24"/>
    <w:rsid w:val="007C70D1"/>
    <w:rsid w:val="007C7ACC"/>
    <w:rsid w:val="007D3284"/>
    <w:rsid w:val="007D3754"/>
    <w:rsid w:val="007D4DC8"/>
    <w:rsid w:val="007D7F38"/>
    <w:rsid w:val="007E2C37"/>
    <w:rsid w:val="007E2E1C"/>
    <w:rsid w:val="007E3349"/>
    <w:rsid w:val="007E3612"/>
    <w:rsid w:val="007E6EE4"/>
    <w:rsid w:val="007F32C1"/>
    <w:rsid w:val="007F3DBA"/>
    <w:rsid w:val="00801049"/>
    <w:rsid w:val="008047FA"/>
    <w:rsid w:val="00804EFC"/>
    <w:rsid w:val="00805569"/>
    <w:rsid w:val="00805E36"/>
    <w:rsid w:val="00815633"/>
    <w:rsid w:val="008167FC"/>
    <w:rsid w:val="008224BB"/>
    <w:rsid w:val="0082262C"/>
    <w:rsid w:val="00831779"/>
    <w:rsid w:val="00834BFE"/>
    <w:rsid w:val="00835216"/>
    <w:rsid w:val="00845379"/>
    <w:rsid w:val="008468A2"/>
    <w:rsid w:val="00847186"/>
    <w:rsid w:val="008514B6"/>
    <w:rsid w:val="00851581"/>
    <w:rsid w:val="00851F00"/>
    <w:rsid w:val="00860A0F"/>
    <w:rsid w:val="008610FC"/>
    <w:rsid w:val="00862991"/>
    <w:rsid w:val="008644E9"/>
    <w:rsid w:val="0086521F"/>
    <w:rsid w:val="008668FD"/>
    <w:rsid w:val="00872130"/>
    <w:rsid w:val="008754C1"/>
    <w:rsid w:val="008770D7"/>
    <w:rsid w:val="00880543"/>
    <w:rsid w:val="00883245"/>
    <w:rsid w:val="00884DDC"/>
    <w:rsid w:val="008861C1"/>
    <w:rsid w:val="00886F83"/>
    <w:rsid w:val="00892F91"/>
    <w:rsid w:val="00893801"/>
    <w:rsid w:val="00896545"/>
    <w:rsid w:val="00897191"/>
    <w:rsid w:val="008A32E0"/>
    <w:rsid w:val="008A44E4"/>
    <w:rsid w:val="008A4C85"/>
    <w:rsid w:val="008A50D1"/>
    <w:rsid w:val="008A51F6"/>
    <w:rsid w:val="008A7485"/>
    <w:rsid w:val="008B0907"/>
    <w:rsid w:val="008B194E"/>
    <w:rsid w:val="008B4AA7"/>
    <w:rsid w:val="008B5A05"/>
    <w:rsid w:val="008B5BA6"/>
    <w:rsid w:val="008C075F"/>
    <w:rsid w:val="008C4668"/>
    <w:rsid w:val="008C4A95"/>
    <w:rsid w:val="008C7528"/>
    <w:rsid w:val="008D48AD"/>
    <w:rsid w:val="008D5BEB"/>
    <w:rsid w:val="008D77C0"/>
    <w:rsid w:val="008E067B"/>
    <w:rsid w:val="008E21DE"/>
    <w:rsid w:val="008E3F46"/>
    <w:rsid w:val="008E6967"/>
    <w:rsid w:val="008F036F"/>
    <w:rsid w:val="008F0E77"/>
    <w:rsid w:val="008F3BB6"/>
    <w:rsid w:val="008F4149"/>
    <w:rsid w:val="008F52B6"/>
    <w:rsid w:val="00910868"/>
    <w:rsid w:val="00916ED3"/>
    <w:rsid w:val="00920C6E"/>
    <w:rsid w:val="00922022"/>
    <w:rsid w:val="00931A78"/>
    <w:rsid w:val="0093696F"/>
    <w:rsid w:val="009378EB"/>
    <w:rsid w:val="009402C1"/>
    <w:rsid w:val="009465F3"/>
    <w:rsid w:val="00952200"/>
    <w:rsid w:val="0096035C"/>
    <w:rsid w:val="00963412"/>
    <w:rsid w:val="00963E38"/>
    <w:rsid w:val="00965019"/>
    <w:rsid w:val="009665EC"/>
    <w:rsid w:val="00966B6A"/>
    <w:rsid w:val="009777A8"/>
    <w:rsid w:val="009924F8"/>
    <w:rsid w:val="009929A5"/>
    <w:rsid w:val="00994104"/>
    <w:rsid w:val="009962B7"/>
    <w:rsid w:val="00997A65"/>
    <w:rsid w:val="009A4EE3"/>
    <w:rsid w:val="009A57B3"/>
    <w:rsid w:val="009A5F8C"/>
    <w:rsid w:val="009B0802"/>
    <w:rsid w:val="009B08AF"/>
    <w:rsid w:val="009B2A61"/>
    <w:rsid w:val="009B4824"/>
    <w:rsid w:val="009B49F9"/>
    <w:rsid w:val="009B61C0"/>
    <w:rsid w:val="009B6C5A"/>
    <w:rsid w:val="009C1A37"/>
    <w:rsid w:val="009C2FBC"/>
    <w:rsid w:val="009C2FE4"/>
    <w:rsid w:val="009C516A"/>
    <w:rsid w:val="009C6E45"/>
    <w:rsid w:val="009D01F1"/>
    <w:rsid w:val="009D3E67"/>
    <w:rsid w:val="009D3FD1"/>
    <w:rsid w:val="009D48D1"/>
    <w:rsid w:val="009D6C94"/>
    <w:rsid w:val="009E0A6F"/>
    <w:rsid w:val="009E2CEA"/>
    <w:rsid w:val="009E38F8"/>
    <w:rsid w:val="009E6C4F"/>
    <w:rsid w:val="009E6CF4"/>
    <w:rsid w:val="009F34BF"/>
    <w:rsid w:val="00A07E4A"/>
    <w:rsid w:val="00A103FA"/>
    <w:rsid w:val="00A10737"/>
    <w:rsid w:val="00A1209C"/>
    <w:rsid w:val="00A1265B"/>
    <w:rsid w:val="00A2028E"/>
    <w:rsid w:val="00A22043"/>
    <w:rsid w:val="00A2214A"/>
    <w:rsid w:val="00A247CB"/>
    <w:rsid w:val="00A312C9"/>
    <w:rsid w:val="00A33347"/>
    <w:rsid w:val="00A34347"/>
    <w:rsid w:val="00A36BB4"/>
    <w:rsid w:val="00A37B60"/>
    <w:rsid w:val="00A41120"/>
    <w:rsid w:val="00A42E0A"/>
    <w:rsid w:val="00A4549E"/>
    <w:rsid w:val="00A503CE"/>
    <w:rsid w:val="00A53016"/>
    <w:rsid w:val="00A55101"/>
    <w:rsid w:val="00A605B5"/>
    <w:rsid w:val="00A62D7A"/>
    <w:rsid w:val="00A64765"/>
    <w:rsid w:val="00A65DD0"/>
    <w:rsid w:val="00A7383C"/>
    <w:rsid w:val="00A82DD6"/>
    <w:rsid w:val="00A85501"/>
    <w:rsid w:val="00A92A88"/>
    <w:rsid w:val="00A942DF"/>
    <w:rsid w:val="00A942F0"/>
    <w:rsid w:val="00A94F54"/>
    <w:rsid w:val="00AA018D"/>
    <w:rsid w:val="00AA127C"/>
    <w:rsid w:val="00AA14A0"/>
    <w:rsid w:val="00AA5A27"/>
    <w:rsid w:val="00AB1289"/>
    <w:rsid w:val="00AB12D5"/>
    <w:rsid w:val="00AB1C3F"/>
    <w:rsid w:val="00AB762E"/>
    <w:rsid w:val="00AB7D6F"/>
    <w:rsid w:val="00AC08EE"/>
    <w:rsid w:val="00AC215E"/>
    <w:rsid w:val="00AC3F35"/>
    <w:rsid w:val="00AC5A24"/>
    <w:rsid w:val="00AC5E26"/>
    <w:rsid w:val="00AD0024"/>
    <w:rsid w:val="00AD42A3"/>
    <w:rsid w:val="00AE6A84"/>
    <w:rsid w:val="00AE6AC8"/>
    <w:rsid w:val="00AE7728"/>
    <w:rsid w:val="00AF0899"/>
    <w:rsid w:val="00AF48F5"/>
    <w:rsid w:val="00AF72DC"/>
    <w:rsid w:val="00B0215C"/>
    <w:rsid w:val="00B11581"/>
    <w:rsid w:val="00B12DAF"/>
    <w:rsid w:val="00B203BA"/>
    <w:rsid w:val="00B20409"/>
    <w:rsid w:val="00B22498"/>
    <w:rsid w:val="00B24204"/>
    <w:rsid w:val="00B27077"/>
    <w:rsid w:val="00B27EDC"/>
    <w:rsid w:val="00B34077"/>
    <w:rsid w:val="00B35E2E"/>
    <w:rsid w:val="00B37826"/>
    <w:rsid w:val="00B37BF4"/>
    <w:rsid w:val="00B4288B"/>
    <w:rsid w:val="00B44066"/>
    <w:rsid w:val="00B46A8F"/>
    <w:rsid w:val="00B603C0"/>
    <w:rsid w:val="00B64D65"/>
    <w:rsid w:val="00B65371"/>
    <w:rsid w:val="00B70DB5"/>
    <w:rsid w:val="00B71FCF"/>
    <w:rsid w:val="00B7407B"/>
    <w:rsid w:val="00B757DB"/>
    <w:rsid w:val="00B76A05"/>
    <w:rsid w:val="00B821E5"/>
    <w:rsid w:val="00B8277B"/>
    <w:rsid w:val="00B83628"/>
    <w:rsid w:val="00B83A32"/>
    <w:rsid w:val="00B8460C"/>
    <w:rsid w:val="00B8750B"/>
    <w:rsid w:val="00B942F9"/>
    <w:rsid w:val="00BA04CB"/>
    <w:rsid w:val="00BA55DA"/>
    <w:rsid w:val="00BB1198"/>
    <w:rsid w:val="00BB2631"/>
    <w:rsid w:val="00BB44F8"/>
    <w:rsid w:val="00BD01DF"/>
    <w:rsid w:val="00BD0C67"/>
    <w:rsid w:val="00BE6318"/>
    <w:rsid w:val="00BE71B8"/>
    <w:rsid w:val="00BF165F"/>
    <w:rsid w:val="00BF5F58"/>
    <w:rsid w:val="00C00308"/>
    <w:rsid w:val="00C01ADF"/>
    <w:rsid w:val="00C02AFF"/>
    <w:rsid w:val="00C0421C"/>
    <w:rsid w:val="00C073B2"/>
    <w:rsid w:val="00C12955"/>
    <w:rsid w:val="00C2086C"/>
    <w:rsid w:val="00C219C3"/>
    <w:rsid w:val="00C2415E"/>
    <w:rsid w:val="00C26FDA"/>
    <w:rsid w:val="00C30570"/>
    <w:rsid w:val="00C334CA"/>
    <w:rsid w:val="00C35CBD"/>
    <w:rsid w:val="00C377E0"/>
    <w:rsid w:val="00C4753F"/>
    <w:rsid w:val="00C47A1C"/>
    <w:rsid w:val="00C50DC2"/>
    <w:rsid w:val="00C53AD4"/>
    <w:rsid w:val="00C615BF"/>
    <w:rsid w:val="00C64843"/>
    <w:rsid w:val="00C70C15"/>
    <w:rsid w:val="00C72457"/>
    <w:rsid w:val="00C74A55"/>
    <w:rsid w:val="00C76E11"/>
    <w:rsid w:val="00C8146E"/>
    <w:rsid w:val="00C8315E"/>
    <w:rsid w:val="00C90CF3"/>
    <w:rsid w:val="00C915C3"/>
    <w:rsid w:val="00C95436"/>
    <w:rsid w:val="00C978C1"/>
    <w:rsid w:val="00C97DD4"/>
    <w:rsid w:val="00CB16A3"/>
    <w:rsid w:val="00CB2F45"/>
    <w:rsid w:val="00CC1310"/>
    <w:rsid w:val="00CC42FF"/>
    <w:rsid w:val="00CC573D"/>
    <w:rsid w:val="00CC607B"/>
    <w:rsid w:val="00CC7727"/>
    <w:rsid w:val="00CD095A"/>
    <w:rsid w:val="00CD1EC4"/>
    <w:rsid w:val="00CD22CB"/>
    <w:rsid w:val="00CD594C"/>
    <w:rsid w:val="00CD5EBB"/>
    <w:rsid w:val="00CD6124"/>
    <w:rsid w:val="00CE6AF7"/>
    <w:rsid w:val="00CE73F5"/>
    <w:rsid w:val="00CF5D6F"/>
    <w:rsid w:val="00CF7C0D"/>
    <w:rsid w:val="00D0375C"/>
    <w:rsid w:val="00D064B3"/>
    <w:rsid w:val="00D077A9"/>
    <w:rsid w:val="00D10195"/>
    <w:rsid w:val="00D1090B"/>
    <w:rsid w:val="00D20702"/>
    <w:rsid w:val="00D22365"/>
    <w:rsid w:val="00D2437E"/>
    <w:rsid w:val="00D30826"/>
    <w:rsid w:val="00D33912"/>
    <w:rsid w:val="00D35811"/>
    <w:rsid w:val="00D35A60"/>
    <w:rsid w:val="00D37AB6"/>
    <w:rsid w:val="00D412B6"/>
    <w:rsid w:val="00D45825"/>
    <w:rsid w:val="00D47323"/>
    <w:rsid w:val="00D52405"/>
    <w:rsid w:val="00D52F24"/>
    <w:rsid w:val="00D54D42"/>
    <w:rsid w:val="00D6145D"/>
    <w:rsid w:val="00D62AF4"/>
    <w:rsid w:val="00D64B52"/>
    <w:rsid w:val="00D6518E"/>
    <w:rsid w:val="00D71234"/>
    <w:rsid w:val="00D7571A"/>
    <w:rsid w:val="00D83FB5"/>
    <w:rsid w:val="00D84476"/>
    <w:rsid w:val="00D932BD"/>
    <w:rsid w:val="00D93FFF"/>
    <w:rsid w:val="00D94E12"/>
    <w:rsid w:val="00D97E5B"/>
    <w:rsid w:val="00DA1C99"/>
    <w:rsid w:val="00DA4D09"/>
    <w:rsid w:val="00DA4DF5"/>
    <w:rsid w:val="00DA6D2A"/>
    <w:rsid w:val="00DA7231"/>
    <w:rsid w:val="00DA78B9"/>
    <w:rsid w:val="00DB525A"/>
    <w:rsid w:val="00DB6C7A"/>
    <w:rsid w:val="00DB7A55"/>
    <w:rsid w:val="00DC14CE"/>
    <w:rsid w:val="00DE3971"/>
    <w:rsid w:val="00DE3A41"/>
    <w:rsid w:val="00DE4031"/>
    <w:rsid w:val="00DE585E"/>
    <w:rsid w:val="00DF1793"/>
    <w:rsid w:val="00DF6AC6"/>
    <w:rsid w:val="00DF74BA"/>
    <w:rsid w:val="00E043B5"/>
    <w:rsid w:val="00E04F80"/>
    <w:rsid w:val="00E06083"/>
    <w:rsid w:val="00E1105A"/>
    <w:rsid w:val="00E16132"/>
    <w:rsid w:val="00E164D2"/>
    <w:rsid w:val="00E16AA8"/>
    <w:rsid w:val="00E178E9"/>
    <w:rsid w:val="00E21501"/>
    <w:rsid w:val="00E26868"/>
    <w:rsid w:val="00E274A1"/>
    <w:rsid w:val="00E27B6E"/>
    <w:rsid w:val="00E314B2"/>
    <w:rsid w:val="00E3267A"/>
    <w:rsid w:val="00E32F8E"/>
    <w:rsid w:val="00E339FF"/>
    <w:rsid w:val="00E33B38"/>
    <w:rsid w:val="00E435F2"/>
    <w:rsid w:val="00E439DC"/>
    <w:rsid w:val="00E44496"/>
    <w:rsid w:val="00E5435B"/>
    <w:rsid w:val="00E55BB7"/>
    <w:rsid w:val="00E55D22"/>
    <w:rsid w:val="00E621C6"/>
    <w:rsid w:val="00E62751"/>
    <w:rsid w:val="00E62BA1"/>
    <w:rsid w:val="00E6325C"/>
    <w:rsid w:val="00E64542"/>
    <w:rsid w:val="00E646AA"/>
    <w:rsid w:val="00E720E3"/>
    <w:rsid w:val="00E72FBA"/>
    <w:rsid w:val="00E740BE"/>
    <w:rsid w:val="00E8246E"/>
    <w:rsid w:val="00E8309D"/>
    <w:rsid w:val="00E8382D"/>
    <w:rsid w:val="00E85412"/>
    <w:rsid w:val="00E940BE"/>
    <w:rsid w:val="00E94A62"/>
    <w:rsid w:val="00E95FB1"/>
    <w:rsid w:val="00E96EFC"/>
    <w:rsid w:val="00E972C6"/>
    <w:rsid w:val="00EA1BC0"/>
    <w:rsid w:val="00EA6264"/>
    <w:rsid w:val="00EB3D67"/>
    <w:rsid w:val="00EB6C9A"/>
    <w:rsid w:val="00EC0695"/>
    <w:rsid w:val="00EC42AB"/>
    <w:rsid w:val="00EC469B"/>
    <w:rsid w:val="00EC5773"/>
    <w:rsid w:val="00EC58AC"/>
    <w:rsid w:val="00ED0151"/>
    <w:rsid w:val="00ED01B0"/>
    <w:rsid w:val="00ED03F8"/>
    <w:rsid w:val="00ED07BD"/>
    <w:rsid w:val="00ED25CC"/>
    <w:rsid w:val="00ED60D9"/>
    <w:rsid w:val="00ED6346"/>
    <w:rsid w:val="00ED7EEA"/>
    <w:rsid w:val="00EE1E2C"/>
    <w:rsid w:val="00EE38C6"/>
    <w:rsid w:val="00EE755B"/>
    <w:rsid w:val="00EF0867"/>
    <w:rsid w:val="00EF6A41"/>
    <w:rsid w:val="00F0131F"/>
    <w:rsid w:val="00F015DD"/>
    <w:rsid w:val="00F0231C"/>
    <w:rsid w:val="00F032F7"/>
    <w:rsid w:val="00F03939"/>
    <w:rsid w:val="00F062F9"/>
    <w:rsid w:val="00F10AB7"/>
    <w:rsid w:val="00F12EF2"/>
    <w:rsid w:val="00F146D0"/>
    <w:rsid w:val="00F2102A"/>
    <w:rsid w:val="00F22392"/>
    <w:rsid w:val="00F23F28"/>
    <w:rsid w:val="00F40864"/>
    <w:rsid w:val="00F4345E"/>
    <w:rsid w:val="00F444EA"/>
    <w:rsid w:val="00F44F2F"/>
    <w:rsid w:val="00F4511E"/>
    <w:rsid w:val="00F45303"/>
    <w:rsid w:val="00F53049"/>
    <w:rsid w:val="00F54952"/>
    <w:rsid w:val="00F55497"/>
    <w:rsid w:val="00F569AA"/>
    <w:rsid w:val="00F575E2"/>
    <w:rsid w:val="00F60C17"/>
    <w:rsid w:val="00F60D06"/>
    <w:rsid w:val="00F63A3A"/>
    <w:rsid w:val="00F65093"/>
    <w:rsid w:val="00F6520D"/>
    <w:rsid w:val="00F773AD"/>
    <w:rsid w:val="00F817A6"/>
    <w:rsid w:val="00F82B91"/>
    <w:rsid w:val="00F83515"/>
    <w:rsid w:val="00F86DFA"/>
    <w:rsid w:val="00F90081"/>
    <w:rsid w:val="00F91F85"/>
    <w:rsid w:val="00F9318C"/>
    <w:rsid w:val="00F93D81"/>
    <w:rsid w:val="00F93E77"/>
    <w:rsid w:val="00F96ABF"/>
    <w:rsid w:val="00FA5173"/>
    <w:rsid w:val="00FB06FF"/>
    <w:rsid w:val="00FB12BD"/>
    <w:rsid w:val="00FB254B"/>
    <w:rsid w:val="00FB42CB"/>
    <w:rsid w:val="00FB7C60"/>
    <w:rsid w:val="00FC5276"/>
    <w:rsid w:val="00FC5F9B"/>
    <w:rsid w:val="00FD03C9"/>
    <w:rsid w:val="00FD1150"/>
    <w:rsid w:val="00FD6754"/>
    <w:rsid w:val="00FE1BE0"/>
    <w:rsid w:val="00FE39B5"/>
    <w:rsid w:val="00FF18F1"/>
    <w:rsid w:val="00FF566B"/>
    <w:rsid w:val="00FF5745"/>
    <w:rsid w:val="00FF62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34ED4"/>
  <w15:docId w15:val="{36DE362C-3092-4CEC-B211-FC4DA407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967"/>
  </w:style>
  <w:style w:type="paragraph" w:styleId="Heading1">
    <w:name w:val="heading 1"/>
    <w:basedOn w:val="Normal"/>
    <w:next w:val="Normal"/>
    <w:link w:val="Heading1Char"/>
    <w:uiPriority w:val="9"/>
    <w:qFormat/>
    <w:rsid w:val="00BB2631"/>
    <w:pPr>
      <w:keepNext/>
      <w:keepLines/>
      <w:pageBreakBefore/>
      <w:spacing w:before="0" w:after="1800" w:line="540" w:lineRule="atLeast"/>
      <w:outlineLvl w:val="0"/>
    </w:pPr>
    <w:rPr>
      <w:rFonts w:asciiTheme="majorHAnsi" w:eastAsiaTheme="majorEastAsia" w:hAnsiTheme="majorHAnsi" w:cstheme="majorBidi"/>
      <w:b/>
      <w:color w:val="004E7D"/>
      <w:sz w:val="48"/>
      <w:szCs w:val="32"/>
    </w:rPr>
  </w:style>
  <w:style w:type="paragraph" w:styleId="Heading2">
    <w:name w:val="heading 2"/>
    <w:basedOn w:val="Normal"/>
    <w:next w:val="Normal"/>
    <w:link w:val="Heading2Char"/>
    <w:uiPriority w:val="9"/>
    <w:qFormat/>
    <w:rsid w:val="00BB2631"/>
    <w:pPr>
      <w:keepNext/>
      <w:keepLines/>
      <w:spacing w:before="480" w:after="240" w:line="500" w:lineRule="atLeast"/>
      <w:outlineLvl w:val="1"/>
    </w:pPr>
    <w:rPr>
      <w:rFonts w:asciiTheme="majorHAnsi" w:eastAsiaTheme="majorEastAsia" w:hAnsiTheme="majorHAnsi" w:cstheme="majorBidi"/>
      <w:color w:val="004E7D"/>
      <w:sz w:val="44"/>
      <w:szCs w:val="26"/>
    </w:rPr>
  </w:style>
  <w:style w:type="paragraph" w:styleId="Heading3">
    <w:name w:val="heading 3"/>
    <w:basedOn w:val="Normal"/>
    <w:next w:val="Normal"/>
    <w:link w:val="Heading3Char"/>
    <w:uiPriority w:val="9"/>
    <w:qFormat/>
    <w:rsid w:val="00880543"/>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07FB1"/>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DF74BA"/>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AF0899"/>
    <w:pPr>
      <w:tabs>
        <w:tab w:val="center" w:pos="4513"/>
        <w:tab w:val="right" w:pos="9026"/>
      </w:tabs>
      <w:spacing w:before="0" w:after="0"/>
    </w:pPr>
    <w:rPr>
      <w:rFonts w:asciiTheme="majorHAnsi" w:hAnsiTheme="majorHAnsi"/>
      <w:sz w:val="16"/>
    </w:rPr>
  </w:style>
  <w:style w:type="character" w:customStyle="1" w:styleId="FooterChar">
    <w:name w:val="Footer Char"/>
    <w:basedOn w:val="DefaultParagraphFont"/>
    <w:link w:val="Footer"/>
    <w:uiPriority w:val="99"/>
    <w:rsid w:val="00AF0899"/>
    <w:rPr>
      <w:rFonts w:asciiTheme="majorHAnsi" w:hAnsiTheme="majorHAnsi"/>
      <w:color w:val="000000" w:themeColor="text1"/>
      <w:sz w:val="16"/>
      <w:szCs w:val="20"/>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BB2631"/>
    <w:rPr>
      <w:rFonts w:asciiTheme="majorHAnsi" w:eastAsiaTheme="majorEastAsia" w:hAnsiTheme="majorHAnsi" w:cstheme="majorBidi"/>
      <w:color w:val="004E7D"/>
      <w:sz w:val="44"/>
      <w:szCs w:val="26"/>
    </w:rPr>
  </w:style>
  <w:style w:type="paragraph" w:customStyle="1" w:styleId="AppendixNumbered">
    <w:name w:val="Appendix Numbered"/>
    <w:basedOn w:val="Heading2"/>
    <w:uiPriority w:val="11"/>
    <w:qFormat/>
    <w:rsid w:val="008E6967"/>
    <w:pPr>
      <w:pageBreakBefore/>
      <w:numPr>
        <w:numId w:val="2"/>
      </w:numPr>
    </w:pPr>
    <w:rPr>
      <w:b/>
    </w:rPr>
  </w:style>
  <w:style w:type="numbering" w:customStyle="1" w:styleId="AppendixNumbers">
    <w:name w:val="Appendix Numbers"/>
    <w:uiPriority w:val="99"/>
    <w:rsid w:val="00400926"/>
    <w:pPr>
      <w:numPr>
        <w:numId w:val="3"/>
      </w:numPr>
    </w:pPr>
  </w:style>
  <w:style w:type="paragraph" w:customStyle="1" w:styleId="Boxed1Text">
    <w:name w:val="Boxed 1 Text"/>
    <w:basedOn w:val="Normal"/>
    <w:uiPriority w:val="29"/>
    <w:qFormat/>
    <w:rsid w:val="00AF0899"/>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rPr>
  </w:style>
  <w:style w:type="paragraph" w:customStyle="1" w:styleId="Boxed2Text">
    <w:name w:val="Boxed 2 Text"/>
    <w:basedOn w:val="Boxed1Text"/>
    <w:uiPriority w:val="31"/>
    <w:qFormat/>
    <w:rsid w:val="00AF0899"/>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rPr>
  </w:style>
  <w:style w:type="numbering" w:customStyle="1" w:styleId="BoxedBullets">
    <w:name w:val="Boxed Bullets"/>
    <w:uiPriority w:val="99"/>
    <w:rsid w:val="00AF0899"/>
    <w:pPr>
      <w:numPr>
        <w:numId w:val="5"/>
      </w:numPr>
    </w:pPr>
  </w:style>
  <w:style w:type="paragraph" w:customStyle="1" w:styleId="Bullet1">
    <w:name w:val="Bullet 1"/>
    <w:basedOn w:val="Normal"/>
    <w:uiPriority w:val="2"/>
    <w:qFormat/>
    <w:rsid w:val="00507FB1"/>
    <w:pPr>
      <w:numPr>
        <w:numId w:val="14"/>
      </w:numPr>
      <w:ind w:left="284"/>
    </w:pPr>
  </w:style>
  <w:style w:type="paragraph" w:customStyle="1" w:styleId="Bullet2">
    <w:name w:val="Bullet 2"/>
    <w:basedOn w:val="Normal"/>
    <w:uiPriority w:val="2"/>
    <w:qFormat/>
    <w:rsid w:val="00507FB1"/>
    <w:pPr>
      <w:numPr>
        <w:ilvl w:val="1"/>
        <w:numId w:val="14"/>
      </w:numPr>
    </w:pPr>
  </w:style>
  <w:style w:type="paragraph" w:customStyle="1" w:styleId="Bullet3">
    <w:name w:val="Bullet 3"/>
    <w:basedOn w:val="Normal"/>
    <w:uiPriority w:val="2"/>
    <w:qFormat/>
    <w:rsid w:val="00507FB1"/>
    <w:pPr>
      <w:numPr>
        <w:ilvl w:val="2"/>
        <w:numId w:val="14"/>
      </w:numPr>
    </w:pPr>
  </w:style>
  <w:style w:type="paragraph" w:styleId="Caption">
    <w:name w:val="caption"/>
    <w:basedOn w:val="Normal"/>
    <w:next w:val="Normal"/>
    <w:uiPriority w:val="19"/>
    <w:qFormat/>
    <w:rsid w:val="003917CF"/>
    <w:pPr>
      <w:spacing w:before="180" w:after="480" w:line="200" w:lineRule="atLeast"/>
      <w:ind w:right="2268"/>
    </w:pPr>
    <w:rPr>
      <w:rFonts w:asciiTheme="majorHAnsi" w:hAnsiTheme="majorHAnsi"/>
      <w:iCs/>
      <w:color w:val="00847E" w:themeColor="accent1"/>
      <w:sz w:val="16"/>
      <w:szCs w:val="18"/>
    </w:rPr>
  </w:style>
  <w:style w:type="table" w:customStyle="1" w:styleId="GridTable5Dark-Accent11">
    <w:name w:val="Grid Table 5 Dark - Accent 1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47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47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47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47E" w:themeFill="accent1"/>
      </w:tcPr>
    </w:tblStylePr>
    <w:tblStylePr w:type="band1Vert">
      <w:tblPr/>
      <w:tcPr>
        <w:shd w:val="clear" w:color="auto" w:fill="67FFF7" w:themeFill="accent1" w:themeFillTint="66"/>
      </w:tcPr>
    </w:tblStylePr>
    <w:tblStylePr w:type="band1Horz">
      <w:tblPr/>
      <w:tcPr>
        <w:shd w:val="clear" w:color="auto" w:fill="67FFF7" w:themeFill="accent1" w:themeFillTint="66"/>
      </w:tcPr>
    </w:tblStylePr>
  </w:style>
  <w:style w:type="table" w:customStyle="1" w:styleId="DefaultTable1">
    <w:name w:val="Default Table 1"/>
    <w:basedOn w:val="GridTable5Dark-Accent1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847E"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47E"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3FFFB" w:themeFill="accent1" w:themeFillTint="33"/>
      </w:tcPr>
    </w:tblStylePr>
    <w:tblStylePr w:type="band2Vert">
      <w:tblPr/>
      <w:tcPr>
        <w:shd w:val="clear" w:color="auto" w:fill="67FFF7" w:themeFill="accent1" w:themeFillTint="66"/>
      </w:tcPr>
    </w:tblStylePr>
    <w:tblStylePr w:type="band1Horz">
      <w:tblPr/>
      <w:tcPr>
        <w:shd w:val="clear" w:color="auto" w:fill="B3FFFB" w:themeFill="accent1" w:themeFillTint="33"/>
      </w:tcPr>
    </w:tblStylePr>
    <w:tblStylePr w:type="band2Horz">
      <w:tblPr/>
      <w:tcPr>
        <w:shd w:val="clear" w:color="auto" w:fill="67FFF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sid w:val="00AF0899"/>
    <w:rPr>
      <w:i/>
      <w:iCs/>
    </w:rPr>
  </w:style>
  <w:style w:type="numbering" w:customStyle="1" w:styleId="FigureNumbers">
    <w:name w:val="Figure Numbers"/>
    <w:uiPriority w:val="99"/>
    <w:rsid w:val="008E6967"/>
    <w:pPr>
      <w:numPr>
        <w:numId w:val="6"/>
      </w:numPr>
    </w:pPr>
  </w:style>
  <w:style w:type="paragraph" w:customStyle="1" w:styleId="FigureTitle">
    <w:name w:val="Figure Title"/>
    <w:basedOn w:val="Normal"/>
    <w:uiPriority w:val="12"/>
    <w:qFormat/>
    <w:rsid w:val="008E6967"/>
    <w:pPr>
      <w:keepNext/>
      <w:numPr>
        <w:numId w:val="18"/>
      </w:numPr>
      <w:spacing w:before="240"/>
    </w:pPr>
    <w:rPr>
      <w:rFonts w:asciiTheme="majorHAnsi" w:hAnsiTheme="majorHAnsi"/>
      <w:color w:val="00847E" w:themeColor="accent1"/>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BB2631"/>
    <w:rPr>
      <w:rFonts w:asciiTheme="majorHAnsi" w:eastAsiaTheme="majorEastAsia" w:hAnsiTheme="majorHAnsi" w:cstheme="majorBidi"/>
      <w:b/>
      <w:color w:val="004E7D"/>
      <w:sz w:val="48"/>
      <w:szCs w:val="32"/>
    </w:rPr>
  </w:style>
  <w:style w:type="paragraph" w:customStyle="1" w:styleId="Heading1Numbered">
    <w:name w:val="Heading 1 Numbered"/>
    <w:basedOn w:val="Heading1"/>
    <w:uiPriority w:val="10"/>
    <w:qFormat/>
    <w:rsid w:val="00400926"/>
    <w:pPr>
      <w:numPr>
        <w:numId w:val="7"/>
      </w:numPr>
      <w:ind w:left="0" w:firstLine="0"/>
    </w:pPr>
  </w:style>
  <w:style w:type="paragraph" w:customStyle="1" w:styleId="Heading2Numbered">
    <w:name w:val="Heading 2 Numbered"/>
    <w:basedOn w:val="Heading2"/>
    <w:uiPriority w:val="10"/>
    <w:qFormat/>
    <w:rsid w:val="00400926"/>
    <w:pPr>
      <w:numPr>
        <w:ilvl w:val="1"/>
        <w:numId w:val="7"/>
      </w:numPr>
    </w:pPr>
  </w:style>
  <w:style w:type="character" w:customStyle="1" w:styleId="Heading3Char">
    <w:name w:val="Heading 3 Char"/>
    <w:basedOn w:val="DefaultParagraphFont"/>
    <w:link w:val="Heading3"/>
    <w:uiPriority w:val="9"/>
    <w:rsid w:val="00880543"/>
    <w:rPr>
      <w:rFonts w:asciiTheme="majorHAnsi" w:eastAsiaTheme="majorEastAsia" w:hAnsiTheme="majorHAnsi" w:cstheme="majorBidi"/>
      <w:color w:val="00A398"/>
      <w:sz w:val="32"/>
      <w:szCs w:val="24"/>
    </w:rPr>
  </w:style>
  <w:style w:type="paragraph" w:customStyle="1" w:styleId="Heading3Numbered">
    <w:name w:val="Heading 3 Numbered"/>
    <w:basedOn w:val="Heading3"/>
    <w:uiPriority w:val="10"/>
    <w:qFormat/>
    <w:rsid w:val="00400926"/>
    <w:pPr>
      <w:numPr>
        <w:ilvl w:val="2"/>
        <w:numId w:val="7"/>
      </w:numPr>
    </w:pPr>
  </w:style>
  <w:style w:type="character" w:customStyle="1" w:styleId="Heading4Char">
    <w:name w:val="Heading 4 Char"/>
    <w:basedOn w:val="DefaultParagraphFont"/>
    <w:link w:val="Heading4"/>
    <w:uiPriority w:val="9"/>
    <w:rsid w:val="00507FB1"/>
    <w:rPr>
      <w:rFonts w:eastAsiaTheme="majorEastAsia" w:cstheme="majorBidi"/>
      <w:b/>
      <w:iCs/>
      <w:color w:val="auto"/>
      <w:sz w:val="24"/>
    </w:rPr>
  </w:style>
  <w:style w:type="paragraph" w:customStyle="1" w:styleId="Heading4Numbered">
    <w:name w:val="Heading 4 Numbered"/>
    <w:basedOn w:val="Heading4"/>
    <w:uiPriority w:val="10"/>
    <w:qFormat/>
    <w:rsid w:val="00400926"/>
    <w:pPr>
      <w:numPr>
        <w:ilvl w:val="3"/>
        <w:numId w:val="7"/>
      </w:numPr>
    </w:pPr>
  </w:style>
  <w:style w:type="character" w:customStyle="1" w:styleId="Heading5Char">
    <w:name w:val="Heading 5 Char"/>
    <w:basedOn w:val="DefaultParagraphFont"/>
    <w:link w:val="Heading5"/>
    <w:uiPriority w:val="9"/>
    <w:rsid w:val="00DF74BA"/>
    <w:rPr>
      <w:rFonts w:eastAsiaTheme="majorEastAsia" w:cstheme="majorBidi"/>
      <w:b/>
      <w:i/>
      <w:color w:val="auto"/>
      <w:sz w:val="22"/>
    </w:rPr>
  </w:style>
  <w:style w:type="paragraph" w:customStyle="1" w:styleId="Heading5Numbered">
    <w:name w:val="Heading 5 Numbered"/>
    <w:basedOn w:val="Heading5"/>
    <w:uiPriority w:val="10"/>
    <w:qFormat/>
    <w:rsid w:val="00400926"/>
    <w:pPr>
      <w:keepNext w:val="0"/>
      <w:numPr>
        <w:ilvl w:val="4"/>
        <w:numId w:val="7"/>
      </w:numPr>
    </w:pPr>
  </w:style>
  <w:style w:type="character" w:customStyle="1" w:styleId="Heading6Char">
    <w:name w:val="Heading 6 Char"/>
    <w:basedOn w:val="DefaultParagraphFont"/>
    <w:link w:val="Heading6"/>
    <w:uiPriority w:val="9"/>
    <w:rsid w:val="00AF0899"/>
    <w:rPr>
      <w:rFonts w:eastAsiaTheme="majorEastAsia" w:cstheme="majorBidi"/>
      <w:b/>
      <w:i/>
      <w:color w:val="000000" w:themeColor="text1"/>
      <w:sz w:val="20"/>
      <w:szCs w:val="20"/>
    </w:rPr>
  </w:style>
  <w:style w:type="paragraph" w:customStyle="1" w:styleId="Heading6Numbered">
    <w:name w:val="Heading 6 Numbered"/>
    <w:basedOn w:val="Heading6"/>
    <w:uiPriority w:val="10"/>
    <w:qFormat/>
    <w:rsid w:val="00400926"/>
    <w:pPr>
      <w:keepNext w:val="0"/>
      <w:numPr>
        <w:ilvl w:val="5"/>
        <w:numId w:val="7"/>
      </w:numPr>
    </w:pPr>
  </w:style>
  <w:style w:type="character" w:customStyle="1" w:styleId="Heading7Char">
    <w:name w:val="Heading 7 Char"/>
    <w:basedOn w:val="DefaultParagraphFont"/>
    <w:link w:val="Heading7"/>
    <w:uiPriority w:val="9"/>
    <w:rsid w:val="00AF0899"/>
    <w:rPr>
      <w:rFonts w:eastAsiaTheme="majorEastAsia" w:cstheme="majorBidi"/>
      <w:i/>
      <w:iCs/>
      <w:color w:val="000000" w:themeColor="text1"/>
      <w:sz w:val="20"/>
      <w:szCs w:val="20"/>
    </w:rPr>
  </w:style>
  <w:style w:type="paragraph" w:customStyle="1" w:styleId="Heading7Numbered">
    <w:name w:val="Heading 7 Numbered"/>
    <w:basedOn w:val="Heading7"/>
    <w:uiPriority w:val="10"/>
    <w:qFormat/>
    <w:rsid w:val="00400926"/>
    <w:pPr>
      <w:numPr>
        <w:ilvl w:val="6"/>
        <w:numId w:val="7"/>
      </w:numPr>
    </w:p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880543"/>
    <w:pPr>
      <w:spacing w:before="240" w:after="240"/>
      <w:contextualSpacing/>
    </w:pPr>
    <w:rPr>
      <w:rFonts w:asciiTheme="majorHAnsi" w:hAnsiTheme="majorHAnsi"/>
      <w:color w:val="00A398"/>
    </w:rPr>
  </w:style>
  <w:style w:type="numbering" w:customStyle="1" w:styleId="List1Numbered">
    <w:name w:val="List 1 Numbered"/>
    <w:uiPriority w:val="99"/>
    <w:rsid w:val="00DF74BA"/>
    <w:pPr>
      <w:numPr>
        <w:numId w:val="8"/>
      </w:numPr>
    </w:pPr>
  </w:style>
  <w:style w:type="paragraph" w:customStyle="1" w:styleId="List1Numbered1">
    <w:name w:val="List 1 Numbered 1"/>
    <w:basedOn w:val="Normal"/>
    <w:uiPriority w:val="2"/>
    <w:qFormat/>
    <w:rsid w:val="00DF74BA"/>
    <w:pPr>
      <w:numPr>
        <w:numId w:val="9"/>
      </w:numPr>
    </w:pPr>
  </w:style>
  <w:style w:type="paragraph" w:customStyle="1" w:styleId="List1Numbered2">
    <w:name w:val="List 1 Numbered 2"/>
    <w:basedOn w:val="Normal"/>
    <w:uiPriority w:val="2"/>
    <w:qFormat/>
    <w:rsid w:val="00DF74BA"/>
    <w:pPr>
      <w:numPr>
        <w:ilvl w:val="1"/>
        <w:numId w:val="9"/>
      </w:numPr>
    </w:pPr>
  </w:style>
  <w:style w:type="paragraph" w:customStyle="1" w:styleId="List1Numbered3">
    <w:name w:val="List 1 Numbered 3"/>
    <w:basedOn w:val="Normal"/>
    <w:uiPriority w:val="2"/>
    <w:qFormat/>
    <w:rsid w:val="00DF74BA"/>
    <w:pPr>
      <w:numPr>
        <w:ilvl w:val="2"/>
        <w:numId w:val="9"/>
      </w:numPr>
    </w:pPr>
  </w:style>
  <w:style w:type="paragraph" w:styleId="NoSpacing">
    <w:name w:val="No Spacing"/>
    <w:uiPriority w:val="1"/>
    <w:qFormat/>
    <w:rsid w:val="00AF0899"/>
    <w:pPr>
      <w:spacing w:after="0"/>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400926"/>
    <w:pPr>
      <w:numPr>
        <w:numId w:val="10"/>
      </w:numPr>
    </w:pPr>
  </w:style>
  <w:style w:type="paragraph" w:customStyle="1" w:styleId="PullOut-Teal">
    <w:name w:val="Pull Out - Teal"/>
    <w:basedOn w:val="Normal"/>
    <w:uiPriority w:val="22"/>
    <w:qFormat/>
    <w:rsid w:val="00400926"/>
    <w:pPr>
      <w:numPr>
        <w:numId w:val="15"/>
      </w:numPr>
      <w:spacing w:before="480" w:after="480" w:line="340" w:lineRule="atLeast"/>
      <w:ind w:left="1247" w:hanging="1247"/>
    </w:pPr>
    <w:rPr>
      <w:color w:val="003B45" w:themeColor="text2"/>
      <w:sz w:val="28"/>
    </w:rPr>
  </w:style>
  <w:style w:type="paragraph" w:customStyle="1" w:styleId="SourceNotes">
    <w:name w:val="Source Notes"/>
    <w:basedOn w:val="Normal"/>
    <w:uiPriority w:val="21"/>
    <w:qFormat/>
    <w:rsid w:val="00AF0899"/>
    <w:pPr>
      <w:spacing w:before="60" w:after="60"/>
    </w:pPr>
    <w:rPr>
      <w:sz w:val="16"/>
    </w:rPr>
  </w:style>
  <w:style w:type="paragraph" w:customStyle="1" w:styleId="SourceNotesHeading">
    <w:name w:val="Source Notes Heading"/>
    <w:basedOn w:val="SourceNotes"/>
    <w:uiPriority w:val="20"/>
    <w:qFormat/>
    <w:rsid w:val="008E6967"/>
    <w:pPr>
      <w:spacing w:before="120"/>
    </w:pPr>
    <w:rPr>
      <w:rFonts w:asciiTheme="majorHAnsi" w:hAnsiTheme="majorHAnsi"/>
      <w:b/>
    </w:rPr>
  </w:style>
  <w:style w:type="paragraph" w:customStyle="1" w:styleId="SourceNotesNumbered">
    <w:name w:val="Source Notes Numbered"/>
    <w:basedOn w:val="SourceNotes"/>
    <w:uiPriority w:val="21"/>
    <w:qFormat/>
    <w:rsid w:val="00AF0899"/>
    <w:pPr>
      <w:numPr>
        <w:numId w:val="11"/>
      </w:numPr>
    </w:pPr>
  </w:style>
  <w:style w:type="character" w:styleId="Strong">
    <w:name w:val="Strong"/>
    <w:basedOn w:val="DefaultParagraphFont"/>
    <w:uiPriority w:val="22"/>
    <w:qFormat/>
    <w:rsid w:val="00AF0899"/>
    <w:rPr>
      <w:b/>
      <w:bCs/>
    </w:rPr>
  </w:style>
  <w:style w:type="paragraph" w:styleId="Subtitle">
    <w:name w:val="Subtitle"/>
    <w:basedOn w:val="Normal"/>
    <w:next w:val="Normal"/>
    <w:link w:val="SubtitleChar"/>
    <w:uiPriority w:val="23"/>
    <w:qFormat/>
    <w:rsid w:val="00880543"/>
    <w:pPr>
      <w:keepLines/>
      <w:numPr>
        <w:ilvl w:val="1"/>
      </w:numPr>
      <w:spacing w:before="360" w:after="360" w:line="280" w:lineRule="exact"/>
      <w:contextualSpacing/>
    </w:pPr>
    <w:rPr>
      <w:rFonts w:eastAsiaTheme="minorEastAsia"/>
      <w:color w:val="00A398"/>
      <w:sz w:val="24"/>
    </w:rPr>
  </w:style>
  <w:style w:type="character" w:customStyle="1" w:styleId="SubtitleChar">
    <w:name w:val="Subtitle Char"/>
    <w:basedOn w:val="DefaultParagraphFont"/>
    <w:link w:val="Subtitle"/>
    <w:uiPriority w:val="23"/>
    <w:rsid w:val="00880543"/>
    <w:rPr>
      <w:rFonts w:eastAsiaTheme="minorEastAsia"/>
      <w:color w:val="00A398"/>
      <w:sz w:val="24"/>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2"/>
      </w:numPr>
    </w:pPr>
  </w:style>
  <w:style w:type="paragraph" w:customStyle="1" w:styleId="TableTitle">
    <w:name w:val="Table Title"/>
    <w:basedOn w:val="FigureTitle"/>
    <w:uiPriority w:val="12"/>
    <w:qFormat/>
    <w:rsid w:val="00AF0899"/>
    <w:pPr>
      <w:numPr>
        <w:numId w:val="19"/>
      </w:numPr>
    </w:pPr>
  </w:style>
  <w:style w:type="paragraph" w:styleId="Title">
    <w:name w:val="Title"/>
    <w:basedOn w:val="Normal"/>
    <w:next w:val="Normal"/>
    <w:link w:val="TitleChar"/>
    <w:uiPriority w:val="22"/>
    <w:qFormat/>
    <w:rsid w:val="00880543"/>
    <w:pPr>
      <w:keepLines/>
      <w:spacing w:before="0" w:after="360" w:line="640" w:lineRule="exact"/>
      <w:contextualSpacing/>
      <w:outlineLvl w:val="0"/>
    </w:pPr>
    <w:rPr>
      <w:rFonts w:asciiTheme="majorHAnsi" w:eastAsiaTheme="majorEastAsia" w:hAnsiTheme="majorHAnsi" w:cstheme="majorBidi"/>
      <w:color w:val="00A398"/>
      <w:kern w:val="28"/>
      <w:sz w:val="60"/>
      <w:szCs w:val="56"/>
    </w:rPr>
  </w:style>
  <w:style w:type="character" w:customStyle="1" w:styleId="TitleChar">
    <w:name w:val="Title Char"/>
    <w:basedOn w:val="DefaultParagraphFont"/>
    <w:link w:val="Title"/>
    <w:uiPriority w:val="22"/>
    <w:rsid w:val="00880543"/>
    <w:rPr>
      <w:rFonts w:asciiTheme="majorHAnsi" w:eastAsiaTheme="majorEastAsia" w:hAnsiTheme="majorHAnsi" w:cstheme="majorBidi"/>
      <w:color w:val="00A398"/>
      <w:kern w:val="28"/>
      <w:sz w:val="60"/>
      <w:szCs w:val="56"/>
    </w:rPr>
  </w:style>
  <w:style w:type="paragraph" w:styleId="TOC1">
    <w:name w:val="toc 1"/>
    <w:basedOn w:val="Normal"/>
    <w:next w:val="Normal"/>
    <w:autoRedefine/>
    <w:uiPriority w:val="39"/>
    <w:rsid w:val="00880543"/>
    <w:pPr>
      <w:keepNext/>
      <w:tabs>
        <w:tab w:val="right" w:pos="9628"/>
      </w:tabs>
      <w:spacing w:line="340" w:lineRule="atLeast"/>
    </w:pPr>
    <w:rPr>
      <w:rFonts w:asciiTheme="majorHAnsi" w:hAnsiTheme="majorHAnsi"/>
      <w:b/>
      <w:color w:val="00A398"/>
      <w:sz w:val="26"/>
    </w:rPr>
  </w:style>
  <w:style w:type="paragraph" w:styleId="TOC2">
    <w:name w:val="toc 2"/>
    <w:basedOn w:val="Normal"/>
    <w:next w:val="Normal"/>
    <w:autoRedefine/>
    <w:uiPriority w:val="39"/>
    <w:rsid w:val="003917CF"/>
    <w:pPr>
      <w:pBdr>
        <w:between w:val="single" w:sz="8" w:space="1" w:color="00847E" w:themeColor="accent1"/>
      </w:pBdr>
      <w:tabs>
        <w:tab w:val="right" w:pos="9628"/>
      </w:tabs>
      <w:spacing w:after="60"/>
      <w:ind w:left="851" w:hanging="851"/>
    </w:pPr>
    <w:rPr>
      <w:rFonts w:asciiTheme="majorHAnsi" w:hAnsiTheme="majorHAnsi"/>
      <w:b/>
    </w:rPr>
  </w:style>
  <w:style w:type="paragraph" w:styleId="TOC3">
    <w:name w:val="toc 3"/>
    <w:basedOn w:val="Normal"/>
    <w:next w:val="Normal"/>
    <w:autoRedefine/>
    <w:uiPriority w:val="39"/>
    <w:rsid w:val="003917CF"/>
    <w:pPr>
      <w:tabs>
        <w:tab w:val="right" w:pos="9628"/>
      </w:tabs>
      <w:spacing w:before="60" w:after="60"/>
      <w:ind w:left="851" w:hanging="851"/>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507FB1"/>
    <w:pPr>
      <w:numPr>
        <w:numId w:val="13"/>
      </w:numPr>
    </w:pPr>
  </w:style>
  <w:style w:type="paragraph" w:customStyle="1" w:styleId="PullOut-Pink">
    <w:name w:val="Pull Out - Pink"/>
    <w:basedOn w:val="PullOut-Teal"/>
    <w:uiPriority w:val="22"/>
    <w:qFormat/>
    <w:rsid w:val="00400926"/>
    <w:pPr>
      <w:numPr>
        <w:numId w:val="16"/>
      </w:numPr>
      <w:ind w:left="1247" w:hanging="1247"/>
    </w:pPr>
  </w:style>
  <w:style w:type="paragraph" w:customStyle="1" w:styleId="PullOut-Yellow">
    <w:name w:val="Pull Out - Yellow"/>
    <w:basedOn w:val="PullOut-Teal"/>
    <w:qFormat/>
    <w:rsid w:val="00400926"/>
    <w:pPr>
      <w:numPr>
        <w:numId w:val="17"/>
      </w:numPr>
      <w:ind w:left="1247" w:hanging="1247"/>
    </w:pPr>
  </w:style>
  <w:style w:type="paragraph" w:styleId="IntenseQuote">
    <w:name w:val="Intense Quote"/>
    <w:basedOn w:val="Normal"/>
    <w:next w:val="Normal"/>
    <w:link w:val="IntenseQuoteChar"/>
    <w:uiPriority w:val="30"/>
    <w:qFormat/>
    <w:rsid w:val="00880543"/>
    <w:pPr>
      <w:pBdr>
        <w:top w:val="single" w:sz="4" w:space="10" w:color="00847E" w:themeColor="accent1"/>
        <w:bottom w:val="single" w:sz="4" w:space="10" w:color="00847E" w:themeColor="accent1"/>
      </w:pBdr>
      <w:spacing w:before="360" w:after="360"/>
      <w:ind w:left="864" w:right="864"/>
      <w:jc w:val="center"/>
    </w:pPr>
    <w:rPr>
      <w:i/>
      <w:iCs/>
      <w:color w:val="00A398"/>
    </w:rPr>
  </w:style>
  <w:style w:type="character" w:customStyle="1" w:styleId="IntenseQuoteChar">
    <w:name w:val="Intense Quote Char"/>
    <w:basedOn w:val="DefaultParagraphFont"/>
    <w:link w:val="IntenseQuote"/>
    <w:uiPriority w:val="30"/>
    <w:rsid w:val="00880543"/>
    <w:rPr>
      <w:i/>
      <w:iCs/>
      <w:color w:val="00A398"/>
    </w:rPr>
  </w:style>
  <w:style w:type="character" w:styleId="IntenseReference">
    <w:name w:val="Intense Reference"/>
    <w:basedOn w:val="DefaultParagraphFont"/>
    <w:uiPriority w:val="32"/>
    <w:qFormat/>
    <w:rsid w:val="00880543"/>
    <w:rPr>
      <w:b/>
      <w:bCs/>
      <w:smallCaps/>
      <w:color w:val="00A398"/>
      <w:spacing w:val="5"/>
    </w:rPr>
  </w:style>
  <w:style w:type="paragraph" w:styleId="BalloonText">
    <w:name w:val="Balloon Text"/>
    <w:basedOn w:val="Normal"/>
    <w:link w:val="BalloonTextChar"/>
    <w:uiPriority w:val="99"/>
    <w:semiHidden/>
    <w:unhideWhenUsed/>
    <w:rsid w:val="00C90C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CF3"/>
    <w:rPr>
      <w:rFonts w:ascii="Tahoma" w:hAnsi="Tahoma" w:cs="Tahoma"/>
      <w:sz w:val="16"/>
      <w:szCs w:val="16"/>
    </w:rPr>
  </w:style>
  <w:style w:type="paragraph" w:styleId="ListParagraph">
    <w:name w:val="List Paragraph"/>
    <w:basedOn w:val="Normal"/>
    <w:uiPriority w:val="34"/>
    <w:qFormat/>
    <w:rsid w:val="000B00F7"/>
    <w:pPr>
      <w:spacing w:before="0" w:after="160" w:line="259" w:lineRule="auto"/>
      <w:ind w:left="720"/>
      <w:contextualSpacing/>
    </w:pPr>
    <w:rPr>
      <w:color w:val="auto"/>
    </w:rPr>
  </w:style>
  <w:style w:type="character" w:styleId="CommentReference">
    <w:name w:val="annotation reference"/>
    <w:basedOn w:val="DefaultParagraphFont"/>
    <w:uiPriority w:val="99"/>
    <w:semiHidden/>
    <w:unhideWhenUsed/>
    <w:rsid w:val="000B00F7"/>
    <w:rPr>
      <w:sz w:val="16"/>
      <w:szCs w:val="16"/>
    </w:rPr>
  </w:style>
  <w:style w:type="paragraph" w:styleId="CommentText">
    <w:name w:val="annotation text"/>
    <w:basedOn w:val="Normal"/>
    <w:link w:val="CommentTextChar"/>
    <w:uiPriority w:val="99"/>
    <w:semiHidden/>
    <w:unhideWhenUsed/>
    <w:rsid w:val="000B00F7"/>
    <w:pPr>
      <w:spacing w:before="0" w:after="160"/>
    </w:pPr>
    <w:rPr>
      <w:color w:val="auto"/>
      <w:sz w:val="20"/>
      <w:szCs w:val="20"/>
    </w:rPr>
  </w:style>
  <w:style w:type="character" w:customStyle="1" w:styleId="CommentTextChar">
    <w:name w:val="Comment Text Char"/>
    <w:basedOn w:val="DefaultParagraphFont"/>
    <w:link w:val="CommentText"/>
    <w:uiPriority w:val="99"/>
    <w:semiHidden/>
    <w:rsid w:val="000B00F7"/>
    <w:rPr>
      <w:color w:val="auto"/>
      <w:sz w:val="20"/>
      <w:szCs w:val="20"/>
    </w:rPr>
  </w:style>
  <w:style w:type="paragraph" w:customStyle="1" w:styleId="PageNumber1">
    <w:name w:val="Page Number1"/>
    <w:basedOn w:val="Footer"/>
    <w:link w:val="PagenumberChar"/>
    <w:qFormat/>
    <w:rsid w:val="00D71234"/>
    <w:pPr>
      <w:jc w:val="right"/>
    </w:pPr>
    <w:rPr>
      <w:noProof/>
      <w:color w:val="00847E" w:themeColor="accent1"/>
    </w:rPr>
  </w:style>
  <w:style w:type="paragraph" w:customStyle="1" w:styleId="Normal1">
    <w:name w:val="Normal1"/>
    <w:basedOn w:val="Normal"/>
    <w:rsid w:val="009F34BF"/>
    <w:pPr>
      <w:spacing w:before="0" w:after="0" w:line="276" w:lineRule="auto"/>
    </w:pPr>
    <w:rPr>
      <w:rFonts w:ascii="Arial" w:hAnsi="Arial" w:cs="Arial"/>
      <w:color w:val="000000"/>
    </w:rPr>
  </w:style>
  <w:style w:type="character" w:customStyle="1" w:styleId="PagenumberChar">
    <w:name w:val="Page number Char"/>
    <w:basedOn w:val="FooterChar"/>
    <w:link w:val="PageNumber1"/>
    <w:rsid w:val="00D71234"/>
    <w:rPr>
      <w:rFonts w:asciiTheme="majorHAnsi" w:hAnsiTheme="majorHAnsi"/>
      <w:noProof/>
      <w:color w:val="00847E" w:themeColor="accent1"/>
      <w:sz w:val="16"/>
      <w:szCs w:val="20"/>
    </w:rPr>
  </w:style>
  <w:style w:type="paragraph" w:styleId="CommentSubject">
    <w:name w:val="annotation subject"/>
    <w:basedOn w:val="CommentText"/>
    <w:next w:val="CommentText"/>
    <w:link w:val="CommentSubjectChar"/>
    <w:uiPriority w:val="99"/>
    <w:semiHidden/>
    <w:unhideWhenUsed/>
    <w:rsid w:val="00575D7B"/>
    <w:pPr>
      <w:spacing w:before="120" w:after="120"/>
    </w:pPr>
    <w:rPr>
      <w:b/>
      <w:bCs/>
      <w:color w:val="000000" w:themeColor="text1"/>
    </w:rPr>
  </w:style>
  <w:style w:type="character" w:customStyle="1" w:styleId="CommentSubjectChar">
    <w:name w:val="Comment Subject Char"/>
    <w:basedOn w:val="CommentTextChar"/>
    <w:link w:val="CommentSubject"/>
    <w:uiPriority w:val="99"/>
    <w:semiHidden/>
    <w:rsid w:val="00575D7B"/>
    <w:rPr>
      <w:b/>
      <w:bCs/>
      <w:color w:val="auto"/>
      <w:sz w:val="20"/>
      <w:szCs w:val="20"/>
    </w:rPr>
  </w:style>
  <w:style w:type="paragraph" w:styleId="Revision">
    <w:name w:val="Revision"/>
    <w:hidden/>
    <w:uiPriority w:val="99"/>
    <w:semiHidden/>
    <w:rsid w:val="00283725"/>
    <w:pPr>
      <w:spacing w:before="0" w:after="0"/>
    </w:pPr>
  </w:style>
  <w:style w:type="paragraph" w:customStyle="1" w:styleId="Default">
    <w:name w:val="Default"/>
    <w:rsid w:val="00103979"/>
    <w:pPr>
      <w:autoSpaceDE w:val="0"/>
      <w:autoSpaceDN w:val="0"/>
      <w:adjustRightInd w:val="0"/>
      <w:spacing w:before="0" w:after="0"/>
    </w:pPr>
    <w:rPr>
      <w:rFonts w:ascii="Arial" w:hAnsi="Arial" w:cs="Arial"/>
      <w:color w:val="000000"/>
      <w:sz w:val="24"/>
      <w:szCs w:val="24"/>
    </w:rPr>
  </w:style>
  <w:style w:type="character" w:customStyle="1" w:styleId="fontstyle01">
    <w:name w:val="fontstyle01"/>
    <w:basedOn w:val="DefaultParagraphFont"/>
    <w:rsid w:val="00F40864"/>
    <w:rPr>
      <w:rFonts w:ascii="ArialMT" w:hAnsi="ArialMT" w:hint="default"/>
      <w:b w:val="0"/>
      <w:bCs w:val="0"/>
      <w:i w:val="0"/>
      <w:iCs w:val="0"/>
      <w:color w:val="000000"/>
      <w:sz w:val="22"/>
      <w:szCs w:val="22"/>
    </w:rPr>
  </w:style>
  <w:style w:type="character" w:styleId="UnresolvedMention">
    <w:name w:val="Unresolved Mention"/>
    <w:basedOn w:val="DefaultParagraphFont"/>
    <w:uiPriority w:val="99"/>
    <w:semiHidden/>
    <w:unhideWhenUsed/>
    <w:rsid w:val="004C68F6"/>
    <w:rPr>
      <w:color w:val="605E5C"/>
      <w:shd w:val="clear" w:color="auto" w:fill="E1DFDD"/>
    </w:rPr>
  </w:style>
  <w:style w:type="character" w:styleId="SubtleEmphasis">
    <w:name w:val="Subtle Emphasis"/>
    <w:basedOn w:val="DefaultParagraphFont"/>
    <w:uiPriority w:val="19"/>
    <w:qFormat/>
    <w:rsid w:val="00FB06FF"/>
    <w:rPr>
      <w:i/>
      <w:iCs/>
      <w:color w:val="808080" w:themeColor="text1" w:themeTint="7F"/>
    </w:rPr>
  </w:style>
  <w:style w:type="paragraph" w:customStyle="1" w:styleId="BulletsL2">
    <w:name w:val="Bullets L2"/>
    <w:basedOn w:val="Normal"/>
    <w:link w:val="BulletsL2Char"/>
    <w:qFormat/>
    <w:rsid w:val="006E4049"/>
    <w:pPr>
      <w:numPr>
        <w:numId w:val="13"/>
      </w:numPr>
      <w:spacing w:before="40" w:line="280" w:lineRule="exact"/>
    </w:pPr>
    <w:rPr>
      <w:rFonts w:ascii="Arial" w:hAnsi="Arial"/>
      <w:color w:val="auto"/>
      <w:lang w:val="en-US"/>
    </w:rPr>
  </w:style>
  <w:style w:type="character" w:customStyle="1" w:styleId="BulletsL2Char">
    <w:name w:val="Bullets L2 Char"/>
    <w:basedOn w:val="DefaultParagraphFont"/>
    <w:link w:val="BulletsL2"/>
    <w:rsid w:val="006E4049"/>
    <w:rPr>
      <w:rFonts w:ascii="Arial" w:hAnsi="Arial"/>
      <w:color w:val="auto"/>
      <w:lang w:val="en-US"/>
    </w:rPr>
  </w:style>
  <w:style w:type="table" w:customStyle="1" w:styleId="TableGrid1">
    <w:name w:val="Table Grid1"/>
    <w:basedOn w:val="TableNormal"/>
    <w:next w:val="TableGrid"/>
    <w:uiPriority w:val="59"/>
    <w:rsid w:val="00ED25C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5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qsa.gov.au/latest-news/publications/good-practice-note-making-higher-education-admissions-transpare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teqsa.gov.au/admissions-transparenc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eqsa.gov.au/latest-news/publications/english-waivers-defini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www.teqsa.gov.au/latest-news/publications/guidance-note-third-party-arrangemen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qsa.gov.au/latest-news/publications/guidance-note-monitoring-and-analysis-student-performanc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17-07-04.dotx" TargetMode="External"/></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qsaDocumentType xmlns="28b94040-26a8-469a-8038-0c82e6a14f19">
      <Value>Template</Value>
    </TeqsaDocumentType>
    <TeqsaTeam xmlns="28b94040-26a8-469a-8038-0c82e6a14f19">
      <Value>Engagement</Value>
    </TeqsaTeam>
    <Owner xmlns="979ab06a-6535-4638-b59f-980faa50cb4b">
      <UserInfo>
        <DisplayName>Treloar, Karen</DisplayName>
        <AccountId>25</AccountId>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source Item" ma:contentTypeID="0x01010037581DFBB9924576A005A4A1995DD10D001BC120C84BAF1049BC9567D96DB3AF79" ma:contentTypeVersion="12" ma:contentTypeDescription="Resource Item" ma:contentTypeScope="" ma:versionID="bf5fefae80a9784923484a4eeca6c1f0">
  <xsd:schema xmlns:xsd="http://www.w3.org/2001/XMLSchema" xmlns:xs="http://www.w3.org/2001/XMLSchema" xmlns:p="http://schemas.microsoft.com/office/2006/metadata/properties" xmlns:ns2="28b94040-26a8-469a-8038-0c82e6a14f19" xmlns:ns3="979ab06a-6535-4638-b59f-980faa50cb4b" targetNamespace="http://schemas.microsoft.com/office/2006/metadata/properties" ma:root="true" ma:fieldsID="b219d3178ff8f8d2b45b5502d39dca14" ns2:_="" ns3:_="">
    <xsd:import namespace="28b94040-26a8-469a-8038-0c82e6a14f19"/>
    <xsd:import namespace="979ab06a-6535-4638-b59f-980faa50cb4b"/>
    <xsd:element name="properties">
      <xsd:complexType>
        <xsd:sequence>
          <xsd:element name="documentManagement">
            <xsd:complexType>
              <xsd:all>
                <xsd:element ref="ns2:TeqsaDocumentType" minOccurs="0"/>
                <xsd:element ref="ns2:TeqsaTeam" minOccurs="0"/>
                <xsd:element ref="ns3: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94040-26a8-469a-8038-0c82e6a14f19" elementFormDefault="qualified">
    <xsd:import namespace="http://schemas.microsoft.com/office/2006/documentManagement/types"/>
    <xsd:import namespace="http://schemas.microsoft.com/office/infopath/2007/PartnerControls"/>
    <xsd:element name="TeqsaDocumentType" ma:index="1" nillable="true" ma:displayName="Type" ma:format="Dropdown" ma:internalName="TeqsaDocumentType" ma:requiredMultiChoice="true">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ommunique"/>
                    <xsd:enumeration value="Knowledge Article"/>
                    <xsd:enumeration value="Other"/>
                  </xsd:restriction>
                </xsd:simpleType>
              </xsd:element>
            </xsd:sequence>
          </xsd:extension>
        </xsd:complexContent>
      </xsd:complexType>
    </xsd:element>
    <xsd:element name="TeqsaTeam" ma:index="2" nillable="true" ma:displayName="Team" ma:format="Dropdown" ma:internalName="TeqsaTeam" ma:requiredMultiChoice="true">
      <xsd:complexType>
        <xsd:complexContent>
          <xsd:extension base="dms:MultiChoice">
            <xsd:sequence>
              <xsd:element name="Value" maxOccurs="unbounded" minOccurs="0" nillable="true">
                <xsd:simpleType>
                  <xsd:restriction base="dms:Choice">
                    <xsd:enumeration value="Acknowledgement of Country"/>
                    <xsd:enumeration value="APS Employee Census"/>
                    <xsd:enumeration value="Assessment and Investigations"/>
                    <xsd:enumeration value="Assurance"/>
                    <xsd:enumeration value="Business Solutions"/>
                    <xsd:enumeration value="Case Management Handbook"/>
                    <xsd:enumeration value="Commission"/>
                    <xsd:enumeration value="Corporate"/>
                    <xsd:enumeration value="CRM"/>
                    <xsd:enumeration value="Emergency"/>
                    <xsd:enumeration value="Engagement"/>
                    <xsd:enumeration value="Enterprise Agreement"/>
                    <xsd:enumeration value="Executive Office"/>
                    <xsd:enumeration value="Finance"/>
                    <xsd:enumeration value="Governance"/>
                    <xsd:enumeration value="HR Policies and Procedures"/>
                    <xsd:enumeration value="Inclusion and Diversity"/>
                    <xsd:enumeration value="IT"/>
                    <xsd:enumeration value="Learning Committee"/>
                    <xsd:enumeration value="Learning Development"/>
                    <xsd:enumeration value="Legal"/>
                    <xsd:enumeration value="Library"/>
                    <xsd:enumeration value="Parliamentary Liaison"/>
                    <xsd:enumeration value="People and Capability"/>
                    <xsd:enumeration value="Policy and Analysis"/>
                    <xsd:enumeration value="Quality Assurance"/>
                    <xsd:enumeration value="Reception"/>
                    <xsd:enumeration value="Records Management"/>
                    <xsd:enumeration value="Regulatory Operations"/>
                    <xsd:enumeration value="Secretariat"/>
                    <xsd:enumeration value="Security"/>
                    <xsd:enumeration value="SMT"/>
                    <xsd:enumeration value="Social club"/>
                    <xsd:enumeration value="Specialisation"/>
                    <xsd:enumeration value="Staff Consultative Committee"/>
                    <xsd:enumeration value="Thematic Analysis"/>
                    <xsd:enumeration value="Updates for Staff"/>
                    <xsd:enumeration value="Work Health and Safety Committee"/>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ab06a-6535-4638-b59f-980faa50cb4b" elementFormDefault="qualified">
    <xsd:import namespace="http://schemas.microsoft.com/office/2006/documentManagement/types"/>
    <xsd:import namespace="http://schemas.microsoft.com/office/infopath/2007/PartnerControls"/>
    <xsd:element name="Owner" ma:index="1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CA4AF4-2C73-497C-9AAE-E9DD1CC01F28}">
  <ds:schemaRefs>
    <ds:schemaRef ds:uri="http://schemas.openxmlformats.org/officeDocument/2006/bibliography"/>
  </ds:schemaRefs>
</ds:datastoreItem>
</file>

<file path=customXml/itemProps2.xml><?xml version="1.0" encoding="utf-8"?>
<ds:datastoreItem xmlns:ds="http://schemas.openxmlformats.org/officeDocument/2006/customXml" ds:itemID="{37A4F7F5-F729-406E-94C0-BA3232646C99}">
  <ds:schemaRefs>
    <ds:schemaRef ds:uri="http://purl.org/dc/elements/1.1/"/>
    <ds:schemaRef ds:uri="http://schemas.microsoft.com/office/2006/documentManagement/types"/>
    <ds:schemaRef ds:uri="http://purl.org/dc/dcmitype/"/>
    <ds:schemaRef ds:uri="http://purl.org/dc/terms/"/>
    <ds:schemaRef ds:uri="979ab06a-6535-4638-b59f-980faa50cb4b"/>
    <ds:schemaRef ds:uri="28b94040-26a8-469a-8038-0c82e6a14f19"/>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7B51475-82ED-4D65-98D4-8E85B1AECE73}">
  <ds:schemaRefs>
    <ds:schemaRef ds:uri="http://schemas.microsoft.com/sharepoint/v3/contenttype/forms"/>
  </ds:schemaRefs>
</ds:datastoreItem>
</file>

<file path=customXml/itemProps4.xml><?xml version="1.0" encoding="utf-8"?>
<ds:datastoreItem xmlns:ds="http://schemas.openxmlformats.org/officeDocument/2006/customXml" ds:itemID="{B851E360-4849-4C9E-8C9D-9CECB023B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94040-26a8-469a-8038-0c82e6a14f19"/>
    <ds:schemaRef ds:uri="979ab06a-6535-4638-b59f-980faa50c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Keep Creative Word Template 2017-07-04</Template>
  <TotalTime>1</TotalTime>
  <Pages>4</Pages>
  <Words>1234</Words>
  <Characters>7725</Characters>
  <Application>Microsoft Office Word</Application>
  <DocSecurity>0</DocSecurity>
  <Lines>164</Lines>
  <Paragraphs>73</Paragraphs>
  <ScaleCrop>false</ScaleCrop>
  <HeadingPairs>
    <vt:vector size="2" baseType="variant">
      <vt:variant>
        <vt:lpstr>Title</vt:lpstr>
      </vt:variant>
      <vt:variant>
        <vt:i4>1</vt:i4>
      </vt:variant>
    </vt:vector>
  </HeadingPairs>
  <TitlesOfParts>
    <vt:vector size="1" baseType="lpstr">
      <vt:lpstr>Guidance Note: Admissions (coursework)</vt:lpstr>
    </vt:vector>
  </TitlesOfParts>
  <Company>Tertiary Education Quality and Standards Agency</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Admissions (coursework)</dc:title>
  <dc:creator>Ben Fulford</dc:creator>
  <cp:lastModifiedBy>Tom Hewitt-McManus</cp:lastModifiedBy>
  <cp:revision>3</cp:revision>
  <dcterms:created xsi:type="dcterms:W3CDTF">2022-10-14T03:02:00Z</dcterms:created>
  <dcterms:modified xsi:type="dcterms:W3CDTF">2022-10-14T03:03:00Z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0x01010037581DFBB9924576A005A4A1995DD10D001BC120C84BAF1049BC9567D96DB3AF79</vt:lpwstr>
  </property>
  <property fmtid="{D5CDD505-2E9C-101B-9397-08002B2CF9AE}" pid="3" name="Team">
    <vt:lpwstr>45;#Comms and International|f1db5572-7306-443e-a442-d56c9f2c52d1</vt:lpwstr>
  </property>
</Properties>
</file>