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AD9E7" w14:textId="39957C9D" w:rsidR="00481F4B" w:rsidRDefault="00DF56A5" w:rsidP="00481F4B">
      <w:pPr>
        <w:pStyle w:val="Heading2"/>
        <w:spacing w:beforeLines="120" w:before="288" w:after="120" w:line="240" w:lineRule="auto"/>
      </w:pPr>
      <w:r>
        <w:t>COVID-19 recovery</w:t>
      </w:r>
      <w:r w:rsidR="00DF5F04">
        <w:t xml:space="preserve"> </w:t>
      </w:r>
      <w:r>
        <w:t>– key considerations for providers</w:t>
      </w:r>
    </w:p>
    <w:p w14:paraId="6499F82D" w14:textId="641EC065" w:rsidR="00A9700C" w:rsidRDefault="00FD37C6" w:rsidP="009B319B">
      <w:pPr>
        <w:pStyle w:val="Heading3"/>
        <w:spacing w:before="240" w:after="120"/>
      </w:pPr>
      <w:r>
        <w:t>Supporting the sector during COVID-19 recovery</w:t>
      </w:r>
    </w:p>
    <w:p w14:paraId="41EFBFB3" w14:textId="3CC29FB0" w:rsidR="00121C13" w:rsidRDefault="00511C4D" w:rsidP="00A9700C">
      <w:r>
        <w:t xml:space="preserve">COVID-19 has led to </w:t>
      </w:r>
      <w:r w:rsidR="00CD6E3C">
        <w:t>unprecedented</w:t>
      </w:r>
      <w:r w:rsidR="00F0227B">
        <w:t xml:space="preserve"> disruption</w:t>
      </w:r>
      <w:r w:rsidR="00BE5354">
        <w:t xml:space="preserve"> and m</w:t>
      </w:r>
      <w:r w:rsidR="00CD6E3C">
        <w:t>any providers have swiftly adapted th</w:t>
      </w:r>
      <w:r w:rsidR="009C5334">
        <w:t>eir normal business operations in</w:t>
      </w:r>
      <w:r w:rsidR="00CD6E3C">
        <w:t xml:space="preserve"> response to the challenges</w:t>
      </w:r>
      <w:r w:rsidR="00BE5354">
        <w:t xml:space="preserve"> and changed environment.</w:t>
      </w:r>
    </w:p>
    <w:p w14:paraId="6C458CB7" w14:textId="0B8CFD7E" w:rsidR="00C52B71" w:rsidRDefault="00BE5354" w:rsidP="00A9700C">
      <w:r>
        <w:t>The focus of government and the sector has now shifted to the COVID-19 recovery period.</w:t>
      </w:r>
    </w:p>
    <w:p w14:paraId="333522E9" w14:textId="120E5717" w:rsidR="00F0227B" w:rsidRDefault="00F0227B" w:rsidP="00F0227B">
      <w:r>
        <w:t xml:space="preserve">The Australian Government </w:t>
      </w:r>
      <w:r w:rsidR="00BE5354">
        <w:t xml:space="preserve">has </w:t>
      </w:r>
      <w:r>
        <w:t xml:space="preserve">announced its framework for a </w:t>
      </w:r>
      <w:proofErr w:type="spellStart"/>
      <w:r>
        <w:t>COVIDSafe</w:t>
      </w:r>
      <w:proofErr w:type="spellEnd"/>
      <w:r>
        <w:t xml:space="preserve"> Australia, which outlines a </w:t>
      </w:r>
      <w:hyperlink r:id="rId11" w:history="1">
        <w:r w:rsidR="00BB20EC" w:rsidRPr="00BB2AAF">
          <w:rPr>
            <w:rStyle w:val="Hyperlink"/>
          </w:rPr>
          <w:t>3 step</w:t>
        </w:r>
        <w:r w:rsidRPr="00BB2AAF">
          <w:rPr>
            <w:rStyle w:val="Hyperlink"/>
          </w:rPr>
          <w:t xml:space="preserve"> plan</w:t>
        </w:r>
      </w:hyperlink>
      <w:r>
        <w:t xml:space="preserve"> to ease restrictions</w:t>
      </w:r>
      <w:r w:rsidR="009C5334">
        <w:t xml:space="preserve">, noting that states and territories </w:t>
      </w:r>
      <w:r w:rsidR="006829D5" w:rsidRPr="00627FAD">
        <w:t>may</w:t>
      </w:r>
      <w:r w:rsidR="009C5334">
        <w:t xml:space="preserve"> implement changes based on their COVID-19 conditions. </w:t>
      </w:r>
      <w:r w:rsidR="004F71E1">
        <w:t xml:space="preserve"> </w:t>
      </w:r>
    </w:p>
    <w:p w14:paraId="1EC2A81F" w14:textId="43B39CC8" w:rsidR="00BB20EC" w:rsidRDefault="00BB20EC" w:rsidP="00F0227B">
      <w:r>
        <w:t xml:space="preserve">At each step in the 3 step plan, </w:t>
      </w:r>
      <w:r w:rsidR="006F4FA8">
        <w:t xml:space="preserve">education providers, including </w:t>
      </w:r>
      <w:r>
        <w:rPr>
          <w:lang w:val="en"/>
        </w:rPr>
        <w:t>u</w:t>
      </w:r>
      <w:r w:rsidR="009C5334">
        <w:rPr>
          <w:lang w:val="en"/>
        </w:rPr>
        <w:t xml:space="preserve">niversities and </w:t>
      </w:r>
      <w:r w:rsidRPr="00BB20EC">
        <w:rPr>
          <w:lang w:val="en"/>
        </w:rPr>
        <w:t>technical colleges</w:t>
      </w:r>
      <w:r w:rsidR="009C5334">
        <w:rPr>
          <w:lang w:val="en"/>
        </w:rPr>
        <w:t>,</w:t>
      </w:r>
      <w:r w:rsidRPr="00BB20EC">
        <w:rPr>
          <w:lang w:val="en"/>
        </w:rPr>
        <w:t xml:space="preserve"> </w:t>
      </w:r>
      <w:r>
        <w:rPr>
          <w:lang w:val="en"/>
        </w:rPr>
        <w:t xml:space="preserve">are encouraged </w:t>
      </w:r>
      <w:r w:rsidRPr="00BB20EC">
        <w:rPr>
          <w:lang w:val="en"/>
        </w:rPr>
        <w:t xml:space="preserve">to increase face-to-face </w:t>
      </w:r>
      <w:r w:rsidR="009C5334">
        <w:rPr>
          <w:lang w:val="en"/>
        </w:rPr>
        <w:t xml:space="preserve">delivery </w:t>
      </w:r>
      <w:r w:rsidRPr="00BB20EC">
        <w:rPr>
          <w:lang w:val="en"/>
        </w:rPr>
        <w:t xml:space="preserve">where possible and </w:t>
      </w:r>
      <w:proofErr w:type="spellStart"/>
      <w:r w:rsidRPr="00BB20EC">
        <w:rPr>
          <w:lang w:val="en"/>
        </w:rPr>
        <w:t>prioritise</w:t>
      </w:r>
      <w:proofErr w:type="spellEnd"/>
      <w:r w:rsidRPr="00BB20EC">
        <w:rPr>
          <w:lang w:val="en"/>
        </w:rPr>
        <w:t xml:space="preserve"> hands-on, skills based learning</w:t>
      </w:r>
      <w:r w:rsidR="006829D5">
        <w:rPr>
          <w:lang w:val="en"/>
        </w:rPr>
        <w:t xml:space="preserve">, </w:t>
      </w:r>
      <w:r w:rsidR="006829D5" w:rsidRPr="00627FAD">
        <w:rPr>
          <w:lang w:val="en"/>
        </w:rPr>
        <w:t>if it is safe to do so and in line with individual state and territory government advice</w:t>
      </w:r>
      <w:r>
        <w:rPr>
          <w:lang w:val="en"/>
        </w:rPr>
        <w:t>.</w:t>
      </w:r>
      <w:r w:rsidR="004F71E1">
        <w:rPr>
          <w:lang w:val="en"/>
        </w:rPr>
        <w:t xml:space="preserve">  </w:t>
      </w:r>
    </w:p>
    <w:p w14:paraId="2B5B64F2" w14:textId="77777777" w:rsidR="00DE1307" w:rsidRPr="00DE1307" w:rsidRDefault="00DE1307" w:rsidP="00DE1307">
      <w:r w:rsidRPr="00DE1307">
        <w:t>There are a number of resources to assist providers with this transition, including:</w:t>
      </w:r>
    </w:p>
    <w:p w14:paraId="6C3C6A8F" w14:textId="4FBC0B6D" w:rsidR="00DE1307" w:rsidRPr="00DE1307" w:rsidRDefault="005108F4" w:rsidP="00DE1307">
      <w:pPr>
        <w:numPr>
          <w:ilvl w:val="0"/>
          <w:numId w:val="23"/>
        </w:numPr>
      </w:pPr>
      <w:hyperlink r:id="rId12" w:history="1">
        <w:r w:rsidR="004E4F32">
          <w:rPr>
            <w:rStyle w:val="Hyperlink"/>
          </w:rPr>
          <w:t>G</w:t>
        </w:r>
        <w:r w:rsidR="00505A58" w:rsidRPr="00DE1307">
          <w:rPr>
            <w:rStyle w:val="Hyperlink"/>
          </w:rPr>
          <w:t>uidance</w:t>
        </w:r>
      </w:hyperlink>
      <w:r w:rsidR="00505A58" w:rsidRPr="00DE1307">
        <w:t xml:space="preserve"> published by Safe Work Australia for the </w:t>
      </w:r>
      <w:r w:rsidR="00DE1307" w:rsidRPr="00DE1307">
        <w:t>Tertiary Education sector</w:t>
      </w:r>
    </w:p>
    <w:p w14:paraId="64D0D733" w14:textId="0754ADAE" w:rsidR="000A41A8" w:rsidRPr="00DE1307" w:rsidRDefault="004E4F32" w:rsidP="00DE1307">
      <w:pPr>
        <w:numPr>
          <w:ilvl w:val="0"/>
          <w:numId w:val="23"/>
        </w:numPr>
      </w:pPr>
      <w:r>
        <w:t>A</w:t>
      </w:r>
      <w:r w:rsidR="00DD706D">
        <w:t xml:space="preserve"> </w:t>
      </w:r>
      <w:hyperlink r:id="rId13" w:history="1">
        <w:r w:rsidR="00DE1307" w:rsidRPr="00DE1307">
          <w:rPr>
            <w:rStyle w:val="Hyperlink"/>
          </w:rPr>
          <w:t>framework</w:t>
        </w:r>
      </w:hyperlink>
      <w:r w:rsidR="00DE1307" w:rsidRPr="00DE1307">
        <w:t xml:space="preserve"> published by Universities Australia for resumption of face-to-face teaching</w:t>
      </w:r>
      <w:r>
        <w:t>.</w:t>
      </w:r>
    </w:p>
    <w:p w14:paraId="20186D03" w14:textId="6C447122" w:rsidR="006F6248" w:rsidRDefault="000A41A8" w:rsidP="000A41A8">
      <w:pPr>
        <w:rPr>
          <w:lang w:val="en"/>
        </w:rPr>
      </w:pPr>
      <w:r>
        <w:t xml:space="preserve">TEQSA </w:t>
      </w:r>
      <w:r w:rsidR="002C6983">
        <w:t>is</w:t>
      </w:r>
      <w:r>
        <w:t xml:space="preserve"> maintain</w:t>
      </w:r>
      <w:r w:rsidR="002C6983">
        <w:t>ing</w:t>
      </w:r>
      <w:r>
        <w:t xml:space="preserve"> its </w:t>
      </w:r>
      <w:hyperlink r:id="rId14" w:history="1">
        <w:r w:rsidRPr="00703226">
          <w:rPr>
            <w:rStyle w:val="Hyperlink"/>
          </w:rPr>
          <w:t>flexible arrangements</w:t>
        </w:r>
      </w:hyperlink>
      <w:r w:rsidR="002C6983">
        <w:t xml:space="preserve"> </w:t>
      </w:r>
      <w:r w:rsidR="00D34AA5">
        <w:t>while we</w:t>
      </w:r>
      <w:r w:rsidR="002C6983">
        <w:t xml:space="preserve"> support the sector </w:t>
      </w:r>
      <w:r w:rsidR="006F4FA8">
        <w:t>during this transition period</w:t>
      </w:r>
      <w:r w:rsidR="002C6983">
        <w:t xml:space="preserve">. </w:t>
      </w:r>
      <w:r w:rsidR="006F6248" w:rsidRPr="006F6248">
        <w:rPr>
          <w:lang w:val="en"/>
        </w:rPr>
        <w:t xml:space="preserve">Any changes to our flexible regulatory approach will be carefully considered, </w:t>
      </w:r>
      <w:r w:rsidR="009C5334">
        <w:rPr>
          <w:lang w:val="en"/>
        </w:rPr>
        <w:t xml:space="preserve">and include </w:t>
      </w:r>
      <w:r w:rsidR="006F6248" w:rsidRPr="006F6248">
        <w:rPr>
          <w:lang w:val="en"/>
        </w:rPr>
        <w:t>consultation with peak bodies and other government agencies as appropriate.</w:t>
      </w:r>
    </w:p>
    <w:p w14:paraId="2267D0DD" w14:textId="4553CD8F" w:rsidR="006F6248" w:rsidRDefault="000839E5" w:rsidP="000A41A8">
      <w:pPr>
        <w:rPr>
          <w:lang w:val="en"/>
        </w:rPr>
      </w:pPr>
      <w:r>
        <w:rPr>
          <w:lang w:val="en"/>
        </w:rPr>
        <w:t>T</w:t>
      </w:r>
      <w:r w:rsidR="006F6248">
        <w:rPr>
          <w:lang w:val="en"/>
        </w:rPr>
        <w:t>he</w:t>
      </w:r>
      <w:r w:rsidR="00E7532C">
        <w:rPr>
          <w:lang w:val="en"/>
        </w:rPr>
        <w:t xml:space="preserve"> recovery</w:t>
      </w:r>
      <w:r w:rsidR="006F6248">
        <w:rPr>
          <w:lang w:val="en"/>
        </w:rPr>
        <w:t xml:space="preserve"> planning process for providers </w:t>
      </w:r>
      <w:r w:rsidR="002E7EBB">
        <w:rPr>
          <w:lang w:val="en"/>
        </w:rPr>
        <w:t>should take</w:t>
      </w:r>
      <w:r w:rsidR="00E7532C">
        <w:rPr>
          <w:lang w:val="en"/>
        </w:rPr>
        <w:t xml:space="preserve"> </w:t>
      </w:r>
      <w:r w:rsidR="00DD706D">
        <w:rPr>
          <w:lang w:val="en"/>
        </w:rPr>
        <w:t>into</w:t>
      </w:r>
      <w:r w:rsidR="006F6248">
        <w:rPr>
          <w:lang w:val="en"/>
        </w:rPr>
        <w:t xml:space="preserve"> consideration the temporary nature of</w:t>
      </w:r>
      <w:r w:rsidR="009C5334">
        <w:rPr>
          <w:lang w:val="en"/>
        </w:rPr>
        <w:t xml:space="preserve"> these </w:t>
      </w:r>
      <w:r w:rsidR="006F6248">
        <w:rPr>
          <w:lang w:val="en"/>
        </w:rPr>
        <w:t xml:space="preserve">flexible arrangements and </w:t>
      </w:r>
      <w:r w:rsidR="009C5334">
        <w:rPr>
          <w:lang w:val="en"/>
        </w:rPr>
        <w:t xml:space="preserve">focus on </w:t>
      </w:r>
      <w:r w:rsidR="006F6248">
        <w:rPr>
          <w:lang w:val="en"/>
        </w:rPr>
        <w:t>how the</w:t>
      </w:r>
      <w:r w:rsidR="009C5334">
        <w:rPr>
          <w:lang w:val="en"/>
        </w:rPr>
        <w:t xml:space="preserve">y </w:t>
      </w:r>
      <w:r w:rsidR="006F6248">
        <w:rPr>
          <w:lang w:val="en"/>
        </w:rPr>
        <w:t>will</w:t>
      </w:r>
      <w:r w:rsidR="009C5334">
        <w:rPr>
          <w:lang w:val="en"/>
        </w:rPr>
        <w:t xml:space="preserve"> continue to</w:t>
      </w:r>
      <w:r w:rsidR="006F6248">
        <w:rPr>
          <w:lang w:val="en"/>
        </w:rPr>
        <w:t xml:space="preserve"> meet their obligations</w:t>
      </w:r>
      <w:r w:rsidR="00E7532C">
        <w:rPr>
          <w:lang w:val="en"/>
        </w:rPr>
        <w:t xml:space="preserve"> longer term</w:t>
      </w:r>
      <w:r w:rsidR="006F6248">
        <w:rPr>
          <w:lang w:val="en"/>
        </w:rPr>
        <w:t>.</w:t>
      </w:r>
      <w:r w:rsidR="006829D5">
        <w:rPr>
          <w:lang w:val="en"/>
        </w:rPr>
        <w:t xml:space="preserve">  </w:t>
      </w:r>
      <w:r w:rsidR="006829D5" w:rsidRPr="00627FAD">
        <w:rPr>
          <w:lang w:val="en"/>
        </w:rPr>
        <w:t xml:space="preserve">Providers may also want to consider the effect of changes they have made and </w:t>
      </w:r>
      <w:r w:rsidR="00F77669" w:rsidRPr="00627FAD">
        <w:rPr>
          <w:lang w:val="en"/>
        </w:rPr>
        <w:t>where these have improved the quality of the education they deliver, whether they want to make some changes permanent</w:t>
      </w:r>
      <w:r w:rsidR="006F3253" w:rsidRPr="00627FAD">
        <w:rPr>
          <w:lang w:val="en"/>
        </w:rPr>
        <w:t xml:space="preserve"> (see below: Notifying TEQSA of m</w:t>
      </w:r>
      <w:r w:rsidR="00627FAD">
        <w:rPr>
          <w:lang w:val="en"/>
        </w:rPr>
        <w:t>aterial c</w:t>
      </w:r>
      <w:r w:rsidR="006F3253" w:rsidRPr="00627FAD">
        <w:rPr>
          <w:lang w:val="en"/>
        </w:rPr>
        <w:t>hanges)</w:t>
      </w:r>
      <w:r w:rsidR="00F77669" w:rsidRPr="00627FAD">
        <w:rPr>
          <w:lang w:val="en"/>
        </w:rPr>
        <w:t>.</w:t>
      </w:r>
    </w:p>
    <w:p w14:paraId="7DD34FB3" w14:textId="70EA5075" w:rsidR="00F42D85" w:rsidRDefault="00F42D85" w:rsidP="00F42D85">
      <w:pPr>
        <w:pStyle w:val="Heading3"/>
        <w:spacing w:before="240" w:after="120"/>
      </w:pPr>
      <w:r>
        <w:t xml:space="preserve">Purpose of this guidance material </w:t>
      </w:r>
    </w:p>
    <w:p w14:paraId="3AD68406" w14:textId="5D169CEE" w:rsidR="0069386A" w:rsidRDefault="0069386A" w:rsidP="000A41A8">
      <w:r>
        <w:t>This guidance sets out key</w:t>
      </w:r>
      <w:r w:rsidR="00781C74">
        <w:t>, high-level, principles</w:t>
      </w:r>
      <w:r w:rsidR="00DD706D">
        <w:t>-</w:t>
      </w:r>
      <w:r w:rsidR="00781C74">
        <w:t>based</w:t>
      </w:r>
      <w:r>
        <w:t xml:space="preserve"> considerations </w:t>
      </w:r>
      <w:r w:rsidR="000A1DED">
        <w:t xml:space="preserve">that </w:t>
      </w:r>
      <w:r w:rsidR="00781C74">
        <w:t>providers</w:t>
      </w:r>
      <w:r w:rsidR="000A1DED">
        <w:t xml:space="preserve"> should remain mindful of</w:t>
      </w:r>
      <w:r w:rsidR="00781C74">
        <w:t xml:space="preserve"> in their </w:t>
      </w:r>
      <w:r w:rsidR="00583739">
        <w:t>planning during</w:t>
      </w:r>
      <w:r>
        <w:t xml:space="preserve"> the COVID-19 recovery period</w:t>
      </w:r>
      <w:r w:rsidR="00781C74">
        <w:t>. It focuses on identified standards and risk areas pertinent in the COVID-19 and recovery period context</w:t>
      </w:r>
      <w:r>
        <w:t xml:space="preserve">, with an emphasis on obligations under </w:t>
      </w:r>
      <w:r w:rsidR="006F3253">
        <w:t>th</w:t>
      </w:r>
      <w:r w:rsidR="006F3253" w:rsidRPr="006F3253">
        <w:t xml:space="preserve">e </w:t>
      </w:r>
      <w:hyperlink r:id="rId15" w:history="1">
        <w:r w:rsidR="006F3253" w:rsidRPr="003B4028">
          <w:rPr>
            <w:rStyle w:val="Hyperlink"/>
            <w:i/>
          </w:rPr>
          <w:t>National Code of Practice for Providers of Education and Training to Overseas Students 2018 (National Code)</w:t>
        </w:r>
      </w:hyperlink>
      <w:r w:rsidR="006F3253">
        <w:t xml:space="preserve"> and the</w:t>
      </w:r>
      <w:r w:rsidR="000258EC">
        <w:t xml:space="preserve"> </w:t>
      </w:r>
      <w:hyperlink r:id="rId16" w:history="1">
        <w:r w:rsidR="000258EC" w:rsidRPr="006F3253">
          <w:rPr>
            <w:rStyle w:val="Hyperlink"/>
            <w:i/>
          </w:rPr>
          <w:t>Higher Education Standards Framework (Threshold Standards) 2015</w:t>
        </w:r>
      </w:hyperlink>
      <w:r w:rsidR="00781C74">
        <w:rPr>
          <w:rStyle w:val="Hyperlink"/>
          <w:i/>
        </w:rPr>
        <w:t>.</w:t>
      </w:r>
      <w:r w:rsidR="000258EC">
        <w:t xml:space="preserve"> </w:t>
      </w:r>
    </w:p>
    <w:p w14:paraId="62268D47" w14:textId="5FC2B78B" w:rsidR="00F42D85" w:rsidRDefault="00F42D85" w:rsidP="000A41A8">
      <w:r>
        <w:t xml:space="preserve">This is intended to provide </w:t>
      </w:r>
      <w:r w:rsidR="003C1329">
        <w:t xml:space="preserve">advice only </w:t>
      </w:r>
      <w:r>
        <w:t xml:space="preserve">and should be considered alongside TEQSA’s </w:t>
      </w:r>
      <w:hyperlink r:id="rId17" w:history="1">
        <w:r w:rsidRPr="00F42D85">
          <w:rPr>
            <w:rStyle w:val="Hyperlink"/>
          </w:rPr>
          <w:t>Guidance Notes</w:t>
        </w:r>
      </w:hyperlink>
      <w:r>
        <w:t xml:space="preserve">, which provide greater clarity in the interpretation and application of selected standards. The definitive instruments for regulatory purposes remain the </w:t>
      </w:r>
      <w:hyperlink r:id="rId18" w:history="1">
        <w:r w:rsidRPr="00F42D85">
          <w:rPr>
            <w:rStyle w:val="Hyperlink"/>
            <w:i/>
          </w:rPr>
          <w:t>Tertiary Education Quality and Standards Agency Act (2011) (TEQSA Act)</w:t>
        </w:r>
      </w:hyperlink>
      <w:r>
        <w:t xml:space="preserve">, the Threshold Standards and the National Code. </w:t>
      </w:r>
    </w:p>
    <w:p w14:paraId="5A18E8E5" w14:textId="77777777" w:rsidR="003B4028" w:rsidRDefault="003B4028" w:rsidP="000A41A8"/>
    <w:p w14:paraId="35438FBE" w14:textId="77777777" w:rsidR="006F3253" w:rsidRPr="00533946" w:rsidRDefault="006F3253" w:rsidP="006F3253">
      <w:pPr>
        <w:pStyle w:val="Boxed1Heading"/>
        <w:rPr>
          <w:color w:val="FFFFFF" w:themeColor="background1"/>
          <w:sz w:val="28"/>
          <w:szCs w:val="28"/>
        </w:rPr>
      </w:pPr>
      <w:r w:rsidRPr="00533946">
        <w:rPr>
          <w:color w:val="FFFFFF" w:themeColor="background1"/>
        </w:rPr>
        <w:lastRenderedPageBreak/>
        <w:t>The National Code of Practice for Providers of Education and Training to Overseas Students 2018</w:t>
      </w:r>
    </w:p>
    <w:p w14:paraId="7BEE3C91" w14:textId="62C31646" w:rsidR="006F3253" w:rsidRDefault="006F3253" w:rsidP="006F3253">
      <w:r>
        <w:t xml:space="preserve">Those providers registered to deliver courses to overseas students, including ELICOS providers, should </w:t>
      </w:r>
      <w:r w:rsidR="00DD706D">
        <w:t>consider</w:t>
      </w:r>
      <w:r>
        <w:t xml:space="preserve"> their obligations under the </w:t>
      </w:r>
      <w:hyperlink r:id="rId19" w:history="1">
        <w:r w:rsidR="003B4028" w:rsidRPr="003B4028">
          <w:t>National</w:t>
        </w:r>
      </w:hyperlink>
      <w:r w:rsidR="003B4028" w:rsidRPr="003B4028">
        <w:t xml:space="preserve"> Code.</w:t>
      </w:r>
      <w:r>
        <w:t xml:space="preserve"> </w:t>
      </w:r>
    </w:p>
    <w:p w14:paraId="085CF8AD" w14:textId="2CB9A5CE" w:rsidR="006F3253" w:rsidRDefault="006F3253" w:rsidP="006F3253">
      <w:r w:rsidRPr="00627FAD">
        <w:t xml:space="preserve">TEQSA provided advice on 26 March 2020 about </w:t>
      </w:r>
      <w:r w:rsidRPr="00627FAD">
        <w:rPr>
          <w:lang w:val="en"/>
        </w:rPr>
        <w:t>ongoing flexibility with regard to limitations on online delivery to international students (requirements 8.19 and 8.20 of the National Code 2018); and similar flexibility in attendance requirements related to ELICOS and Foundation Program providers.   While international travel restrictions</w:t>
      </w:r>
      <w:r w:rsidR="003C1329">
        <w:rPr>
          <w:lang w:val="en"/>
        </w:rPr>
        <w:t xml:space="preserve"> and social distancing measures</w:t>
      </w:r>
      <w:r w:rsidRPr="00627FAD">
        <w:rPr>
          <w:lang w:val="en"/>
        </w:rPr>
        <w:t xml:space="preserve"> continue</w:t>
      </w:r>
      <w:r w:rsidR="003C1329">
        <w:rPr>
          <w:lang w:val="en"/>
        </w:rPr>
        <w:t>,</w:t>
      </w:r>
      <w:r w:rsidRPr="00627FAD">
        <w:rPr>
          <w:lang w:val="en"/>
        </w:rPr>
        <w:t xml:space="preserve"> </w:t>
      </w:r>
      <w:r w:rsidR="002555C9" w:rsidRPr="00627FAD">
        <w:rPr>
          <w:lang w:val="en"/>
        </w:rPr>
        <w:t>these flexible arrangements will remain in place until they are no longer required, noting that any change to restrictions could be on a country by country</w:t>
      </w:r>
      <w:r w:rsidR="003C1329">
        <w:rPr>
          <w:lang w:val="en"/>
        </w:rPr>
        <w:t xml:space="preserve"> or state by state</w:t>
      </w:r>
      <w:r w:rsidR="002555C9" w:rsidRPr="00627FAD">
        <w:rPr>
          <w:lang w:val="en"/>
        </w:rPr>
        <w:t xml:space="preserve"> basis, affecting international markets differently.</w:t>
      </w:r>
      <w:r w:rsidR="002555C9">
        <w:rPr>
          <w:lang w:val="en"/>
        </w:rPr>
        <w:t xml:space="preserve">    </w:t>
      </w:r>
    </w:p>
    <w:p w14:paraId="7D2125D9" w14:textId="58694D3C" w:rsidR="006B4CC3" w:rsidRDefault="00774494" w:rsidP="009B319B">
      <w:pPr>
        <w:pStyle w:val="Heading3"/>
        <w:spacing w:before="240" w:after="120"/>
      </w:pPr>
      <w:r>
        <w:t xml:space="preserve">The </w:t>
      </w:r>
      <w:r w:rsidR="00CC7007">
        <w:t>Threshold S</w:t>
      </w:r>
      <w:r>
        <w:t>tandards</w:t>
      </w:r>
    </w:p>
    <w:p w14:paraId="26AE6D7F" w14:textId="4DF1CAF1" w:rsidR="009620D3" w:rsidRDefault="00D75BEC" w:rsidP="006B4CC3">
      <w:r>
        <w:t>During recovery</w:t>
      </w:r>
      <w:r w:rsidR="006953E4">
        <w:t xml:space="preserve">, </w:t>
      </w:r>
      <w:r w:rsidR="0069386A">
        <w:t>TEQSA’s</w:t>
      </w:r>
      <w:r w:rsidR="006953E4">
        <w:t xml:space="preserve"> focus is on ensuring providers continue to deliver </w:t>
      </w:r>
      <w:r w:rsidR="009620D3">
        <w:t xml:space="preserve">higher </w:t>
      </w:r>
      <w:r w:rsidR="006953E4">
        <w:t xml:space="preserve">education in a way that is safe for </w:t>
      </w:r>
      <w:r w:rsidR="00BE5354">
        <w:t xml:space="preserve">its </w:t>
      </w:r>
      <w:r w:rsidR="006953E4">
        <w:t>staff and students</w:t>
      </w:r>
      <w:r w:rsidR="009620D3">
        <w:t>,</w:t>
      </w:r>
      <w:r w:rsidR="006953E4">
        <w:t xml:space="preserve"> maintains quality</w:t>
      </w:r>
      <w:r w:rsidR="009620D3">
        <w:t>, and is sustainable</w:t>
      </w:r>
      <w:r w:rsidR="006953E4">
        <w:t xml:space="preserve">. </w:t>
      </w:r>
    </w:p>
    <w:p w14:paraId="785C2C8D" w14:textId="3B6C1EAA" w:rsidR="009620D3" w:rsidRDefault="00D94344" w:rsidP="006B4CC3">
      <w:r>
        <w:t xml:space="preserve">We will continue to monitor </w:t>
      </w:r>
      <w:r w:rsidR="00855385">
        <w:t xml:space="preserve">providers’ </w:t>
      </w:r>
      <w:r>
        <w:t xml:space="preserve">compliance with the </w:t>
      </w:r>
      <w:r w:rsidR="00CC7007">
        <w:t xml:space="preserve">Threshold </w:t>
      </w:r>
      <w:r>
        <w:t>Standards during this period and engage with providers as appropriate,</w:t>
      </w:r>
      <w:r w:rsidR="00CC7007">
        <w:t xml:space="preserve"> with a focus on the following</w:t>
      </w:r>
      <w:r>
        <w:t xml:space="preserve">: </w:t>
      </w:r>
    </w:p>
    <w:p w14:paraId="790C3F4B" w14:textId="52798261" w:rsidR="00CC7007" w:rsidRDefault="00CC7007" w:rsidP="00CC7007">
      <w:pPr>
        <w:pStyle w:val="ListParagraph"/>
        <w:numPr>
          <w:ilvl w:val="0"/>
          <w:numId w:val="13"/>
        </w:numPr>
        <w:ind w:left="714" w:hanging="357"/>
        <w:contextualSpacing w:val="0"/>
      </w:pPr>
      <w:r>
        <w:t>Standard 1.1.1 in relation to Admission</w:t>
      </w:r>
    </w:p>
    <w:p w14:paraId="1A8B99C8" w14:textId="23E9FD1B" w:rsidR="006829D5" w:rsidRDefault="006829D5" w:rsidP="00CC7007">
      <w:pPr>
        <w:pStyle w:val="ListParagraph"/>
        <w:numPr>
          <w:ilvl w:val="0"/>
          <w:numId w:val="13"/>
        </w:numPr>
        <w:ind w:left="714" w:hanging="357"/>
        <w:contextualSpacing w:val="0"/>
      </w:pPr>
      <w:r>
        <w:t>Standard 2.3 in relation to Wellbeing and Safety of students</w:t>
      </w:r>
    </w:p>
    <w:p w14:paraId="3BDAB64E" w14:textId="61A67DFD" w:rsidR="00CC7007" w:rsidRDefault="00CC7007" w:rsidP="00CC7007">
      <w:pPr>
        <w:pStyle w:val="ListParagraph"/>
        <w:numPr>
          <w:ilvl w:val="0"/>
          <w:numId w:val="13"/>
        </w:numPr>
        <w:ind w:left="714" w:hanging="357"/>
        <w:contextualSpacing w:val="0"/>
      </w:pPr>
      <w:r>
        <w:t>Standards 3.1.2 to 3.1.4 in relation to Course Design</w:t>
      </w:r>
    </w:p>
    <w:p w14:paraId="082EBB1A" w14:textId="18FD6863" w:rsidR="00CC7007" w:rsidRDefault="00CC7007" w:rsidP="00CC7007">
      <w:pPr>
        <w:pStyle w:val="ListParagraph"/>
        <w:numPr>
          <w:ilvl w:val="0"/>
          <w:numId w:val="13"/>
        </w:numPr>
        <w:ind w:left="714" w:hanging="357"/>
        <w:contextualSpacing w:val="0"/>
      </w:pPr>
      <w:r>
        <w:t>Standard 3.2.1 in relation to Staffing</w:t>
      </w:r>
    </w:p>
    <w:p w14:paraId="4C9A6226" w14:textId="1331514B" w:rsidR="002555C9" w:rsidRDefault="002555C9" w:rsidP="00CC7007">
      <w:pPr>
        <w:pStyle w:val="ListParagraph"/>
        <w:numPr>
          <w:ilvl w:val="0"/>
          <w:numId w:val="13"/>
        </w:numPr>
        <w:ind w:left="714" w:hanging="357"/>
        <w:contextualSpacing w:val="0"/>
      </w:pPr>
      <w:r>
        <w:t>Standard 5.3.5 in relation to student feedback on their educational experiences</w:t>
      </w:r>
    </w:p>
    <w:p w14:paraId="0911E67F" w14:textId="77777777" w:rsidR="00CC7007" w:rsidRDefault="00CC7007" w:rsidP="00CC7007">
      <w:pPr>
        <w:pStyle w:val="ListParagraph"/>
        <w:numPr>
          <w:ilvl w:val="0"/>
          <w:numId w:val="13"/>
        </w:numPr>
        <w:ind w:left="714" w:hanging="357"/>
        <w:contextualSpacing w:val="0"/>
      </w:pPr>
      <w:r>
        <w:t>Standard 5.4.1 in relation to Delivery with Other Parties</w:t>
      </w:r>
    </w:p>
    <w:p w14:paraId="3B34CB0B" w14:textId="0B8DC5F1" w:rsidR="009620D3" w:rsidRDefault="009620D3" w:rsidP="00711BBE">
      <w:pPr>
        <w:pStyle w:val="ListParagraph"/>
        <w:numPr>
          <w:ilvl w:val="0"/>
          <w:numId w:val="13"/>
        </w:numPr>
        <w:ind w:left="714" w:hanging="357"/>
        <w:contextualSpacing w:val="0"/>
      </w:pPr>
      <w:r w:rsidRPr="009552F3">
        <w:t>Standard 6.2</w:t>
      </w:r>
      <w:r w:rsidR="00DE1307">
        <w:t>.1 in relation to</w:t>
      </w:r>
      <w:r w:rsidR="00711BBE">
        <w:t xml:space="preserve"> Corporate Monitoring and Accountability</w:t>
      </w:r>
    </w:p>
    <w:p w14:paraId="1BEA7A4F" w14:textId="55EB9C7F" w:rsidR="00CC7007" w:rsidRDefault="00CC7007" w:rsidP="00CC7007">
      <w:pPr>
        <w:pStyle w:val="ListParagraph"/>
        <w:numPr>
          <w:ilvl w:val="0"/>
          <w:numId w:val="13"/>
        </w:numPr>
        <w:ind w:left="714" w:hanging="357"/>
        <w:contextualSpacing w:val="0"/>
      </w:pPr>
      <w:r>
        <w:t>Standards 7.1.1 and 7.1.4 in relation to Representation</w:t>
      </w:r>
    </w:p>
    <w:p w14:paraId="15BDAA8C" w14:textId="4375B523" w:rsidR="000C001A" w:rsidRDefault="000C001A" w:rsidP="00EA3339">
      <w:pPr>
        <w:pStyle w:val="ListParagraph"/>
        <w:numPr>
          <w:ilvl w:val="0"/>
          <w:numId w:val="13"/>
        </w:numPr>
        <w:ind w:left="714" w:hanging="357"/>
        <w:contextualSpacing w:val="0"/>
      </w:pPr>
      <w:r>
        <w:t>Standard 7.2</w:t>
      </w:r>
      <w:r w:rsidR="00062FEC">
        <w:t>.1</w:t>
      </w:r>
      <w:r w:rsidR="00195574">
        <w:t xml:space="preserve"> </w:t>
      </w:r>
      <w:r w:rsidR="00062FEC">
        <w:t>in relation to</w:t>
      </w:r>
      <w:r>
        <w:t xml:space="preserve"> Information for Prospective and Current Students</w:t>
      </w:r>
    </w:p>
    <w:p w14:paraId="14E11418" w14:textId="546ABF35" w:rsidR="00774494" w:rsidRDefault="00774494" w:rsidP="009B319B">
      <w:pPr>
        <w:pStyle w:val="Heading3"/>
        <w:spacing w:before="240" w:after="120"/>
      </w:pPr>
      <w:r>
        <w:t>Considerations</w:t>
      </w:r>
    </w:p>
    <w:p w14:paraId="688D8B8B" w14:textId="00B98D99" w:rsidR="00D75BEC" w:rsidRDefault="009552F3" w:rsidP="006B4CC3">
      <w:r>
        <w:t>Many p</w:t>
      </w:r>
      <w:r w:rsidR="00D75BEC">
        <w:t xml:space="preserve">roviders have made a number of changes to their </w:t>
      </w:r>
      <w:r>
        <w:t xml:space="preserve">business </w:t>
      </w:r>
      <w:r w:rsidR="00D75BEC">
        <w:t>operations</w:t>
      </w:r>
      <w:r w:rsidR="00062FEC">
        <w:t xml:space="preserve"> in order to comply with government advice and protect the health of their students and staff</w:t>
      </w:r>
      <w:r w:rsidR="00D75BEC">
        <w:t xml:space="preserve">. </w:t>
      </w:r>
      <w:r w:rsidR="009325D9">
        <w:t xml:space="preserve">While the response to COVID-19 was sudden, </w:t>
      </w:r>
      <w:r w:rsidR="00350339">
        <w:t xml:space="preserve">such as moving swiftly </w:t>
      </w:r>
      <w:r w:rsidR="009325D9">
        <w:t xml:space="preserve">to online delivery, the </w:t>
      </w:r>
      <w:r w:rsidR="00350339">
        <w:t xml:space="preserve">recovery </w:t>
      </w:r>
      <w:r w:rsidR="00DD1FFE">
        <w:t>transition</w:t>
      </w:r>
      <w:r w:rsidR="00350339">
        <w:t xml:space="preserve"> period</w:t>
      </w:r>
      <w:r w:rsidR="00DD1FFE">
        <w:t xml:space="preserve"> should be measured.</w:t>
      </w:r>
    </w:p>
    <w:p w14:paraId="452B9293" w14:textId="713A6AD8" w:rsidR="00062FEC" w:rsidRDefault="00D94344" w:rsidP="006B4CC3">
      <w:r>
        <w:t>It is impo</w:t>
      </w:r>
      <w:r w:rsidR="00A32257">
        <w:t xml:space="preserve">rtant </w:t>
      </w:r>
      <w:r w:rsidR="00350339">
        <w:t xml:space="preserve">that obligations under </w:t>
      </w:r>
      <w:r w:rsidR="00350339" w:rsidRPr="00627FAD">
        <w:t xml:space="preserve">the </w:t>
      </w:r>
      <w:r w:rsidR="002555C9" w:rsidRPr="00627FAD">
        <w:t>National Code</w:t>
      </w:r>
      <w:r w:rsidR="002555C9">
        <w:t xml:space="preserve"> and </w:t>
      </w:r>
      <w:r w:rsidR="00350339">
        <w:t xml:space="preserve">Threshold Standards </w:t>
      </w:r>
      <w:r w:rsidR="00C97CB0">
        <w:t>are</w:t>
      </w:r>
      <w:r w:rsidR="00350339">
        <w:t xml:space="preserve"> embedded in providers’ </w:t>
      </w:r>
      <w:r>
        <w:t>recovery planning and p</w:t>
      </w:r>
      <w:r w:rsidR="00350339">
        <w:t>rocesses</w:t>
      </w:r>
      <w:r w:rsidR="00A32257">
        <w:t xml:space="preserve"> </w:t>
      </w:r>
      <w:r w:rsidR="00062FEC">
        <w:t>as they resume activities</w:t>
      </w:r>
      <w:r w:rsidR="00350339">
        <w:t xml:space="preserve"> and continue to plan for the future. </w:t>
      </w:r>
    </w:p>
    <w:p w14:paraId="095D9E00" w14:textId="544791B6" w:rsidR="00F77669" w:rsidRDefault="00F77669" w:rsidP="006B4CC3">
      <w:r w:rsidRPr="00627FAD">
        <w:t xml:space="preserve">Providers may also want to consider how students have responded during COVID-19 and how any future changes may affect them.   As much as possible, students should be involved in and consulted on any changes that </w:t>
      </w:r>
      <w:r w:rsidR="00C97CB0">
        <w:t>may</w:t>
      </w:r>
      <w:r w:rsidRPr="00627FAD">
        <w:t xml:space="preserve"> impact their education</w:t>
      </w:r>
      <w:r w:rsidR="002555C9" w:rsidRPr="00627FAD">
        <w:t>al experience</w:t>
      </w:r>
      <w:r w:rsidRPr="00627FAD">
        <w:t>, wellbeing and safety</w:t>
      </w:r>
      <w:r w:rsidR="000968C7">
        <w:t>,</w:t>
      </w:r>
      <w:r w:rsidRPr="00627FAD">
        <w:t xml:space="preserve"> and any further changes should be communicated to them clearly.</w:t>
      </w:r>
    </w:p>
    <w:p w14:paraId="17F1A803" w14:textId="60099CD5" w:rsidR="00A74EBC" w:rsidRDefault="00DE1307" w:rsidP="006B4CC3">
      <w:r>
        <w:lastRenderedPageBreak/>
        <w:t>W</w:t>
      </w:r>
      <w:r w:rsidR="00F53477">
        <w:t>e have set out key considerations for providers</w:t>
      </w:r>
      <w:r w:rsidR="00886CAA">
        <w:t xml:space="preserve"> </w:t>
      </w:r>
      <w:r w:rsidR="00D75BEC">
        <w:t xml:space="preserve">that are </w:t>
      </w:r>
      <w:r w:rsidR="003F71E4">
        <w:t xml:space="preserve">pertinent </w:t>
      </w:r>
      <w:r w:rsidR="00062FEC">
        <w:t>during the</w:t>
      </w:r>
      <w:r w:rsidR="003F71E4">
        <w:t xml:space="preserve"> recovery</w:t>
      </w:r>
      <w:r w:rsidR="00062FEC">
        <w:t xml:space="preserve"> period</w:t>
      </w:r>
      <w:r w:rsidR="000C6F6C">
        <w:t>, as temporary changes transition back to business-as-usual activities or</w:t>
      </w:r>
      <w:r w:rsidR="00DD253A">
        <w:t xml:space="preserve"> form the basis for</w:t>
      </w:r>
      <w:r w:rsidR="00671115">
        <w:t xml:space="preserve"> on-going changes to a </w:t>
      </w:r>
      <w:r w:rsidR="000C6F6C">
        <w:t xml:space="preserve">provider’s </w:t>
      </w:r>
      <w:r w:rsidR="00671115">
        <w:t xml:space="preserve">business </w:t>
      </w:r>
      <w:r w:rsidR="00360D61">
        <w:t>model.</w:t>
      </w:r>
    </w:p>
    <w:p w14:paraId="690C258C" w14:textId="53F7A6CC" w:rsidR="00F77669" w:rsidRPr="00533946" w:rsidRDefault="00F77669" w:rsidP="00F77669">
      <w:pPr>
        <w:pStyle w:val="Boxed1Heading"/>
        <w:rPr>
          <w:color w:val="FFFFFF" w:themeColor="background1"/>
        </w:rPr>
      </w:pPr>
      <w:r w:rsidRPr="00533946">
        <w:rPr>
          <w:color w:val="FFFFFF" w:themeColor="background1"/>
        </w:rPr>
        <w:t>Student wellbeing and safety</w:t>
      </w:r>
    </w:p>
    <w:p w14:paraId="78A3C872" w14:textId="58ADC816" w:rsidR="00F77669" w:rsidRPr="00627FAD" w:rsidRDefault="006D1E56" w:rsidP="006D1E56">
      <w:pPr>
        <w:rPr>
          <w:lang w:val="en"/>
        </w:rPr>
      </w:pPr>
      <w:r w:rsidRPr="00627FAD">
        <w:rPr>
          <w:lang w:val="en"/>
        </w:rPr>
        <w:t>P</w:t>
      </w:r>
      <w:r w:rsidR="00F77669" w:rsidRPr="00627FAD">
        <w:rPr>
          <w:lang w:val="en"/>
        </w:rPr>
        <w:t>rovider</w:t>
      </w:r>
      <w:r w:rsidRPr="00627FAD">
        <w:rPr>
          <w:lang w:val="en"/>
        </w:rPr>
        <w:t>s</w:t>
      </w:r>
      <w:r w:rsidR="00F77669" w:rsidRPr="00627FAD">
        <w:rPr>
          <w:lang w:val="en"/>
        </w:rPr>
        <w:t xml:space="preserve"> ha</w:t>
      </w:r>
      <w:r w:rsidRPr="00627FAD">
        <w:rPr>
          <w:lang w:val="en"/>
        </w:rPr>
        <w:t>ve</w:t>
      </w:r>
      <w:r w:rsidR="00F77669" w:rsidRPr="00627FAD">
        <w:rPr>
          <w:lang w:val="en"/>
        </w:rPr>
        <w:t xml:space="preserve"> a range of responsibilities to students</w:t>
      </w:r>
      <w:r w:rsidR="000968C7">
        <w:rPr>
          <w:lang w:val="en"/>
        </w:rPr>
        <w:t>,</w:t>
      </w:r>
      <w:r w:rsidR="00F77669" w:rsidRPr="00627FAD">
        <w:rPr>
          <w:lang w:val="en"/>
        </w:rPr>
        <w:t xml:space="preserve"> </w:t>
      </w:r>
      <w:r w:rsidRPr="00627FAD">
        <w:rPr>
          <w:lang w:val="en"/>
        </w:rPr>
        <w:t>including</w:t>
      </w:r>
      <w:r w:rsidR="00F77669" w:rsidRPr="00627FAD">
        <w:rPr>
          <w:lang w:val="en"/>
        </w:rPr>
        <w:t xml:space="preserve"> taking active responsibility for fostering an environment of wellbeing and safety for its students. This includes:</w:t>
      </w:r>
    </w:p>
    <w:p w14:paraId="3E4DBE37" w14:textId="1DC74009" w:rsidR="00F77669" w:rsidRPr="00627FAD" w:rsidRDefault="00627FAD" w:rsidP="006D1E56">
      <w:pPr>
        <w:pStyle w:val="ListParagraph"/>
        <w:numPr>
          <w:ilvl w:val="0"/>
          <w:numId w:val="25"/>
        </w:numPr>
        <w:rPr>
          <w:lang w:val="en"/>
        </w:rPr>
      </w:pPr>
      <w:r>
        <w:rPr>
          <w:lang w:val="en"/>
        </w:rPr>
        <w:t>C</w:t>
      </w:r>
      <w:r w:rsidR="00F77669" w:rsidRPr="00627FAD">
        <w:rPr>
          <w:lang w:val="en"/>
        </w:rPr>
        <w:t>onducting effective risk assessments and implementing preventative controls for the risks identified</w:t>
      </w:r>
      <w:r w:rsidR="004E4F32">
        <w:rPr>
          <w:lang w:val="en"/>
        </w:rPr>
        <w:t>.</w:t>
      </w:r>
    </w:p>
    <w:p w14:paraId="0109402B" w14:textId="0D6CFDAD" w:rsidR="006D1E56" w:rsidRPr="00627FAD" w:rsidRDefault="00627FAD" w:rsidP="00290FA0">
      <w:pPr>
        <w:pStyle w:val="ListParagraph"/>
        <w:numPr>
          <w:ilvl w:val="0"/>
          <w:numId w:val="25"/>
        </w:numPr>
      </w:pPr>
      <w:r>
        <w:rPr>
          <w:lang w:val="en"/>
        </w:rPr>
        <w:t>P</w:t>
      </w:r>
      <w:r w:rsidR="00F77669" w:rsidRPr="00627FAD">
        <w:rPr>
          <w:lang w:val="en"/>
        </w:rPr>
        <w:t>roviding advice about actions to take, staff to contact and support services that are accessible</w:t>
      </w:r>
      <w:r w:rsidR="00C0092C">
        <w:rPr>
          <w:lang w:val="en"/>
        </w:rPr>
        <w:t xml:space="preserve"> to students</w:t>
      </w:r>
      <w:r w:rsidR="00F77669" w:rsidRPr="00627FAD">
        <w:rPr>
          <w:lang w:val="en"/>
        </w:rPr>
        <w:t xml:space="preserve"> (whether directly or through another party)</w:t>
      </w:r>
      <w:r w:rsidR="004E4F32">
        <w:rPr>
          <w:lang w:val="en"/>
        </w:rPr>
        <w:t>.</w:t>
      </w:r>
    </w:p>
    <w:p w14:paraId="59BE6B73" w14:textId="55C2DC4E" w:rsidR="006D1E56" w:rsidRPr="00627FAD" w:rsidRDefault="00627FAD" w:rsidP="00290FA0">
      <w:pPr>
        <w:pStyle w:val="ListParagraph"/>
        <w:numPr>
          <w:ilvl w:val="0"/>
          <w:numId w:val="25"/>
        </w:numPr>
      </w:pPr>
      <w:r w:rsidRPr="00627FAD">
        <w:rPr>
          <w:lang w:val="en"/>
        </w:rPr>
        <w:t>Identifying</w:t>
      </w:r>
      <w:r w:rsidR="006D1E56" w:rsidRPr="00627FAD">
        <w:rPr>
          <w:lang w:val="en"/>
        </w:rPr>
        <w:t xml:space="preserve"> risks to wellbeing and safety, taking steps to understand the support needs of particular student cohorts, and implementing effective mitigation and management strategies for identified risks.</w:t>
      </w:r>
    </w:p>
    <w:p w14:paraId="7625FF76" w14:textId="5C42D911" w:rsidR="006D1E56" w:rsidRPr="00627FAD" w:rsidRDefault="006D1E56" w:rsidP="006D1E56">
      <w:r w:rsidRPr="00627FAD">
        <w:t>Key considerations include:</w:t>
      </w:r>
    </w:p>
    <w:p w14:paraId="3F36E6AA" w14:textId="33AB5C8A" w:rsidR="00BD390E" w:rsidRPr="00627FAD" w:rsidRDefault="00BD390E" w:rsidP="00BD390E">
      <w:pPr>
        <w:pStyle w:val="ListParagraph"/>
        <w:numPr>
          <w:ilvl w:val="0"/>
          <w:numId w:val="26"/>
        </w:numPr>
        <w:rPr>
          <w:lang w:val="en"/>
        </w:rPr>
      </w:pPr>
      <w:r w:rsidRPr="00627FAD">
        <w:rPr>
          <w:lang w:val="en"/>
        </w:rPr>
        <w:t>T</w:t>
      </w:r>
      <w:r w:rsidR="006D1E56" w:rsidRPr="00627FAD">
        <w:rPr>
          <w:lang w:val="en"/>
        </w:rPr>
        <w:t>he co</w:t>
      </w:r>
      <w:r w:rsidRPr="00627FAD">
        <w:rPr>
          <w:lang w:val="en"/>
        </w:rPr>
        <w:t>mmitment of the governing body</w:t>
      </w:r>
      <w:r w:rsidR="006D1E56" w:rsidRPr="00627FAD">
        <w:rPr>
          <w:lang w:val="en"/>
        </w:rPr>
        <w:t xml:space="preserve"> and the framework of policies, processes and activities that have been established to foster and maintain well</w:t>
      </w:r>
      <w:r w:rsidRPr="00627FAD">
        <w:rPr>
          <w:lang w:val="en"/>
        </w:rPr>
        <w:t>being and safety during COVID-19 restrictions or easing of restrictions</w:t>
      </w:r>
      <w:r w:rsidR="004E4F32">
        <w:rPr>
          <w:lang w:val="en"/>
        </w:rPr>
        <w:t>.</w:t>
      </w:r>
    </w:p>
    <w:p w14:paraId="05A524BE" w14:textId="44A6BF04" w:rsidR="00BD390E" w:rsidRPr="00627FAD" w:rsidRDefault="00BD390E" w:rsidP="00BD390E">
      <w:pPr>
        <w:pStyle w:val="ListParagraph"/>
        <w:numPr>
          <w:ilvl w:val="0"/>
          <w:numId w:val="26"/>
        </w:numPr>
        <w:rPr>
          <w:lang w:val="en"/>
        </w:rPr>
      </w:pPr>
      <w:r w:rsidRPr="00627FAD">
        <w:rPr>
          <w:lang w:val="en"/>
        </w:rPr>
        <w:t>S</w:t>
      </w:r>
      <w:r w:rsidR="006D1E56" w:rsidRPr="00627FAD">
        <w:rPr>
          <w:lang w:val="en"/>
        </w:rPr>
        <w:t>upport should be tailored to the needs of particular student cohorts</w:t>
      </w:r>
      <w:r w:rsidRPr="00627FAD">
        <w:rPr>
          <w:lang w:val="en"/>
        </w:rPr>
        <w:t>, such as s</w:t>
      </w:r>
      <w:r w:rsidR="006D1E56" w:rsidRPr="00627FAD">
        <w:rPr>
          <w:lang w:val="en"/>
        </w:rPr>
        <w:t>tudents who are studying in different modes of participation, i.e. on campu</w:t>
      </w:r>
      <w:r w:rsidRPr="00627FAD">
        <w:rPr>
          <w:lang w:val="en"/>
        </w:rPr>
        <w:t xml:space="preserve">s, online or blended modes, </w:t>
      </w:r>
      <w:r w:rsidR="006D1E56" w:rsidRPr="00627FAD">
        <w:rPr>
          <w:lang w:val="en"/>
        </w:rPr>
        <w:t xml:space="preserve">students who are involved with other delivery partners (whether onshore or offshore) </w:t>
      </w:r>
      <w:r w:rsidRPr="00627FAD">
        <w:rPr>
          <w:lang w:val="en"/>
        </w:rPr>
        <w:t xml:space="preserve">and </w:t>
      </w:r>
      <w:r w:rsidR="006D1E56" w:rsidRPr="00627FAD">
        <w:rPr>
          <w:lang w:val="en"/>
        </w:rPr>
        <w:t xml:space="preserve">students whose studies are impeded by health issues, including mental health issues requiring access to </w:t>
      </w:r>
      <w:r w:rsidRPr="00627FAD">
        <w:rPr>
          <w:lang w:val="en"/>
        </w:rPr>
        <w:t>counselling.</w:t>
      </w:r>
    </w:p>
    <w:p w14:paraId="0D9420D9" w14:textId="3D9BA090" w:rsidR="006D1E56" w:rsidRPr="00627FAD" w:rsidRDefault="002555C9" w:rsidP="00BD390E">
      <w:pPr>
        <w:pStyle w:val="ListParagraph"/>
        <w:numPr>
          <w:ilvl w:val="0"/>
          <w:numId w:val="26"/>
        </w:numPr>
        <w:rPr>
          <w:lang w:val="en"/>
        </w:rPr>
      </w:pPr>
      <w:r w:rsidRPr="00627FAD">
        <w:rPr>
          <w:lang w:val="en"/>
        </w:rPr>
        <w:t>R</w:t>
      </w:r>
      <w:r w:rsidR="006D1E56" w:rsidRPr="00627FAD">
        <w:rPr>
          <w:lang w:val="en"/>
        </w:rPr>
        <w:t xml:space="preserve">isk identification </w:t>
      </w:r>
      <w:r w:rsidR="00BD390E" w:rsidRPr="00627FAD">
        <w:rPr>
          <w:lang w:val="en"/>
        </w:rPr>
        <w:t xml:space="preserve">should be </w:t>
      </w:r>
      <w:r w:rsidR="006D1E56" w:rsidRPr="00627FAD">
        <w:rPr>
          <w:lang w:val="en"/>
        </w:rPr>
        <w:t>consistent with the scale and context of the provider and its environment, and how this guid</w:t>
      </w:r>
      <w:r w:rsidR="00BD390E" w:rsidRPr="00627FAD">
        <w:rPr>
          <w:lang w:val="en"/>
        </w:rPr>
        <w:t>es the provider’s preparations for resumption of face to face delivery</w:t>
      </w:r>
      <w:r w:rsidR="002E79FF">
        <w:rPr>
          <w:lang w:val="en"/>
        </w:rPr>
        <w:t xml:space="preserve"> and other transitional arrangements</w:t>
      </w:r>
      <w:r w:rsidR="004E4F32">
        <w:rPr>
          <w:lang w:val="en"/>
        </w:rPr>
        <w:t>.</w:t>
      </w:r>
    </w:p>
    <w:p w14:paraId="76DF1599" w14:textId="3A4C4949" w:rsidR="00095082" w:rsidRDefault="00C0092C" w:rsidP="006D1E56">
      <w:r>
        <w:t>Particular consideration should be given to</w:t>
      </w:r>
      <w:r w:rsidR="00906E52">
        <w:t xml:space="preserve"> Standard 2.3.1.</w:t>
      </w:r>
    </w:p>
    <w:p w14:paraId="1BA45761" w14:textId="77777777" w:rsidR="00313ED1" w:rsidRDefault="00313ED1" w:rsidP="006D1E56"/>
    <w:p w14:paraId="65753765" w14:textId="64D4221F" w:rsidR="00F53477" w:rsidRPr="00533946" w:rsidRDefault="00A74EBC" w:rsidP="00414976">
      <w:pPr>
        <w:pStyle w:val="Boxed1Heading"/>
        <w:rPr>
          <w:color w:val="FFFFFF" w:themeColor="background1"/>
        </w:rPr>
      </w:pPr>
      <w:r w:rsidRPr="00533946">
        <w:rPr>
          <w:color w:val="FFFFFF" w:themeColor="background1"/>
        </w:rPr>
        <w:t>Corporate monitoring and accountability</w:t>
      </w:r>
    </w:p>
    <w:p w14:paraId="5C8B6512" w14:textId="55F886CE" w:rsidR="00670F18" w:rsidRDefault="00670F18" w:rsidP="00466D92">
      <w:r>
        <w:t>The governing body is critical in providing effective governance</w:t>
      </w:r>
      <w:r w:rsidR="003F71E4">
        <w:t>, oversight</w:t>
      </w:r>
      <w:r>
        <w:t xml:space="preserve"> and strategic direction during </w:t>
      </w:r>
      <w:r w:rsidR="00D75BEC">
        <w:t>the recovery</w:t>
      </w:r>
      <w:r>
        <w:t xml:space="preserve"> process. This includes ensuring </w:t>
      </w:r>
      <w:r w:rsidR="003F71E4">
        <w:t xml:space="preserve">that </w:t>
      </w:r>
      <w:r>
        <w:t xml:space="preserve">there are </w:t>
      </w:r>
      <w:r w:rsidR="003F71E4">
        <w:t xml:space="preserve">appropriate </w:t>
      </w:r>
      <w:r>
        <w:t xml:space="preserve">governance arrangements in place to </w:t>
      </w:r>
      <w:r w:rsidR="003F71E4">
        <w:t xml:space="preserve">identify, effectively </w:t>
      </w:r>
      <w:r>
        <w:t xml:space="preserve">manage </w:t>
      </w:r>
      <w:r w:rsidR="003F71E4">
        <w:t xml:space="preserve">and monitor </w:t>
      </w:r>
      <w:r>
        <w:t>risks</w:t>
      </w:r>
      <w:r w:rsidR="00095082">
        <w:t>,</w:t>
      </w:r>
      <w:r w:rsidR="000C09E7">
        <w:t xml:space="preserve"> </w:t>
      </w:r>
      <w:r w:rsidR="00BA64B2">
        <w:t>particularly those that relate to</w:t>
      </w:r>
      <w:r w:rsidR="000C09E7">
        <w:t xml:space="preserve"> financial management and oversight</w:t>
      </w:r>
      <w:r w:rsidR="00BA64B2">
        <w:t>,</w:t>
      </w:r>
      <w:r w:rsidR="000C09E7">
        <w:t xml:space="preserve"> </w:t>
      </w:r>
      <w:r w:rsidR="00BA64B2">
        <w:t>and academic</w:t>
      </w:r>
      <w:r w:rsidR="00095082">
        <w:t xml:space="preserve"> quality</w:t>
      </w:r>
      <w:r>
        <w:t>.</w:t>
      </w:r>
    </w:p>
    <w:p w14:paraId="3E57A097" w14:textId="2CAAE0D4" w:rsidR="005022F0" w:rsidRDefault="008B6D32" w:rsidP="00466D92">
      <w:r>
        <w:t>Key considerations include:</w:t>
      </w:r>
    </w:p>
    <w:p w14:paraId="0A73C4C1" w14:textId="3A5882D9" w:rsidR="00784025" w:rsidRPr="000C6F6C" w:rsidRDefault="00E20B0A" w:rsidP="004E4F32">
      <w:pPr>
        <w:pStyle w:val="ListParagraph"/>
        <w:numPr>
          <w:ilvl w:val="0"/>
          <w:numId w:val="14"/>
        </w:numPr>
        <w:ind w:left="709" w:hanging="425"/>
        <w:contextualSpacing w:val="0"/>
      </w:pPr>
      <w:r w:rsidRPr="000C6F6C">
        <w:t>Ensuring t</w:t>
      </w:r>
      <w:r w:rsidR="008B6D32" w:rsidRPr="000C6F6C">
        <w:t>h</w:t>
      </w:r>
      <w:r w:rsidR="00D65C48">
        <w:t>at risks are identified</w:t>
      </w:r>
      <w:r w:rsidR="0091160C">
        <w:t xml:space="preserve">, </w:t>
      </w:r>
      <w:r w:rsidR="00D65C48">
        <w:t xml:space="preserve">documented and reviewed on a continual basis. </w:t>
      </w:r>
    </w:p>
    <w:p w14:paraId="6BCECE5C" w14:textId="1712F1B0" w:rsidR="00886CAA" w:rsidRPr="000C6F6C" w:rsidRDefault="00E20B0A" w:rsidP="004E4F32">
      <w:pPr>
        <w:pStyle w:val="ListParagraph"/>
        <w:numPr>
          <w:ilvl w:val="0"/>
          <w:numId w:val="14"/>
        </w:numPr>
        <w:ind w:left="709" w:hanging="425"/>
        <w:contextualSpacing w:val="0"/>
      </w:pPr>
      <w:r w:rsidRPr="000C6F6C">
        <w:t>Ensuring the risk m</w:t>
      </w:r>
      <w:r w:rsidR="006C3D3E" w:rsidRPr="000C6F6C">
        <w:t>an</w:t>
      </w:r>
      <w:r w:rsidRPr="000C6F6C">
        <w:t>agement p</w:t>
      </w:r>
      <w:r w:rsidR="006C3D3E" w:rsidRPr="000C6F6C">
        <w:t>lan</w:t>
      </w:r>
      <w:r w:rsidR="008B6D32" w:rsidRPr="000C6F6C">
        <w:t xml:space="preserve"> </w:t>
      </w:r>
      <w:r w:rsidR="00DD1FFE" w:rsidRPr="000C6F6C">
        <w:t>adequately</w:t>
      </w:r>
      <w:r w:rsidR="006C3D3E" w:rsidRPr="000C6F6C">
        <w:t xml:space="preserve"> address</w:t>
      </w:r>
      <w:r w:rsidRPr="000C6F6C">
        <w:t>es</w:t>
      </w:r>
      <w:r w:rsidR="006C3D3E" w:rsidRPr="000C6F6C">
        <w:t xml:space="preserve"> risks</w:t>
      </w:r>
      <w:r w:rsidR="00DD1FFE" w:rsidRPr="000C6F6C">
        <w:t xml:space="preserve"> and impacts of COVID-19, </w:t>
      </w:r>
      <w:r w:rsidR="008B6D32" w:rsidRPr="000C6F6C">
        <w:t>including</w:t>
      </w:r>
      <w:r w:rsidR="0091160C">
        <w:t xml:space="preserve"> that</w:t>
      </w:r>
      <w:r w:rsidR="006C3D3E" w:rsidRPr="000C6F6C">
        <w:t xml:space="preserve">: </w:t>
      </w:r>
    </w:p>
    <w:p w14:paraId="3B76456E" w14:textId="3B2E14D8" w:rsidR="00886CAA" w:rsidRDefault="00886CAA" w:rsidP="004E4F32">
      <w:pPr>
        <w:pStyle w:val="ListParagraph"/>
        <w:numPr>
          <w:ilvl w:val="1"/>
          <w:numId w:val="14"/>
        </w:numPr>
        <w:ind w:left="1701" w:hanging="521"/>
        <w:contextualSpacing w:val="0"/>
      </w:pPr>
      <w:r>
        <w:t>decision-making process</w:t>
      </w:r>
      <w:r w:rsidR="00E20B0A">
        <w:t>es</w:t>
      </w:r>
      <w:r>
        <w:t xml:space="preserve"> </w:t>
      </w:r>
      <w:r w:rsidR="001E7B57">
        <w:t xml:space="preserve">are in place </w:t>
      </w:r>
      <w:r>
        <w:t>to review and approve risk mitigation strategies</w:t>
      </w:r>
    </w:p>
    <w:p w14:paraId="4352618E" w14:textId="011311A8" w:rsidR="00886CAA" w:rsidRDefault="001E7B57" w:rsidP="004E4F32">
      <w:pPr>
        <w:pStyle w:val="ListParagraph"/>
        <w:numPr>
          <w:ilvl w:val="1"/>
          <w:numId w:val="14"/>
        </w:numPr>
        <w:ind w:left="1701" w:hanging="521"/>
        <w:contextualSpacing w:val="0"/>
      </w:pPr>
      <w:r>
        <w:t xml:space="preserve">consideration is given to </w:t>
      </w:r>
      <w:r w:rsidR="00886CAA">
        <w:t>short, medium and long term measures</w:t>
      </w:r>
    </w:p>
    <w:p w14:paraId="4A756132" w14:textId="5C896A98" w:rsidR="00886CAA" w:rsidRDefault="00886CAA" w:rsidP="004E4F32">
      <w:pPr>
        <w:pStyle w:val="ListParagraph"/>
        <w:numPr>
          <w:ilvl w:val="1"/>
          <w:numId w:val="14"/>
        </w:numPr>
        <w:ind w:left="1701" w:hanging="521"/>
        <w:contextualSpacing w:val="0"/>
      </w:pPr>
      <w:r>
        <w:t>roles and responsibilities</w:t>
      </w:r>
      <w:r w:rsidR="001E7B57">
        <w:t xml:space="preserve"> are clearly defined</w:t>
      </w:r>
      <w:r>
        <w:t xml:space="preserve"> </w:t>
      </w:r>
    </w:p>
    <w:p w14:paraId="6948D970" w14:textId="463780CC" w:rsidR="0079428F" w:rsidRDefault="001E7B57" w:rsidP="004E4F32">
      <w:pPr>
        <w:pStyle w:val="ListParagraph"/>
        <w:numPr>
          <w:ilvl w:val="1"/>
          <w:numId w:val="14"/>
        </w:numPr>
        <w:ind w:left="1701" w:hanging="521"/>
        <w:contextualSpacing w:val="0"/>
      </w:pPr>
      <w:r>
        <w:lastRenderedPageBreak/>
        <w:t xml:space="preserve">there is a </w:t>
      </w:r>
      <w:r w:rsidR="00886CAA">
        <w:t>monitoring framework to ensure transparency and accountability</w:t>
      </w:r>
    </w:p>
    <w:p w14:paraId="16E85DFC" w14:textId="5C6DA023" w:rsidR="00F3485D" w:rsidRDefault="00055CD5" w:rsidP="004E4F32">
      <w:pPr>
        <w:pStyle w:val="ListParagraph"/>
        <w:numPr>
          <w:ilvl w:val="0"/>
          <w:numId w:val="14"/>
        </w:numPr>
        <w:ind w:left="709" w:hanging="425"/>
      </w:pPr>
      <w:r>
        <w:t>Monitoring the occurrence and nature of any formal complaints, allegations of misconduct, breaches of academic or research integrity or other critical incidents and taking action to address the underlying cause.</w:t>
      </w:r>
    </w:p>
    <w:p w14:paraId="424FC8E2" w14:textId="51804164" w:rsidR="007F4746" w:rsidRDefault="008B6D32" w:rsidP="004E4F32">
      <w:pPr>
        <w:pStyle w:val="ListParagraph"/>
        <w:numPr>
          <w:ilvl w:val="0"/>
          <w:numId w:val="14"/>
        </w:numPr>
        <w:ind w:left="709" w:hanging="425"/>
      </w:pPr>
      <w:r>
        <w:t>C</w:t>
      </w:r>
      <w:r w:rsidR="007F4746">
        <w:t xml:space="preserve">ontinually monitoring the health advice of </w:t>
      </w:r>
      <w:r w:rsidR="00414976">
        <w:t>Commonwealth and relevant s</w:t>
      </w:r>
      <w:r w:rsidR="007F4746">
        <w:t>tate</w:t>
      </w:r>
      <w:r w:rsidR="00414976">
        <w:t xml:space="preserve"> and territory</w:t>
      </w:r>
      <w:r w:rsidR="007F4746">
        <w:t xml:space="preserve"> </w:t>
      </w:r>
      <w:r w:rsidR="00414976">
        <w:t>g</w:t>
      </w:r>
      <w:r w:rsidR="007F4746">
        <w:t>overnment</w:t>
      </w:r>
      <w:r w:rsidR="00414976">
        <w:t>s</w:t>
      </w:r>
      <w:r w:rsidR="007F4746">
        <w:t xml:space="preserve"> to inform the actions you are expected to take</w:t>
      </w:r>
      <w:r>
        <w:t>, noting t</w:t>
      </w:r>
      <w:r w:rsidR="007F4746">
        <w:t xml:space="preserve">he approach may differ depending on the location and </w:t>
      </w:r>
      <w:r w:rsidR="00414976">
        <w:t xml:space="preserve">conditions </w:t>
      </w:r>
      <w:r w:rsidR="007F4746">
        <w:t>of each campus.</w:t>
      </w:r>
    </w:p>
    <w:p w14:paraId="5D127F69" w14:textId="77777777" w:rsidR="000C09E7" w:rsidRDefault="000C09E7" w:rsidP="004E4F32">
      <w:pPr>
        <w:pStyle w:val="ListParagraph"/>
        <w:numPr>
          <w:ilvl w:val="0"/>
          <w:numId w:val="14"/>
        </w:numPr>
        <w:ind w:left="709" w:hanging="425"/>
        <w:contextualSpacing w:val="0"/>
      </w:pPr>
      <w:r>
        <w:t>Revisiting the organisation’s business plan – for example realigning, as necessary, academic and financial priorities of the organisation.</w:t>
      </w:r>
    </w:p>
    <w:p w14:paraId="29AEB65D" w14:textId="77777777" w:rsidR="000C09E7" w:rsidRDefault="000C09E7" w:rsidP="004E4F32">
      <w:pPr>
        <w:pStyle w:val="ListParagraph"/>
        <w:numPr>
          <w:ilvl w:val="0"/>
          <w:numId w:val="14"/>
        </w:numPr>
        <w:ind w:left="709" w:hanging="425"/>
        <w:contextualSpacing w:val="0"/>
      </w:pPr>
      <w:r>
        <w:t>Ensuring adequate oversight by the governing body of the provider’s financial sustainability and viability – for example by receiving up-to-date, regular financial reporting in a format that enables the governing body to easily understand the provider’s current financial position and sustainability of performance and projections.</w:t>
      </w:r>
    </w:p>
    <w:p w14:paraId="2E96D1BF" w14:textId="77777777" w:rsidR="000C09E7" w:rsidRDefault="000C09E7" w:rsidP="004E4F32">
      <w:pPr>
        <w:pStyle w:val="ListParagraph"/>
        <w:numPr>
          <w:ilvl w:val="0"/>
          <w:numId w:val="14"/>
        </w:numPr>
        <w:ind w:left="709" w:hanging="425"/>
        <w:contextualSpacing w:val="0"/>
      </w:pPr>
      <w:r>
        <w:t>Ensuring adequate monitoring and management of ongoing and emerging financial impacts and risks of COVID-19 - for example, modelling and analysis to inform strategies and make informed, sometimes hard, decisions based on data.</w:t>
      </w:r>
    </w:p>
    <w:p w14:paraId="6AF95C8F" w14:textId="77777777" w:rsidR="000C09E7" w:rsidRDefault="000C09E7" w:rsidP="004E4F32">
      <w:pPr>
        <w:pStyle w:val="ListParagraph"/>
        <w:numPr>
          <w:ilvl w:val="0"/>
          <w:numId w:val="14"/>
        </w:numPr>
        <w:ind w:left="709" w:hanging="425"/>
        <w:contextualSpacing w:val="0"/>
      </w:pPr>
      <w:r>
        <w:t xml:space="preserve">Ensuring that there are adequate financial and tuition safeguards in place to mitigate disadvantage to students in the event of unexpected changes to provider’s operations, including if the provider is no longer able to offer a course of study or ceases to operate. </w:t>
      </w:r>
    </w:p>
    <w:p w14:paraId="7B60C16C" w14:textId="1ECB314C" w:rsidR="000C09E7" w:rsidRDefault="000C09E7" w:rsidP="004E4F32">
      <w:pPr>
        <w:pStyle w:val="ListParagraph"/>
        <w:numPr>
          <w:ilvl w:val="0"/>
          <w:numId w:val="14"/>
        </w:numPr>
        <w:ind w:left="709" w:hanging="425"/>
        <w:contextualSpacing w:val="0"/>
      </w:pPr>
      <w:r>
        <w:t>Exercising due diligence in making financial decisions – this may involve seeking external, professional advice or expertise as required.</w:t>
      </w:r>
    </w:p>
    <w:p w14:paraId="49E94698" w14:textId="77777777" w:rsidR="000C09E7" w:rsidRDefault="000C09E7" w:rsidP="004E4F32">
      <w:pPr>
        <w:pStyle w:val="ListParagraph"/>
        <w:numPr>
          <w:ilvl w:val="0"/>
          <w:numId w:val="14"/>
        </w:numPr>
        <w:ind w:left="709" w:hanging="425"/>
        <w:contextualSpacing w:val="0"/>
      </w:pPr>
      <w:r>
        <w:t>Clearly documenting financial decisions and reasons for these decisions.</w:t>
      </w:r>
    </w:p>
    <w:p w14:paraId="5D2FC287" w14:textId="1D50CA7B" w:rsidR="00095082" w:rsidRDefault="00095082" w:rsidP="00095082">
      <w:proofErr w:type="gramStart"/>
      <w:r>
        <w:t>Particular consideration</w:t>
      </w:r>
      <w:proofErr w:type="gramEnd"/>
      <w:r>
        <w:t xml:space="preserve"> should be given to</w:t>
      </w:r>
      <w:r w:rsidR="00906E52">
        <w:t xml:space="preserve"> Standard 6.2.1 (paras c. d. e. </w:t>
      </w:r>
      <w:proofErr w:type="spellStart"/>
      <w:r w:rsidR="00906E52">
        <w:t>i</w:t>
      </w:r>
      <w:proofErr w:type="spellEnd"/>
      <w:r w:rsidR="00906E52">
        <w:t>. and j).</w:t>
      </w:r>
    </w:p>
    <w:p w14:paraId="7299607C" w14:textId="77777777" w:rsidR="00F3485D" w:rsidRDefault="00F3485D" w:rsidP="00F3485D"/>
    <w:p w14:paraId="667C3411" w14:textId="3580D68C" w:rsidR="0079428F" w:rsidRPr="00533946" w:rsidRDefault="0079428F" w:rsidP="00466D92">
      <w:pPr>
        <w:pStyle w:val="Boxed1Heading"/>
        <w:rPr>
          <w:color w:val="FFFFFF" w:themeColor="background1"/>
        </w:rPr>
      </w:pPr>
      <w:r w:rsidRPr="00533946">
        <w:rPr>
          <w:color w:val="FFFFFF" w:themeColor="background1"/>
        </w:rPr>
        <w:t>Maintaining academic quality and standards</w:t>
      </w:r>
    </w:p>
    <w:p w14:paraId="37EB6EB8" w14:textId="667E1506" w:rsidR="0079428F" w:rsidRDefault="0069386A" w:rsidP="00466D92">
      <w:r>
        <w:t>A</w:t>
      </w:r>
      <w:r w:rsidR="00711BBE">
        <w:t>s providers plan for upcoming academic periods/semesters</w:t>
      </w:r>
      <w:r>
        <w:t xml:space="preserve">, </w:t>
      </w:r>
      <w:r w:rsidR="00385C97">
        <w:t>we expect</w:t>
      </w:r>
      <w:r w:rsidR="003C1329">
        <w:t xml:space="preserve"> </w:t>
      </w:r>
      <w:r w:rsidR="00215C6E">
        <w:t xml:space="preserve">that you will </w:t>
      </w:r>
      <w:r w:rsidR="00385C97">
        <w:t xml:space="preserve"> </w:t>
      </w:r>
      <w:r w:rsidR="003A4AD6">
        <w:t xml:space="preserve"> </w:t>
      </w:r>
      <w:r w:rsidR="007F4746">
        <w:t xml:space="preserve">maintain </w:t>
      </w:r>
      <w:r w:rsidR="00466D92">
        <w:t xml:space="preserve">the </w:t>
      </w:r>
      <w:r w:rsidR="003A4AD6">
        <w:t>quality of</w:t>
      </w:r>
      <w:r w:rsidR="007F4746">
        <w:t xml:space="preserve"> teaching and</w:t>
      </w:r>
      <w:r w:rsidR="003A4AD6">
        <w:t xml:space="preserve"> </w:t>
      </w:r>
      <w:r w:rsidR="00583739">
        <w:t>learning as</w:t>
      </w:r>
      <w:r w:rsidR="00215C6E">
        <w:t xml:space="preserve"> </w:t>
      </w:r>
      <w:r w:rsidR="003A4AD6">
        <w:t>a priority</w:t>
      </w:r>
      <w:r w:rsidR="00444CE0">
        <w:t>, including</w:t>
      </w:r>
      <w:r w:rsidR="00092FF1">
        <w:t xml:space="preserve"> overseeing arrangements for </w:t>
      </w:r>
      <w:r w:rsidR="00444CE0">
        <w:t xml:space="preserve">delivery </w:t>
      </w:r>
      <w:r w:rsidR="00092FF1">
        <w:t>by</w:t>
      </w:r>
      <w:r w:rsidR="00444CE0">
        <w:t xml:space="preserve"> other parties</w:t>
      </w:r>
      <w:r w:rsidR="00092FF1">
        <w:t>.</w:t>
      </w:r>
    </w:p>
    <w:p w14:paraId="2D0B08BE" w14:textId="5C781D9A" w:rsidR="00466D92" w:rsidRPr="00466D92" w:rsidRDefault="00466D92" w:rsidP="00466D92">
      <w:pPr>
        <w:rPr>
          <w:b/>
          <w:color w:val="00847E" w:themeColor="accent1"/>
        </w:rPr>
      </w:pPr>
      <w:r w:rsidRPr="00466D92">
        <w:t>Key considerations include:</w:t>
      </w:r>
    </w:p>
    <w:p w14:paraId="0F0E9B0B" w14:textId="337CD199" w:rsidR="00291711" w:rsidRPr="00466D92" w:rsidRDefault="00FA2A6E" w:rsidP="004E4F32">
      <w:pPr>
        <w:pStyle w:val="ListParagraph"/>
        <w:numPr>
          <w:ilvl w:val="0"/>
          <w:numId w:val="16"/>
        </w:numPr>
        <w:ind w:left="709" w:hanging="283"/>
        <w:contextualSpacing w:val="0"/>
      </w:pPr>
      <w:r w:rsidRPr="00466D92">
        <w:t>Planning</w:t>
      </w:r>
      <w:r w:rsidR="00466D92" w:rsidRPr="00466D92">
        <w:t xml:space="preserve"> and reviewing </w:t>
      </w:r>
      <w:r w:rsidRPr="00466D92">
        <w:t xml:space="preserve">the timing </w:t>
      </w:r>
      <w:r w:rsidR="00971ED1">
        <w:t>of</w:t>
      </w:r>
      <w:r w:rsidR="00291711" w:rsidRPr="00466D92">
        <w:t xml:space="preserve"> </w:t>
      </w:r>
      <w:r w:rsidR="00466D92" w:rsidRPr="00466D92">
        <w:t xml:space="preserve">course </w:t>
      </w:r>
      <w:r w:rsidR="00291711" w:rsidRPr="00466D92">
        <w:t>review</w:t>
      </w:r>
      <w:r w:rsidR="00466D92" w:rsidRPr="00466D92">
        <w:t>s</w:t>
      </w:r>
      <w:r w:rsidR="00291711" w:rsidRPr="00466D92">
        <w:t xml:space="preserve"> </w:t>
      </w:r>
      <w:r w:rsidR="00466D92" w:rsidRPr="00466D92">
        <w:t>and</w:t>
      </w:r>
      <w:r w:rsidR="00291711" w:rsidRPr="00466D92">
        <w:t xml:space="preserve"> surveys, </w:t>
      </w:r>
      <w:r w:rsidR="00466D92" w:rsidRPr="00466D92">
        <w:t xml:space="preserve">and  </w:t>
      </w:r>
      <w:r w:rsidR="00971ED1">
        <w:t xml:space="preserve"> the </w:t>
      </w:r>
      <w:r w:rsidR="00673EB6" w:rsidRPr="00466D92">
        <w:t>influence</w:t>
      </w:r>
      <w:r w:rsidR="00291711" w:rsidRPr="00466D92">
        <w:t xml:space="preserve"> </w:t>
      </w:r>
      <w:r w:rsidR="00971ED1">
        <w:t xml:space="preserve">of this on </w:t>
      </w:r>
      <w:r w:rsidR="00291711" w:rsidRPr="00466D92">
        <w:t xml:space="preserve">decisions about </w:t>
      </w:r>
      <w:r w:rsidR="004B0D27" w:rsidRPr="00466D92">
        <w:t>future operations</w:t>
      </w:r>
      <w:r w:rsidR="00971ED1">
        <w:t>,</w:t>
      </w:r>
      <w:r w:rsidR="004B0D27" w:rsidRPr="00466D92">
        <w:t xml:space="preserve"> including delivery modes</w:t>
      </w:r>
      <w:r w:rsidR="00291711" w:rsidRPr="00466D92">
        <w:t>.</w:t>
      </w:r>
    </w:p>
    <w:p w14:paraId="415F2F23" w14:textId="22304FA5" w:rsidR="00DF3E01" w:rsidRPr="001F69CD" w:rsidRDefault="00FA2A6E" w:rsidP="004E4F32">
      <w:pPr>
        <w:pStyle w:val="ListParagraph"/>
        <w:numPr>
          <w:ilvl w:val="0"/>
          <w:numId w:val="16"/>
        </w:numPr>
        <w:ind w:left="709" w:hanging="283"/>
        <w:contextualSpacing w:val="0"/>
      </w:pPr>
      <w:r>
        <w:t>Ensuring that there is</w:t>
      </w:r>
      <w:r w:rsidR="00DF3E01">
        <w:t xml:space="preserve"> appropriate academic scrutiny and oversight of </w:t>
      </w:r>
      <w:r>
        <w:t xml:space="preserve">delivery </w:t>
      </w:r>
      <w:r w:rsidR="00DF3E01" w:rsidRPr="001F69CD">
        <w:t xml:space="preserve">modes and approaches to teaching and assessment </w:t>
      </w:r>
      <w:r w:rsidRPr="001F69CD">
        <w:t xml:space="preserve">that were temporarily </w:t>
      </w:r>
      <w:r w:rsidR="00DF3E01" w:rsidRPr="001F69CD">
        <w:t>adopte</w:t>
      </w:r>
      <w:r w:rsidRPr="001F69CD">
        <w:t>d</w:t>
      </w:r>
      <w:r w:rsidR="00466D92" w:rsidRPr="001F69CD">
        <w:t xml:space="preserve"> in response to COVID-19</w:t>
      </w:r>
      <w:r w:rsidR="00444CE0">
        <w:t>, particularly in regards to online delivery.</w:t>
      </w:r>
    </w:p>
    <w:p w14:paraId="710ED98C" w14:textId="7A3997BC" w:rsidR="00291711" w:rsidRPr="001F69CD" w:rsidRDefault="00466D92" w:rsidP="004E4F32">
      <w:pPr>
        <w:pStyle w:val="ListParagraph"/>
        <w:numPr>
          <w:ilvl w:val="0"/>
          <w:numId w:val="16"/>
        </w:numPr>
        <w:ind w:left="709" w:hanging="283"/>
        <w:contextualSpacing w:val="0"/>
      </w:pPr>
      <w:r w:rsidRPr="001F69CD">
        <w:t>Ensuring processes for forward planning for the next academic period/semester and beyond</w:t>
      </w:r>
      <w:r w:rsidR="00DC3516" w:rsidRPr="001F69CD">
        <w:t xml:space="preserve"> </w:t>
      </w:r>
      <w:r w:rsidR="003A4AD6" w:rsidRPr="001F69CD">
        <w:t xml:space="preserve">address </w:t>
      </w:r>
      <w:r w:rsidRPr="001F69CD">
        <w:t xml:space="preserve">any identified </w:t>
      </w:r>
      <w:r w:rsidR="00DC3516" w:rsidRPr="001F69CD">
        <w:t>quality</w:t>
      </w:r>
      <w:r w:rsidR="003A4AD6" w:rsidRPr="001F69CD">
        <w:t>-related issues</w:t>
      </w:r>
      <w:r w:rsidRPr="001F69CD">
        <w:t xml:space="preserve"> and inform decisions related to:</w:t>
      </w:r>
    </w:p>
    <w:p w14:paraId="5EFD3776" w14:textId="38A4B19F" w:rsidR="00DC3516" w:rsidRPr="001F69CD" w:rsidRDefault="00DC3516" w:rsidP="004E4F32">
      <w:pPr>
        <w:pStyle w:val="ListParagraph"/>
        <w:numPr>
          <w:ilvl w:val="1"/>
          <w:numId w:val="16"/>
        </w:numPr>
        <w:ind w:left="1701" w:hanging="567"/>
        <w:contextualSpacing w:val="0"/>
      </w:pPr>
      <w:r w:rsidRPr="001F69CD">
        <w:t>course design</w:t>
      </w:r>
      <w:r w:rsidR="00D24A6C" w:rsidRPr="001F69CD">
        <w:t>, structure and modes of delivery</w:t>
      </w:r>
    </w:p>
    <w:p w14:paraId="213EE852" w14:textId="6B23E18E" w:rsidR="003A4AD6" w:rsidRPr="001F69CD" w:rsidRDefault="003A4AD6" w:rsidP="004E4F32">
      <w:pPr>
        <w:pStyle w:val="ListParagraph"/>
        <w:numPr>
          <w:ilvl w:val="1"/>
          <w:numId w:val="16"/>
        </w:numPr>
        <w:ind w:left="1701" w:hanging="567"/>
        <w:contextualSpacing w:val="0"/>
      </w:pPr>
      <w:r w:rsidRPr="001F69CD">
        <w:t>maintaining the integrity of methods of assessment</w:t>
      </w:r>
    </w:p>
    <w:p w14:paraId="4E4197DE" w14:textId="3461457F" w:rsidR="00DC3516" w:rsidRPr="001F69CD" w:rsidRDefault="00D24A6C" w:rsidP="004E4F32">
      <w:pPr>
        <w:pStyle w:val="ListParagraph"/>
        <w:numPr>
          <w:ilvl w:val="1"/>
          <w:numId w:val="16"/>
        </w:numPr>
        <w:ind w:left="1701" w:hanging="567"/>
        <w:contextualSpacing w:val="0"/>
      </w:pPr>
      <w:r w:rsidRPr="001F69CD">
        <w:t xml:space="preserve">the provider’s </w:t>
      </w:r>
      <w:r w:rsidR="00DC3516" w:rsidRPr="001F69CD">
        <w:t>technological capabilities</w:t>
      </w:r>
    </w:p>
    <w:p w14:paraId="7546DC68" w14:textId="52569354" w:rsidR="00DC3516" w:rsidRPr="001F69CD" w:rsidRDefault="00DC3516" w:rsidP="004E4F32">
      <w:pPr>
        <w:pStyle w:val="ListParagraph"/>
        <w:numPr>
          <w:ilvl w:val="1"/>
          <w:numId w:val="16"/>
        </w:numPr>
        <w:ind w:left="1701" w:hanging="567"/>
        <w:contextualSpacing w:val="0"/>
      </w:pPr>
      <w:r w:rsidRPr="001F69CD">
        <w:t>maintaining student engagement and support</w:t>
      </w:r>
    </w:p>
    <w:p w14:paraId="5E5EE630" w14:textId="07B2905B" w:rsidR="00D24A6C" w:rsidRPr="001F69CD" w:rsidRDefault="00A561B8" w:rsidP="004E4F32">
      <w:pPr>
        <w:pStyle w:val="ListParagraph"/>
        <w:numPr>
          <w:ilvl w:val="1"/>
          <w:numId w:val="16"/>
        </w:numPr>
        <w:ind w:left="1701" w:hanging="567"/>
        <w:contextualSpacing w:val="0"/>
      </w:pPr>
      <w:r w:rsidRPr="001F69CD">
        <w:lastRenderedPageBreak/>
        <w:t xml:space="preserve">ongoing support and </w:t>
      </w:r>
      <w:r w:rsidR="00D24A6C" w:rsidRPr="001F69CD">
        <w:t>development for teaching staff</w:t>
      </w:r>
    </w:p>
    <w:p w14:paraId="441DCC50" w14:textId="45701E99" w:rsidR="00855385" w:rsidRPr="001F69CD" w:rsidRDefault="001F69CD" w:rsidP="004E4F32">
      <w:pPr>
        <w:pStyle w:val="ListParagraph"/>
        <w:numPr>
          <w:ilvl w:val="0"/>
          <w:numId w:val="16"/>
        </w:numPr>
        <w:ind w:left="709" w:hanging="283"/>
        <w:contextualSpacing w:val="0"/>
      </w:pPr>
      <w:r w:rsidRPr="001F69CD">
        <w:t>Documenting a</w:t>
      </w:r>
      <w:r w:rsidR="00855385" w:rsidRPr="001F69CD">
        <w:t>rrangements to maintain a</w:t>
      </w:r>
      <w:r w:rsidRPr="001F69CD">
        <w:t>ssessment and quality standards.</w:t>
      </w:r>
    </w:p>
    <w:p w14:paraId="67EB0E9A" w14:textId="12CF4291" w:rsidR="00C70D59" w:rsidRPr="001F69CD" w:rsidRDefault="00FA2A6E" w:rsidP="004E4F32">
      <w:pPr>
        <w:pStyle w:val="ListParagraph"/>
        <w:numPr>
          <w:ilvl w:val="0"/>
          <w:numId w:val="16"/>
        </w:numPr>
        <w:ind w:left="709" w:hanging="283"/>
        <w:contextualSpacing w:val="0"/>
      </w:pPr>
      <w:r w:rsidRPr="001F69CD">
        <w:t xml:space="preserve">Ensuring </w:t>
      </w:r>
      <w:r w:rsidR="00C70D59" w:rsidRPr="001F69CD">
        <w:t xml:space="preserve">risks to academic integrity </w:t>
      </w:r>
      <w:r w:rsidRPr="001F69CD">
        <w:t xml:space="preserve">are </w:t>
      </w:r>
      <w:r w:rsidR="00C70D59" w:rsidRPr="001F69CD">
        <w:t>identified, monitored and mitigated</w:t>
      </w:r>
      <w:r w:rsidR="001F69CD" w:rsidRPr="001F69CD">
        <w:t xml:space="preserve"> (for example, academic misconduct, cheating and plagiarism)</w:t>
      </w:r>
      <w:r w:rsidR="00C53D4C">
        <w:t>,</w:t>
      </w:r>
      <w:r w:rsidR="003A4AD6" w:rsidRPr="001F69CD">
        <w:t xml:space="preserve"> particularly in an online context</w:t>
      </w:r>
      <w:r w:rsidRPr="001F69CD">
        <w:t>.</w:t>
      </w:r>
    </w:p>
    <w:p w14:paraId="720EB956" w14:textId="4C9246DD" w:rsidR="003844C6" w:rsidRDefault="003844C6" w:rsidP="004E4F32">
      <w:pPr>
        <w:pStyle w:val="ListParagraph"/>
        <w:numPr>
          <w:ilvl w:val="0"/>
          <w:numId w:val="16"/>
        </w:numPr>
        <w:ind w:left="709" w:hanging="283"/>
        <w:contextualSpacing w:val="0"/>
      </w:pPr>
      <w:r>
        <w:t xml:space="preserve">Ensuring the impacts of any changes to your workforce and capability are being managed </w:t>
      </w:r>
      <w:r w:rsidR="00C53D4C">
        <w:t xml:space="preserve">effectively </w:t>
      </w:r>
      <w:r>
        <w:t>and that you have adequate resourcing to maintain your operations.</w:t>
      </w:r>
    </w:p>
    <w:p w14:paraId="4C800545" w14:textId="74CE2E8A" w:rsidR="00444CE0" w:rsidRDefault="00444CE0" w:rsidP="004E4F32">
      <w:pPr>
        <w:pStyle w:val="ListParagraph"/>
        <w:numPr>
          <w:ilvl w:val="0"/>
          <w:numId w:val="16"/>
        </w:numPr>
        <w:ind w:left="709" w:hanging="283"/>
        <w:contextualSpacing w:val="0"/>
      </w:pPr>
      <w:r>
        <w:t>Ensuring that staff in teaching and supervisory roles are equipped for their roles.</w:t>
      </w:r>
    </w:p>
    <w:p w14:paraId="39E915AC" w14:textId="6C4F6939" w:rsidR="003844C6" w:rsidRDefault="003844C6" w:rsidP="004E4F32">
      <w:pPr>
        <w:pStyle w:val="ListParagraph"/>
        <w:numPr>
          <w:ilvl w:val="0"/>
          <w:numId w:val="16"/>
        </w:numPr>
        <w:ind w:left="709" w:hanging="283"/>
        <w:contextualSpacing w:val="0"/>
      </w:pPr>
      <w:r>
        <w:t>Ensuring your current staffing complement remains sufficient to meet the educational, academic support and administrative needs of students.</w:t>
      </w:r>
    </w:p>
    <w:p w14:paraId="4AD37344" w14:textId="48AB8824" w:rsidR="00092FF1" w:rsidRDefault="00092FF1" w:rsidP="004E4F32">
      <w:pPr>
        <w:pStyle w:val="ListParagraph"/>
        <w:numPr>
          <w:ilvl w:val="0"/>
          <w:numId w:val="16"/>
        </w:numPr>
        <w:ind w:left="709" w:hanging="283"/>
        <w:contextualSpacing w:val="0"/>
      </w:pPr>
      <w:r>
        <w:t xml:space="preserve">Ensuring there is sufficient monitoring, oversight and quality assurance of third parties to be satisfied that third parties are delivering to </w:t>
      </w:r>
      <w:r w:rsidR="00C53D4C">
        <w:t xml:space="preserve">your expected </w:t>
      </w:r>
      <w:r>
        <w:t xml:space="preserve">quality </w:t>
      </w:r>
      <w:r w:rsidR="00C53D4C">
        <w:t>standard.</w:t>
      </w:r>
    </w:p>
    <w:p w14:paraId="2CF9D391" w14:textId="77929A67" w:rsidR="00092FF1" w:rsidRDefault="00092FF1" w:rsidP="004E4F32">
      <w:pPr>
        <w:pStyle w:val="ListParagraph"/>
        <w:numPr>
          <w:ilvl w:val="0"/>
          <w:numId w:val="16"/>
        </w:numPr>
        <w:ind w:left="709" w:hanging="283"/>
        <w:contextualSpacing w:val="0"/>
      </w:pPr>
      <w:r>
        <w:t>Revisiting contractual arrangements with third parties to ensure they remain fit for purpose and give sufficient assurance in the current</w:t>
      </w:r>
      <w:r w:rsidR="00C53D4C">
        <w:t xml:space="preserve"> context of</w:t>
      </w:r>
      <w:r>
        <w:t xml:space="preserve"> COVID-19 recovery</w:t>
      </w:r>
      <w:r w:rsidR="00C53D4C">
        <w:t>.</w:t>
      </w:r>
    </w:p>
    <w:p w14:paraId="07362FAE" w14:textId="4E3A4CA4" w:rsidR="00092FF1" w:rsidRDefault="00092FF1" w:rsidP="004E4F32">
      <w:pPr>
        <w:pStyle w:val="ListParagraph"/>
        <w:numPr>
          <w:ilvl w:val="0"/>
          <w:numId w:val="16"/>
        </w:numPr>
        <w:ind w:left="709" w:hanging="283"/>
        <w:contextualSpacing w:val="0"/>
      </w:pPr>
      <w:r>
        <w:t xml:space="preserve">Ensuring there are arrangements in place </w:t>
      </w:r>
      <w:r w:rsidR="00C53D4C">
        <w:t>to achieve</w:t>
      </w:r>
      <w:r>
        <w:t xml:space="preserve"> work-integrated learning, placements and other community-based learning</w:t>
      </w:r>
      <w:r w:rsidR="00C53D4C">
        <w:t xml:space="preserve"> required for successful course completion</w:t>
      </w:r>
      <w:r>
        <w:t>, for example where there are mandatory components or strict requirements for professional accreditation.</w:t>
      </w:r>
    </w:p>
    <w:p w14:paraId="3D84AD70" w14:textId="77777777" w:rsidR="00092FF1" w:rsidRDefault="00092FF1" w:rsidP="00313ED1">
      <w:pPr>
        <w:pStyle w:val="ListParagraph"/>
        <w:ind w:left="1434"/>
        <w:contextualSpacing w:val="0"/>
      </w:pPr>
    </w:p>
    <w:p w14:paraId="1EFF8B32" w14:textId="65F8CABF" w:rsidR="001F69CD" w:rsidRPr="00313ED1" w:rsidRDefault="00FB689F" w:rsidP="001F69CD">
      <w:pPr>
        <w:rPr>
          <w:color w:val="auto"/>
        </w:rPr>
      </w:pPr>
      <w:r w:rsidRPr="00313ED1">
        <w:rPr>
          <w:color w:val="auto"/>
        </w:rPr>
        <w:t>Particular c</w:t>
      </w:r>
      <w:r w:rsidR="00906E52" w:rsidRPr="00313ED1">
        <w:rPr>
          <w:color w:val="auto"/>
        </w:rPr>
        <w:t>onsideration should be given to:</w:t>
      </w:r>
    </w:p>
    <w:p w14:paraId="1486F0A9" w14:textId="064593EC" w:rsidR="00906E52" w:rsidRPr="00313ED1" w:rsidRDefault="00906E52" w:rsidP="00444CE0">
      <w:pPr>
        <w:pStyle w:val="ListParagraph"/>
        <w:numPr>
          <w:ilvl w:val="0"/>
          <w:numId w:val="30"/>
        </w:numPr>
        <w:rPr>
          <w:color w:val="auto"/>
        </w:rPr>
      </w:pPr>
      <w:r w:rsidRPr="00313ED1">
        <w:rPr>
          <w:color w:val="auto"/>
        </w:rPr>
        <w:t>Standards 3.1.2 – 3.1.4</w:t>
      </w:r>
    </w:p>
    <w:p w14:paraId="3FF37672" w14:textId="3F73F3BB" w:rsidR="00906E52" w:rsidRPr="00313ED1" w:rsidRDefault="00906E52" w:rsidP="00444CE0">
      <w:pPr>
        <w:pStyle w:val="ListParagraph"/>
        <w:numPr>
          <w:ilvl w:val="0"/>
          <w:numId w:val="30"/>
        </w:numPr>
        <w:rPr>
          <w:color w:val="auto"/>
        </w:rPr>
      </w:pPr>
      <w:r w:rsidRPr="00313ED1">
        <w:rPr>
          <w:color w:val="auto"/>
        </w:rPr>
        <w:t>Standard 3.2.1</w:t>
      </w:r>
    </w:p>
    <w:p w14:paraId="5E5A2F03" w14:textId="7B66A7A7" w:rsidR="00906E52" w:rsidRPr="00313ED1" w:rsidRDefault="00906E52" w:rsidP="00444CE0">
      <w:pPr>
        <w:pStyle w:val="ListParagraph"/>
        <w:numPr>
          <w:ilvl w:val="0"/>
          <w:numId w:val="30"/>
        </w:numPr>
        <w:rPr>
          <w:color w:val="auto"/>
        </w:rPr>
      </w:pPr>
      <w:r w:rsidRPr="00313ED1">
        <w:rPr>
          <w:color w:val="auto"/>
        </w:rPr>
        <w:t>Standard 3.2.3</w:t>
      </w:r>
    </w:p>
    <w:p w14:paraId="2C3ABC5D" w14:textId="48D4C566" w:rsidR="00092FF1" w:rsidRPr="00313ED1" w:rsidRDefault="00092FF1" w:rsidP="00444CE0">
      <w:pPr>
        <w:pStyle w:val="ListParagraph"/>
        <w:numPr>
          <w:ilvl w:val="0"/>
          <w:numId w:val="30"/>
        </w:numPr>
        <w:rPr>
          <w:color w:val="auto"/>
        </w:rPr>
      </w:pPr>
      <w:r w:rsidRPr="00313ED1">
        <w:rPr>
          <w:color w:val="auto"/>
        </w:rPr>
        <w:t>Standard 5.4.1</w:t>
      </w:r>
    </w:p>
    <w:p w14:paraId="10EA0D19" w14:textId="77777777" w:rsidR="00313ED1" w:rsidRDefault="00313ED1" w:rsidP="001F69CD">
      <w:pPr>
        <w:rPr>
          <w:color w:val="auto"/>
        </w:rPr>
      </w:pPr>
    </w:p>
    <w:p w14:paraId="3B4E8C1A" w14:textId="2F5DA433" w:rsidR="00092FF1" w:rsidRPr="00313ED1" w:rsidRDefault="00092FF1" w:rsidP="001F69CD">
      <w:pPr>
        <w:rPr>
          <w:color w:val="auto"/>
        </w:rPr>
      </w:pPr>
      <w:r w:rsidRPr="00313ED1">
        <w:rPr>
          <w:color w:val="auto"/>
        </w:rPr>
        <w:t xml:space="preserve">We also expect providers </w:t>
      </w:r>
      <w:r w:rsidR="00834B8E">
        <w:rPr>
          <w:color w:val="auto"/>
        </w:rPr>
        <w:t xml:space="preserve">to </w:t>
      </w:r>
      <w:r w:rsidRPr="00313ED1">
        <w:rPr>
          <w:color w:val="auto"/>
        </w:rPr>
        <w:t>consider the needs of students, current and prospective, in the context of the current environment and have suitable mechanisms in place for monitoring and reviewing higher education activities, and engaging in consequent reflection, to bring about evidence-based improvements</w:t>
      </w:r>
      <w:r w:rsidR="00394878">
        <w:rPr>
          <w:color w:val="auto"/>
        </w:rPr>
        <w:t>.</w:t>
      </w:r>
    </w:p>
    <w:p w14:paraId="4E545EDE" w14:textId="13118C79" w:rsidR="001F69CD" w:rsidRPr="00466D92" w:rsidRDefault="001F69CD" w:rsidP="001F69CD">
      <w:pPr>
        <w:rPr>
          <w:b/>
          <w:color w:val="00847E" w:themeColor="accent1"/>
        </w:rPr>
      </w:pPr>
      <w:r w:rsidRPr="00466D92">
        <w:t>Key considerations include</w:t>
      </w:r>
      <w:r w:rsidR="00583739">
        <w:t xml:space="preserve"> ensuring that:</w:t>
      </w:r>
    </w:p>
    <w:p w14:paraId="3CB751B7" w14:textId="7698F969" w:rsidR="0026584B" w:rsidRDefault="004E4F32" w:rsidP="004E4F32">
      <w:pPr>
        <w:pStyle w:val="ListParagraph"/>
        <w:numPr>
          <w:ilvl w:val="0"/>
          <w:numId w:val="16"/>
        </w:numPr>
        <w:ind w:left="709" w:hanging="283"/>
        <w:contextualSpacing w:val="0"/>
      </w:pPr>
      <w:r>
        <w:t>N</w:t>
      </w:r>
      <w:r w:rsidR="0026584B">
        <w:t>ew pathways for prospective students intending to apply for entry in 2021</w:t>
      </w:r>
      <w:r w:rsidR="00FA2A6E">
        <w:t xml:space="preserve"> are</w:t>
      </w:r>
      <w:r w:rsidR="0026584B">
        <w:t xml:space="preserve"> fair and transparent and designed in the best interests of the applicant</w:t>
      </w:r>
      <w:r w:rsidR="00FA2A6E">
        <w:t>.</w:t>
      </w:r>
    </w:p>
    <w:p w14:paraId="5DA606E4" w14:textId="28FD8EB0" w:rsidR="008C3DB6" w:rsidRPr="00F67E9D" w:rsidRDefault="004E4F32" w:rsidP="004E4F32">
      <w:pPr>
        <w:pStyle w:val="ListParagraph"/>
        <w:numPr>
          <w:ilvl w:val="0"/>
          <w:numId w:val="16"/>
        </w:numPr>
        <w:ind w:left="709" w:hanging="283"/>
        <w:contextualSpacing w:val="0"/>
        <w:rPr>
          <w:b/>
          <w:color w:val="00847E" w:themeColor="accent1"/>
        </w:rPr>
      </w:pPr>
      <w:r>
        <w:t>T</w:t>
      </w:r>
      <w:r w:rsidR="0026584B">
        <w:t>here</w:t>
      </w:r>
      <w:r w:rsidR="00FA2A6E">
        <w:t xml:space="preserve"> is</w:t>
      </w:r>
      <w:r w:rsidR="0026584B">
        <w:t xml:space="preserve"> reasonable flexibility in admissions </w:t>
      </w:r>
      <w:r w:rsidR="00FA2A6E">
        <w:t>decision-making to recognise an applicant</w:t>
      </w:r>
      <w:r w:rsidR="0026584B">
        <w:t xml:space="preserve"> </w:t>
      </w:r>
      <w:r w:rsidR="001F69CD">
        <w:t xml:space="preserve">in the </w:t>
      </w:r>
      <w:r w:rsidR="0026584B">
        <w:t>conte</w:t>
      </w:r>
      <w:r w:rsidR="001F69CD">
        <w:t>xt of</w:t>
      </w:r>
      <w:r w:rsidR="0026584B">
        <w:t xml:space="preserve"> unique circumsta</w:t>
      </w:r>
      <w:r w:rsidR="00FA2A6E">
        <w:t xml:space="preserve">nces </w:t>
      </w:r>
      <w:r w:rsidR="001F69CD">
        <w:t>and</w:t>
      </w:r>
      <w:r w:rsidR="00FA2A6E">
        <w:t xml:space="preserve"> the current environment.</w:t>
      </w:r>
    </w:p>
    <w:p w14:paraId="4C64BD82" w14:textId="33BF0060" w:rsidR="008C3DB6" w:rsidRPr="00627FAD" w:rsidRDefault="004E4F32" w:rsidP="004E4F32">
      <w:pPr>
        <w:pStyle w:val="ListParagraph"/>
        <w:numPr>
          <w:ilvl w:val="0"/>
          <w:numId w:val="27"/>
        </w:numPr>
        <w:ind w:left="709" w:hanging="283"/>
        <w:contextualSpacing w:val="0"/>
        <w:rPr>
          <w:lang w:val="en"/>
        </w:rPr>
      </w:pPr>
      <w:r>
        <w:rPr>
          <w:lang w:val="en"/>
        </w:rPr>
        <w:t>S</w:t>
      </w:r>
      <w:r w:rsidR="008C3DB6" w:rsidRPr="00627FAD">
        <w:rPr>
          <w:lang w:val="en"/>
        </w:rPr>
        <w:t xml:space="preserve">tudent feedback </w:t>
      </w:r>
      <w:r w:rsidR="00F6044A">
        <w:rPr>
          <w:lang w:val="en"/>
        </w:rPr>
        <w:t>is used to</w:t>
      </w:r>
      <w:r w:rsidR="008C3DB6" w:rsidRPr="00627FAD">
        <w:rPr>
          <w:lang w:val="en"/>
        </w:rPr>
        <w:t xml:space="preserve"> inform </w:t>
      </w:r>
      <w:r w:rsidR="00F6044A">
        <w:rPr>
          <w:lang w:val="en"/>
        </w:rPr>
        <w:t xml:space="preserve">decisions about </w:t>
      </w:r>
      <w:r w:rsidR="008C3DB6" w:rsidRPr="00627FAD">
        <w:rPr>
          <w:lang w:val="en"/>
        </w:rPr>
        <w:t>admission practices and other academic approaches</w:t>
      </w:r>
      <w:r>
        <w:rPr>
          <w:lang w:val="en"/>
        </w:rPr>
        <w:t>.</w:t>
      </w:r>
    </w:p>
    <w:p w14:paraId="07D265A5" w14:textId="54BC3DD0" w:rsidR="00583739" w:rsidRDefault="004E4F32" w:rsidP="004E4F32">
      <w:pPr>
        <w:pStyle w:val="ListParagraph"/>
        <w:numPr>
          <w:ilvl w:val="0"/>
          <w:numId w:val="27"/>
        </w:numPr>
        <w:ind w:left="709" w:hanging="283"/>
        <w:contextualSpacing w:val="0"/>
        <w:rPr>
          <w:lang w:val="en"/>
        </w:rPr>
      </w:pPr>
      <w:r>
        <w:rPr>
          <w:lang w:val="en"/>
        </w:rPr>
        <w:t>R</w:t>
      </w:r>
      <w:r w:rsidR="008C3DB6" w:rsidRPr="00627FAD">
        <w:rPr>
          <w:lang w:val="en"/>
        </w:rPr>
        <w:t>egular student feedback, particularly during this period of disruption,</w:t>
      </w:r>
      <w:r w:rsidR="00F67E9D">
        <w:rPr>
          <w:lang w:val="en"/>
        </w:rPr>
        <w:t xml:space="preserve"> is used</w:t>
      </w:r>
      <w:r w:rsidR="008C3DB6" w:rsidRPr="00627FAD">
        <w:rPr>
          <w:lang w:val="en"/>
        </w:rPr>
        <w:t xml:space="preserve"> to inform continuous improvement of the student experience. </w:t>
      </w:r>
    </w:p>
    <w:p w14:paraId="3B6AF67F" w14:textId="73D59BF1" w:rsidR="0073728E" w:rsidRPr="00583739" w:rsidRDefault="004E4F32" w:rsidP="004E4F32">
      <w:pPr>
        <w:pStyle w:val="ListParagraph"/>
        <w:numPr>
          <w:ilvl w:val="0"/>
          <w:numId w:val="27"/>
        </w:numPr>
        <w:ind w:left="709" w:hanging="283"/>
        <w:contextualSpacing w:val="0"/>
        <w:rPr>
          <w:lang w:val="en"/>
        </w:rPr>
      </w:pPr>
      <w:r>
        <w:t>S</w:t>
      </w:r>
      <w:r w:rsidR="0073728E">
        <w:t xml:space="preserve">tudents have access to accurate, relevant and timely information to enable </w:t>
      </w:r>
      <w:r w:rsidR="00184E97">
        <w:t>them</w:t>
      </w:r>
      <w:r w:rsidR="0073728E">
        <w:t xml:space="preserve"> to make informed decisions about education offerings and experiences. For example, </w:t>
      </w:r>
      <w:r w:rsidR="0073728E">
        <w:lastRenderedPageBreak/>
        <w:t>proactive and clear communication is provided to students about changes in delivery mode, fees and the content of courses as a result of COVID-19.</w:t>
      </w:r>
    </w:p>
    <w:p w14:paraId="357D4462" w14:textId="0665325E" w:rsidR="0073728E" w:rsidRPr="00627FAD" w:rsidRDefault="004E4F32" w:rsidP="004E4F32">
      <w:pPr>
        <w:pStyle w:val="ListParagraph"/>
        <w:numPr>
          <w:ilvl w:val="0"/>
          <w:numId w:val="27"/>
        </w:numPr>
        <w:ind w:left="709" w:hanging="283"/>
        <w:contextualSpacing w:val="0"/>
        <w:rPr>
          <w:lang w:val="en"/>
        </w:rPr>
      </w:pPr>
      <w:r>
        <w:t>T</w:t>
      </w:r>
      <w:r w:rsidR="0073728E">
        <w:t>here is sufficient oversight and monitoring of agents to mitigate risks of misrepresentation or unethical conduct in marketing practices in the current environment</w:t>
      </w:r>
      <w:r>
        <w:t>.</w:t>
      </w:r>
    </w:p>
    <w:p w14:paraId="3AFBB164" w14:textId="2FBE4BF4" w:rsidR="006A340F" w:rsidRDefault="00092FF1" w:rsidP="00313ED1">
      <w:r>
        <w:t>Particular consideration should be given to:</w:t>
      </w:r>
    </w:p>
    <w:p w14:paraId="30DDBF12" w14:textId="176F5E4F" w:rsidR="00092FF1" w:rsidRDefault="00092FF1" w:rsidP="00313ED1">
      <w:pPr>
        <w:pStyle w:val="ListParagraph"/>
        <w:numPr>
          <w:ilvl w:val="0"/>
          <w:numId w:val="31"/>
        </w:numPr>
      </w:pPr>
      <w:r>
        <w:t>Standard 1.1.1</w:t>
      </w:r>
    </w:p>
    <w:p w14:paraId="2681B32D" w14:textId="51E72880" w:rsidR="00092FF1" w:rsidRDefault="00092FF1" w:rsidP="00313ED1">
      <w:pPr>
        <w:pStyle w:val="ListParagraph"/>
        <w:numPr>
          <w:ilvl w:val="0"/>
          <w:numId w:val="31"/>
        </w:numPr>
      </w:pPr>
      <w:r>
        <w:t>Standard 5.3.5</w:t>
      </w:r>
    </w:p>
    <w:p w14:paraId="2C098986" w14:textId="11D2825E" w:rsidR="0073728E" w:rsidRDefault="0073728E" w:rsidP="00313ED1">
      <w:pPr>
        <w:pStyle w:val="ListParagraph"/>
        <w:numPr>
          <w:ilvl w:val="0"/>
          <w:numId w:val="31"/>
        </w:numPr>
      </w:pPr>
      <w:r>
        <w:t>Standard 7.1.1</w:t>
      </w:r>
    </w:p>
    <w:p w14:paraId="53E01D79" w14:textId="5CBE4F16" w:rsidR="0073728E" w:rsidRDefault="0073728E" w:rsidP="00313ED1">
      <w:pPr>
        <w:pStyle w:val="ListParagraph"/>
        <w:numPr>
          <w:ilvl w:val="0"/>
          <w:numId w:val="31"/>
        </w:numPr>
      </w:pPr>
      <w:r>
        <w:t>Standard 7.1.4</w:t>
      </w:r>
    </w:p>
    <w:p w14:paraId="0B6A632B" w14:textId="3E5D4F7F" w:rsidR="0073728E" w:rsidRDefault="0073728E" w:rsidP="00313ED1">
      <w:pPr>
        <w:pStyle w:val="ListParagraph"/>
        <w:numPr>
          <w:ilvl w:val="0"/>
          <w:numId w:val="31"/>
        </w:numPr>
      </w:pPr>
      <w:r>
        <w:t>Standard 7.2.1</w:t>
      </w:r>
    </w:p>
    <w:p w14:paraId="1CBF805F" w14:textId="7F21ADD6" w:rsidR="0073728E" w:rsidRDefault="0073728E" w:rsidP="00313ED1">
      <w:pPr>
        <w:pStyle w:val="ListParagraph"/>
      </w:pPr>
    </w:p>
    <w:p w14:paraId="4D7EAB97" w14:textId="77777777" w:rsidR="00502E96" w:rsidRPr="00B03B94" w:rsidRDefault="00502E96" w:rsidP="00502E96"/>
    <w:p w14:paraId="323F32C0" w14:textId="68026174" w:rsidR="00D93025" w:rsidRPr="00533946" w:rsidRDefault="00D93025" w:rsidP="00B03B94">
      <w:pPr>
        <w:pStyle w:val="Boxed1Heading"/>
        <w:rPr>
          <w:color w:val="FFFFFF" w:themeColor="background1"/>
          <w:sz w:val="28"/>
          <w:szCs w:val="28"/>
        </w:rPr>
      </w:pPr>
      <w:r w:rsidRPr="00533946">
        <w:rPr>
          <w:color w:val="FFFFFF" w:themeColor="background1"/>
        </w:rPr>
        <w:t>Notifying TEQSA of material changes</w:t>
      </w:r>
    </w:p>
    <w:p w14:paraId="287ABA43" w14:textId="0327D54F" w:rsidR="003C1329" w:rsidRDefault="005108F4" w:rsidP="00B03B94">
      <w:r w:rsidRPr="005108F4">
        <w:t>On 30 June 2021, TEQSA published a revised Material Change Notification</w:t>
      </w:r>
      <w:r>
        <w:t xml:space="preserve"> P</w:t>
      </w:r>
      <w:r w:rsidRPr="005108F4">
        <w:t xml:space="preserve">olicy. This policy outlines the circumstances in which providers are required to notify TEQSA of material changes and the method for notification and supersedes the previous </w:t>
      </w:r>
      <w:r w:rsidRPr="005108F4">
        <w:rPr>
          <w:i/>
          <w:iCs/>
        </w:rPr>
        <w:t>Coronavirus (COVID-19) – statement on notifications</w:t>
      </w:r>
      <w:r w:rsidRPr="005108F4">
        <w:t xml:space="preserve">. Please refer to the latest </w:t>
      </w:r>
      <w:hyperlink r:id="rId20" w:history="1">
        <w:r w:rsidRPr="005108F4">
          <w:rPr>
            <w:rStyle w:val="Hyperlink"/>
          </w:rPr>
          <w:t>Material Change Notification Policy</w:t>
        </w:r>
      </w:hyperlink>
      <w:r w:rsidRPr="005108F4">
        <w:t xml:space="preserve"> for more information</w:t>
      </w:r>
      <w:r w:rsidR="007601ED">
        <w:t>.</w:t>
      </w:r>
      <w:r w:rsidR="00CD4DDA">
        <w:t xml:space="preserve"> </w:t>
      </w:r>
    </w:p>
    <w:p w14:paraId="1F2E9A63" w14:textId="2FF86212" w:rsidR="0022710D" w:rsidRDefault="003C1329" w:rsidP="003C1329">
      <w:pPr>
        <w:rPr>
          <w:lang w:val="en"/>
        </w:rPr>
      </w:pPr>
      <w:r>
        <w:t xml:space="preserve">If a temporary change becomes a permanent change, you should make a new material change notification. </w:t>
      </w:r>
      <w:r w:rsidR="00CA312C">
        <w:t xml:space="preserve"> </w:t>
      </w:r>
    </w:p>
    <w:p w14:paraId="018F46C3" w14:textId="34BC7A1E" w:rsidR="00B82D9A" w:rsidRDefault="00B82D9A" w:rsidP="00B82D9A">
      <w:pPr>
        <w:rPr>
          <w:lang w:val="en"/>
        </w:rPr>
      </w:pPr>
      <w:r w:rsidRPr="00627FAD">
        <w:rPr>
          <w:lang w:val="en"/>
        </w:rPr>
        <w:t>Where this relates to continuing online mode of delivery, information should be included on the steps taken to ensure continued quality of teaching</w:t>
      </w:r>
      <w:r w:rsidR="002C44A4">
        <w:rPr>
          <w:lang w:val="en"/>
        </w:rPr>
        <w:t xml:space="preserve"> and assessment</w:t>
      </w:r>
      <w:r w:rsidRPr="00627FAD">
        <w:rPr>
          <w:lang w:val="en"/>
        </w:rPr>
        <w:t>, adequate resources for staff and support for student wellbeing and safety.</w:t>
      </w:r>
      <w:r w:rsidRPr="00B82D9A">
        <w:rPr>
          <w:lang w:val="en"/>
        </w:rPr>
        <w:t> </w:t>
      </w:r>
      <w:r w:rsidR="0022710D">
        <w:rPr>
          <w:lang w:val="en"/>
        </w:rPr>
        <w:t xml:space="preserve">For further guidance, refer to </w:t>
      </w:r>
      <w:hyperlink r:id="rId21" w:history="1">
        <w:r w:rsidR="0022710D" w:rsidRPr="0022710D">
          <w:rPr>
            <w:rStyle w:val="Hyperlink"/>
            <w:i/>
            <w:lang w:val="en"/>
          </w:rPr>
          <w:t>Online deliver</w:t>
        </w:r>
        <w:r w:rsidR="0022710D">
          <w:rPr>
            <w:rStyle w:val="Hyperlink"/>
            <w:i/>
            <w:lang w:val="en"/>
          </w:rPr>
          <w:t>y</w:t>
        </w:r>
        <w:r w:rsidR="0022710D" w:rsidRPr="0022710D">
          <w:rPr>
            <w:rStyle w:val="Hyperlink"/>
            <w:i/>
            <w:lang w:val="en"/>
          </w:rPr>
          <w:t>- key considerations for providers</w:t>
        </w:r>
      </w:hyperlink>
      <w:r w:rsidR="0022710D">
        <w:rPr>
          <w:lang w:val="en"/>
        </w:rPr>
        <w:t xml:space="preserve">. </w:t>
      </w:r>
      <w:r>
        <w:rPr>
          <w:lang w:val="en"/>
        </w:rPr>
        <w:t xml:space="preserve">  </w:t>
      </w:r>
    </w:p>
    <w:p w14:paraId="16DC6E5E" w14:textId="67B0A5B1" w:rsidR="00B82D9A" w:rsidRDefault="00B82D9A" w:rsidP="00B03B94"/>
    <w:p w14:paraId="1491027F" w14:textId="77777777" w:rsidR="00DC0C7F" w:rsidRPr="00DC0C7F" w:rsidRDefault="00DC0C7F" w:rsidP="00DC0C7F"/>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540C97" w:rsidRPr="00110318" w14:paraId="530A520D" w14:textId="77777777" w:rsidTr="00EA3339">
        <w:trPr>
          <w:tblHeader/>
        </w:trPr>
        <w:tc>
          <w:tcPr>
            <w:tcW w:w="1276" w:type="dxa"/>
            <w:tcBorders>
              <w:top w:val="single" w:sz="8" w:space="0" w:color="999999"/>
              <w:left w:val="single" w:sz="8" w:space="0" w:color="999999"/>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373ADF52" w14:textId="77777777" w:rsidR="00540C97" w:rsidRPr="009C4E44" w:rsidRDefault="00540C97" w:rsidP="00EA3339">
            <w:pPr>
              <w:pStyle w:val="Normal1"/>
              <w:spacing w:line="240" w:lineRule="auto"/>
              <w:rPr>
                <w:b/>
                <w:color w:val="E7E6E6" w:themeColor="background2"/>
                <w:sz w:val="20"/>
                <w:szCs w:val="20"/>
                <w:lang w:val="en-US"/>
              </w:rPr>
            </w:pPr>
            <w:r w:rsidRPr="009C4E44">
              <w:rPr>
                <w:b/>
                <w:color w:val="E7E6E6" w:themeColor="background2"/>
                <w:sz w:val="20"/>
                <w:szCs w:val="20"/>
                <w:lang w:val="en-US"/>
              </w:rPr>
              <w:t>Version #</w:t>
            </w:r>
          </w:p>
        </w:tc>
        <w:tc>
          <w:tcPr>
            <w:tcW w:w="2126" w:type="dxa"/>
            <w:tcBorders>
              <w:top w:val="single" w:sz="8" w:space="0" w:color="999999"/>
              <w:left w:val="nil"/>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68962AE6" w14:textId="77777777" w:rsidR="00540C97" w:rsidRPr="009C4E44" w:rsidRDefault="00540C97" w:rsidP="00EA3339">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63F898C9" w14:textId="77777777" w:rsidR="00540C97" w:rsidRPr="009C4E44" w:rsidRDefault="00540C97" w:rsidP="00EA3339">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540C97" w14:paraId="272366C6" w14:textId="77777777" w:rsidTr="00EA3339">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FAA04D" w14:textId="77777777" w:rsidR="00540C97" w:rsidRDefault="00540C97" w:rsidP="00EA3339">
            <w:pPr>
              <w:pStyle w:val="Normal1"/>
              <w:spacing w:line="240" w:lineRule="auto"/>
              <w:rPr>
                <w:sz w:val="20"/>
                <w:szCs w:val="20"/>
                <w:lang w:val="en-US"/>
              </w:rPr>
            </w:pPr>
            <w:r>
              <w:rPr>
                <w:sz w:val="20"/>
                <w:szCs w:val="20"/>
                <w:lang w:val="en-US"/>
              </w:rPr>
              <w:t>1.0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E4932D" w14:textId="1F7F4F8D" w:rsidR="00540C97" w:rsidRDefault="00540C97" w:rsidP="00EA3339">
            <w:pPr>
              <w:pStyle w:val="Normal1"/>
              <w:spacing w:line="240" w:lineRule="auto"/>
              <w:rPr>
                <w:sz w:val="20"/>
                <w:szCs w:val="20"/>
                <w:lang w:val="en-US"/>
              </w:rPr>
            </w:pP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5EED9B9" w14:textId="296C6B53" w:rsidR="00540C97" w:rsidRDefault="00540C97" w:rsidP="00540C97">
            <w:pPr>
              <w:pStyle w:val="Normal1"/>
              <w:spacing w:line="240" w:lineRule="auto"/>
              <w:rPr>
                <w:sz w:val="20"/>
                <w:szCs w:val="20"/>
                <w:lang w:val="en-US"/>
              </w:rPr>
            </w:pPr>
            <w:r>
              <w:rPr>
                <w:sz w:val="20"/>
                <w:szCs w:val="20"/>
                <w:lang w:val="en-US"/>
              </w:rPr>
              <w:t>Made available as beta version.</w:t>
            </w:r>
          </w:p>
        </w:tc>
      </w:tr>
    </w:tbl>
    <w:p w14:paraId="03B8247A" w14:textId="41B35738" w:rsidR="009A2DA5" w:rsidRPr="00AE6C0D" w:rsidRDefault="009A2DA5" w:rsidP="00AE6C0D">
      <w:pPr>
        <w:spacing w:after="40"/>
        <w:rPr>
          <w:color w:val="auto"/>
        </w:rPr>
      </w:pPr>
    </w:p>
    <w:sectPr w:rsidR="009A2DA5" w:rsidRPr="00AE6C0D" w:rsidSect="00BC591C">
      <w:headerReference w:type="even" r:id="rId22"/>
      <w:headerReference w:type="default" r:id="rId23"/>
      <w:footerReference w:type="default" r:id="rId24"/>
      <w:pgSz w:w="11906" w:h="16838"/>
      <w:pgMar w:top="1560" w:right="1440" w:bottom="56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C2FEF" w14:textId="77777777" w:rsidR="00505A58" w:rsidRDefault="00505A58" w:rsidP="006C328D">
      <w:pPr>
        <w:spacing w:before="0" w:after="0"/>
      </w:pPr>
      <w:r>
        <w:separator/>
      </w:r>
    </w:p>
  </w:endnote>
  <w:endnote w:type="continuationSeparator" w:id="0">
    <w:p w14:paraId="113B5AF9" w14:textId="77777777" w:rsidR="00505A58" w:rsidRDefault="00505A58"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19"/>
            </w:tblGrid>
            <w:tr w:rsidR="003230DD" w14:paraId="281D07D3" w14:textId="77777777" w:rsidTr="003230DD">
              <w:tc>
                <w:tcPr>
                  <w:tcW w:w="4621" w:type="dxa"/>
                </w:tcPr>
                <w:p w14:paraId="5EF358F2" w14:textId="77777777" w:rsidR="003230DD" w:rsidRDefault="003230DD" w:rsidP="00C75463">
                  <w:pPr>
                    <w:pStyle w:val="Footer"/>
                    <w:rPr>
                      <w:color w:val="00847E" w:themeColor="accent1"/>
                      <w:sz w:val="20"/>
                      <w:szCs w:val="20"/>
                    </w:rPr>
                  </w:pPr>
                </w:p>
              </w:tc>
              <w:tc>
                <w:tcPr>
                  <w:tcW w:w="4621" w:type="dxa"/>
                </w:tcPr>
                <w:p w14:paraId="38A83599" w14:textId="36963C78" w:rsidR="003230DD" w:rsidRDefault="003230DD">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4E4F32">
                    <w:rPr>
                      <w:b/>
                      <w:bCs/>
                      <w:noProof/>
                      <w:color w:val="00847E" w:themeColor="accent1"/>
                      <w:sz w:val="20"/>
                      <w:szCs w:val="20"/>
                    </w:rPr>
                    <w:t>6</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4E4F32">
                    <w:rPr>
                      <w:b/>
                      <w:bCs/>
                      <w:noProof/>
                      <w:color w:val="00847E" w:themeColor="accent1"/>
                      <w:sz w:val="20"/>
                      <w:szCs w:val="20"/>
                    </w:rPr>
                    <w:t>6</w:t>
                  </w:r>
                  <w:r w:rsidRPr="00FF2540">
                    <w:rPr>
                      <w:b/>
                      <w:bCs/>
                      <w:color w:val="00847E" w:themeColor="accent1"/>
                      <w:sz w:val="20"/>
                      <w:szCs w:val="20"/>
                    </w:rPr>
                    <w:fldChar w:fldCharType="end"/>
                  </w:r>
                </w:p>
              </w:tc>
            </w:tr>
          </w:tbl>
          <w:p w14:paraId="7CC1E9F0" w14:textId="77777777" w:rsidR="00202CA5" w:rsidRPr="007158B9" w:rsidRDefault="005108F4" w:rsidP="007158B9">
            <w:pPr>
              <w:pStyle w:val="Footer"/>
              <w:rPr>
                <w:color w:val="00847E" w:themeColor="accent1"/>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0DD11" w14:textId="77777777" w:rsidR="00505A58" w:rsidRDefault="00505A58" w:rsidP="006C328D">
      <w:pPr>
        <w:spacing w:before="0" w:after="0"/>
      </w:pPr>
      <w:r>
        <w:separator/>
      </w:r>
    </w:p>
  </w:footnote>
  <w:footnote w:type="continuationSeparator" w:id="0">
    <w:p w14:paraId="09C7E10C" w14:textId="77777777" w:rsidR="00505A58" w:rsidRDefault="00505A58"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661E5" w14:textId="110C98FB" w:rsidR="004F71E1" w:rsidRDefault="005108F4">
    <w:pPr>
      <w:pStyle w:val="Header"/>
    </w:pPr>
    <w:r>
      <w:rPr>
        <w:noProof/>
      </w:rPr>
      <w:pict w14:anchorId="2F3B4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4.5pt;height:181.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9D97" w14:textId="5D025AAF" w:rsidR="00202CA5" w:rsidRDefault="00202CA5"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22E863A1" wp14:editId="4842E9C2">
          <wp:extent cx="3228975" cy="476067"/>
          <wp:effectExtent l="0" t="0" r="0" b="635"/>
          <wp:docPr id="9" name="Picture 9"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4A0EA240" wp14:editId="2E7344DF">
          <wp:extent cx="1428750" cy="353174"/>
          <wp:effectExtent l="0" t="0" r="0" b="8890"/>
          <wp:docPr id="10" name="Picture 10"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p w14:paraId="2D0F8C63" w14:textId="77777777" w:rsidR="00DA7F0E" w:rsidRPr="00DA7F0E" w:rsidRDefault="00DA7F0E" w:rsidP="00DA7F0E">
    <w:pPr>
      <w:pStyle w:val="Heading2"/>
      <w:spacing w:beforeLines="120" w:before="288" w:after="120" w:line="240" w:lineRule="auto"/>
      <w:jc w:val="center"/>
      <w:rPr>
        <w:color w:val="FF0000"/>
        <w:sz w:val="24"/>
      </w:rPr>
    </w:pPr>
    <w:r>
      <w:rPr>
        <w:color w:val="FF0000"/>
        <w:sz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04D055DF"/>
    <w:multiLevelType w:val="hybridMultilevel"/>
    <w:tmpl w:val="1BE6A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8475C"/>
    <w:multiLevelType w:val="hybridMultilevel"/>
    <w:tmpl w:val="C40C9F9C"/>
    <w:lvl w:ilvl="0" w:tplc="0352BBCE">
      <w:start w:val="1"/>
      <w:numFmt w:val="bullet"/>
      <w:pStyle w:val="Bulletfordiscussionpaper"/>
      <w:lvlText w:val="•"/>
      <w:lvlJc w:val="left"/>
      <w:pPr>
        <w:ind w:left="-720" w:hanging="360"/>
      </w:pPr>
      <w:rPr>
        <w:rFonts w:ascii="Times New Roman" w:hAnsi="Times New Roman" w:hint="default"/>
      </w:rPr>
    </w:lvl>
    <w:lvl w:ilvl="1" w:tplc="0C090003">
      <w:start w:val="1"/>
      <w:numFmt w:val="bullet"/>
      <w:lvlText w:val="o"/>
      <w:lvlJc w:val="left"/>
      <w:pPr>
        <w:ind w:left="0" w:hanging="360"/>
      </w:pPr>
      <w:rPr>
        <w:rFonts w:ascii="Courier New" w:hAnsi="Courier New" w:cs="Courier New" w:hint="default"/>
      </w:rPr>
    </w:lvl>
    <w:lvl w:ilvl="2" w:tplc="0C090005">
      <w:start w:val="1"/>
      <w:numFmt w:val="bullet"/>
      <w:lvlText w:val=""/>
      <w:lvlJc w:val="left"/>
      <w:pPr>
        <w:ind w:left="720" w:hanging="360"/>
      </w:pPr>
      <w:rPr>
        <w:rFonts w:ascii="Wingdings" w:hAnsi="Wingdings" w:hint="default"/>
      </w:rPr>
    </w:lvl>
    <w:lvl w:ilvl="3" w:tplc="0C09000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2" w15:restartNumberingAfterBreak="0">
    <w:nsid w:val="0CD463CC"/>
    <w:multiLevelType w:val="hybridMultilevel"/>
    <w:tmpl w:val="7E96CF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8E092D"/>
    <w:multiLevelType w:val="hybridMultilevel"/>
    <w:tmpl w:val="72C69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3CB1F60"/>
    <w:multiLevelType w:val="hybridMultilevel"/>
    <w:tmpl w:val="94B0A3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BE02F9"/>
    <w:multiLevelType w:val="hybridMultilevel"/>
    <w:tmpl w:val="817E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2526A"/>
    <w:multiLevelType w:val="hybridMultilevel"/>
    <w:tmpl w:val="CF50AC52"/>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465A2B6A"/>
    <w:multiLevelType w:val="hybridMultilevel"/>
    <w:tmpl w:val="10EC7106"/>
    <w:lvl w:ilvl="0" w:tplc="6F52197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CC32A31"/>
    <w:multiLevelType w:val="hybridMultilevel"/>
    <w:tmpl w:val="96C6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A12DF0"/>
    <w:multiLevelType w:val="hybridMultilevel"/>
    <w:tmpl w:val="FA3EC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F42527"/>
    <w:multiLevelType w:val="hybridMultilevel"/>
    <w:tmpl w:val="0F801ED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2579F"/>
    <w:multiLevelType w:val="hybridMultilevel"/>
    <w:tmpl w:val="8B06E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2A2408"/>
    <w:multiLevelType w:val="hybridMultilevel"/>
    <w:tmpl w:val="0AC6A3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A2A2A30"/>
    <w:multiLevelType w:val="hybridMultilevel"/>
    <w:tmpl w:val="B5B0CB08"/>
    <w:lvl w:ilvl="0" w:tplc="0C090019">
      <w:start w:val="1"/>
      <w:numFmt w:val="lowerLetter"/>
      <w:lvlText w:val="%1."/>
      <w:lvlJc w:val="left"/>
      <w:pPr>
        <w:ind w:left="1809" w:hanging="360"/>
      </w:pPr>
      <w:rPr>
        <w:rFonts w:hint="default"/>
      </w:rPr>
    </w:lvl>
    <w:lvl w:ilvl="1" w:tplc="0C090019" w:tentative="1">
      <w:start w:val="1"/>
      <w:numFmt w:val="lowerLetter"/>
      <w:lvlText w:val="%2."/>
      <w:lvlJc w:val="left"/>
      <w:pPr>
        <w:ind w:left="2529" w:hanging="360"/>
      </w:pPr>
    </w:lvl>
    <w:lvl w:ilvl="2" w:tplc="0C09001B" w:tentative="1">
      <w:start w:val="1"/>
      <w:numFmt w:val="lowerRoman"/>
      <w:lvlText w:val="%3."/>
      <w:lvlJc w:val="right"/>
      <w:pPr>
        <w:ind w:left="3249" w:hanging="180"/>
      </w:pPr>
    </w:lvl>
    <w:lvl w:ilvl="3" w:tplc="0C09000F" w:tentative="1">
      <w:start w:val="1"/>
      <w:numFmt w:val="decimal"/>
      <w:lvlText w:val="%4."/>
      <w:lvlJc w:val="left"/>
      <w:pPr>
        <w:ind w:left="3969" w:hanging="360"/>
      </w:pPr>
    </w:lvl>
    <w:lvl w:ilvl="4" w:tplc="0C090019" w:tentative="1">
      <w:start w:val="1"/>
      <w:numFmt w:val="lowerLetter"/>
      <w:lvlText w:val="%5."/>
      <w:lvlJc w:val="left"/>
      <w:pPr>
        <w:ind w:left="4689" w:hanging="360"/>
      </w:pPr>
    </w:lvl>
    <w:lvl w:ilvl="5" w:tplc="0C09001B" w:tentative="1">
      <w:start w:val="1"/>
      <w:numFmt w:val="lowerRoman"/>
      <w:lvlText w:val="%6."/>
      <w:lvlJc w:val="right"/>
      <w:pPr>
        <w:ind w:left="5409" w:hanging="180"/>
      </w:pPr>
    </w:lvl>
    <w:lvl w:ilvl="6" w:tplc="0C09000F" w:tentative="1">
      <w:start w:val="1"/>
      <w:numFmt w:val="decimal"/>
      <w:lvlText w:val="%7."/>
      <w:lvlJc w:val="left"/>
      <w:pPr>
        <w:ind w:left="6129" w:hanging="360"/>
      </w:pPr>
    </w:lvl>
    <w:lvl w:ilvl="7" w:tplc="0C090019" w:tentative="1">
      <w:start w:val="1"/>
      <w:numFmt w:val="lowerLetter"/>
      <w:lvlText w:val="%8."/>
      <w:lvlJc w:val="left"/>
      <w:pPr>
        <w:ind w:left="6849" w:hanging="360"/>
      </w:pPr>
    </w:lvl>
    <w:lvl w:ilvl="8" w:tplc="0C09001B" w:tentative="1">
      <w:start w:val="1"/>
      <w:numFmt w:val="lowerRoman"/>
      <w:lvlText w:val="%9."/>
      <w:lvlJc w:val="right"/>
      <w:pPr>
        <w:ind w:left="7569" w:hanging="180"/>
      </w:pPr>
    </w:lvl>
  </w:abstractNum>
  <w:abstractNum w:abstractNumId="23" w15:restartNumberingAfterBreak="0">
    <w:nsid w:val="6E0F76D4"/>
    <w:multiLevelType w:val="hybridMultilevel"/>
    <w:tmpl w:val="F69A2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112F91"/>
    <w:multiLevelType w:val="hybridMultilevel"/>
    <w:tmpl w:val="5BAC2C12"/>
    <w:lvl w:ilvl="0" w:tplc="16E80EE8">
      <w:start w:val="1"/>
      <w:numFmt w:val="bullet"/>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7D92013"/>
    <w:multiLevelType w:val="hybridMultilevel"/>
    <w:tmpl w:val="2534B6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81C265A"/>
    <w:multiLevelType w:val="multilevel"/>
    <w:tmpl w:val="1424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6C0732"/>
    <w:multiLevelType w:val="hybridMultilevel"/>
    <w:tmpl w:val="53846C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9" w15:restartNumberingAfterBreak="0">
    <w:nsid w:val="7D753C9A"/>
    <w:multiLevelType w:val="hybridMultilevel"/>
    <w:tmpl w:val="1D0E0D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0"/>
  </w:num>
  <w:num w:numId="2">
    <w:abstractNumId w:val="28"/>
  </w:num>
  <w:num w:numId="3">
    <w:abstractNumId w:val="7"/>
  </w:num>
  <w:num w:numId="4">
    <w:abstractNumId w:val="20"/>
  </w:num>
  <w:num w:numId="5">
    <w:abstractNumId w:val="19"/>
  </w:num>
  <w:num w:numId="6">
    <w:abstractNumId w:val="17"/>
  </w:num>
  <w:num w:numId="7">
    <w:abstractNumId w:val="3"/>
  </w:num>
  <w:num w:numId="8">
    <w:abstractNumId w:val="5"/>
  </w:num>
  <w:num w:numId="9">
    <w:abstractNumId w:val="6"/>
  </w:num>
  <w:num w:numId="10">
    <w:abstractNumId w:val="18"/>
  </w:num>
  <w:num w:numId="11">
    <w:abstractNumId w:val="9"/>
  </w:num>
  <w:num w:numId="12">
    <w:abstractNumId w:val="1"/>
  </w:num>
  <w:num w:numId="13">
    <w:abstractNumId w:val="23"/>
  </w:num>
  <w:num w:numId="14">
    <w:abstractNumId w:val="11"/>
  </w:num>
  <w:num w:numId="15">
    <w:abstractNumId w:val="21"/>
  </w:num>
  <w:num w:numId="16">
    <w:abstractNumId w:val="24"/>
  </w:num>
  <w:num w:numId="17">
    <w:abstractNumId w:val="8"/>
  </w:num>
  <w:num w:numId="18">
    <w:abstractNumId w:val="2"/>
  </w:num>
  <w:num w:numId="19">
    <w:abstractNumId w:val="22"/>
  </w:num>
  <w:num w:numId="20">
    <w:abstractNumId w:val="12"/>
  </w:num>
  <w:num w:numId="21">
    <w:abstractNumId w:val="29"/>
  </w:num>
  <w:num w:numId="22">
    <w:abstractNumId w:val="27"/>
  </w:num>
  <w:num w:numId="23">
    <w:abstractNumId w:val="14"/>
  </w:num>
  <w:num w:numId="24">
    <w:abstractNumId w:val="26"/>
  </w:num>
  <w:num w:numId="25">
    <w:abstractNumId w:val="4"/>
  </w:num>
  <w:num w:numId="26">
    <w:abstractNumId w:val="16"/>
  </w:num>
  <w:num w:numId="27">
    <w:abstractNumId w:val="1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0"/>
  </w:num>
  <w:num w:numId="31">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09C8"/>
    <w:rsid w:val="00000EE7"/>
    <w:rsid w:val="000013F0"/>
    <w:rsid w:val="00003AA5"/>
    <w:rsid w:val="00006107"/>
    <w:rsid w:val="00010134"/>
    <w:rsid w:val="000110AF"/>
    <w:rsid w:val="000179F5"/>
    <w:rsid w:val="000253B5"/>
    <w:rsid w:val="000258EC"/>
    <w:rsid w:val="00026D94"/>
    <w:rsid w:val="00033D27"/>
    <w:rsid w:val="000403BB"/>
    <w:rsid w:val="000415F7"/>
    <w:rsid w:val="00041DA1"/>
    <w:rsid w:val="00043B9B"/>
    <w:rsid w:val="00054663"/>
    <w:rsid w:val="00055CD5"/>
    <w:rsid w:val="00056AFE"/>
    <w:rsid w:val="00060EA8"/>
    <w:rsid w:val="000619C1"/>
    <w:rsid w:val="00062FEC"/>
    <w:rsid w:val="0006304D"/>
    <w:rsid w:val="00064703"/>
    <w:rsid w:val="00065512"/>
    <w:rsid w:val="0006784D"/>
    <w:rsid w:val="00071F01"/>
    <w:rsid w:val="0007252A"/>
    <w:rsid w:val="000736D8"/>
    <w:rsid w:val="00073727"/>
    <w:rsid w:val="000738D7"/>
    <w:rsid w:val="00074DA1"/>
    <w:rsid w:val="000763E4"/>
    <w:rsid w:val="00076DAA"/>
    <w:rsid w:val="00080D1B"/>
    <w:rsid w:val="00082719"/>
    <w:rsid w:val="000830A1"/>
    <w:rsid w:val="000839E5"/>
    <w:rsid w:val="00084C0F"/>
    <w:rsid w:val="00085EB1"/>
    <w:rsid w:val="000870FB"/>
    <w:rsid w:val="00087F0B"/>
    <w:rsid w:val="0009062C"/>
    <w:rsid w:val="00092619"/>
    <w:rsid w:val="00092FF1"/>
    <w:rsid w:val="000936B0"/>
    <w:rsid w:val="00093CA5"/>
    <w:rsid w:val="000940E5"/>
    <w:rsid w:val="00095082"/>
    <w:rsid w:val="000968C7"/>
    <w:rsid w:val="00097640"/>
    <w:rsid w:val="000A1DED"/>
    <w:rsid w:val="000A41A8"/>
    <w:rsid w:val="000A66F8"/>
    <w:rsid w:val="000A706E"/>
    <w:rsid w:val="000B4606"/>
    <w:rsid w:val="000B4A6D"/>
    <w:rsid w:val="000B5FD6"/>
    <w:rsid w:val="000C001A"/>
    <w:rsid w:val="000C09E7"/>
    <w:rsid w:val="000C346E"/>
    <w:rsid w:val="000C39F7"/>
    <w:rsid w:val="000C6F6C"/>
    <w:rsid w:val="000D57CA"/>
    <w:rsid w:val="000E0A77"/>
    <w:rsid w:val="000E0DF7"/>
    <w:rsid w:val="000F3225"/>
    <w:rsid w:val="000F5241"/>
    <w:rsid w:val="000F66CF"/>
    <w:rsid w:val="000F6B01"/>
    <w:rsid w:val="00100F7F"/>
    <w:rsid w:val="00101B82"/>
    <w:rsid w:val="00103E0A"/>
    <w:rsid w:val="00104257"/>
    <w:rsid w:val="001050B5"/>
    <w:rsid w:val="00116911"/>
    <w:rsid w:val="0011730A"/>
    <w:rsid w:val="00121C13"/>
    <w:rsid w:val="00123177"/>
    <w:rsid w:val="00130275"/>
    <w:rsid w:val="00130F5A"/>
    <w:rsid w:val="00132E8E"/>
    <w:rsid w:val="00135CBF"/>
    <w:rsid w:val="00136319"/>
    <w:rsid w:val="0013669D"/>
    <w:rsid w:val="00142496"/>
    <w:rsid w:val="00143AD7"/>
    <w:rsid w:val="00145448"/>
    <w:rsid w:val="00145468"/>
    <w:rsid w:val="001475BA"/>
    <w:rsid w:val="001477BE"/>
    <w:rsid w:val="00151BE2"/>
    <w:rsid w:val="0015380A"/>
    <w:rsid w:val="001541DC"/>
    <w:rsid w:val="0015438C"/>
    <w:rsid w:val="00156FB0"/>
    <w:rsid w:val="00157190"/>
    <w:rsid w:val="001636AD"/>
    <w:rsid w:val="00164046"/>
    <w:rsid w:val="00166401"/>
    <w:rsid w:val="00170F16"/>
    <w:rsid w:val="0017135C"/>
    <w:rsid w:val="001762E0"/>
    <w:rsid w:val="00176C77"/>
    <w:rsid w:val="00176D2D"/>
    <w:rsid w:val="00177D41"/>
    <w:rsid w:val="001824D8"/>
    <w:rsid w:val="00184E97"/>
    <w:rsid w:val="00191D1D"/>
    <w:rsid w:val="00193C90"/>
    <w:rsid w:val="001941E0"/>
    <w:rsid w:val="00195574"/>
    <w:rsid w:val="00197E49"/>
    <w:rsid w:val="001A15DD"/>
    <w:rsid w:val="001A6FB7"/>
    <w:rsid w:val="001B2344"/>
    <w:rsid w:val="001C4578"/>
    <w:rsid w:val="001C4CE5"/>
    <w:rsid w:val="001C59FB"/>
    <w:rsid w:val="001D2D22"/>
    <w:rsid w:val="001D5B7D"/>
    <w:rsid w:val="001E7B57"/>
    <w:rsid w:val="001E7B96"/>
    <w:rsid w:val="001F39F5"/>
    <w:rsid w:val="001F4ECA"/>
    <w:rsid w:val="001F62B5"/>
    <w:rsid w:val="001F680D"/>
    <w:rsid w:val="001F69CD"/>
    <w:rsid w:val="001F7A47"/>
    <w:rsid w:val="001F7B33"/>
    <w:rsid w:val="00201753"/>
    <w:rsid w:val="00202CA5"/>
    <w:rsid w:val="00205DF2"/>
    <w:rsid w:val="00205EFA"/>
    <w:rsid w:val="002115A9"/>
    <w:rsid w:val="002143CD"/>
    <w:rsid w:val="00215074"/>
    <w:rsid w:val="00215C6E"/>
    <w:rsid w:val="00222623"/>
    <w:rsid w:val="0022382E"/>
    <w:rsid w:val="002245E3"/>
    <w:rsid w:val="0022710D"/>
    <w:rsid w:val="002311C8"/>
    <w:rsid w:val="00232CC2"/>
    <w:rsid w:val="00232E7D"/>
    <w:rsid w:val="00234414"/>
    <w:rsid w:val="00236889"/>
    <w:rsid w:val="002401E8"/>
    <w:rsid w:val="00241FFA"/>
    <w:rsid w:val="00246D6A"/>
    <w:rsid w:val="0025343C"/>
    <w:rsid w:val="00253459"/>
    <w:rsid w:val="00254DE9"/>
    <w:rsid w:val="00255412"/>
    <w:rsid w:val="002555C9"/>
    <w:rsid w:val="002601CA"/>
    <w:rsid w:val="002621D0"/>
    <w:rsid w:val="0026584B"/>
    <w:rsid w:val="0026587F"/>
    <w:rsid w:val="00265EBF"/>
    <w:rsid w:val="0026638C"/>
    <w:rsid w:val="00273615"/>
    <w:rsid w:val="002737F7"/>
    <w:rsid w:val="00275441"/>
    <w:rsid w:val="00275FAC"/>
    <w:rsid w:val="00276DEA"/>
    <w:rsid w:val="0028050E"/>
    <w:rsid w:val="00281791"/>
    <w:rsid w:val="002837BB"/>
    <w:rsid w:val="00291711"/>
    <w:rsid w:val="00293BEA"/>
    <w:rsid w:val="00296263"/>
    <w:rsid w:val="002A012F"/>
    <w:rsid w:val="002A3338"/>
    <w:rsid w:val="002A540F"/>
    <w:rsid w:val="002A661E"/>
    <w:rsid w:val="002B7B0E"/>
    <w:rsid w:val="002C1165"/>
    <w:rsid w:val="002C25DE"/>
    <w:rsid w:val="002C44A4"/>
    <w:rsid w:val="002C502C"/>
    <w:rsid w:val="002C5174"/>
    <w:rsid w:val="002C6983"/>
    <w:rsid w:val="002C6A82"/>
    <w:rsid w:val="002C76D1"/>
    <w:rsid w:val="002C7FB7"/>
    <w:rsid w:val="002D0B29"/>
    <w:rsid w:val="002D1040"/>
    <w:rsid w:val="002D6EAC"/>
    <w:rsid w:val="002E79FF"/>
    <w:rsid w:val="002E7EBB"/>
    <w:rsid w:val="002F068B"/>
    <w:rsid w:val="002F06CE"/>
    <w:rsid w:val="002F2C72"/>
    <w:rsid w:val="002F2E39"/>
    <w:rsid w:val="002F3031"/>
    <w:rsid w:val="002F644D"/>
    <w:rsid w:val="00303BFA"/>
    <w:rsid w:val="00304DF6"/>
    <w:rsid w:val="003074AD"/>
    <w:rsid w:val="00313ED1"/>
    <w:rsid w:val="003178AC"/>
    <w:rsid w:val="003230DD"/>
    <w:rsid w:val="00330150"/>
    <w:rsid w:val="00332D81"/>
    <w:rsid w:val="00333792"/>
    <w:rsid w:val="00336E6E"/>
    <w:rsid w:val="00337ED6"/>
    <w:rsid w:val="00344E69"/>
    <w:rsid w:val="00345820"/>
    <w:rsid w:val="00345F47"/>
    <w:rsid w:val="003473E2"/>
    <w:rsid w:val="00350339"/>
    <w:rsid w:val="00350E9C"/>
    <w:rsid w:val="00352798"/>
    <w:rsid w:val="0035662A"/>
    <w:rsid w:val="00356BF0"/>
    <w:rsid w:val="00356CCC"/>
    <w:rsid w:val="00360D61"/>
    <w:rsid w:val="003645D5"/>
    <w:rsid w:val="00367317"/>
    <w:rsid w:val="00370D98"/>
    <w:rsid w:val="00375B35"/>
    <w:rsid w:val="00375D92"/>
    <w:rsid w:val="003776D2"/>
    <w:rsid w:val="00380D5E"/>
    <w:rsid w:val="003819B7"/>
    <w:rsid w:val="00383651"/>
    <w:rsid w:val="003844C6"/>
    <w:rsid w:val="00385C97"/>
    <w:rsid w:val="0039236F"/>
    <w:rsid w:val="00393FBF"/>
    <w:rsid w:val="00394878"/>
    <w:rsid w:val="003974C6"/>
    <w:rsid w:val="003A0420"/>
    <w:rsid w:val="003A4AD6"/>
    <w:rsid w:val="003A6C74"/>
    <w:rsid w:val="003A6E9C"/>
    <w:rsid w:val="003A773E"/>
    <w:rsid w:val="003B4028"/>
    <w:rsid w:val="003B5257"/>
    <w:rsid w:val="003B74F1"/>
    <w:rsid w:val="003C1329"/>
    <w:rsid w:val="003C19EC"/>
    <w:rsid w:val="003C30CC"/>
    <w:rsid w:val="003C5C08"/>
    <w:rsid w:val="003C6400"/>
    <w:rsid w:val="003C6874"/>
    <w:rsid w:val="003D20F6"/>
    <w:rsid w:val="003D4773"/>
    <w:rsid w:val="003D56AA"/>
    <w:rsid w:val="003D6140"/>
    <w:rsid w:val="003E4443"/>
    <w:rsid w:val="003E6F7F"/>
    <w:rsid w:val="003F019D"/>
    <w:rsid w:val="003F3592"/>
    <w:rsid w:val="003F71E4"/>
    <w:rsid w:val="00400F2D"/>
    <w:rsid w:val="00406D38"/>
    <w:rsid w:val="00411094"/>
    <w:rsid w:val="004113CD"/>
    <w:rsid w:val="00413FE4"/>
    <w:rsid w:val="00414976"/>
    <w:rsid w:val="004150CF"/>
    <w:rsid w:val="004240A6"/>
    <w:rsid w:val="00430A03"/>
    <w:rsid w:val="00431C49"/>
    <w:rsid w:val="00432719"/>
    <w:rsid w:val="004360FD"/>
    <w:rsid w:val="00441033"/>
    <w:rsid w:val="0044234C"/>
    <w:rsid w:val="004432B0"/>
    <w:rsid w:val="00444CE0"/>
    <w:rsid w:val="00446676"/>
    <w:rsid w:val="00446D14"/>
    <w:rsid w:val="004479C2"/>
    <w:rsid w:val="0045040A"/>
    <w:rsid w:val="00450B2C"/>
    <w:rsid w:val="0046295C"/>
    <w:rsid w:val="00462F2C"/>
    <w:rsid w:val="00464FE6"/>
    <w:rsid w:val="00466D92"/>
    <w:rsid w:val="004719B6"/>
    <w:rsid w:val="00471AF3"/>
    <w:rsid w:val="004813E1"/>
    <w:rsid w:val="00481F4B"/>
    <w:rsid w:val="00483587"/>
    <w:rsid w:val="00483F1E"/>
    <w:rsid w:val="00484092"/>
    <w:rsid w:val="004934DE"/>
    <w:rsid w:val="004965BA"/>
    <w:rsid w:val="00497DA4"/>
    <w:rsid w:val="004A0B32"/>
    <w:rsid w:val="004A4A14"/>
    <w:rsid w:val="004B0D27"/>
    <w:rsid w:val="004B1E59"/>
    <w:rsid w:val="004B3062"/>
    <w:rsid w:val="004B3C07"/>
    <w:rsid w:val="004C2691"/>
    <w:rsid w:val="004D00CD"/>
    <w:rsid w:val="004D1C66"/>
    <w:rsid w:val="004D1FA7"/>
    <w:rsid w:val="004D354D"/>
    <w:rsid w:val="004D66DD"/>
    <w:rsid w:val="004D78DC"/>
    <w:rsid w:val="004D796F"/>
    <w:rsid w:val="004E0A5B"/>
    <w:rsid w:val="004E12B0"/>
    <w:rsid w:val="004E4F32"/>
    <w:rsid w:val="004E5960"/>
    <w:rsid w:val="004E61AD"/>
    <w:rsid w:val="004F0798"/>
    <w:rsid w:val="004F086B"/>
    <w:rsid w:val="004F259D"/>
    <w:rsid w:val="004F71E1"/>
    <w:rsid w:val="005022F0"/>
    <w:rsid w:val="00502E96"/>
    <w:rsid w:val="00505A58"/>
    <w:rsid w:val="005078E4"/>
    <w:rsid w:val="0051025E"/>
    <w:rsid w:val="005108F4"/>
    <w:rsid w:val="00511C4D"/>
    <w:rsid w:val="00512FBD"/>
    <w:rsid w:val="00514347"/>
    <w:rsid w:val="00515C26"/>
    <w:rsid w:val="005200C6"/>
    <w:rsid w:val="00527E5A"/>
    <w:rsid w:val="0053089D"/>
    <w:rsid w:val="0053319F"/>
    <w:rsid w:val="00533946"/>
    <w:rsid w:val="00533D8D"/>
    <w:rsid w:val="0053486F"/>
    <w:rsid w:val="00535F1B"/>
    <w:rsid w:val="005362D4"/>
    <w:rsid w:val="00536BE3"/>
    <w:rsid w:val="00540C97"/>
    <w:rsid w:val="005426EB"/>
    <w:rsid w:val="00543C53"/>
    <w:rsid w:val="00546A41"/>
    <w:rsid w:val="00550260"/>
    <w:rsid w:val="005528C4"/>
    <w:rsid w:val="00554476"/>
    <w:rsid w:val="00555DC1"/>
    <w:rsid w:val="005608FB"/>
    <w:rsid w:val="00564FCD"/>
    <w:rsid w:val="00570A42"/>
    <w:rsid w:val="00571137"/>
    <w:rsid w:val="00571905"/>
    <w:rsid w:val="00574EB2"/>
    <w:rsid w:val="00576419"/>
    <w:rsid w:val="00580CFD"/>
    <w:rsid w:val="005819EF"/>
    <w:rsid w:val="00583739"/>
    <w:rsid w:val="00587640"/>
    <w:rsid w:val="005906F1"/>
    <w:rsid w:val="00594FB8"/>
    <w:rsid w:val="005950A9"/>
    <w:rsid w:val="00596A26"/>
    <w:rsid w:val="005A4EEB"/>
    <w:rsid w:val="005A5C1B"/>
    <w:rsid w:val="005A7359"/>
    <w:rsid w:val="005B458E"/>
    <w:rsid w:val="005C0CD5"/>
    <w:rsid w:val="005C11CC"/>
    <w:rsid w:val="005C3AE5"/>
    <w:rsid w:val="005C5F4F"/>
    <w:rsid w:val="005C6520"/>
    <w:rsid w:val="005C65C7"/>
    <w:rsid w:val="005D2C0C"/>
    <w:rsid w:val="005D3F4A"/>
    <w:rsid w:val="005E177F"/>
    <w:rsid w:val="005E2A44"/>
    <w:rsid w:val="005F239D"/>
    <w:rsid w:val="005F5A20"/>
    <w:rsid w:val="00601A8B"/>
    <w:rsid w:val="00602A5C"/>
    <w:rsid w:val="00603B08"/>
    <w:rsid w:val="006056A6"/>
    <w:rsid w:val="00606E99"/>
    <w:rsid w:val="00610C55"/>
    <w:rsid w:val="00611371"/>
    <w:rsid w:val="00613E37"/>
    <w:rsid w:val="00623170"/>
    <w:rsid w:val="00627FAD"/>
    <w:rsid w:val="00635FEB"/>
    <w:rsid w:val="0063658E"/>
    <w:rsid w:val="00637348"/>
    <w:rsid w:val="00641E7A"/>
    <w:rsid w:val="00645336"/>
    <w:rsid w:val="00651196"/>
    <w:rsid w:val="00651C9D"/>
    <w:rsid w:val="0065415D"/>
    <w:rsid w:val="00654496"/>
    <w:rsid w:val="00655CC6"/>
    <w:rsid w:val="006605D1"/>
    <w:rsid w:val="00660682"/>
    <w:rsid w:val="00663A10"/>
    <w:rsid w:val="0066475A"/>
    <w:rsid w:val="00665ED4"/>
    <w:rsid w:val="00667A8A"/>
    <w:rsid w:val="006702D7"/>
    <w:rsid w:val="00670F18"/>
    <w:rsid w:val="00671115"/>
    <w:rsid w:val="00672606"/>
    <w:rsid w:val="006733B7"/>
    <w:rsid w:val="00673EB6"/>
    <w:rsid w:val="00673EBF"/>
    <w:rsid w:val="00680A67"/>
    <w:rsid w:val="006811ED"/>
    <w:rsid w:val="006829D5"/>
    <w:rsid w:val="00693371"/>
    <w:rsid w:val="0069386A"/>
    <w:rsid w:val="00693C35"/>
    <w:rsid w:val="006953E4"/>
    <w:rsid w:val="00695D23"/>
    <w:rsid w:val="00695FEA"/>
    <w:rsid w:val="006A3045"/>
    <w:rsid w:val="006A340F"/>
    <w:rsid w:val="006B1696"/>
    <w:rsid w:val="006B1F14"/>
    <w:rsid w:val="006B4CC3"/>
    <w:rsid w:val="006C1B2A"/>
    <w:rsid w:val="006C2EFB"/>
    <w:rsid w:val="006C328D"/>
    <w:rsid w:val="006C3D3E"/>
    <w:rsid w:val="006C4672"/>
    <w:rsid w:val="006C698B"/>
    <w:rsid w:val="006D1037"/>
    <w:rsid w:val="006D1E56"/>
    <w:rsid w:val="006D60CD"/>
    <w:rsid w:val="006E1860"/>
    <w:rsid w:val="006E2C4B"/>
    <w:rsid w:val="006E604E"/>
    <w:rsid w:val="006E61A5"/>
    <w:rsid w:val="006E795E"/>
    <w:rsid w:val="006F1FE7"/>
    <w:rsid w:val="006F3253"/>
    <w:rsid w:val="006F4FA8"/>
    <w:rsid w:val="006F5497"/>
    <w:rsid w:val="006F6248"/>
    <w:rsid w:val="00703226"/>
    <w:rsid w:val="00711BBE"/>
    <w:rsid w:val="00714055"/>
    <w:rsid w:val="00714137"/>
    <w:rsid w:val="00714537"/>
    <w:rsid w:val="007158B9"/>
    <w:rsid w:val="00721B6A"/>
    <w:rsid w:val="00723CE8"/>
    <w:rsid w:val="0072433B"/>
    <w:rsid w:val="00724A54"/>
    <w:rsid w:val="00724D62"/>
    <w:rsid w:val="007271EF"/>
    <w:rsid w:val="00731D38"/>
    <w:rsid w:val="007328D3"/>
    <w:rsid w:val="00732D91"/>
    <w:rsid w:val="00733D10"/>
    <w:rsid w:val="0073728E"/>
    <w:rsid w:val="00743C5C"/>
    <w:rsid w:val="0074659A"/>
    <w:rsid w:val="007601ED"/>
    <w:rsid w:val="0076057F"/>
    <w:rsid w:val="0076090B"/>
    <w:rsid w:val="0076408A"/>
    <w:rsid w:val="007652FE"/>
    <w:rsid w:val="00770455"/>
    <w:rsid w:val="007736BC"/>
    <w:rsid w:val="00774494"/>
    <w:rsid w:val="00781C74"/>
    <w:rsid w:val="00784025"/>
    <w:rsid w:val="00786E77"/>
    <w:rsid w:val="0079238B"/>
    <w:rsid w:val="0079428F"/>
    <w:rsid w:val="00796B20"/>
    <w:rsid w:val="007A2A79"/>
    <w:rsid w:val="007B01C8"/>
    <w:rsid w:val="007B1412"/>
    <w:rsid w:val="007B19A3"/>
    <w:rsid w:val="007B209E"/>
    <w:rsid w:val="007B64B2"/>
    <w:rsid w:val="007C46E2"/>
    <w:rsid w:val="007C7717"/>
    <w:rsid w:val="007C7E7A"/>
    <w:rsid w:val="007D2F86"/>
    <w:rsid w:val="007D78F5"/>
    <w:rsid w:val="007E0C75"/>
    <w:rsid w:val="007E1DD5"/>
    <w:rsid w:val="007E5340"/>
    <w:rsid w:val="007E5ECF"/>
    <w:rsid w:val="007F016F"/>
    <w:rsid w:val="007F4746"/>
    <w:rsid w:val="007F476B"/>
    <w:rsid w:val="007F78F7"/>
    <w:rsid w:val="0081030A"/>
    <w:rsid w:val="008110CF"/>
    <w:rsid w:val="008113B4"/>
    <w:rsid w:val="00811768"/>
    <w:rsid w:val="0081379E"/>
    <w:rsid w:val="008141E1"/>
    <w:rsid w:val="00816ED3"/>
    <w:rsid w:val="00820C71"/>
    <w:rsid w:val="00820ED0"/>
    <w:rsid w:val="008245A0"/>
    <w:rsid w:val="00824917"/>
    <w:rsid w:val="00827D00"/>
    <w:rsid w:val="00831771"/>
    <w:rsid w:val="00834B8E"/>
    <w:rsid w:val="00835E75"/>
    <w:rsid w:val="00840569"/>
    <w:rsid w:val="00841134"/>
    <w:rsid w:val="00843056"/>
    <w:rsid w:val="00843FD4"/>
    <w:rsid w:val="00847502"/>
    <w:rsid w:val="00847ED9"/>
    <w:rsid w:val="00855385"/>
    <w:rsid w:val="0085607D"/>
    <w:rsid w:val="00856341"/>
    <w:rsid w:val="00861F11"/>
    <w:rsid w:val="0086360F"/>
    <w:rsid w:val="00863928"/>
    <w:rsid w:val="008641A1"/>
    <w:rsid w:val="00871E02"/>
    <w:rsid w:val="00871E0B"/>
    <w:rsid w:val="00872412"/>
    <w:rsid w:val="00873AD7"/>
    <w:rsid w:val="008752A9"/>
    <w:rsid w:val="00875A84"/>
    <w:rsid w:val="00880628"/>
    <w:rsid w:val="00885D04"/>
    <w:rsid w:val="00886CAA"/>
    <w:rsid w:val="00887F07"/>
    <w:rsid w:val="00891A88"/>
    <w:rsid w:val="008955FF"/>
    <w:rsid w:val="0089607A"/>
    <w:rsid w:val="00896108"/>
    <w:rsid w:val="0089614D"/>
    <w:rsid w:val="00897068"/>
    <w:rsid w:val="008A0020"/>
    <w:rsid w:val="008B0D97"/>
    <w:rsid w:val="008B0F81"/>
    <w:rsid w:val="008B22DF"/>
    <w:rsid w:val="008B4AE4"/>
    <w:rsid w:val="008B6D32"/>
    <w:rsid w:val="008C3DB6"/>
    <w:rsid w:val="008C542B"/>
    <w:rsid w:val="008C79C4"/>
    <w:rsid w:val="008D2F5C"/>
    <w:rsid w:val="008D66E5"/>
    <w:rsid w:val="008E7B7B"/>
    <w:rsid w:val="008F0CE5"/>
    <w:rsid w:val="008F3F8A"/>
    <w:rsid w:val="008F48A3"/>
    <w:rsid w:val="008F667D"/>
    <w:rsid w:val="008F70F0"/>
    <w:rsid w:val="00903E88"/>
    <w:rsid w:val="009062D6"/>
    <w:rsid w:val="00906E52"/>
    <w:rsid w:val="009108EF"/>
    <w:rsid w:val="0091160C"/>
    <w:rsid w:val="00912401"/>
    <w:rsid w:val="00914DE9"/>
    <w:rsid w:val="00915568"/>
    <w:rsid w:val="00916485"/>
    <w:rsid w:val="0092537E"/>
    <w:rsid w:val="00927845"/>
    <w:rsid w:val="009313D6"/>
    <w:rsid w:val="009325D9"/>
    <w:rsid w:val="009423C1"/>
    <w:rsid w:val="00942E86"/>
    <w:rsid w:val="009449B7"/>
    <w:rsid w:val="009456BD"/>
    <w:rsid w:val="00950101"/>
    <w:rsid w:val="00951312"/>
    <w:rsid w:val="009514E3"/>
    <w:rsid w:val="009514EF"/>
    <w:rsid w:val="00952C31"/>
    <w:rsid w:val="00952C3E"/>
    <w:rsid w:val="00952DA2"/>
    <w:rsid w:val="0095352D"/>
    <w:rsid w:val="009552F3"/>
    <w:rsid w:val="00955B7E"/>
    <w:rsid w:val="00957EA1"/>
    <w:rsid w:val="009620D3"/>
    <w:rsid w:val="00964066"/>
    <w:rsid w:val="00965B57"/>
    <w:rsid w:val="00965FB6"/>
    <w:rsid w:val="00971ED1"/>
    <w:rsid w:val="00974901"/>
    <w:rsid w:val="00977844"/>
    <w:rsid w:val="00982453"/>
    <w:rsid w:val="00984075"/>
    <w:rsid w:val="00985895"/>
    <w:rsid w:val="009967ED"/>
    <w:rsid w:val="00997BA4"/>
    <w:rsid w:val="009A25DF"/>
    <w:rsid w:val="009A2DA5"/>
    <w:rsid w:val="009A36E8"/>
    <w:rsid w:val="009A4FD8"/>
    <w:rsid w:val="009A6393"/>
    <w:rsid w:val="009B319B"/>
    <w:rsid w:val="009B6336"/>
    <w:rsid w:val="009B769E"/>
    <w:rsid w:val="009B7FA7"/>
    <w:rsid w:val="009C2AB5"/>
    <w:rsid w:val="009C2FE9"/>
    <w:rsid w:val="009C5334"/>
    <w:rsid w:val="009D1484"/>
    <w:rsid w:val="009D317A"/>
    <w:rsid w:val="009D4CCD"/>
    <w:rsid w:val="009D54CC"/>
    <w:rsid w:val="009D766C"/>
    <w:rsid w:val="009D7A9E"/>
    <w:rsid w:val="009E0DC4"/>
    <w:rsid w:val="009E6AC0"/>
    <w:rsid w:val="009E72CE"/>
    <w:rsid w:val="009F0C2C"/>
    <w:rsid w:val="009F43F1"/>
    <w:rsid w:val="009F59EE"/>
    <w:rsid w:val="00A02084"/>
    <w:rsid w:val="00A04ED1"/>
    <w:rsid w:val="00A0667E"/>
    <w:rsid w:val="00A102D7"/>
    <w:rsid w:val="00A12DCA"/>
    <w:rsid w:val="00A16258"/>
    <w:rsid w:val="00A17683"/>
    <w:rsid w:val="00A32257"/>
    <w:rsid w:val="00A3256D"/>
    <w:rsid w:val="00A33BC2"/>
    <w:rsid w:val="00A357BF"/>
    <w:rsid w:val="00A36E9E"/>
    <w:rsid w:val="00A371E7"/>
    <w:rsid w:val="00A374C1"/>
    <w:rsid w:val="00A42584"/>
    <w:rsid w:val="00A43DA2"/>
    <w:rsid w:val="00A47A3F"/>
    <w:rsid w:val="00A51E3F"/>
    <w:rsid w:val="00A52AC7"/>
    <w:rsid w:val="00A54165"/>
    <w:rsid w:val="00A557BA"/>
    <w:rsid w:val="00A561B8"/>
    <w:rsid w:val="00A63BF9"/>
    <w:rsid w:val="00A70CD5"/>
    <w:rsid w:val="00A72498"/>
    <w:rsid w:val="00A72662"/>
    <w:rsid w:val="00A74EBC"/>
    <w:rsid w:val="00A8073A"/>
    <w:rsid w:val="00A811DA"/>
    <w:rsid w:val="00A81FE2"/>
    <w:rsid w:val="00A82725"/>
    <w:rsid w:val="00A84F3B"/>
    <w:rsid w:val="00A92D0C"/>
    <w:rsid w:val="00A94D75"/>
    <w:rsid w:val="00A9700C"/>
    <w:rsid w:val="00AA1BC7"/>
    <w:rsid w:val="00AA7DE8"/>
    <w:rsid w:val="00AB3FAB"/>
    <w:rsid w:val="00AB49E5"/>
    <w:rsid w:val="00AB7ACF"/>
    <w:rsid w:val="00AC19E5"/>
    <w:rsid w:val="00AC1F8D"/>
    <w:rsid w:val="00AC4BAF"/>
    <w:rsid w:val="00AC6087"/>
    <w:rsid w:val="00AD100E"/>
    <w:rsid w:val="00AD129A"/>
    <w:rsid w:val="00AD6CF7"/>
    <w:rsid w:val="00AD79DC"/>
    <w:rsid w:val="00AE1039"/>
    <w:rsid w:val="00AE4368"/>
    <w:rsid w:val="00AE4DD6"/>
    <w:rsid w:val="00AE6C0D"/>
    <w:rsid w:val="00AE7A7A"/>
    <w:rsid w:val="00AF296E"/>
    <w:rsid w:val="00AF7D1F"/>
    <w:rsid w:val="00B02519"/>
    <w:rsid w:val="00B03B94"/>
    <w:rsid w:val="00B070F2"/>
    <w:rsid w:val="00B12F85"/>
    <w:rsid w:val="00B142DB"/>
    <w:rsid w:val="00B21576"/>
    <w:rsid w:val="00B268EC"/>
    <w:rsid w:val="00B30717"/>
    <w:rsid w:val="00B31EA6"/>
    <w:rsid w:val="00B3526C"/>
    <w:rsid w:val="00B3673D"/>
    <w:rsid w:val="00B44132"/>
    <w:rsid w:val="00B52DE4"/>
    <w:rsid w:val="00B5409A"/>
    <w:rsid w:val="00B67E31"/>
    <w:rsid w:val="00B758B2"/>
    <w:rsid w:val="00B762E3"/>
    <w:rsid w:val="00B80797"/>
    <w:rsid w:val="00B8142B"/>
    <w:rsid w:val="00B82D9A"/>
    <w:rsid w:val="00B97165"/>
    <w:rsid w:val="00BA0056"/>
    <w:rsid w:val="00BA6483"/>
    <w:rsid w:val="00BA64B2"/>
    <w:rsid w:val="00BA7CEA"/>
    <w:rsid w:val="00BB0347"/>
    <w:rsid w:val="00BB0C31"/>
    <w:rsid w:val="00BB20EC"/>
    <w:rsid w:val="00BB2AAF"/>
    <w:rsid w:val="00BB35D0"/>
    <w:rsid w:val="00BB44B2"/>
    <w:rsid w:val="00BC591C"/>
    <w:rsid w:val="00BD12E3"/>
    <w:rsid w:val="00BD1851"/>
    <w:rsid w:val="00BD1E39"/>
    <w:rsid w:val="00BD390E"/>
    <w:rsid w:val="00BD6705"/>
    <w:rsid w:val="00BD6B05"/>
    <w:rsid w:val="00BD6C2F"/>
    <w:rsid w:val="00BE0522"/>
    <w:rsid w:val="00BE5354"/>
    <w:rsid w:val="00BE5E86"/>
    <w:rsid w:val="00BE7BCA"/>
    <w:rsid w:val="00BF2385"/>
    <w:rsid w:val="00C0092C"/>
    <w:rsid w:val="00C02F3B"/>
    <w:rsid w:val="00C05658"/>
    <w:rsid w:val="00C05A41"/>
    <w:rsid w:val="00C06218"/>
    <w:rsid w:val="00C11D88"/>
    <w:rsid w:val="00C122D2"/>
    <w:rsid w:val="00C1329C"/>
    <w:rsid w:val="00C13B45"/>
    <w:rsid w:val="00C13D4E"/>
    <w:rsid w:val="00C1411E"/>
    <w:rsid w:val="00C1417F"/>
    <w:rsid w:val="00C217E0"/>
    <w:rsid w:val="00C23ECA"/>
    <w:rsid w:val="00C26A79"/>
    <w:rsid w:val="00C30EEB"/>
    <w:rsid w:val="00C3215E"/>
    <w:rsid w:val="00C343C1"/>
    <w:rsid w:val="00C3498A"/>
    <w:rsid w:val="00C426FF"/>
    <w:rsid w:val="00C441D3"/>
    <w:rsid w:val="00C45925"/>
    <w:rsid w:val="00C45F70"/>
    <w:rsid w:val="00C50B5A"/>
    <w:rsid w:val="00C50DEE"/>
    <w:rsid w:val="00C52B71"/>
    <w:rsid w:val="00C53D4C"/>
    <w:rsid w:val="00C55CF6"/>
    <w:rsid w:val="00C55E53"/>
    <w:rsid w:val="00C571DA"/>
    <w:rsid w:val="00C62127"/>
    <w:rsid w:val="00C629DD"/>
    <w:rsid w:val="00C62F19"/>
    <w:rsid w:val="00C64D80"/>
    <w:rsid w:val="00C6505A"/>
    <w:rsid w:val="00C65E95"/>
    <w:rsid w:val="00C677D0"/>
    <w:rsid w:val="00C70D59"/>
    <w:rsid w:val="00C73315"/>
    <w:rsid w:val="00C74FA3"/>
    <w:rsid w:val="00C75463"/>
    <w:rsid w:val="00C82B2A"/>
    <w:rsid w:val="00C8341E"/>
    <w:rsid w:val="00C86C6C"/>
    <w:rsid w:val="00C91F7E"/>
    <w:rsid w:val="00C93639"/>
    <w:rsid w:val="00C942D5"/>
    <w:rsid w:val="00C97001"/>
    <w:rsid w:val="00C97CB0"/>
    <w:rsid w:val="00CA312C"/>
    <w:rsid w:val="00CA4086"/>
    <w:rsid w:val="00CA72C9"/>
    <w:rsid w:val="00CA757E"/>
    <w:rsid w:val="00CB1D57"/>
    <w:rsid w:val="00CC1533"/>
    <w:rsid w:val="00CC6034"/>
    <w:rsid w:val="00CC7007"/>
    <w:rsid w:val="00CD0B43"/>
    <w:rsid w:val="00CD24C4"/>
    <w:rsid w:val="00CD3B1F"/>
    <w:rsid w:val="00CD4DDA"/>
    <w:rsid w:val="00CD576A"/>
    <w:rsid w:val="00CD6E3C"/>
    <w:rsid w:val="00CD7BE4"/>
    <w:rsid w:val="00CD7DD2"/>
    <w:rsid w:val="00CE0490"/>
    <w:rsid w:val="00CE2ABF"/>
    <w:rsid w:val="00CE554F"/>
    <w:rsid w:val="00CE5BBB"/>
    <w:rsid w:val="00CE61C3"/>
    <w:rsid w:val="00CE6B2B"/>
    <w:rsid w:val="00CF00C8"/>
    <w:rsid w:val="00CF124C"/>
    <w:rsid w:val="00CF278F"/>
    <w:rsid w:val="00D06E5C"/>
    <w:rsid w:val="00D11162"/>
    <w:rsid w:val="00D12CD2"/>
    <w:rsid w:val="00D13DB6"/>
    <w:rsid w:val="00D156CF"/>
    <w:rsid w:val="00D16A2C"/>
    <w:rsid w:val="00D17E40"/>
    <w:rsid w:val="00D246E4"/>
    <w:rsid w:val="00D24A6C"/>
    <w:rsid w:val="00D260E5"/>
    <w:rsid w:val="00D261A4"/>
    <w:rsid w:val="00D309F5"/>
    <w:rsid w:val="00D34AA5"/>
    <w:rsid w:val="00D369B2"/>
    <w:rsid w:val="00D37544"/>
    <w:rsid w:val="00D47E31"/>
    <w:rsid w:val="00D5054D"/>
    <w:rsid w:val="00D50A21"/>
    <w:rsid w:val="00D5687B"/>
    <w:rsid w:val="00D56D4C"/>
    <w:rsid w:val="00D5726C"/>
    <w:rsid w:val="00D60DCD"/>
    <w:rsid w:val="00D65883"/>
    <w:rsid w:val="00D65C48"/>
    <w:rsid w:val="00D65F11"/>
    <w:rsid w:val="00D66E76"/>
    <w:rsid w:val="00D704E6"/>
    <w:rsid w:val="00D709A2"/>
    <w:rsid w:val="00D721C7"/>
    <w:rsid w:val="00D75B34"/>
    <w:rsid w:val="00D75BEC"/>
    <w:rsid w:val="00D77CCE"/>
    <w:rsid w:val="00D83DE3"/>
    <w:rsid w:val="00D86E1B"/>
    <w:rsid w:val="00D922C2"/>
    <w:rsid w:val="00D92F0D"/>
    <w:rsid w:val="00D93025"/>
    <w:rsid w:val="00D941B9"/>
    <w:rsid w:val="00D94344"/>
    <w:rsid w:val="00DA2472"/>
    <w:rsid w:val="00DA3710"/>
    <w:rsid w:val="00DA41C0"/>
    <w:rsid w:val="00DA7F0E"/>
    <w:rsid w:val="00DB15DB"/>
    <w:rsid w:val="00DB29D7"/>
    <w:rsid w:val="00DB486C"/>
    <w:rsid w:val="00DB5A4A"/>
    <w:rsid w:val="00DB75B8"/>
    <w:rsid w:val="00DC0C7F"/>
    <w:rsid w:val="00DC0DEE"/>
    <w:rsid w:val="00DC3516"/>
    <w:rsid w:val="00DC4056"/>
    <w:rsid w:val="00DC5F7B"/>
    <w:rsid w:val="00DC647E"/>
    <w:rsid w:val="00DD02C4"/>
    <w:rsid w:val="00DD1FD8"/>
    <w:rsid w:val="00DD1FFE"/>
    <w:rsid w:val="00DD253A"/>
    <w:rsid w:val="00DD2782"/>
    <w:rsid w:val="00DD36A3"/>
    <w:rsid w:val="00DD451F"/>
    <w:rsid w:val="00DD706D"/>
    <w:rsid w:val="00DE1289"/>
    <w:rsid w:val="00DE1307"/>
    <w:rsid w:val="00DE338F"/>
    <w:rsid w:val="00DE35DF"/>
    <w:rsid w:val="00DE4353"/>
    <w:rsid w:val="00DE62F5"/>
    <w:rsid w:val="00DF3090"/>
    <w:rsid w:val="00DF3945"/>
    <w:rsid w:val="00DF3B66"/>
    <w:rsid w:val="00DF3E01"/>
    <w:rsid w:val="00DF56A5"/>
    <w:rsid w:val="00DF5F04"/>
    <w:rsid w:val="00E00131"/>
    <w:rsid w:val="00E009B2"/>
    <w:rsid w:val="00E015CC"/>
    <w:rsid w:val="00E10F2A"/>
    <w:rsid w:val="00E20B0A"/>
    <w:rsid w:val="00E21DD8"/>
    <w:rsid w:val="00E220C5"/>
    <w:rsid w:val="00E24914"/>
    <w:rsid w:val="00E31FE2"/>
    <w:rsid w:val="00E3303A"/>
    <w:rsid w:val="00E33D97"/>
    <w:rsid w:val="00E35912"/>
    <w:rsid w:val="00E36568"/>
    <w:rsid w:val="00E36F10"/>
    <w:rsid w:val="00E375C6"/>
    <w:rsid w:val="00E4015D"/>
    <w:rsid w:val="00E44094"/>
    <w:rsid w:val="00E5243B"/>
    <w:rsid w:val="00E570EB"/>
    <w:rsid w:val="00E6039F"/>
    <w:rsid w:val="00E628C2"/>
    <w:rsid w:val="00E6535D"/>
    <w:rsid w:val="00E734A0"/>
    <w:rsid w:val="00E7532C"/>
    <w:rsid w:val="00E82420"/>
    <w:rsid w:val="00E86321"/>
    <w:rsid w:val="00E94295"/>
    <w:rsid w:val="00EA3339"/>
    <w:rsid w:val="00EA3901"/>
    <w:rsid w:val="00EA7FAA"/>
    <w:rsid w:val="00EB0872"/>
    <w:rsid w:val="00EB2013"/>
    <w:rsid w:val="00EB46C6"/>
    <w:rsid w:val="00EC0667"/>
    <w:rsid w:val="00EC19EC"/>
    <w:rsid w:val="00EC277D"/>
    <w:rsid w:val="00EC632A"/>
    <w:rsid w:val="00EC76B3"/>
    <w:rsid w:val="00EC77CF"/>
    <w:rsid w:val="00ED0F7F"/>
    <w:rsid w:val="00ED6308"/>
    <w:rsid w:val="00ED747F"/>
    <w:rsid w:val="00EE26A9"/>
    <w:rsid w:val="00EE340C"/>
    <w:rsid w:val="00EF0EFB"/>
    <w:rsid w:val="00EF337D"/>
    <w:rsid w:val="00F0227B"/>
    <w:rsid w:val="00F02FA5"/>
    <w:rsid w:val="00F05054"/>
    <w:rsid w:val="00F1229D"/>
    <w:rsid w:val="00F17571"/>
    <w:rsid w:val="00F21C07"/>
    <w:rsid w:val="00F24C1A"/>
    <w:rsid w:val="00F25428"/>
    <w:rsid w:val="00F271D1"/>
    <w:rsid w:val="00F31AAA"/>
    <w:rsid w:val="00F3485D"/>
    <w:rsid w:val="00F35CC9"/>
    <w:rsid w:val="00F368A8"/>
    <w:rsid w:val="00F36B20"/>
    <w:rsid w:val="00F372B4"/>
    <w:rsid w:val="00F37465"/>
    <w:rsid w:val="00F410BD"/>
    <w:rsid w:val="00F42D85"/>
    <w:rsid w:val="00F44B8B"/>
    <w:rsid w:val="00F45E02"/>
    <w:rsid w:val="00F53477"/>
    <w:rsid w:val="00F560EF"/>
    <w:rsid w:val="00F565A2"/>
    <w:rsid w:val="00F6044A"/>
    <w:rsid w:val="00F640DE"/>
    <w:rsid w:val="00F66E1C"/>
    <w:rsid w:val="00F67498"/>
    <w:rsid w:val="00F67E9D"/>
    <w:rsid w:val="00F77669"/>
    <w:rsid w:val="00F80F10"/>
    <w:rsid w:val="00F831E3"/>
    <w:rsid w:val="00F8412A"/>
    <w:rsid w:val="00F84913"/>
    <w:rsid w:val="00F87891"/>
    <w:rsid w:val="00F87F23"/>
    <w:rsid w:val="00F90B22"/>
    <w:rsid w:val="00F93A60"/>
    <w:rsid w:val="00F940E3"/>
    <w:rsid w:val="00FA0248"/>
    <w:rsid w:val="00FA28E4"/>
    <w:rsid w:val="00FA2966"/>
    <w:rsid w:val="00FA2A6E"/>
    <w:rsid w:val="00FA2B21"/>
    <w:rsid w:val="00FA33A5"/>
    <w:rsid w:val="00FB1C27"/>
    <w:rsid w:val="00FB2C22"/>
    <w:rsid w:val="00FB451C"/>
    <w:rsid w:val="00FB582B"/>
    <w:rsid w:val="00FB5CC4"/>
    <w:rsid w:val="00FB689F"/>
    <w:rsid w:val="00FC0E44"/>
    <w:rsid w:val="00FC48E1"/>
    <w:rsid w:val="00FD16BE"/>
    <w:rsid w:val="00FD3190"/>
    <w:rsid w:val="00FD35EB"/>
    <w:rsid w:val="00FD37C6"/>
    <w:rsid w:val="00FD6BC5"/>
    <w:rsid w:val="00FE10FC"/>
    <w:rsid w:val="00FE1E15"/>
    <w:rsid w:val="00FE3C7E"/>
    <w:rsid w:val="00FE4E47"/>
    <w:rsid w:val="00FE6DF5"/>
    <w:rsid w:val="00FE74D5"/>
    <w:rsid w:val="00FE7B3C"/>
    <w:rsid w:val="00FF1E2B"/>
    <w:rsid w:val="00FF2540"/>
    <w:rsid w:val="00FF2F0F"/>
    <w:rsid w:val="00FF4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1F2802"/>
  <w15:docId w15:val="{278F4349-5B35-4640-B6EC-B8096780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6C"/>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33946"/>
    <w:pPr>
      <w:keepNext/>
      <w:pBdr>
        <w:top w:val="single" w:sz="4" w:space="14" w:color="00453B"/>
        <w:left w:val="single" w:sz="4" w:space="14" w:color="00453B"/>
        <w:bottom w:val="single" w:sz="4" w:space="14" w:color="00453B"/>
        <w:right w:val="single" w:sz="4" w:space="14" w:color="00453B"/>
      </w:pBdr>
      <w:shd w:val="clear" w:color="auto" w:fill="003B45"/>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fordiscussionpaper">
    <w:name w:val="Bullet for discussion paper"/>
    <w:basedOn w:val="ListParagraph"/>
    <w:link w:val="BulletfordiscussionpaperChar"/>
    <w:qFormat/>
    <w:rsid w:val="00337ED6"/>
    <w:pPr>
      <w:numPr>
        <w:numId w:val="12"/>
      </w:numPr>
      <w:spacing w:before="180" w:after="180"/>
    </w:pPr>
    <w:rPr>
      <w:rFonts w:ascii="Calibri" w:eastAsia="Times New Roman" w:hAnsi="Calibri" w:cs="Times New Roman"/>
      <w:color w:val="auto"/>
      <w:lang w:val="en-US"/>
    </w:rPr>
  </w:style>
  <w:style w:type="character" w:customStyle="1" w:styleId="BulletfordiscussionpaperChar">
    <w:name w:val="Bullet for discussion paper Char"/>
    <w:basedOn w:val="DefaultParagraphFont"/>
    <w:link w:val="Bulletfordiscussionpaper"/>
    <w:rsid w:val="00337ED6"/>
    <w:rPr>
      <w:rFonts w:ascii="Calibri" w:eastAsia="Times New Roman" w:hAnsi="Calibri" w:cs="Times New Roman"/>
      <w:color w:val="auto"/>
      <w:lang w:val="en-US"/>
    </w:rPr>
  </w:style>
  <w:style w:type="paragraph" w:styleId="ListParagraph">
    <w:name w:val="List Paragraph"/>
    <w:basedOn w:val="Normal"/>
    <w:link w:val="ListParagraphChar"/>
    <w:uiPriority w:val="34"/>
    <w:qFormat/>
    <w:rsid w:val="00337ED6"/>
    <w:pPr>
      <w:ind w:left="720"/>
      <w:contextualSpacing/>
    </w:pPr>
  </w:style>
  <w:style w:type="character" w:customStyle="1" w:styleId="ListParagraphChar">
    <w:name w:val="List Paragraph Char"/>
    <w:basedOn w:val="DefaultParagraphFont"/>
    <w:link w:val="ListParagraph"/>
    <w:uiPriority w:val="34"/>
    <w:rsid w:val="001F4ECA"/>
  </w:style>
  <w:style w:type="table" w:styleId="LightList-Accent5">
    <w:name w:val="Light List Accent 5"/>
    <w:basedOn w:val="TableNormal"/>
    <w:uiPriority w:val="61"/>
    <w:rsid w:val="001F4ECA"/>
    <w:pPr>
      <w:spacing w:before="0" w:after="0"/>
    </w:pPr>
    <w:rPr>
      <w:color w:val="auto"/>
    </w:rPr>
    <w:tblPr>
      <w:tblStyleRowBandSize w:val="1"/>
      <w:tblStyleColBandSize w:val="1"/>
      <w:tblBorders>
        <w:top w:val="single" w:sz="8" w:space="0" w:color="A2DADD" w:themeColor="accent5"/>
        <w:left w:val="single" w:sz="8" w:space="0" w:color="A2DADD" w:themeColor="accent5"/>
        <w:bottom w:val="single" w:sz="8" w:space="0" w:color="A2DADD" w:themeColor="accent5"/>
        <w:right w:val="single" w:sz="8" w:space="0" w:color="A2DADD" w:themeColor="accent5"/>
      </w:tblBorders>
    </w:tblPr>
    <w:tblStylePr w:type="firstRow">
      <w:pPr>
        <w:spacing w:before="0" w:after="0" w:line="240" w:lineRule="auto"/>
      </w:pPr>
      <w:rPr>
        <w:b/>
        <w:bCs/>
        <w:color w:val="FFFFFF" w:themeColor="background1"/>
      </w:rPr>
      <w:tblPr/>
      <w:tcPr>
        <w:shd w:val="clear" w:color="auto" w:fill="A2DADD" w:themeFill="accent5"/>
      </w:tcPr>
    </w:tblStylePr>
    <w:tblStylePr w:type="lastRow">
      <w:pPr>
        <w:spacing w:before="0" w:after="0" w:line="240" w:lineRule="auto"/>
      </w:pPr>
      <w:rPr>
        <w:b/>
        <w:bCs/>
      </w:rPr>
      <w:tblPr/>
      <w:tcPr>
        <w:tcBorders>
          <w:top w:val="double" w:sz="6" w:space="0" w:color="A2DADD" w:themeColor="accent5"/>
          <w:left w:val="single" w:sz="8" w:space="0" w:color="A2DADD" w:themeColor="accent5"/>
          <w:bottom w:val="single" w:sz="8" w:space="0" w:color="A2DADD" w:themeColor="accent5"/>
          <w:right w:val="single" w:sz="8" w:space="0" w:color="A2DADD" w:themeColor="accent5"/>
        </w:tcBorders>
      </w:tcPr>
    </w:tblStylePr>
    <w:tblStylePr w:type="firstCol">
      <w:rPr>
        <w:b/>
        <w:bCs/>
      </w:rPr>
    </w:tblStylePr>
    <w:tblStylePr w:type="lastCol">
      <w:rPr>
        <w:b/>
        <w:bCs/>
      </w:rPr>
    </w:tblStylePr>
    <w:tblStylePr w:type="band1Vert">
      <w:tblPr/>
      <w:tcPr>
        <w:tcBorders>
          <w:top w:val="single" w:sz="8" w:space="0" w:color="A2DADD" w:themeColor="accent5"/>
          <w:left w:val="single" w:sz="8" w:space="0" w:color="A2DADD" w:themeColor="accent5"/>
          <w:bottom w:val="single" w:sz="8" w:space="0" w:color="A2DADD" w:themeColor="accent5"/>
          <w:right w:val="single" w:sz="8" w:space="0" w:color="A2DADD" w:themeColor="accent5"/>
        </w:tcBorders>
      </w:tcPr>
    </w:tblStylePr>
    <w:tblStylePr w:type="band1Horz">
      <w:tblPr/>
      <w:tcPr>
        <w:tcBorders>
          <w:top w:val="single" w:sz="8" w:space="0" w:color="A2DADD" w:themeColor="accent5"/>
          <w:left w:val="single" w:sz="8" w:space="0" w:color="A2DADD" w:themeColor="accent5"/>
          <w:bottom w:val="single" w:sz="8" w:space="0" w:color="A2DADD" w:themeColor="accent5"/>
          <w:right w:val="single" w:sz="8" w:space="0" w:color="A2DADD" w:themeColor="accent5"/>
        </w:tcBorders>
      </w:tcPr>
    </w:tblStylePr>
  </w:style>
  <w:style w:type="character" w:styleId="CommentReference">
    <w:name w:val="annotation reference"/>
    <w:basedOn w:val="DefaultParagraphFont"/>
    <w:uiPriority w:val="99"/>
    <w:semiHidden/>
    <w:unhideWhenUsed/>
    <w:rsid w:val="001F4ECA"/>
    <w:rPr>
      <w:sz w:val="16"/>
      <w:szCs w:val="16"/>
    </w:rPr>
  </w:style>
  <w:style w:type="paragraph" w:styleId="CommentText">
    <w:name w:val="annotation text"/>
    <w:basedOn w:val="Normal"/>
    <w:link w:val="CommentTextChar"/>
    <w:uiPriority w:val="99"/>
    <w:unhideWhenUsed/>
    <w:rsid w:val="001F4ECA"/>
    <w:pPr>
      <w:spacing w:before="40" w:after="160"/>
    </w:pPr>
    <w:rPr>
      <w:rFonts w:ascii="Arial" w:hAnsi="Arial"/>
      <w:color w:val="auto"/>
      <w:sz w:val="20"/>
      <w:szCs w:val="20"/>
    </w:rPr>
  </w:style>
  <w:style w:type="character" w:customStyle="1" w:styleId="CommentTextChar">
    <w:name w:val="Comment Text Char"/>
    <w:basedOn w:val="DefaultParagraphFont"/>
    <w:link w:val="CommentText"/>
    <w:uiPriority w:val="99"/>
    <w:rsid w:val="001F4ECA"/>
    <w:rPr>
      <w:rFonts w:ascii="Arial" w:hAnsi="Arial"/>
      <w:color w:val="auto"/>
      <w:sz w:val="20"/>
      <w:szCs w:val="20"/>
    </w:rPr>
  </w:style>
  <w:style w:type="table" w:styleId="TableGrid">
    <w:name w:val="Table Grid"/>
    <w:basedOn w:val="TableNormal"/>
    <w:uiPriority w:val="59"/>
    <w:rsid w:val="004B3C0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B1696"/>
    <w:pPr>
      <w:spacing w:before="120" w:after="120"/>
    </w:pPr>
    <w:rPr>
      <w:rFonts w:asciiTheme="minorHAnsi" w:hAnsiTheme="minorHAnsi"/>
      <w:b/>
      <w:bCs/>
      <w:color w:val="000000" w:themeColor="text1"/>
    </w:rPr>
  </w:style>
  <w:style w:type="character" w:customStyle="1" w:styleId="CommentSubjectChar">
    <w:name w:val="Comment Subject Char"/>
    <w:basedOn w:val="CommentTextChar"/>
    <w:link w:val="CommentSubject"/>
    <w:uiPriority w:val="99"/>
    <w:semiHidden/>
    <w:rsid w:val="006B1696"/>
    <w:rPr>
      <w:rFonts w:ascii="Arial" w:hAnsi="Arial"/>
      <w:b/>
      <w:bCs/>
      <w:color w:val="auto"/>
      <w:sz w:val="20"/>
      <w:szCs w:val="20"/>
    </w:rPr>
  </w:style>
  <w:style w:type="paragraph" w:styleId="FootnoteText">
    <w:name w:val="footnote text"/>
    <w:basedOn w:val="Normal"/>
    <w:link w:val="FootnoteTextChar"/>
    <w:uiPriority w:val="99"/>
    <w:semiHidden/>
    <w:unhideWhenUsed/>
    <w:rsid w:val="000D57CA"/>
    <w:pPr>
      <w:spacing w:before="0" w:after="0"/>
    </w:pPr>
    <w:rPr>
      <w:sz w:val="20"/>
      <w:szCs w:val="20"/>
    </w:rPr>
  </w:style>
  <w:style w:type="character" w:customStyle="1" w:styleId="FootnoteTextChar">
    <w:name w:val="Footnote Text Char"/>
    <w:basedOn w:val="DefaultParagraphFont"/>
    <w:link w:val="FootnoteText"/>
    <w:uiPriority w:val="99"/>
    <w:semiHidden/>
    <w:rsid w:val="000D57CA"/>
    <w:rPr>
      <w:sz w:val="20"/>
      <w:szCs w:val="20"/>
    </w:rPr>
  </w:style>
  <w:style w:type="character" w:styleId="FootnoteReference">
    <w:name w:val="footnote reference"/>
    <w:basedOn w:val="DefaultParagraphFont"/>
    <w:uiPriority w:val="99"/>
    <w:semiHidden/>
    <w:unhideWhenUsed/>
    <w:rsid w:val="000D57CA"/>
    <w:rPr>
      <w:vertAlign w:val="superscript"/>
    </w:rPr>
  </w:style>
  <w:style w:type="character" w:styleId="Hyperlink">
    <w:name w:val="Hyperlink"/>
    <w:basedOn w:val="DefaultParagraphFont"/>
    <w:uiPriority w:val="99"/>
    <w:unhideWhenUsed/>
    <w:rsid w:val="009456BD"/>
    <w:rPr>
      <w:color w:val="00847E" w:themeColor="hyperlink"/>
      <w:u w:val="single"/>
    </w:rPr>
  </w:style>
  <w:style w:type="character" w:styleId="FollowedHyperlink">
    <w:name w:val="FollowedHyperlink"/>
    <w:basedOn w:val="DefaultParagraphFont"/>
    <w:uiPriority w:val="99"/>
    <w:semiHidden/>
    <w:unhideWhenUsed/>
    <w:rsid w:val="009456BD"/>
    <w:rPr>
      <w:color w:val="00847E" w:themeColor="followedHyperlink"/>
      <w:u w:val="single"/>
    </w:rPr>
  </w:style>
  <w:style w:type="paragraph" w:styleId="NormalWeb">
    <w:name w:val="Normal (Web)"/>
    <w:basedOn w:val="Normal"/>
    <w:uiPriority w:val="99"/>
    <w:semiHidden/>
    <w:unhideWhenUsed/>
    <w:rsid w:val="00FA33A5"/>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Normal1">
    <w:name w:val="Normal1"/>
    <w:basedOn w:val="Normal"/>
    <w:rsid w:val="00540C97"/>
    <w:pPr>
      <w:spacing w:before="0" w:after="0" w:line="276" w:lineRule="auto"/>
    </w:pPr>
    <w:rPr>
      <w:rFonts w:ascii="Arial" w:hAnsi="Arial" w:cs="Arial"/>
      <w:color w:val="000000"/>
    </w:rPr>
  </w:style>
  <w:style w:type="character" w:styleId="UnresolvedMention">
    <w:name w:val="Unresolved Mention"/>
    <w:basedOn w:val="DefaultParagraphFont"/>
    <w:uiPriority w:val="99"/>
    <w:semiHidden/>
    <w:unhideWhenUsed/>
    <w:rsid w:val="00510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17838">
      <w:bodyDiv w:val="1"/>
      <w:marLeft w:val="0"/>
      <w:marRight w:val="0"/>
      <w:marTop w:val="0"/>
      <w:marBottom w:val="0"/>
      <w:divBdr>
        <w:top w:val="none" w:sz="0" w:space="0" w:color="auto"/>
        <w:left w:val="none" w:sz="0" w:space="0" w:color="auto"/>
        <w:bottom w:val="none" w:sz="0" w:space="0" w:color="auto"/>
        <w:right w:val="none" w:sz="0" w:space="0" w:color="auto"/>
      </w:divBdr>
    </w:div>
    <w:div w:id="173419039">
      <w:bodyDiv w:val="1"/>
      <w:marLeft w:val="0"/>
      <w:marRight w:val="0"/>
      <w:marTop w:val="0"/>
      <w:marBottom w:val="0"/>
      <w:divBdr>
        <w:top w:val="none" w:sz="0" w:space="0" w:color="auto"/>
        <w:left w:val="none" w:sz="0" w:space="0" w:color="auto"/>
        <w:bottom w:val="none" w:sz="0" w:space="0" w:color="auto"/>
        <w:right w:val="none" w:sz="0" w:space="0" w:color="auto"/>
      </w:divBdr>
    </w:div>
    <w:div w:id="210459707">
      <w:bodyDiv w:val="1"/>
      <w:marLeft w:val="0"/>
      <w:marRight w:val="0"/>
      <w:marTop w:val="0"/>
      <w:marBottom w:val="0"/>
      <w:divBdr>
        <w:top w:val="none" w:sz="0" w:space="0" w:color="auto"/>
        <w:left w:val="none" w:sz="0" w:space="0" w:color="auto"/>
        <w:bottom w:val="none" w:sz="0" w:space="0" w:color="auto"/>
        <w:right w:val="none" w:sz="0" w:space="0" w:color="auto"/>
      </w:divBdr>
    </w:div>
    <w:div w:id="359088755">
      <w:bodyDiv w:val="1"/>
      <w:marLeft w:val="0"/>
      <w:marRight w:val="0"/>
      <w:marTop w:val="0"/>
      <w:marBottom w:val="0"/>
      <w:divBdr>
        <w:top w:val="none" w:sz="0" w:space="0" w:color="auto"/>
        <w:left w:val="none" w:sz="0" w:space="0" w:color="auto"/>
        <w:bottom w:val="none" w:sz="0" w:space="0" w:color="auto"/>
        <w:right w:val="none" w:sz="0" w:space="0" w:color="auto"/>
      </w:divBdr>
    </w:div>
    <w:div w:id="460539049">
      <w:bodyDiv w:val="1"/>
      <w:marLeft w:val="0"/>
      <w:marRight w:val="0"/>
      <w:marTop w:val="0"/>
      <w:marBottom w:val="0"/>
      <w:divBdr>
        <w:top w:val="none" w:sz="0" w:space="0" w:color="auto"/>
        <w:left w:val="none" w:sz="0" w:space="0" w:color="auto"/>
        <w:bottom w:val="none" w:sz="0" w:space="0" w:color="auto"/>
        <w:right w:val="none" w:sz="0" w:space="0" w:color="auto"/>
      </w:divBdr>
    </w:div>
    <w:div w:id="509219899">
      <w:bodyDiv w:val="1"/>
      <w:marLeft w:val="0"/>
      <w:marRight w:val="0"/>
      <w:marTop w:val="0"/>
      <w:marBottom w:val="0"/>
      <w:divBdr>
        <w:top w:val="none" w:sz="0" w:space="0" w:color="auto"/>
        <w:left w:val="none" w:sz="0" w:space="0" w:color="auto"/>
        <w:bottom w:val="none" w:sz="0" w:space="0" w:color="auto"/>
        <w:right w:val="none" w:sz="0" w:space="0" w:color="auto"/>
      </w:divBdr>
    </w:div>
    <w:div w:id="564340584">
      <w:bodyDiv w:val="1"/>
      <w:marLeft w:val="0"/>
      <w:marRight w:val="0"/>
      <w:marTop w:val="0"/>
      <w:marBottom w:val="0"/>
      <w:divBdr>
        <w:top w:val="none" w:sz="0" w:space="0" w:color="auto"/>
        <w:left w:val="none" w:sz="0" w:space="0" w:color="auto"/>
        <w:bottom w:val="none" w:sz="0" w:space="0" w:color="auto"/>
        <w:right w:val="none" w:sz="0" w:space="0" w:color="auto"/>
      </w:divBdr>
      <w:divsChild>
        <w:div w:id="1461339105">
          <w:marLeft w:val="0"/>
          <w:marRight w:val="0"/>
          <w:marTop w:val="0"/>
          <w:marBottom w:val="100"/>
          <w:divBdr>
            <w:top w:val="none" w:sz="0" w:space="0" w:color="auto"/>
            <w:left w:val="none" w:sz="0" w:space="0" w:color="auto"/>
            <w:bottom w:val="none" w:sz="0" w:space="0" w:color="auto"/>
            <w:right w:val="none" w:sz="0" w:space="0" w:color="auto"/>
          </w:divBdr>
          <w:divsChild>
            <w:div w:id="1472941043">
              <w:marLeft w:val="0"/>
              <w:marRight w:val="0"/>
              <w:marTop w:val="0"/>
              <w:marBottom w:val="0"/>
              <w:divBdr>
                <w:top w:val="none" w:sz="0" w:space="0" w:color="auto"/>
                <w:left w:val="none" w:sz="0" w:space="0" w:color="auto"/>
                <w:bottom w:val="none" w:sz="0" w:space="0" w:color="auto"/>
                <w:right w:val="none" w:sz="0" w:space="0" w:color="auto"/>
              </w:divBdr>
              <w:divsChild>
                <w:div w:id="488864822">
                  <w:marLeft w:val="0"/>
                  <w:marRight w:val="0"/>
                  <w:marTop w:val="0"/>
                  <w:marBottom w:val="0"/>
                  <w:divBdr>
                    <w:top w:val="none" w:sz="0" w:space="0" w:color="auto"/>
                    <w:left w:val="none" w:sz="0" w:space="0" w:color="auto"/>
                    <w:bottom w:val="none" w:sz="0" w:space="0" w:color="auto"/>
                    <w:right w:val="none" w:sz="0" w:space="0" w:color="auto"/>
                  </w:divBdr>
                  <w:divsChild>
                    <w:div w:id="1439763224">
                      <w:marLeft w:val="0"/>
                      <w:marRight w:val="0"/>
                      <w:marTop w:val="0"/>
                      <w:marBottom w:val="0"/>
                      <w:divBdr>
                        <w:top w:val="none" w:sz="0" w:space="0" w:color="auto"/>
                        <w:left w:val="none" w:sz="0" w:space="0" w:color="auto"/>
                        <w:bottom w:val="none" w:sz="0" w:space="0" w:color="auto"/>
                        <w:right w:val="none" w:sz="0" w:space="0" w:color="auto"/>
                      </w:divBdr>
                      <w:divsChild>
                        <w:div w:id="412121822">
                          <w:marLeft w:val="0"/>
                          <w:marRight w:val="0"/>
                          <w:marTop w:val="0"/>
                          <w:marBottom w:val="0"/>
                          <w:divBdr>
                            <w:top w:val="none" w:sz="0" w:space="0" w:color="auto"/>
                            <w:left w:val="none" w:sz="0" w:space="0" w:color="auto"/>
                            <w:bottom w:val="none" w:sz="0" w:space="0" w:color="auto"/>
                            <w:right w:val="none" w:sz="0" w:space="0" w:color="auto"/>
                          </w:divBdr>
                          <w:divsChild>
                            <w:div w:id="441068868">
                              <w:marLeft w:val="0"/>
                              <w:marRight w:val="0"/>
                              <w:marTop w:val="168"/>
                              <w:marBottom w:val="168"/>
                              <w:divBdr>
                                <w:top w:val="none" w:sz="0" w:space="0" w:color="auto"/>
                                <w:left w:val="none" w:sz="0" w:space="0" w:color="auto"/>
                                <w:bottom w:val="none" w:sz="0" w:space="0" w:color="auto"/>
                                <w:right w:val="none" w:sz="0" w:space="0" w:color="auto"/>
                              </w:divBdr>
                              <w:divsChild>
                                <w:div w:id="736825593">
                                  <w:marLeft w:val="0"/>
                                  <w:marRight w:val="0"/>
                                  <w:marTop w:val="0"/>
                                  <w:marBottom w:val="0"/>
                                  <w:divBdr>
                                    <w:top w:val="none" w:sz="0" w:space="0" w:color="auto"/>
                                    <w:left w:val="none" w:sz="0" w:space="0" w:color="auto"/>
                                    <w:bottom w:val="none" w:sz="0" w:space="0" w:color="auto"/>
                                    <w:right w:val="none" w:sz="0" w:space="0" w:color="auto"/>
                                  </w:divBdr>
                                  <w:divsChild>
                                    <w:div w:id="5780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335640">
      <w:bodyDiv w:val="1"/>
      <w:marLeft w:val="0"/>
      <w:marRight w:val="0"/>
      <w:marTop w:val="0"/>
      <w:marBottom w:val="0"/>
      <w:divBdr>
        <w:top w:val="none" w:sz="0" w:space="0" w:color="auto"/>
        <w:left w:val="none" w:sz="0" w:space="0" w:color="auto"/>
        <w:bottom w:val="none" w:sz="0" w:space="0" w:color="auto"/>
        <w:right w:val="none" w:sz="0" w:space="0" w:color="auto"/>
      </w:divBdr>
    </w:div>
    <w:div w:id="938607890">
      <w:bodyDiv w:val="1"/>
      <w:marLeft w:val="0"/>
      <w:marRight w:val="0"/>
      <w:marTop w:val="0"/>
      <w:marBottom w:val="0"/>
      <w:divBdr>
        <w:top w:val="none" w:sz="0" w:space="0" w:color="auto"/>
        <w:left w:val="none" w:sz="0" w:space="0" w:color="auto"/>
        <w:bottom w:val="none" w:sz="0" w:space="0" w:color="auto"/>
        <w:right w:val="none" w:sz="0" w:space="0" w:color="auto"/>
      </w:divBdr>
    </w:div>
    <w:div w:id="968241265">
      <w:bodyDiv w:val="1"/>
      <w:marLeft w:val="0"/>
      <w:marRight w:val="0"/>
      <w:marTop w:val="0"/>
      <w:marBottom w:val="0"/>
      <w:divBdr>
        <w:top w:val="none" w:sz="0" w:space="0" w:color="auto"/>
        <w:left w:val="none" w:sz="0" w:space="0" w:color="auto"/>
        <w:bottom w:val="none" w:sz="0" w:space="0" w:color="auto"/>
        <w:right w:val="none" w:sz="0" w:space="0" w:color="auto"/>
      </w:divBdr>
    </w:div>
    <w:div w:id="1008945535">
      <w:bodyDiv w:val="1"/>
      <w:marLeft w:val="0"/>
      <w:marRight w:val="0"/>
      <w:marTop w:val="0"/>
      <w:marBottom w:val="0"/>
      <w:divBdr>
        <w:top w:val="none" w:sz="0" w:space="0" w:color="auto"/>
        <w:left w:val="none" w:sz="0" w:space="0" w:color="auto"/>
        <w:bottom w:val="none" w:sz="0" w:space="0" w:color="auto"/>
        <w:right w:val="none" w:sz="0" w:space="0" w:color="auto"/>
      </w:divBdr>
    </w:div>
    <w:div w:id="1025786815">
      <w:bodyDiv w:val="1"/>
      <w:marLeft w:val="0"/>
      <w:marRight w:val="0"/>
      <w:marTop w:val="0"/>
      <w:marBottom w:val="0"/>
      <w:divBdr>
        <w:top w:val="none" w:sz="0" w:space="0" w:color="auto"/>
        <w:left w:val="none" w:sz="0" w:space="0" w:color="auto"/>
        <w:bottom w:val="none" w:sz="0" w:space="0" w:color="auto"/>
        <w:right w:val="none" w:sz="0" w:space="0" w:color="auto"/>
      </w:divBdr>
    </w:div>
    <w:div w:id="1039428104">
      <w:bodyDiv w:val="1"/>
      <w:marLeft w:val="0"/>
      <w:marRight w:val="0"/>
      <w:marTop w:val="0"/>
      <w:marBottom w:val="0"/>
      <w:divBdr>
        <w:top w:val="none" w:sz="0" w:space="0" w:color="auto"/>
        <w:left w:val="none" w:sz="0" w:space="0" w:color="auto"/>
        <w:bottom w:val="none" w:sz="0" w:space="0" w:color="auto"/>
        <w:right w:val="none" w:sz="0" w:space="0" w:color="auto"/>
      </w:divBdr>
    </w:div>
    <w:div w:id="1168210635">
      <w:bodyDiv w:val="1"/>
      <w:marLeft w:val="0"/>
      <w:marRight w:val="0"/>
      <w:marTop w:val="0"/>
      <w:marBottom w:val="0"/>
      <w:divBdr>
        <w:top w:val="none" w:sz="0" w:space="0" w:color="auto"/>
        <w:left w:val="none" w:sz="0" w:space="0" w:color="auto"/>
        <w:bottom w:val="none" w:sz="0" w:space="0" w:color="auto"/>
        <w:right w:val="none" w:sz="0" w:space="0" w:color="auto"/>
      </w:divBdr>
    </w:div>
    <w:div w:id="1203439549">
      <w:bodyDiv w:val="1"/>
      <w:marLeft w:val="0"/>
      <w:marRight w:val="0"/>
      <w:marTop w:val="0"/>
      <w:marBottom w:val="0"/>
      <w:divBdr>
        <w:top w:val="none" w:sz="0" w:space="0" w:color="auto"/>
        <w:left w:val="none" w:sz="0" w:space="0" w:color="auto"/>
        <w:bottom w:val="none" w:sz="0" w:space="0" w:color="auto"/>
        <w:right w:val="none" w:sz="0" w:space="0" w:color="auto"/>
      </w:divBdr>
    </w:div>
    <w:div w:id="1302347851">
      <w:bodyDiv w:val="1"/>
      <w:marLeft w:val="0"/>
      <w:marRight w:val="0"/>
      <w:marTop w:val="0"/>
      <w:marBottom w:val="0"/>
      <w:divBdr>
        <w:top w:val="none" w:sz="0" w:space="0" w:color="auto"/>
        <w:left w:val="none" w:sz="0" w:space="0" w:color="auto"/>
        <w:bottom w:val="none" w:sz="0" w:space="0" w:color="auto"/>
        <w:right w:val="none" w:sz="0" w:space="0" w:color="auto"/>
      </w:divBdr>
    </w:div>
    <w:div w:id="1330017680">
      <w:bodyDiv w:val="1"/>
      <w:marLeft w:val="0"/>
      <w:marRight w:val="0"/>
      <w:marTop w:val="0"/>
      <w:marBottom w:val="0"/>
      <w:divBdr>
        <w:top w:val="none" w:sz="0" w:space="0" w:color="auto"/>
        <w:left w:val="none" w:sz="0" w:space="0" w:color="auto"/>
        <w:bottom w:val="none" w:sz="0" w:space="0" w:color="auto"/>
        <w:right w:val="none" w:sz="0" w:space="0" w:color="auto"/>
      </w:divBdr>
    </w:div>
    <w:div w:id="1394280545">
      <w:bodyDiv w:val="1"/>
      <w:marLeft w:val="0"/>
      <w:marRight w:val="0"/>
      <w:marTop w:val="0"/>
      <w:marBottom w:val="0"/>
      <w:divBdr>
        <w:top w:val="none" w:sz="0" w:space="0" w:color="auto"/>
        <w:left w:val="none" w:sz="0" w:space="0" w:color="auto"/>
        <w:bottom w:val="none" w:sz="0" w:space="0" w:color="auto"/>
        <w:right w:val="none" w:sz="0" w:space="0" w:color="auto"/>
      </w:divBdr>
      <w:divsChild>
        <w:div w:id="205215682">
          <w:marLeft w:val="446"/>
          <w:marRight w:val="0"/>
          <w:marTop w:val="120"/>
          <w:marBottom w:val="0"/>
          <w:divBdr>
            <w:top w:val="none" w:sz="0" w:space="0" w:color="auto"/>
            <w:left w:val="none" w:sz="0" w:space="0" w:color="auto"/>
            <w:bottom w:val="none" w:sz="0" w:space="0" w:color="auto"/>
            <w:right w:val="none" w:sz="0" w:space="0" w:color="auto"/>
          </w:divBdr>
        </w:div>
        <w:div w:id="900821879">
          <w:marLeft w:val="446"/>
          <w:marRight w:val="0"/>
          <w:marTop w:val="120"/>
          <w:marBottom w:val="0"/>
          <w:divBdr>
            <w:top w:val="none" w:sz="0" w:space="0" w:color="auto"/>
            <w:left w:val="none" w:sz="0" w:space="0" w:color="auto"/>
            <w:bottom w:val="none" w:sz="0" w:space="0" w:color="auto"/>
            <w:right w:val="none" w:sz="0" w:space="0" w:color="auto"/>
          </w:divBdr>
        </w:div>
        <w:div w:id="1281381025">
          <w:marLeft w:val="446"/>
          <w:marRight w:val="0"/>
          <w:marTop w:val="120"/>
          <w:marBottom w:val="0"/>
          <w:divBdr>
            <w:top w:val="none" w:sz="0" w:space="0" w:color="auto"/>
            <w:left w:val="none" w:sz="0" w:space="0" w:color="auto"/>
            <w:bottom w:val="none" w:sz="0" w:space="0" w:color="auto"/>
            <w:right w:val="none" w:sz="0" w:space="0" w:color="auto"/>
          </w:divBdr>
        </w:div>
        <w:div w:id="1330255092">
          <w:marLeft w:val="446"/>
          <w:marRight w:val="0"/>
          <w:marTop w:val="120"/>
          <w:marBottom w:val="0"/>
          <w:divBdr>
            <w:top w:val="none" w:sz="0" w:space="0" w:color="auto"/>
            <w:left w:val="none" w:sz="0" w:space="0" w:color="auto"/>
            <w:bottom w:val="none" w:sz="0" w:space="0" w:color="auto"/>
            <w:right w:val="none" w:sz="0" w:space="0" w:color="auto"/>
          </w:divBdr>
        </w:div>
      </w:divsChild>
    </w:div>
    <w:div w:id="1408454673">
      <w:bodyDiv w:val="1"/>
      <w:marLeft w:val="0"/>
      <w:marRight w:val="0"/>
      <w:marTop w:val="0"/>
      <w:marBottom w:val="0"/>
      <w:divBdr>
        <w:top w:val="none" w:sz="0" w:space="0" w:color="auto"/>
        <w:left w:val="none" w:sz="0" w:space="0" w:color="auto"/>
        <w:bottom w:val="none" w:sz="0" w:space="0" w:color="auto"/>
        <w:right w:val="none" w:sz="0" w:space="0" w:color="auto"/>
      </w:divBdr>
    </w:div>
    <w:div w:id="1416046739">
      <w:bodyDiv w:val="1"/>
      <w:marLeft w:val="0"/>
      <w:marRight w:val="0"/>
      <w:marTop w:val="0"/>
      <w:marBottom w:val="0"/>
      <w:divBdr>
        <w:top w:val="none" w:sz="0" w:space="0" w:color="auto"/>
        <w:left w:val="none" w:sz="0" w:space="0" w:color="auto"/>
        <w:bottom w:val="none" w:sz="0" w:space="0" w:color="auto"/>
        <w:right w:val="none" w:sz="0" w:space="0" w:color="auto"/>
      </w:divBdr>
    </w:div>
    <w:div w:id="1446728327">
      <w:bodyDiv w:val="1"/>
      <w:marLeft w:val="0"/>
      <w:marRight w:val="0"/>
      <w:marTop w:val="0"/>
      <w:marBottom w:val="0"/>
      <w:divBdr>
        <w:top w:val="none" w:sz="0" w:space="0" w:color="auto"/>
        <w:left w:val="none" w:sz="0" w:space="0" w:color="auto"/>
        <w:bottom w:val="none" w:sz="0" w:space="0" w:color="auto"/>
        <w:right w:val="none" w:sz="0" w:space="0" w:color="auto"/>
      </w:divBdr>
    </w:div>
    <w:div w:id="1513757424">
      <w:bodyDiv w:val="1"/>
      <w:marLeft w:val="0"/>
      <w:marRight w:val="0"/>
      <w:marTop w:val="0"/>
      <w:marBottom w:val="0"/>
      <w:divBdr>
        <w:top w:val="none" w:sz="0" w:space="0" w:color="auto"/>
        <w:left w:val="none" w:sz="0" w:space="0" w:color="auto"/>
        <w:bottom w:val="none" w:sz="0" w:space="0" w:color="auto"/>
        <w:right w:val="none" w:sz="0" w:space="0" w:color="auto"/>
      </w:divBdr>
    </w:div>
    <w:div w:id="1652978140">
      <w:bodyDiv w:val="1"/>
      <w:marLeft w:val="0"/>
      <w:marRight w:val="0"/>
      <w:marTop w:val="0"/>
      <w:marBottom w:val="0"/>
      <w:divBdr>
        <w:top w:val="none" w:sz="0" w:space="0" w:color="auto"/>
        <w:left w:val="none" w:sz="0" w:space="0" w:color="auto"/>
        <w:bottom w:val="none" w:sz="0" w:space="0" w:color="auto"/>
        <w:right w:val="none" w:sz="0" w:space="0" w:color="auto"/>
      </w:divBdr>
      <w:divsChild>
        <w:div w:id="1728070470">
          <w:marLeft w:val="0"/>
          <w:marRight w:val="0"/>
          <w:marTop w:val="0"/>
          <w:marBottom w:val="100"/>
          <w:divBdr>
            <w:top w:val="none" w:sz="0" w:space="0" w:color="auto"/>
            <w:left w:val="none" w:sz="0" w:space="0" w:color="auto"/>
            <w:bottom w:val="none" w:sz="0" w:space="0" w:color="auto"/>
            <w:right w:val="none" w:sz="0" w:space="0" w:color="auto"/>
          </w:divBdr>
          <w:divsChild>
            <w:div w:id="49043905">
              <w:marLeft w:val="0"/>
              <w:marRight w:val="0"/>
              <w:marTop w:val="0"/>
              <w:marBottom w:val="0"/>
              <w:divBdr>
                <w:top w:val="none" w:sz="0" w:space="0" w:color="auto"/>
                <w:left w:val="none" w:sz="0" w:space="0" w:color="auto"/>
                <w:bottom w:val="none" w:sz="0" w:space="0" w:color="auto"/>
                <w:right w:val="none" w:sz="0" w:space="0" w:color="auto"/>
              </w:divBdr>
              <w:divsChild>
                <w:div w:id="548883284">
                  <w:marLeft w:val="0"/>
                  <w:marRight w:val="0"/>
                  <w:marTop w:val="0"/>
                  <w:marBottom w:val="0"/>
                  <w:divBdr>
                    <w:top w:val="none" w:sz="0" w:space="0" w:color="auto"/>
                    <w:left w:val="none" w:sz="0" w:space="0" w:color="auto"/>
                    <w:bottom w:val="none" w:sz="0" w:space="0" w:color="auto"/>
                    <w:right w:val="none" w:sz="0" w:space="0" w:color="auto"/>
                  </w:divBdr>
                  <w:divsChild>
                    <w:div w:id="666634205">
                      <w:marLeft w:val="0"/>
                      <w:marRight w:val="0"/>
                      <w:marTop w:val="0"/>
                      <w:marBottom w:val="0"/>
                      <w:divBdr>
                        <w:top w:val="none" w:sz="0" w:space="0" w:color="auto"/>
                        <w:left w:val="none" w:sz="0" w:space="0" w:color="auto"/>
                        <w:bottom w:val="none" w:sz="0" w:space="0" w:color="auto"/>
                        <w:right w:val="none" w:sz="0" w:space="0" w:color="auto"/>
                      </w:divBdr>
                      <w:divsChild>
                        <w:div w:id="976256804">
                          <w:marLeft w:val="0"/>
                          <w:marRight w:val="0"/>
                          <w:marTop w:val="0"/>
                          <w:marBottom w:val="0"/>
                          <w:divBdr>
                            <w:top w:val="none" w:sz="0" w:space="0" w:color="auto"/>
                            <w:left w:val="none" w:sz="0" w:space="0" w:color="auto"/>
                            <w:bottom w:val="none" w:sz="0" w:space="0" w:color="auto"/>
                            <w:right w:val="none" w:sz="0" w:space="0" w:color="auto"/>
                          </w:divBdr>
                          <w:divsChild>
                            <w:div w:id="265961942">
                              <w:marLeft w:val="0"/>
                              <w:marRight w:val="0"/>
                              <w:marTop w:val="168"/>
                              <w:marBottom w:val="168"/>
                              <w:divBdr>
                                <w:top w:val="none" w:sz="0" w:space="0" w:color="auto"/>
                                <w:left w:val="none" w:sz="0" w:space="0" w:color="auto"/>
                                <w:bottom w:val="none" w:sz="0" w:space="0" w:color="auto"/>
                                <w:right w:val="none" w:sz="0" w:space="0" w:color="auto"/>
                              </w:divBdr>
                              <w:divsChild>
                                <w:div w:id="1032072035">
                                  <w:marLeft w:val="0"/>
                                  <w:marRight w:val="0"/>
                                  <w:marTop w:val="0"/>
                                  <w:marBottom w:val="0"/>
                                  <w:divBdr>
                                    <w:top w:val="none" w:sz="0" w:space="0" w:color="auto"/>
                                    <w:left w:val="none" w:sz="0" w:space="0" w:color="auto"/>
                                    <w:bottom w:val="none" w:sz="0" w:space="0" w:color="auto"/>
                                    <w:right w:val="none" w:sz="0" w:space="0" w:color="auto"/>
                                  </w:divBdr>
                                  <w:divsChild>
                                    <w:div w:id="13066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505787">
      <w:bodyDiv w:val="1"/>
      <w:marLeft w:val="0"/>
      <w:marRight w:val="0"/>
      <w:marTop w:val="0"/>
      <w:marBottom w:val="0"/>
      <w:divBdr>
        <w:top w:val="none" w:sz="0" w:space="0" w:color="auto"/>
        <w:left w:val="none" w:sz="0" w:space="0" w:color="auto"/>
        <w:bottom w:val="none" w:sz="0" w:space="0" w:color="auto"/>
        <w:right w:val="none" w:sz="0" w:space="0" w:color="auto"/>
      </w:divBdr>
    </w:div>
    <w:div w:id="2022853856">
      <w:bodyDiv w:val="1"/>
      <w:marLeft w:val="0"/>
      <w:marRight w:val="0"/>
      <w:marTop w:val="0"/>
      <w:marBottom w:val="0"/>
      <w:divBdr>
        <w:top w:val="none" w:sz="0" w:space="0" w:color="auto"/>
        <w:left w:val="none" w:sz="0" w:space="0" w:color="auto"/>
        <w:bottom w:val="none" w:sz="0" w:space="0" w:color="auto"/>
        <w:right w:val="none" w:sz="0" w:space="0" w:color="auto"/>
      </w:divBdr>
    </w:div>
    <w:div w:id="2036156479">
      <w:bodyDiv w:val="1"/>
      <w:marLeft w:val="0"/>
      <w:marRight w:val="0"/>
      <w:marTop w:val="0"/>
      <w:marBottom w:val="0"/>
      <w:divBdr>
        <w:top w:val="none" w:sz="0" w:space="0" w:color="auto"/>
        <w:left w:val="none" w:sz="0" w:space="0" w:color="auto"/>
        <w:bottom w:val="none" w:sz="0" w:space="0" w:color="auto"/>
        <w:right w:val="none" w:sz="0" w:space="0" w:color="auto"/>
      </w:divBdr>
    </w:div>
    <w:div w:id="2062947456">
      <w:bodyDiv w:val="1"/>
      <w:marLeft w:val="0"/>
      <w:marRight w:val="0"/>
      <w:marTop w:val="0"/>
      <w:marBottom w:val="0"/>
      <w:divBdr>
        <w:top w:val="none" w:sz="0" w:space="0" w:color="auto"/>
        <w:left w:val="none" w:sz="0" w:space="0" w:color="auto"/>
        <w:bottom w:val="none" w:sz="0" w:space="0" w:color="auto"/>
        <w:right w:val="none" w:sz="0" w:space="0" w:color="auto"/>
      </w:divBdr>
    </w:div>
    <w:div w:id="214735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iesaustralia.edu.au/publication/principles-and-protocols-for-reducing-the-potential-risk-of-covid-19-transmission-at-universities/" TargetMode="External"/><Relationship Id="rId18" Type="http://schemas.openxmlformats.org/officeDocument/2006/relationships/hyperlink" Target="https://www.teqsa.gov.au/teqsa-a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eqsa.gov.au/latest-news/publications/online-delivery-key-considerations-providers" TargetMode="External"/><Relationship Id="rId7" Type="http://schemas.openxmlformats.org/officeDocument/2006/relationships/settings" Target="settings.xml"/><Relationship Id="rId12" Type="http://schemas.openxmlformats.org/officeDocument/2006/relationships/hyperlink" Target="https://www.safeworkaustralia.gov.au/covid-19-information-workplaces/industry-information/tertiary-education" TargetMode="External"/><Relationship Id="rId17" Type="http://schemas.openxmlformats.org/officeDocument/2006/relationships/hyperlink" Target="https://www.teqsa.gov.au/guidance-not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eqsa.gov.au/contextual-overview-hes-framework-2015" TargetMode="External"/><Relationship Id="rId20" Type="http://schemas.openxmlformats.org/officeDocument/2006/relationships/hyperlink" Target="https://www.teqsa.gov.au/latest-news/publications/material-change-notification-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3-step-framework-for-a-covidsafe-australi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eqsa.gov.au/national-code-practic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eqsa.gov.au/national-code-prac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qsa.gov.au/reducing-regulatory-burden-during-covid-19-important-update-teqsa"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ac4e8-3feb-44f4-96ca-b86e7c14d0f6"/>
    <DocumentOwner xmlns="c7dac4e8-3feb-44f4-96ca-b86e7c14d0f6">
      <UserInfo>
        <DisplayName/>
        <AccountId/>
        <AccountType/>
      </UserInfo>
    </DocumentOwner>
    <DatePublished xmlns="c7dac4e8-3feb-44f4-96ca-b86e7c14d0f6"/>
    <FormOrTemplate xmlns="c7dac4e8-3feb-44f4-96ca-b86e7c14d0f6"/>
    <e6aacab2b3734039bc8633068afcfbf5 xmlns="c7dac4e8-3feb-44f4-96ca-b86e7c14d0f6">
      <Terms xmlns="http://schemas.microsoft.com/office/infopath/2007/PartnerControls"/>
    </e6aacab2b3734039bc8633068afcfbf5>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E1C12-8773-409A-B29D-4FC4E6BF5F01}">
  <ds:schemaRefs>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c7dac4e8-3feb-44f4-96ca-b86e7c14d0f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E18FC99-D5D4-4C00-AC35-C907800A5627}">
  <ds:schemaRefs>
    <ds:schemaRef ds:uri="http://schemas.openxmlformats.org/officeDocument/2006/bibliography"/>
  </ds:schemaRefs>
</ds:datastoreItem>
</file>

<file path=customXml/itemProps3.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Memo Template</vt:lpstr>
    </vt:vector>
  </TitlesOfParts>
  <Company>Tertiary Education Quality and Standards Agency</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recovery – key considerations for providers</dc:title>
  <dc:subject/>
  <dc:creator>May, Raphael</dc:creator>
  <cp:keywords/>
  <cp:lastModifiedBy>Hewitt-McManus, Tom</cp:lastModifiedBy>
  <cp:revision>2</cp:revision>
  <cp:lastPrinted>2018-01-18T03:52:00Z</cp:lastPrinted>
  <dcterms:created xsi:type="dcterms:W3CDTF">2021-09-03T05:57:00Z</dcterms:created>
  <dcterms:modified xsi:type="dcterms:W3CDTF">2021-09-03T05:57:00Z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y fmtid="{D5CDD505-2E9C-101B-9397-08002B2CF9AE}" pid="4" name="TitusGUID">
    <vt:lpwstr>91dd2f38-523f-4e7c-8702-c287128b12e3</vt:lpwstr>
  </property>
</Properties>
</file>