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D9260" w14:textId="77777777" w:rsidR="00DC0C1C" w:rsidRPr="003160FA" w:rsidRDefault="00DC0C1C" w:rsidP="00DC0C1C">
      <w:pPr>
        <w:pStyle w:val="Heading1"/>
        <w:spacing w:before="240" w:after="480"/>
        <w:rPr>
          <w:lang w:eastAsia="en-AU"/>
        </w:rPr>
      </w:pPr>
      <w:r>
        <w:rPr>
          <w:lang w:eastAsia="en-AU"/>
        </w:rPr>
        <w:t>Policy on Core Plus model for regulatory assessments</w:t>
      </w:r>
    </w:p>
    <w:p w14:paraId="0F3555C7" w14:textId="0CA9ACF2" w:rsidR="00DC0C1C" w:rsidRPr="004B1915" w:rsidRDefault="00DC0C1C" w:rsidP="00DC0C1C">
      <w:pPr>
        <w:pStyle w:val="Heading2"/>
      </w:pPr>
      <w:r w:rsidRPr="004B1915">
        <w:t>Purpose</w:t>
      </w:r>
      <w:r>
        <w:t xml:space="preserve"> and </w:t>
      </w:r>
      <w:r w:rsidR="00EC3103">
        <w:t>s</w:t>
      </w:r>
      <w:r>
        <w:t>cope</w:t>
      </w:r>
    </w:p>
    <w:p w14:paraId="0C287229" w14:textId="2A9BA310" w:rsidR="00DC0C1C" w:rsidRPr="004B1915" w:rsidRDefault="00DC0C1C" w:rsidP="00DC0C1C">
      <w:r>
        <w:t xml:space="preserve">This policy explains TEQSA’s approach to pre-submission scoping for the selection of Standards under the </w:t>
      </w:r>
      <w:r w:rsidRPr="00514846">
        <w:rPr>
          <w:i/>
        </w:rPr>
        <w:t>Higher Education Standards Framework (Threshold Standards) 20</w:t>
      </w:r>
      <w:r>
        <w:rPr>
          <w:i/>
        </w:rPr>
        <w:t>21</w:t>
      </w:r>
      <w:r>
        <w:t xml:space="preserve"> (HES Framework) and the evidence requirements to support the application. It applies to assessments of applications submitted by registered providers for renewal of provider registration, course accreditation, and renewal of course accreditation.</w:t>
      </w:r>
      <w:r w:rsidRPr="005769A5">
        <w:t xml:space="preserve"> </w:t>
      </w:r>
      <w:r>
        <w:t xml:space="preserve">It does not apply to applications from prospective providers for initial registration (refer to TEQSA’s </w:t>
      </w:r>
      <w:hyperlink r:id="rId10" w:history="1">
        <w:r w:rsidRPr="007E58D5">
          <w:rPr>
            <w:rStyle w:val="Hyperlink"/>
          </w:rPr>
          <w:t>Initial provider registrations policy</w:t>
        </w:r>
      </w:hyperlink>
      <w:r>
        <w:t>) or course-related applications submitted as part of an initial registration application.</w:t>
      </w:r>
    </w:p>
    <w:p w14:paraId="06B05196" w14:textId="77777777" w:rsidR="00DC0C1C" w:rsidRDefault="00DC0C1C" w:rsidP="00DC0C1C">
      <w:pPr>
        <w:pStyle w:val="Heading2"/>
        <w:spacing w:before="240"/>
      </w:pPr>
      <w:r w:rsidRPr="004B1915">
        <w:t>Principles</w:t>
      </w:r>
    </w:p>
    <w:p w14:paraId="35368DEE" w14:textId="77777777" w:rsidR="00DC0C1C" w:rsidRPr="00AC7F1B" w:rsidRDefault="00DC0C1C" w:rsidP="00DC0C1C">
      <w:pPr>
        <w:pStyle w:val="Heading3"/>
        <w:spacing w:before="120" w:after="120"/>
      </w:pPr>
      <w:r>
        <w:t>General</w:t>
      </w:r>
    </w:p>
    <w:p w14:paraId="08EFC446" w14:textId="77777777" w:rsidR="00DC0C1C" w:rsidRDefault="00DC0C1C" w:rsidP="00DC0C1C">
      <w:pPr>
        <w:pStyle w:val="ListParagraph"/>
        <w:numPr>
          <w:ilvl w:val="0"/>
          <w:numId w:val="14"/>
        </w:numPr>
        <w:spacing w:before="0" w:line="280" w:lineRule="exact"/>
        <w:contextualSpacing w:val="0"/>
      </w:pPr>
      <w:r w:rsidRPr="00FE1E16">
        <w:t xml:space="preserve">TEQSA’s approach to </w:t>
      </w:r>
      <w:r>
        <w:t>regulatory</w:t>
      </w:r>
      <w:r w:rsidRPr="00FE1E16">
        <w:t xml:space="preserve"> assessments of provider</w:t>
      </w:r>
      <w:r>
        <w:t xml:space="preserve"> registration </w:t>
      </w:r>
      <w:r w:rsidRPr="00FE1E16">
        <w:t>and courses of study is tailored to the circumstances of the provider</w:t>
      </w:r>
      <w:r>
        <w:t xml:space="preserve"> and risks identified by TEQSA. </w:t>
      </w:r>
    </w:p>
    <w:p w14:paraId="7149589D" w14:textId="77777777" w:rsidR="00DC0C1C" w:rsidRDefault="00DC0C1C" w:rsidP="00DC0C1C">
      <w:pPr>
        <w:pStyle w:val="ListParagraph"/>
        <w:numPr>
          <w:ilvl w:val="0"/>
          <w:numId w:val="14"/>
        </w:numPr>
        <w:spacing w:before="0" w:line="280" w:lineRule="exact"/>
        <w:contextualSpacing w:val="0"/>
      </w:pPr>
      <w:r>
        <w:t>For registered providers, TEQSA’s starting point is that:</w:t>
      </w:r>
    </w:p>
    <w:p w14:paraId="25D97F2A" w14:textId="77777777" w:rsidR="00DC0C1C" w:rsidRDefault="00DC0C1C" w:rsidP="00DC0C1C">
      <w:pPr>
        <w:pStyle w:val="ListParagraph"/>
        <w:numPr>
          <w:ilvl w:val="1"/>
          <w:numId w:val="15"/>
        </w:numPr>
        <w:spacing w:before="0"/>
        <w:ind w:hanging="357"/>
        <w:contextualSpacing w:val="0"/>
      </w:pPr>
      <w:r>
        <w:t xml:space="preserve">every provider is committed to ensuring that it meets the requirements of the HES Framework, including having appropriate governance in place to comply with, and satisfy itself that it complies with the HES </w:t>
      </w:r>
      <w:proofErr w:type="gramStart"/>
      <w:r>
        <w:t>Framework;</w:t>
      </w:r>
      <w:proofErr w:type="gramEnd"/>
    </w:p>
    <w:p w14:paraId="23F0391D" w14:textId="77777777" w:rsidR="00DC0C1C" w:rsidRDefault="00DC0C1C" w:rsidP="00DC0C1C">
      <w:pPr>
        <w:pStyle w:val="ListParagraph"/>
        <w:numPr>
          <w:ilvl w:val="1"/>
          <w:numId w:val="15"/>
        </w:numPr>
        <w:spacing w:before="0"/>
        <w:ind w:hanging="357"/>
        <w:contextualSpacing w:val="0"/>
      </w:pPr>
      <w:r>
        <w:t xml:space="preserve">providers will implement effective self-assurance processes as an integral part of their ordinary day-to-day operations. </w:t>
      </w:r>
      <w:r w:rsidRPr="00FE1E16">
        <w:t xml:space="preserve"> </w:t>
      </w:r>
    </w:p>
    <w:p w14:paraId="51CBD29E" w14:textId="77777777" w:rsidR="00DC0C1C" w:rsidRDefault="00DC0C1C" w:rsidP="00DC0C1C">
      <w:pPr>
        <w:pStyle w:val="ListParagraph"/>
        <w:numPr>
          <w:ilvl w:val="0"/>
          <w:numId w:val="14"/>
        </w:numPr>
        <w:spacing w:line="280" w:lineRule="exact"/>
        <w:contextualSpacing w:val="0"/>
      </w:pPr>
      <w:r>
        <w:t xml:space="preserve">Given this starting point, and </w:t>
      </w:r>
      <w:proofErr w:type="gramStart"/>
      <w:r>
        <w:t>in light of</w:t>
      </w:r>
      <w:proofErr w:type="gramEnd"/>
      <w:r>
        <w:t xml:space="preserve"> the basic principles for regulation (in Part 2 of the </w:t>
      </w:r>
      <w:r w:rsidRPr="006C7992">
        <w:rPr>
          <w:i/>
        </w:rPr>
        <w:t>Tertiary Education Quality and Standards Agency Act 2011</w:t>
      </w:r>
      <w:r>
        <w:t xml:space="preserve">) TEQSA applies a </w:t>
      </w:r>
      <w:r w:rsidRPr="00014D29">
        <w:t>Core Plus model</w:t>
      </w:r>
      <w:r>
        <w:t xml:space="preserve"> to the assessment of applications submitted by registered providers. This focuses TEQSA’s assessment on the provider’s compliance with a </w:t>
      </w:r>
      <w:r w:rsidRPr="007C2BEF">
        <w:rPr>
          <w:rStyle w:val="Hyperlink"/>
          <w:color w:val="auto"/>
          <w:u w:val="none"/>
        </w:rPr>
        <w:t xml:space="preserve">set of core </w:t>
      </w:r>
      <w:r>
        <w:rPr>
          <w:rStyle w:val="Hyperlink"/>
          <w:color w:val="auto"/>
          <w:u w:val="none"/>
        </w:rPr>
        <w:t>S</w:t>
      </w:r>
      <w:r w:rsidRPr="007C2BEF">
        <w:rPr>
          <w:rStyle w:val="Hyperlink"/>
          <w:color w:val="auto"/>
          <w:u w:val="none"/>
        </w:rPr>
        <w:t>tandards</w:t>
      </w:r>
      <w:r w:rsidRPr="007C2BEF">
        <w:t>,</w:t>
      </w:r>
      <w:r>
        <w:t xml:space="preserve"> relating principally to governance, internal quality assurance, student performance and student experience.</w:t>
      </w:r>
      <w:r w:rsidRPr="00FE1E16">
        <w:t xml:space="preserve"> </w:t>
      </w:r>
    </w:p>
    <w:p w14:paraId="135BE360" w14:textId="77777777" w:rsidR="00DC0C1C" w:rsidRPr="006C7992" w:rsidRDefault="00DC0C1C" w:rsidP="00DC0C1C">
      <w:pPr>
        <w:pStyle w:val="ListParagraph"/>
        <w:numPr>
          <w:ilvl w:val="0"/>
          <w:numId w:val="14"/>
        </w:numPr>
        <w:spacing w:after="360" w:line="280" w:lineRule="exact"/>
        <w:contextualSpacing w:val="0"/>
      </w:pPr>
      <w:r w:rsidRPr="006C7992">
        <w:t xml:space="preserve">In some circumstances, TEQSA may decide to extend the scope of its assessment to include </w:t>
      </w:r>
      <w:r>
        <w:t xml:space="preserve">one or more </w:t>
      </w:r>
      <w:r w:rsidRPr="006C7992">
        <w:t xml:space="preserve">additional Standards beyond the core.  </w:t>
      </w:r>
    </w:p>
    <w:p w14:paraId="48E9681D" w14:textId="77777777" w:rsidR="00A52435" w:rsidRDefault="00A52435" w:rsidP="00DC0C1C">
      <w:pPr>
        <w:pStyle w:val="Heading3"/>
        <w:spacing w:before="120" w:after="120"/>
        <w:sectPr w:rsidR="00A52435" w:rsidSect="00FF2540">
          <w:headerReference w:type="default" r:id="rId11"/>
          <w:footerReference w:type="default" r:id="rId12"/>
          <w:pgSz w:w="11906" w:h="16838"/>
          <w:pgMar w:top="1440" w:right="1440" w:bottom="1440" w:left="1440" w:header="567" w:footer="567" w:gutter="0"/>
          <w:cols w:space="708"/>
          <w:docGrid w:linePitch="360"/>
        </w:sectPr>
      </w:pPr>
    </w:p>
    <w:p w14:paraId="472E8389" w14:textId="77777777" w:rsidR="00DC0C1C" w:rsidRDefault="00DC0C1C" w:rsidP="00DC0C1C">
      <w:pPr>
        <w:pStyle w:val="Heading3"/>
        <w:spacing w:before="120" w:after="120"/>
      </w:pPr>
      <w:r>
        <w:t>Core Standards</w:t>
      </w:r>
    </w:p>
    <w:p w14:paraId="5E78F84F" w14:textId="77777777" w:rsidR="00DC0C1C" w:rsidRDefault="00DC0C1C" w:rsidP="00DC0C1C">
      <w:pPr>
        <w:pStyle w:val="ListParagraph"/>
        <w:numPr>
          <w:ilvl w:val="0"/>
          <w:numId w:val="20"/>
        </w:numPr>
        <w:spacing w:before="0"/>
        <w:contextualSpacing w:val="0"/>
      </w:pPr>
      <w:r>
        <w:t xml:space="preserve">The core Standards for each type of application are set out in </w:t>
      </w:r>
      <w:r w:rsidRPr="00514846">
        <w:rPr>
          <w:b/>
        </w:rPr>
        <w:t>Table 1</w:t>
      </w:r>
      <w:r>
        <w:t>.</w:t>
      </w:r>
    </w:p>
    <w:p w14:paraId="61DACADC" w14:textId="77777777" w:rsidR="00DC0C1C" w:rsidRDefault="00DC0C1C" w:rsidP="00DC0C1C">
      <w:pPr>
        <w:pStyle w:val="ListParagraph"/>
        <w:numPr>
          <w:ilvl w:val="0"/>
          <w:numId w:val="20"/>
        </w:numPr>
        <w:spacing w:before="0"/>
        <w:contextualSpacing w:val="0"/>
      </w:pPr>
      <w:r>
        <w:t xml:space="preserve">For </w:t>
      </w:r>
      <w:r w:rsidRPr="00514846">
        <w:rPr>
          <w:b/>
        </w:rPr>
        <w:t>renewal of registration</w:t>
      </w:r>
      <w:r w:rsidRPr="0007652A">
        <w:t xml:space="preserve">, </w:t>
      </w:r>
      <w:r>
        <w:t>TEQSA has selected the core Standards on the basis that</w:t>
      </w:r>
      <w:r w:rsidRPr="006A4B9C">
        <w:t>:</w:t>
      </w:r>
    </w:p>
    <w:p w14:paraId="21A543CC" w14:textId="48AE328B" w:rsidR="00DC0C1C" w:rsidRDefault="00DC0C1C" w:rsidP="00DC0C1C">
      <w:pPr>
        <w:pStyle w:val="ListParagraph"/>
        <w:numPr>
          <w:ilvl w:val="1"/>
          <w:numId w:val="16"/>
        </w:numPr>
        <w:spacing w:before="0"/>
        <w:ind w:hanging="357"/>
        <w:contextualSpacing w:val="0"/>
      </w:pPr>
      <w:r>
        <w:t xml:space="preserve">as a registered provider, TEQSA has already undertaken </w:t>
      </w:r>
      <w:r w:rsidRPr="00B0169E">
        <w:t xml:space="preserve">a comprehensive assessment </w:t>
      </w:r>
      <w:r>
        <w:t xml:space="preserve">of the provider </w:t>
      </w:r>
      <w:r w:rsidRPr="00B0169E">
        <w:t xml:space="preserve">against </w:t>
      </w:r>
      <w:r>
        <w:t xml:space="preserve">the HES Framework, as well as annual </w:t>
      </w:r>
      <w:r>
        <w:lastRenderedPageBreak/>
        <w:t>risk assessments, and in some cases compliance monitoring, during the period of registration; and</w:t>
      </w:r>
    </w:p>
    <w:p w14:paraId="5C26B5D6" w14:textId="77777777" w:rsidR="00DC0C1C" w:rsidRDefault="00DC0C1C" w:rsidP="00DC0C1C">
      <w:pPr>
        <w:pStyle w:val="ListParagraph"/>
        <w:numPr>
          <w:ilvl w:val="1"/>
          <w:numId w:val="16"/>
        </w:numPr>
        <w:spacing w:before="0"/>
        <w:ind w:hanging="357"/>
        <w:contextualSpacing w:val="0"/>
      </w:pPr>
      <w:r>
        <w:t>substantial confidence in t</w:t>
      </w:r>
      <w:r w:rsidRPr="00B0169E">
        <w:t xml:space="preserve">he provider’s </w:t>
      </w:r>
      <w:r>
        <w:t xml:space="preserve">continued </w:t>
      </w:r>
      <w:r w:rsidRPr="00B0169E">
        <w:t>compliance</w:t>
      </w:r>
      <w:r>
        <w:t xml:space="preserve"> with the HES Framework</w:t>
      </w:r>
      <w:r w:rsidRPr="00B0169E">
        <w:t xml:space="preserve">, including </w:t>
      </w:r>
      <w:r>
        <w:t xml:space="preserve">its </w:t>
      </w:r>
      <w:r w:rsidRPr="00B0169E">
        <w:t xml:space="preserve">corporate and academic governance and </w:t>
      </w:r>
      <w:r>
        <w:t>internal quality assurance processes</w:t>
      </w:r>
      <w:r w:rsidRPr="00B0169E">
        <w:t xml:space="preserve">, </w:t>
      </w:r>
      <w:r>
        <w:t>can be reached through assessing the extent the provider has demonstrated its compliance with the</w:t>
      </w:r>
      <w:r w:rsidRPr="00B0169E">
        <w:t xml:space="preserve"> </w:t>
      </w:r>
      <w:r>
        <w:t xml:space="preserve">selected </w:t>
      </w:r>
      <w:r w:rsidRPr="00B0169E">
        <w:t>core Standards.</w:t>
      </w:r>
    </w:p>
    <w:p w14:paraId="541AAC95" w14:textId="77777777" w:rsidR="00DC0C1C" w:rsidRDefault="00DC0C1C" w:rsidP="00DC0C1C">
      <w:pPr>
        <w:pStyle w:val="ListParagraph"/>
        <w:numPr>
          <w:ilvl w:val="0"/>
          <w:numId w:val="20"/>
        </w:numPr>
        <w:spacing w:before="0"/>
        <w:ind w:hanging="357"/>
        <w:contextualSpacing w:val="0"/>
      </w:pPr>
      <w:r>
        <w:t xml:space="preserve">For </w:t>
      </w:r>
      <w:r w:rsidRPr="00514846">
        <w:rPr>
          <w:b/>
        </w:rPr>
        <w:t>new course accreditation for existing providers</w:t>
      </w:r>
      <w:r w:rsidRPr="0007652A">
        <w:t xml:space="preserve">, </w:t>
      </w:r>
      <w:r>
        <w:t>TEQSA has selected the core Standards on the basis that:</w:t>
      </w:r>
    </w:p>
    <w:p w14:paraId="1E5BA1CE" w14:textId="77777777" w:rsidR="00DC0C1C" w:rsidRDefault="00DC0C1C" w:rsidP="00DC0C1C">
      <w:pPr>
        <w:pStyle w:val="ListParagraph"/>
        <w:numPr>
          <w:ilvl w:val="0"/>
          <w:numId w:val="17"/>
        </w:numPr>
        <w:spacing w:before="0"/>
        <w:contextualSpacing w:val="0"/>
      </w:pPr>
      <w:r>
        <w:t>the provider is established and TEQSA has already undertaken a comprehensive assessment the provider’s governance arrangements and internal quality assurance processes; and</w:t>
      </w:r>
    </w:p>
    <w:p w14:paraId="3C5B0EDD" w14:textId="77777777" w:rsidR="00DC0C1C" w:rsidRDefault="00DC0C1C" w:rsidP="00DC0C1C">
      <w:pPr>
        <w:pStyle w:val="ListParagraph"/>
        <w:numPr>
          <w:ilvl w:val="0"/>
          <w:numId w:val="17"/>
        </w:numPr>
        <w:spacing w:before="0"/>
        <w:contextualSpacing w:val="0"/>
      </w:pPr>
      <w:r>
        <w:t xml:space="preserve">the focus is on ensuring that the content and learning activities of the new course are consistent with the level of study and expected learning outcomes. </w:t>
      </w:r>
    </w:p>
    <w:p w14:paraId="0C560284" w14:textId="77777777" w:rsidR="00DC0C1C" w:rsidRDefault="00DC0C1C" w:rsidP="00DC0C1C">
      <w:pPr>
        <w:pStyle w:val="ListParagraph"/>
        <w:numPr>
          <w:ilvl w:val="0"/>
          <w:numId w:val="20"/>
        </w:numPr>
        <w:spacing w:before="0" w:line="280" w:lineRule="exact"/>
        <w:ind w:hanging="357"/>
        <w:contextualSpacing w:val="0"/>
      </w:pPr>
      <w:r>
        <w:t>For</w:t>
      </w:r>
      <w:r w:rsidRPr="00B0169E">
        <w:t xml:space="preserve"> </w:t>
      </w:r>
      <w:r w:rsidRPr="001C0180">
        <w:rPr>
          <w:b/>
        </w:rPr>
        <w:t>renewal of course accreditation</w:t>
      </w:r>
      <w:r w:rsidRPr="0007652A">
        <w:t xml:space="preserve">, </w:t>
      </w:r>
      <w:r>
        <w:t>TEQSA has selected the core Standards the basis that:</w:t>
      </w:r>
    </w:p>
    <w:p w14:paraId="5AAB2757" w14:textId="77777777" w:rsidR="00DC0C1C" w:rsidRDefault="00DC0C1C" w:rsidP="00DC0C1C">
      <w:pPr>
        <w:pStyle w:val="ListParagraph"/>
        <w:numPr>
          <w:ilvl w:val="0"/>
          <w:numId w:val="18"/>
        </w:numPr>
        <w:spacing w:before="0" w:line="280" w:lineRule="exact"/>
        <w:contextualSpacing w:val="0"/>
      </w:pPr>
      <w:r>
        <w:t xml:space="preserve">TEQSA has already undertaken a comprehensive assessment of the accredited course against the relevant standard in the HES Framework; and </w:t>
      </w:r>
    </w:p>
    <w:p w14:paraId="731126F1" w14:textId="31C31F8B" w:rsidR="00DC0C1C" w:rsidRDefault="00DC0C1C" w:rsidP="00DC0C1C">
      <w:pPr>
        <w:pStyle w:val="ListParagraph"/>
        <w:numPr>
          <w:ilvl w:val="0"/>
          <w:numId w:val="18"/>
        </w:numPr>
        <w:spacing w:before="0" w:after="360" w:line="280" w:lineRule="exact"/>
        <w:contextualSpacing w:val="0"/>
      </w:pPr>
      <w:r w:rsidRPr="00B0169E">
        <w:t xml:space="preserve">the focus </w:t>
      </w:r>
      <w:r>
        <w:t xml:space="preserve">at this stage of the assessment cycle for the course </w:t>
      </w:r>
      <w:r w:rsidRPr="00B0169E">
        <w:t>is on ensuring that the provider’s monitoring, review and improvement processes have been effective</w:t>
      </w:r>
      <w:r>
        <w:t>,</w:t>
      </w:r>
      <w:r w:rsidRPr="00B0169E">
        <w:t xml:space="preserve"> </w:t>
      </w:r>
      <w:r>
        <w:t>including the extent and robustness of</w:t>
      </w:r>
      <w:r w:rsidRPr="00B0169E">
        <w:t xml:space="preserve"> independent review </w:t>
      </w:r>
      <w:r>
        <w:t>by a</w:t>
      </w:r>
      <w:r w:rsidRPr="00B0169E">
        <w:t xml:space="preserve"> subject matter expert</w:t>
      </w:r>
      <w:r>
        <w:t>,</w:t>
      </w:r>
      <w:r w:rsidRPr="00B0169E">
        <w:t xml:space="preserve"> and</w:t>
      </w:r>
      <w:r>
        <w:t xml:space="preserve"> the nature</w:t>
      </w:r>
      <w:r w:rsidRPr="00B0169E">
        <w:t xml:space="preserve"> </w:t>
      </w:r>
      <w:r>
        <w:t xml:space="preserve">of </w:t>
      </w:r>
      <w:r w:rsidRPr="00B0169E">
        <w:t xml:space="preserve">the </w:t>
      </w:r>
      <w:r>
        <w:t xml:space="preserve">provider’s </w:t>
      </w:r>
      <w:r w:rsidRPr="00B0169E">
        <w:t xml:space="preserve">response to expert findings and recommendations </w:t>
      </w:r>
      <w:r>
        <w:t>i.e. consideration of the review report and, where appropriate, action taken</w:t>
      </w:r>
      <w:r w:rsidRPr="00B0169E">
        <w:t>.</w:t>
      </w:r>
    </w:p>
    <w:p w14:paraId="740FF2CB" w14:textId="77777777" w:rsidR="00DC0C1C" w:rsidRDefault="00DC0C1C" w:rsidP="00DC0C1C">
      <w:pPr>
        <w:pStyle w:val="Heading3"/>
        <w:spacing w:before="120" w:after="120"/>
      </w:pPr>
      <w:r>
        <w:t>Evidence</w:t>
      </w:r>
    </w:p>
    <w:p w14:paraId="22E250B5" w14:textId="77777777" w:rsidR="00DC0C1C" w:rsidRDefault="00DC0C1C" w:rsidP="00DC0C1C">
      <w:pPr>
        <w:pStyle w:val="ListParagraph"/>
        <w:numPr>
          <w:ilvl w:val="0"/>
          <w:numId w:val="19"/>
        </w:numPr>
        <w:spacing w:before="0"/>
        <w:contextualSpacing w:val="0"/>
      </w:pPr>
      <w:r>
        <w:t xml:space="preserve">Under the Core Plus model, all applicants are required to submit sufficient evidence in their application to demonstrate compliance with the </w:t>
      </w:r>
      <w:r w:rsidRPr="004B2A3F">
        <w:t>core Standards</w:t>
      </w:r>
      <w:r>
        <w:t>.</w:t>
      </w:r>
    </w:p>
    <w:p w14:paraId="5F3EE613" w14:textId="259DEB45" w:rsidR="00DC0C1C" w:rsidRDefault="00DC0C1C" w:rsidP="00DC0C1C">
      <w:pPr>
        <w:pStyle w:val="ListParagraph"/>
        <w:numPr>
          <w:ilvl w:val="0"/>
          <w:numId w:val="19"/>
        </w:numPr>
        <w:spacing w:before="0"/>
        <w:contextualSpacing w:val="0"/>
      </w:pPr>
      <w:r w:rsidRPr="00CD7275">
        <w:rPr>
          <w:lang w:eastAsia="en-AU"/>
        </w:rPr>
        <w:t xml:space="preserve">The </w:t>
      </w:r>
      <w:r>
        <w:rPr>
          <w:lang w:eastAsia="en-AU"/>
        </w:rPr>
        <w:t xml:space="preserve">core </w:t>
      </w:r>
      <w:r w:rsidRPr="00CD7275">
        <w:rPr>
          <w:lang w:eastAsia="en-AU"/>
        </w:rPr>
        <w:t xml:space="preserve">Standards are </w:t>
      </w:r>
      <w:r>
        <w:rPr>
          <w:lang w:eastAsia="en-AU"/>
        </w:rPr>
        <w:t>outcomes-focused. An applicant is responsible for demonstrating in its application</w:t>
      </w:r>
      <w:r w:rsidRPr="00CD7275">
        <w:rPr>
          <w:lang w:eastAsia="en-AU"/>
        </w:rPr>
        <w:t xml:space="preserve"> how </w:t>
      </w:r>
      <w:r>
        <w:rPr>
          <w:lang w:eastAsia="en-AU"/>
        </w:rPr>
        <w:t>it complies</w:t>
      </w:r>
      <w:r w:rsidRPr="00CD7275">
        <w:rPr>
          <w:lang w:eastAsia="en-AU"/>
        </w:rPr>
        <w:t xml:space="preserve"> with the </w:t>
      </w:r>
      <w:r>
        <w:rPr>
          <w:lang w:eastAsia="en-AU"/>
        </w:rPr>
        <w:t>core S</w:t>
      </w:r>
      <w:r w:rsidRPr="00CD7275">
        <w:rPr>
          <w:lang w:eastAsia="en-AU"/>
        </w:rPr>
        <w:t>tandards</w:t>
      </w:r>
      <w:r>
        <w:rPr>
          <w:lang w:eastAsia="en-AU"/>
        </w:rPr>
        <w:t xml:space="preserve"> in the context of its operations.</w:t>
      </w:r>
    </w:p>
    <w:p w14:paraId="0B0D5B32" w14:textId="5FA7103D" w:rsidR="00DC0C1C" w:rsidRDefault="00DC0C1C" w:rsidP="00DC0C1C">
      <w:pPr>
        <w:pStyle w:val="ListParagraph"/>
        <w:numPr>
          <w:ilvl w:val="0"/>
          <w:numId w:val="19"/>
        </w:numPr>
        <w:spacing w:before="0" w:line="280" w:lineRule="exact"/>
        <w:contextualSpacing w:val="0"/>
      </w:pPr>
      <w:r>
        <w:t>If TEQSA has extended the scope of the assessment beyond the core Standards, the applicant will be required to submit specific, targeted evidence in its application to demonstrate compliance with the selected additional Standards</w:t>
      </w:r>
      <w:r w:rsidR="007F1E89">
        <w:t>.</w:t>
      </w:r>
    </w:p>
    <w:p w14:paraId="1A703D0C" w14:textId="5C29BFC1" w:rsidR="00DC0C1C" w:rsidRDefault="00DC0C1C" w:rsidP="00DC0C1C">
      <w:pPr>
        <w:pStyle w:val="ListParagraph"/>
        <w:numPr>
          <w:ilvl w:val="0"/>
          <w:numId w:val="19"/>
        </w:numPr>
        <w:spacing w:before="0" w:after="360"/>
        <w:contextualSpacing w:val="0"/>
      </w:pPr>
      <w:r>
        <w:t xml:space="preserve">For accreditation and renewal of accreditation of courses of study, TEQSA encourages providers to submit their own comprehensive review of its course/s by one or more </w:t>
      </w:r>
      <w:hyperlink r:id="rId13" w:history="1">
        <w:r w:rsidRPr="003C1ACE">
          <w:rPr>
            <w:rStyle w:val="Hyperlink"/>
          </w:rPr>
          <w:t>independent subject matter experts</w:t>
        </w:r>
      </w:hyperlink>
      <w:r>
        <w:t>, along with evidence of</w:t>
      </w:r>
      <w:r w:rsidRPr="0099454A">
        <w:t xml:space="preserve"> </w:t>
      </w:r>
      <w:r>
        <w:t>the provider’s</w:t>
      </w:r>
      <w:r w:rsidRPr="0099454A">
        <w:t xml:space="preserve"> response to expert findings and recommendations</w:t>
      </w:r>
      <w:r>
        <w:t>. This may remove the need for TEQSA to commission its own expert report. However, it remains open to TEQSA to obtain its own expert appraisal should it hold concerns about the scope or nature of the provider’s review, the quality of advice obtained, or the independence of that advice (actual or perceived).</w:t>
      </w:r>
    </w:p>
    <w:p w14:paraId="5EE2AB75" w14:textId="77777777" w:rsidR="00DC0C1C" w:rsidRDefault="00DC0C1C" w:rsidP="00DC0C1C">
      <w:pPr>
        <w:pStyle w:val="Heading3"/>
        <w:spacing w:before="120" w:after="120"/>
      </w:pPr>
      <w:r>
        <w:t>Core Plus</w:t>
      </w:r>
    </w:p>
    <w:p w14:paraId="38D886E3" w14:textId="77777777" w:rsidR="00DC0C1C" w:rsidRDefault="00DC0C1C" w:rsidP="00DC0C1C">
      <w:pPr>
        <w:pStyle w:val="ListParagraph"/>
        <w:numPr>
          <w:ilvl w:val="0"/>
          <w:numId w:val="21"/>
        </w:numPr>
        <w:spacing w:before="0" w:line="280" w:lineRule="exact"/>
        <w:contextualSpacing w:val="0"/>
      </w:pPr>
      <w:r>
        <w:t xml:space="preserve">TEQSA may decide to extend the scope of its assessment to include </w:t>
      </w:r>
      <w:r w:rsidRPr="00FE1E16">
        <w:t xml:space="preserve">additional </w:t>
      </w:r>
      <w:r w:rsidRPr="00AF69C6">
        <w:t xml:space="preserve">Standards </w:t>
      </w:r>
      <w:r>
        <w:t>based on a range of factors, including such considerations as:</w:t>
      </w:r>
      <w:r w:rsidRPr="00FE1E16">
        <w:t xml:space="preserve"> </w:t>
      </w:r>
    </w:p>
    <w:p w14:paraId="65BB9512" w14:textId="77777777" w:rsidR="00DC0C1C" w:rsidRDefault="00DC0C1C" w:rsidP="00DC0C1C">
      <w:pPr>
        <w:pStyle w:val="ListParagraph"/>
        <w:numPr>
          <w:ilvl w:val="1"/>
          <w:numId w:val="21"/>
        </w:numPr>
        <w:spacing w:before="0" w:line="280" w:lineRule="exact"/>
        <w:ind w:hanging="357"/>
        <w:contextualSpacing w:val="0"/>
      </w:pPr>
      <w:r>
        <w:rPr>
          <w:b/>
        </w:rPr>
        <w:lastRenderedPageBreak/>
        <w:t>Findings from compliance monitoring</w:t>
      </w:r>
      <w:r>
        <w:t xml:space="preserve"> – for example information from reported concerns and complaints, and reports from other government agencies and professional accreditation bodies.</w:t>
      </w:r>
    </w:p>
    <w:p w14:paraId="6852AEE0" w14:textId="77777777" w:rsidR="00DC0C1C" w:rsidRPr="00514846" w:rsidRDefault="00DC0C1C" w:rsidP="00DC0C1C">
      <w:pPr>
        <w:pStyle w:val="ListParagraph"/>
        <w:numPr>
          <w:ilvl w:val="1"/>
          <w:numId w:val="21"/>
        </w:numPr>
        <w:spacing w:before="0" w:line="280" w:lineRule="exact"/>
        <w:ind w:hanging="357"/>
        <w:contextualSpacing w:val="0"/>
      </w:pPr>
      <w:r w:rsidRPr="00794B4F">
        <w:rPr>
          <w:b/>
        </w:rPr>
        <w:t xml:space="preserve">Regulatory </w:t>
      </w:r>
      <w:r>
        <w:rPr>
          <w:b/>
        </w:rPr>
        <w:t>h</w:t>
      </w:r>
      <w:r w:rsidRPr="00794B4F">
        <w:rPr>
          <w:b/>
        </w:rPr>
        <w:t>istory</w:t>
      </w:r>
      <w:r>
        <w:t xml:space="preserve"> – previous regulatory outcomes, including material risks identified by TEQSA in relation to governance or internal quality assurance.</w:t>
      </w:r>
    </w:p>
    <w:p w14:paraId="470BB153" w14:textId="77777777" w:rsidR="00DC0C1C" w:rsidRDefault="00DC0C1C" w:rsidP="00DC0C1C">
      <w:pPr>
        <w:pStyle w:val="ListParagraph"/>
        <w:numPr>
          <w:ilvl w:val="1"/>
          <w:numId w:val="21"/>
        </w:numPr>
        <w:spacing w:before="0" w:line="280" w:lineRule="exact"/>
        <w:ind w:hanging="357"/>
        <w:contextualSpacing w:val="0"/>
      </w:pPr>
      <w:r>
        <w:rPr>
          <w:b/>
        </w:rPr>
        <w:t xml:space="preserve">Findings of the annual </w:t>
      </w:r>
      <w:r w:rsidRPr="00514846">
        <w:rPr>
          <w:b/>
        </w:rPr>
        <w:t xml:space="preserve">Risk </w:t>
      </w:r>
      <w:r>
        <w:rPr>
          <w:b/>
        </w:rPr>
        <w:t>Assessment</w:t>
      </w:r>
      <w:r>
        <w:t xml:space="preserve"> – where TEQSA considers the findings indicate material risks to compliance with the Standards.</w:t>
      </w:r>
    </w:p>
    <w:p w14:paraId="269E90D9" w14:textId="408F6B56" w:rsidR="00DC0C1C" w:rsidRPr="007E58D5" w:rsidRDefault="00DC0C1C" w:rsidP="00DC0C1C">
      <w:pPr>
        <w:pStyle w:val="ListParagraph"/>
        <w:numPr>
          <w:ilvl w:val="1"/>
          <w:numId w:val="21"/>
        </w:numPr>
        <w:spacing w:before="0" w:line="280" w:lineRule="exact"/>
        <w:ind w:hanging="357"/>
        <w:contextualSpacing w:val="0"/>
      </w:pPr>
      <w:r>
        <w:rPr>
          <w:b/>
        </w:rPr>
        <w:t>Other factors</w:t>
      </w:r>
      <w:r w:rsidRPr="00514846">
        <w:t xml:space="preserve"> </w:t>
      </w:r>
      <w:r>
        <w:t xml:space="preserve">specific to the type of assessment as set out in the </w:t>
      </w:r>
      <w:hyperlink r:id="rId14" w:history="1">
        <w:r w:rsidRPr="00410402">
          <w:rPr>
            <w:rStyle w:val="Hyperlink"/>
          </w:rPr>
          <w:t>application guides</w:t>
        </w:r>
      </w:hyperlink>
      <w:r>
        <w:t>.</w:t>
      </w:r>
    </w:p>
    <w:p w14:paraId="2C27AA8D" w14:textId="77777777" w:rsidR="00DC0C1C" w:rsidRDefault="00DC0C1C" w:rsidP="00DC0C1C">
      <w:pPr>
        <w:pStyle w:val="ListParagraph"/>
        <w:numPr>
          <w:ilvl w:val="0"/>
          <w:numId w:val="21"/>
        </w:numPr>
        <w:spacing w:before="0" w:line="280" w:lineRule="exact"/>
        <w:ind w:hanging="357"/>
        <w:contextualSpacing w:val="0"/>
      </w:pPr>
      <w:r>
        <w:t xml:space="preserve">Other factors, such as material change notifications, may reduce the need to extend the scope of an assessment beyond the core Standards, if TEQSA has confidence that the provider is addressing the concerns and monitoring the outcomes.  </w:t>
      </w:r>
    </w:p>
    <w:p w14:paraId="08C6B546" w14:textId="25126149" w:rsidR="00DC0C1C" w:rsidRDefault="00DC0C1C" w:rsidP="00DC0C1C">
      <w:pPr>
        <w:pStyle w:val="ListParagraph"/>
        <w:numPr>
          <w:ilvl w:val="0"/>
          <w:numId w:val="21"/>
        </w:numPr>
        <w:spacing w:before="0" w:after="360" w:line="280" w:lineRule="exact"/>
        <w:ind w:hanging="357"/>
        <w:contextualSpacing w:val="0"/>
      </w:pPr>
      <w:r>
        <w:t xml:space="preserve">The </w:t>
      </w:r>
      <w:hyperlink r:id="rId15" w:history="1">
        <w:r w:rsidRPr="00D1167A">
          <w:rPr>
            <w:rStyle w:val="Hyperlink"/>
          </w:rPr>
          <w:t>application guides</w:t>
        </w:r>
      </w:hyperlink>
      <w:r>
        <w:t>, available on TEQSA’s website explain the application process, including the pre-submission scoping where TEQSA will advise the provider about the scope of the assessment and guidance on evidence requirements.</w:t>
      </w:r>
    </w:p>
    <w:p w14:paraId="4A24EDEF" w14:textId="77777777" w:rsidR="00DC0C1C" w:rsidRDefault="00DC0C1C" w:rsidP="00DC0C1C">
      <w:pPr>
        <w:rPr>
          <w:rFonts w:asciiTheme="majorHAnsi" w:eastAsiaTheme="majorEastAsia" w:hAnsiTheme="majorHAnsi" w:cstheme="majorBidi"/>
          <w:color w:val="004E7D"/>
          <w:sz w:val="44"/>
          <w:szCs w:val="26"/>
        </w:rPr>
      </w:pPr>
      <w:r>
        <w:br w:type="page"/>
      </w:r>
    </w:p>
    <w:p w14:paraId="05C8C9D0" w14:textId="77777777" w:rsidR="00DC0C1C" w:rsidRPr="008E6967" w:rsidRDefault="00DC0C1C" w:rsidP="00DC0C1C">
      <w:pPr>
        <w:pStyle w:val="TableTitle"/>
        <w:numPr>
          <w:ilvl w:val="0"/>
          <w:numId w:val="22"/>
        </w:numPr>
        <w:ind w:left="1134"/>
      </w:pPr>
      <w:r>
        <w:lastRenderedPageBreak/>
        <w:t>Core Standards</w:t>
      </w:r>
    </w:p>
    <w:tbl>
      <w:tblPr>
        <w:tblStyle w:val="DefaultTable1"/>
        <w:tblW w:w="9493" w:type="dxa"/>
        <w:tblLook w:val="0660" w:firstRow="1" w:lastRow="1" w:firstColumn="0" w:lastColumn="0" w:noHBand="1" w:noVBand="1"/>
      </w:tblPr>
      <w:tblGrid>
        <w:gridCol w:w="4531"/>
        <w:gridCol w:w="1560"/>
        <w:gridCol w:w="1701"/>
        <w:gridCol w:w="1701"/>
      </w:tblGrid>
      <w:tr w:rsidR="00DC0C1C" w:rsidRPr="008E6967" w14:paraId="03A9D804" w14:textId="77777777" w:rsidTr="005C21D2">
        <w:trPr>
          <w:cnfStyle w:val="100000000000" w:firstRow="1" w:lastRow="0" w:firstColumn="0" w:lastColumn="0" w:oddVBand="0" w:evenVBand="0" w:oddHBand="0" w:evenHBand="0" w:firstRowFirstColumn="0" w:firstRowLastColumn="0" w:lastRowFirstColumn="0" w:lastRowLastColumn="0"/>
        </w:trPr>
        <w:tc>
          <w:tcPr>
            <w:tcW w:w="4531" w:type="dxa"/>
            <w:tcBorders>
              <w:bottom w:val="single" w:sz="4" w:space="0" w:color="auto"/>
            </w:tcBorders>
            <w:shd w:val="clear" w:color="auto" w:fill="004E7D"/>
          </w:tcPr>
          <w:p w14:paraId="02F2D7D4" w14:textId="77777777" w:rsidR="00DC0C1C" w:rsidRPr="00DE0584" w:rsidRDefault="00DC0C1C" w:rsidP="005C21D2">
            <w:r w:rsidRPr="0071013C">
              <w:t>Relevant Standards from the HES Framework</w:t>
            </w:r>
          </w:p>
        </w:tc>
        <w:tc>
          <w:tcPr>
            <w:tcW w:w="1560" w:type="dxa"/>
            <w:tcBorders>
              <w:bottom w:val="single" w:sz="4" w:space="0" w:color="auto"/>
            </w:tcBorders>
            <w:shd w:val="clear" w:color="auto" w:fill="004E7D"/>
          </w:tcPr>
          <w:p w14:paraId="394E9A63" w14:textId="77777777" w:rsidR="00DC0C1C" w:rsidRPr="00DE0584" w:rsidRDefault="00DC0C1C" w:rsidP="005C21D2">
            <w:r w:rsidRPr="0071013C">
              <w:rPr>
                <w:lang w:val="en-GB"/>
              </w:rPr>
              <w:t>Renewal of Provider Registration</w:t>
            </w:r>
          </w:p>
        </w:tc>
        <w:tc>
          <w:tcPr>
            <w:tcW w:w="1701" w:type="dxa"/>
            <w:tcBorders>
              <w:bottom w:val="single" w:sz="4" w:space="0" w:color="auto"/>
            </w:tcBorders>
            <w:shd w:val="clear" w:color="auto" w:fill="004E7D"/>
          </w:tcPr>
          <w:p w14:paraId="17858E8D" w14:textId="77777777" w:rsidR="00DC0C1C" w:rsidRPr="00DE0584" w:rsidRDefault="00DC0C1C" w:rsidP="005C21D2">
            <w:r w:rsidRPr="0071013C">
              <w:rPr>
                <w:lang w:val="en-GB"/>
              </w:rPr>
              <w:t>New Course Accreditation – existing providers</w:t>
            </w:r>
          </w:p>
        </w:tc>
        <w:tc>
          <w:tcPr>
            <w:tcW w:w="1701" w:type="dxa"/>
            <w:tcBorders>
              <w:bottom w:val="single" w:sz="4" w:space="0" w:color="auto"/>
            </w:tcBorders>
            <w:shd w:val="clear" w:color="auto" w:fill="004E7D"/>
          </w:tcPr>
          <w:p w14:paraId="79BA85BF" w14:textId="77777777" w:rsidR="00DC0C1C" w:rsidRPr="00DE0584" w:rsidRDefault="00DC0C1C" w:rsidP="005C21D2">
            <w:r w:rsidRPr="0071013C">
              <w:rPr>
                <w:lang w:val="en-GB"/>
              </w:rPr>
              <w:t xml:space="preserve">Renewal of course </w:t>
            </w:r>
            <w:r w:rsidRPr="0071013C">
              <w:rPr>
                <w:lang w:val="en-GB"/>
              </w:rPr>
              <w:br/>
              <w:t>Accreditation</w:t>
            </w:r>
          </w:p>
        </w:tc>
      </w:tr>
      <w:tr w:rsidR="00DC0C1C" w:rsidRPr="008E6967" w14:paraId="5656222A" w14:textId="77777777" w:rsidTr="005C21D2">
        <w:trPr>
          <w:trHeight w:val="444"/>
        </w:trPr>
        <w:tc>
          <w:tcPr>
            <w:tcW w:w="9493" w:type="dxa"/>
            <w:gridSpan w:val="4"/>
            <w:tcBorders>
              <w:top w:val="single" w:sz="4" w:space="0" w:color="auto"/>
              <w:left w:val="single" w:sz="4" w:space="0" w:color="auto"/>
              <w:bottom w:val="single" w:sz="4" w:space="0" w:color="auto"/>
              <w:right w:val="single" w:sz="4" w:space="0" w:color="auto"/>
            </w:tcBorders>
            <w:vAlign w:val="center"/>
          </w:tcPr>
          <w:p w14:paraId="25D0CD06" w14:textId="77777777" w:rsidR="00DC0C1C" w:rsidRPr="008E6967" w:rsidRDefault="00DC0C1C" w:rsidP="005C21D2">
            <w:pPr>
              <w:jc w:val="center"/>
            </w:pPr>
            <w:bookmarkStart w:id="0" w:name="_Hlk120808992"/>
            <w:r w:rsidRPr="00C83D8B">
              <w:rPr>
                <w:rFonts w:ascii="Arial Narrow" w:eastAsia="Times New Roman" w:hAnsi="Arial Narrow" w:cs="Arial"/>
                <w:b/>
                <w:bCs/>
                <w:color w:val="000000"/>
                <w:sz w:val="20"/>
                <w:szCs w:val="20"/>
                <w:lang w:val="en-GB" w:eastAsia="en-AU"/>
              </w:rPr>
              <w:t>1. Student Participation and Attainment</w:t>
            </w:r>
          </w:p>
        </w:tc>
      </w:tr>
      <w:bookmarkEnd w:id="0"/>
      <w:tr w:rsidR="00DC0C1C" w:rsidRPr="008E6967" w14:paraId="619EB42B" w14:textId="77777777" w:rsidTr="005C21D2">
        <w:tc>
          <w:tcPr>
            <w:tcW w:w="4531" w:type="dxa"/>
            <w:tcBorders>
              <w:top w:val="single" w:sz="4" w:space="0" w:color="auto"/>
              <w:left w:val="single" w:sz="4" w:space="0" w:color="auto"/>
              <w:bottom w:val="single" w:sz="4" w:space="0" w:color="auto"/>
              <w:right w:val="single" w:sz="4" w:space="0" w:color="auto"/>
            </w:tcBorders>
          </w:tcPr>
          <w:p w14:paraId="41698DEF" w14:textId="77777777" w:rsidR="00DC0C1C" w:rsidRPr="008E6967" w:rsidRDefault="00DC0C1C" w:rsidP="005C21D2">
            <w:r w:rsidRPr="0071013C">
              <w:rPr>
                <w:lang w:val="en-GB"/>
              </w:rPr>
              <w:t>1.1 Admission (1.1.1 only)</w:t>
            </w:r>
          </w:p>
        </w:tc>
        <w:tc>
          <w:tcPr>
            <w:tcW w:w="1560" w:type="dxa"/>
            <w:tcBorders>
              <w:top w:val="single" w:sz="4" w:space="0" w:color="auto"/>
              <w:left w:val="single" w:sz="4" w:space="0" w:color="auto"/>
              <w:bottom w:val="single" w:sz="4" w:space="0" w:color="auto"/>
              <w:right w:val="single" w:sz="4" w:space="0" w:color="auto"/>
            </w:tcBorders>
          </w:tcPr>
          <w:p w14:paraId="0976DA27" w14:textId="77777777" w:rsidR="00DC0C1C" w:rsidRPr="008E6967" w:rsidRDefault="00DC0C1C" w:rsidP="005C21D2"/>
        </w:tc>
        <w:tc>
          <w:tcPr>
            <w:tcW w:w="1701" w:type="dxa"/>
            <w:tcBorders>
              <w:top w:val="single" w:sz="4" w:space="0" w:color="auto"/>
              <w:left w:val="single" w:sz="4" w:space="0" w:color="auto"/>
              <w:bottom w:val="single" w:sz="4" w:space="0" w:color="auto"/>
              <w:right w:val="single" w:sz="4" w:space="0" w:color="auto"/>
            </w:tcBorders>
          </w:tcPr>
          <w:p w14:paraId="2F9BB2DB" w14:textId="77777777" w:rsidR="00DC0C1C" w:rsidRPr="008E6967" w:rsidRDefault="00DC0C1C" w:rsidP="005C21D2">
            <w:pPr>
              <w:jc w:val="center"/>
            </w:pPr>
            <w:r w:rsidRPr="00C83D8B">
              <w:rPr>
                <w:rFonts w:ascii="Wingdings" w:eastAsia="Times New Roman" w:hAnsi="Wingdings" w:cs="Arial"/>
                <w:color w:val="000000"/>
                <w:sz w:val="20"/>
                <w:szCs w:val="20"/>
                <w:lang w:val="en-GB" w:eastAsia="en-AU"/>
              </w:rPr>
              <w:t></w:t>
            </w:r>
          </w:p>
        </w:tc>
        <w:tc>
          <w:tcPr>
            <w:tcW w:w="1701" w:type="dxa"/>
            <w:tcBorders>
              <w:top w:val="single" w:sz="4" w:space="0" w:color="auto"/>
              <w:left w:val="single" w:sz="4" w:space="0" w:color="auto"/>
              <w:bottom w:val="single" w:sz="4" w:space="0" w:color="auto"/>
              <w:right w:val="single" w:sz="4" w:space="0" w:color="auto"/>
            </w:tcBorders>
          </w:tcPr>
          <w:p w14:paraId="0329473D" w14:textId="77777777" w:rsidR="00DC0C1C" w:rsidRPr="008E6967" w:rsidRDefault="00DC0C1C" w:rsidP="005C21D2"/>
        </w:tc>
      </w:tr>
      <w:tr w:rsidR="00DC0C1C" w:rsidRPr="008E6967" w14:paraId="4C727022" w14:textId="77777777" w:rsidTr="005C21D2">
        <w:tc>
          <w:tcPr>
            <w:tcW w:w="4531" w:type="dxa"/>
            <w:tcBorders>
              <w:top w:val="single" w:sz="4" w:space="0" w:color="auto"/>
              <w:left w:val="single" w:sz="4" w:space="0" w:color="auto"/>
              <w:bottom w:val="single" w:sz="8" w:space="0" w:color="auto"/>
              <w:right w:val="single" w:sz="8" w:space="0" w:color="auto"/>
            </w:tcBorders>
            <w:vAlign w:val="bottom"/>
          </w:tcPr>
          <w:p w14:paraId="2072BAA1" w14:textId="77777777" w:rsidR="00DC0C1C" w:rsidRPr="008E6967" w:rsidRDefault="00DC0C1C" w:rsidP="005C21D2">
            <w:r w:rsidRPr="00C83D8B">
              <w:rPr>
                <w:rFonts w:ascii="Arial Narrow" w:eastAsia="Times New Roman" w:hAnsi="Arial Narrow" w:cs="Arial"/>
                <w:color w:val="000000"/>
                <w:sz w:val="20"/>
                <w:szCs w:val="20"/>
                <w:lang w:val="en-GB" w:eastAsia="en-AU"/>
              </w:rPr>
              <w:t xml:space="preserve">1.4 Learning Outcomes and Assessment </w:t>
            </w:r>
            <w:r>
              <w:rPr>
                <w:rFonts w:ascii="Arial Narrow" w:eastAsia="Times New Roman" w:hAnsi="Arial Narrow" w:cs="Arial"/>
                <w:color w:val="000000"/>
                <w:sz w:val="20"/>
                <w:szCs w:val="20"/>
                <w:lang w:val="en-GB" w:eastAsia="en-AU"/>
              </w:rPr>
              <w:t>(1.4.1-4 for all providers and 1.4.5-7 only if applicable)</w:t>
            </w:r>
          </w:p>
        </w:tc>
        <w:tc>
          <w:tcPr>
            <w:tcW w:w="1560" w:type="dxa"/>
            <w:tcBorders>
              <w:top w:val="single" w:sz="4" w:space="0" w:color="auto"/>
              <w:left w:val="nil"/>
              <w:bottom w:val="single" w:sz="8" w:space="0" w:color="auto"/>
              <w:right w:val="single" w:sz="8" w:space="0" w:color="auto"/>
            </w:tcBorders>
            <w:vAlign w:val="center"/>
          </w:tcPr>
          <w:p w14:paraId="6C6E7745" w14:textId="77777777" w:rsidR="00DC0C1C" w:rsidRPr="008E6967" w:rsidRDefault="00DC0C1C" w:rsidP="005C21D2">
            <w:r w:rsidRPr="00C83D8B">
              <w:rPr>
                <w:rFonts w:ascii="Calibri" w:eastAsia="Times New Roman" w:hAnsi="Calibri" w:cs="Calibri"/>
                <w:color w:val="000000"/>
                <w:sz w:val="20"/>
                <w:szCs w:val="20"/>
                <w:lang w:val="en-GB" w:eastAsia="en-AU"/>
              </w:rPr>
              <w:t> </w:t>
            </w:r>
          </w:p>
        </w:tc>
        <w:tc>
          <w:tcPr>
            <w:tcW w:w="1701" w:type="dxa"/>
            <w:tcBorders>
              <w:top w:val="single" w:sz="4" w:space="0" w:color="auto"/>
              <w:left w:val="nil"/>
              <w:bottom w:val="single" w:sz="8" w:space="0" w:color="auto"/>
              <w:right w:val="single" w:sz="8" w:space="0" w:color="auto"/>
            </w:tcBorders>
            <w:vAlign w:val="center"/>
          </w:tcPr>
          <w:p w14:paraId="64E28887" w14:textId="77777777" w:rsidR="00DC0C1C" w:rsidRPr="008E6967" w:rsidRDefault="00DC0C1C" w:rsidP="005C21D2">
            <w:pPr>
              <w:jc w:val="center"/>
            </w:pPr>
            <w:r w:rsidRPr="00C83D8B">
              <w:rPr>
                <w:rFonts w:ascii="Wingdings" w:eastAsia="Times New Roman" w:hAnsi="Wingdings" w:cs="Arial"/>
                <w:color w:val="000000"/>
                <w:sz w:val="20"/>
                <w:szCs w:val="20"/>
                <w:lang w:val="en-GB" w:eastAsia="en-AU"/>
              </w:rPr>
              <w:t></w:t>
            </w:r>
          </w:p>
        </w:tc>
        <w:tc>
          <w:tcPr>
            <w:tcW w:w="1701" w:type="dxa"/>
            <w:tcBorders>
              <w:top w:val="single" w:sz="4" w:space="0" w:color="auto"/>
              <w:left w:val="nil"/>
              <w:bottom w:val="single" w:sz="8" w:space="0" w:color="auto"/>
              <w:right w:val="single" w:sz="4" w:space="0" w:color="auto"/>
            </w:tcBorders>
            <w:vAlign w:val="center"/>
          </w:tcPr>
          <w:p w14:paraId="619C83A0" w14:textId="77777777" w:rsidR="00DC0C1C" w:rsidRPr="008E6967" w:rsidRDefault="00DC0C1C" w:rsidP="005C21D2">
            <w:r w:rsidRPr="00C83D8B">
              <w:rPr>
                <w:rFonts w:ascii="Calibri" w:eastAsia="Times New Roman" w:hAnsi="Calibri" w:cs="Calibri"/>
                <w:b/>
                <w:bCs/>
                <w:color w:val="000000"/>
                <w:sz w:val="20"/>
                <w:szCs w:val="20"/>
                <w:lang w:val="en-GB" w:eastAsia="en-AU"/>
              </w:rPr>
              <w:t> </w:t>
            </w:r>
          </w:p>
        </w:tc>
      </w:tr>
      <w:tr w:rsidR="00DC0C1C" w:rsidRPr="008E6967" w14:paraId="18486838" w14:textId="77777777" w:rsidTr="005C21D2">
        <w:tc>
          <w:tcPr>
            <w:tcW w:w="4531" w:type="dxa"/>
            <w:tcBorders>
              <w:top w:val="single" w:sz="8" w:space="0" w:color="auto"/>
              <w:left w:val="single" w:sz="4" w:space="0" w:color="auto"/>
              <w:bottom w:val="single" w:sz="8" w:space="0" w:color="auto"/>
              <w:right w:val="single" w:sz="8" w:space="0" w:color="auto"/>
            </w:tcBorders>
            <w:vAlign w:val="bottom"/>
          </w:tcPr>
          <w:p w14:paraId="5D44AE7A" w14:textId="77777777" w:rsidR="00DC0C1C" w:rsidRPr="00C83D8B" w:rsidRDefault="00DC0C1C" w:rsidP="005C21D2">
            <w:pPr>
              <w:rPr>
                <w:rFonts w:ascii="Arial Narrow" w:eastAsia="Times New Roman" w:hAnsi="Arial Narrow" w:cs="Arial"/>
                <w:color w:val="000000"/>
                <w:sz w:val="20"/>
                <w:szCs w:val="20"/>
                <w:lang w:val="en-GB" w:eastAsia="en-AU"/>
              </w:rPr>
            </w:pPr>
            <w:r w:rsidRPr="00C83D8B">
              <w:rPr>
                <w:rFonts w:ascii="Arial Narrow" w:eastAsia="Times New Roman" w:hAnsi="Arial Narrow" w:cs="Arial"/>
                <w:color w:val="000000"/>
                <w:sz w:val="20"/>
                <w:szCs w:val="20"/>
                <w:lang w:val="en-GB" w:eastAsia="en-AU"/>
              </w:rPr>
              <w:t xml:space="preserve">1.5 Qualifications and Certification </w:t>
            </w:r>
            <w:r>
              <w:rPr>
                <w:rFonts w:ascii="Arial Narrow" w:eastAsia="Times New Roman" w:hAnsi="Arial Narrow" w:cs="Arial"/>
                <w:color w:val="000000"/>
                <w:sz w:val="20"/>
                <w:szCs w:val="20"/>
                <w:lang w:val="en-GB" w:eastAsia="en-AU"/>
              </w:rPr>
              <w:t>(1.5.3 only)</w:t>
            </w:r>
          </w:p>
        </w:tc>
        <w:tc>
          <w:tcPr>
            <w:tcW w:w="1560" w:type="dxa"/>
            <w:tcBorders>
              <w:top w:val="single" w:sz="8" w:space="0" w:color="auto"/>
              <w:left w:val="nil"/>
              <w:bottom w:val="single" w:sz="8" w:space="0" w:color="auto"/>
              <w:right w:val="single" w:sz="8" w:space="0" w:color="auto"/>
            </w:tcBorders>
            <w:vAlign w:val="center"/>
          </w:tcPr>
          <w:p w14:paraId="2EE66E44" w14:textId="77777777" w:rsidR="00DC0C1C" w:rsidRPr="00C83D8B" w:rsidRDefault="00DC0C1C" w:rsidP="005C21D2">
            <w:pPr>
              <w:rPr>
                <w:rFonts w:ascii="Calibri" w:eastAsia="Times New Roman" w:hAnsi="Calibri" w:cs="Calibri"/>
                <w:color w:val="000000"/>
                <w:sz w:val="20"/>
                <w:szCs w:val="20"/>
                <w:lang w:val="en-GB" w:eastAsia="en-AU"/>
              </w:rPr>
            </w:pPr>
            <w:r w:rsidRPr="00C83D8B">
              <w:rPr>
                <w:rFonts w:ascii="Calibri" w:eastAsia="Times New Roman" w:hAnsi="Calibri" w:cs="Calibri"/>
                <w:color w:val="000000"/>
                <w:sz w:val="20"/>
                <w:szCs w:val="20"/>
                <w:lang w:val="en-GB" w:eastAsia="en-AU"/>
              </w:rPr>
              <w:t> </w:t>
            </w:r>
          </w:p>
        </w:tc>
        <w:tc>
          <w:tcPr>
            <w:tcW w:w="1701" w:type="dxa"/>
            <w:tcBorders>
              <w:top w:val="single" w:sz="8" w:space="0" w:color="auto"/>
              <w:left w:val="nil"/>
              <w:bottom w:val="single" w:sz="8" w:space="0" w:color="auto"/>
              <w:right w:val="single" w:sz="8" w:space="0" w:color="auto"/>
            </w:tcBorders>
            <w:vAlign w:val="center"/>
          </w:tcPr>
          <w:p w14:paraId="5920E86A" w14:textId="77777777" w:rsidR="00DC0C1C" w:rsidRPr="00C83D8B" w:rsidRDefault="00DC0C1C" w:rsidP="005C21D2">
            <w:pPr>
              <w:jc w:val="center"/>
              <w:rPr>
                <w:rFonts w:ascii="Wingdings" w:eastAsia="Times New Roman" w:hAnsi="Wingdings" w:cs="Arial"/>
                <w:color w:val="000000"/>
                <w:sz w:val="20"/>
                <w:szCs w:val="20"/>
                <w:lang w:val="en-GB" w:eastAsia="en-AU"/>
              </w:rPr>
            </w:pPr>
            <w:r w:rsidRPr="00C83D8B">
              <w:rPr>
                <w:rFonts w:ascii="Wingdings" w:eastAsia="Times New Roman" w:hAnsi="Wingdings" w:cs="Arial"/>
                <w:color w:val="000000"/>
                <w:sz w:val="20"/>
                <w:szCs w:val="20"/>
                <w:lang w:val="en-GB" w:eastAsia="en-AU"/>
              </w:rPr>
              <w:t></w:t>
            </w:r>
          </w:p>
        </w:tc>
        <w:tc>
          <w:tcPr>
            <w:tcW w:w="1701" w:type="dxa"/>
            <w:tcBorders>
              <w:top w:val="single" w:sz="8" w:space="0" w:color="auto"/>
              <w:left w:val="nil"/>
              <w:bottom w:val="single" w:sz="8" w:space="0" w:color="auto"/>
              <w:right w:val="single" w:sz="4" w:space="0" w:color="auto"/>
            </w:tcBorders>
            <w:vAlign w:val="center"/>
          </w:tcPr>
          <w:p w14:paraId="5E810FCF" w14:textId="77777777" w:rsidR="00DC0C1C" w:rsidRPr="00C83D8B" w:rsidRDefault="00DC0C1C" w:rsidP="005C21D2">
            <w:pPr>
              <w:rPr>
                <w:rFonts w:ascii="Calibri" w:eastAsia="Times New Roman" w:hAnsi="Calibri" w:cs="Calibri"/>
                <w:b/>
                <w:bCs/>
                <w:color w:val="000000"/>
                <w:sz w:val="20"/>
                <w:szCs w:val="20"/>
                <w:lang w:val="en-GB" w:eastAsia="en-AU"/>
              </w:rPr>
            </w:pPr>
            <w:r w:rsidRPr="00C83D8B">
              <w:rPr>
                <w:rFonts w:ascii="Calibri" w:eastAsia="Times New Roman" w:hAnsi="Calibri" w:cs="Calibri"/>
                <w:b/>
                <w:bCs/>
                <w:color w:val="000000"/>
                <w:sz w:val="20"/>
                <w:szCs w:val="20"/>
                <w:lang w:val="en-GB" w:eastAsia="en-AU"/>
              </w:rPr>
              <w:t> </w:t>
            </w:r>
          </w:p>
        </w:tc>
      </w:tr>
      <w:tr w:rsidR="00DC0C1C" w:rsidRPr="008E6967" w14:paraId="340EC85D" w14:textId="77777777" w:rsidTr="005C21D2">
        <w:trPr>
          <w:trHeight w:val="444"/>
        </w:trPr>
        <w:tc>
          <w:tcPr>
            <w:tcW w:w="9493" w:type="dxa"/>
            <w:gridSpan w:val="4"/>
            <w:tcBorders>
              <w:left w:val="single" w:sz="4" w:space="0" w:color="auto"/>
              <w:right w:val="single" w:sz="4" w:space="0" w:color="auto"/>
            </w:tcBorders>
            <w:vAlign w:val="center"/>
          </w:tcPr>
          <w:p w14:paraId="2CD2F507" w14:textId="77777777" w:rsidR="00DC0C1C" w:rsidRPr="008E6967" w:rsidRDefault="00DC0C1C" w:rsidP="005C21D2">
            <w:pPr>
              <w:jc w:val="center"/>
            </w:pPr>
            <w:r w:rsidRPr="00421D05">
              <w:rPr>
                <w:rFonts w:ascii="Arial Narrow" w:eastAsia="Times New Roman" w:hAnsi="Arial Narrow" w:cs="Arial"/>
                <w:b/>
                <w:bCs/>
                <w:color w:val="000000"/>
                <w:sz w:val="20"/>
                <w:szCs w:val="20"/>
                <w:lang w:val="en-GB" w:eastAsia="en-AU"/>
              </w:rPr>
              <w:t>3. Teaching</w:t>
            </w:r>
          </w:p>
        </w:tc>
      </w:tr>
      <w:tr w:rsidR="00DC0C1C" w:rsidRPr="008E6967" w14:paraId="1255AF49" w14:textId="77777777" w:rsidTr="005C21D2">
        <w:tc>
          <w:tcPr>
            <w:tcW w:w="4531" w:type="dxa"/>
            <w:tcBorders>
              <w:top w:val="single" w:sz="8" w:space="0" w:color="auto"/>
              <w:left w:val="single" w:sz="4" w:space="0" w:color="auto"/>
              <w:bottom w:val="single" w:sz="8" w:space="0" w:color="auto"/>
              <w:right w:val="single" w:sz="8" w:space="0" w:color="auto"/>
            </w:tcBorders>
            <w:vAlign w:val="bottom"/>
          </w:tcPr>
          <w:p w14:paraId="362961D1" w14:textId="77777777" w:rsidR="00DC0C1C" w:rsidRPr="00C83D8B" w:rsidRDefault="00DC0C1C" w:rsidP="005C21D2">
            <w:pPr>
              <w:rPr>
                <w:rFonts w:ascii="Arial Narrow" w:eastAsia="Times New Roman" w:hAnsi="Arial Narrow" w:cs="Arial"/>
                <w:color w:val="000000"/>
                <w:sz w:val="20"/>
                <w:szCs w:val="20"/>
                <w:lang w:val="en-GB" w:eastAsia="en-AU"/>
              </w:rPr>
            </w:pPr>
            <w:r w:rsidRPr="00C83D8B">
              <w:rPr>
                <w:rFonts w:ascii="Arial Narrow" w:eastAsia="Times New Roman" w:hAnsi="Arial Narrow" w:cs="Arial"/>
                <w:color w:val="000000"/>
                <w:sz w:val="20"/>
                <w:szCs w:val="20"/>
                <w:lang w:val="en-GB" w:eastAsia="en-AU"/>
              </w:rPr>
              <w:t xml:space="preserve">3.1 Course Design </w:t>
            </w:r>
          </w:p>
        </w:tc>
        <w:tc>
          <w:tcPr>
            <w:tcW w:w="1560" w:type="dxa"/>
            <w:tcBorders>
              <w:top w:val="single" w:sz="8" w:space="0" w:color="auto"/>
              <w:left w:val="nil"/>
              <w:bottom w:val="single" w:sz="8" w:space="0" w:color="auto"/>
              <w:right w:val="single" w:sz="8" w:space="0" w:color="auto"/>
            </w:tcBorders>
            <w:vAlign w:val="center"/>
          </w:tcPr>
          <w:p w14:paraId="6C9A5415" w14:textId="77777777" w:rsidR="00DC0C1C" w:rsidRPr="00C83D8B" w:rsidRDefault="00DC0C1C" w:rsidP="005C21D2">
            <w:pPr>
              <w:rPr>
                <w:rFonts w:ascii="Calibri" w:eastAsia="Times New Roman" w:hAnsi="Calibri" w:cs="Calibri"/>
                <w:color w:val="000000"/>
                <w:sz w:val="20"/>
                <w:szCs w:val="20"/>
                <w:lang w:val="en-GB" w:eastAsia="en-AU"/>
              </w:rPr>
            </w:pPr>
            <w:r w:rsidRPr="00C83D8B">
              <w:rPr>
                <w:rFonts w:ascii="Calibri" w:eastAsia="Times New Roman" w:hAnsi="Calibri" w:cs="Calibri"/>
                <w:color w:val="000000"/>
                <w:sz w:val="20"/>
                <w:szCs w:val="20"/>
                <w:lang w:val="en-GB" w:eastAsia="en-AU"/>
              </w:rPr>
              <w:t> </w:t>
            </w:r>
          </w:p>
        </w:tc>
        <w:tc>
          <w:tcPr>
            <w:tcW w:w="1701" w:type="dxa"/>
            <w:tcBorders>
              <w:top w:val="single" w:sz="8" w:space="0" w:color="auto"/>
              <w:left w:val="nil"/>
              <w:bottom w:val="single" w:sz="8" w:space="0" w:color="auto"/>
              <w:right w:val="single" w:sz="8" w:space="0" w:color="auto"/>
            </w:tcBorders>
            <w:vAlign w:val="center"/>
          </w:tcPr>
          <w:p w14:paraId="77989C91" w14:textId="77777777" w:rsidR="00DC0C1C" w:rsidRPr="00C83D8B" w:rsidRDefault="00DC0C1C" w:rsidP="005C21D2">
            <w:pPr>
              <w:jc w:val="center"/>
              <w:rPr>
                <w:rFonts w:ascii="Wingdings" w:eastAsia="Times New Roman" w:hAnsi="Wingdings" w:cs="Arial"/>
                <w:color w:val="000000"/>
                <w:sz w:val="20"/>
                <w:szCs w:val="20"/>
                <w:lang w:val="en-GB" w:eastAsia="en-AU"/>
              </w:rPr>
            </w:pPr>
            <w:r w:rsidRPr="00C83D8B">
              <w:rPr>
                <w:rFonts w:ascii="Wingdings" w:eastAsia="Times New Roman" w:hAnsi="Wingdings" w:cs="Arial"/>
                <w:color w:val="000000"/>
                <w:sz w:val="20"/>
                <w:szCs w:val="20"/>
                <w:lang w:val="en-GB" w:eastAsia="en-AU"/>
              </w:rPr>
              <w:t></w:t>
            </w:r>
          </w:p>
        </w:tc>
        <w:tc>
          <w:tcPr>
            <w:tcW w:w="1701" w:type="dxa"/>
            <w:tcBorders>
              <w:top w:val="single" w:sz="8" w:space="0" w:color="auto"/>
              <w:left w:val="nil"/>
              <w:bottom w:val="single" w:sz="8" w:space="0" w:color="auto"/>
              <w:right w:val="single" w:sz="4" w:space="0" w:color="auto"/>
            </w:tcBorders>
            <w:vAlign w:val="center"/>
          </w:tcPr>
          <w:p w14:paraId="34BB5918" w14:textId="77777777" w:rsidR="00DC0C1C" w:rsidRPr="00C83D8B" w:rsidRDefault="00DC0C1C" w:rsidP="005C21D2">
            <w:pPr>
              <w:rPr>
                <w:rFonts w:ascii="Calibri" w:eastAsia="Times New Roman" w:hAnsi="Calibri" w:cs="Calibri"/>
                <w:b/>
                <w:bCs/>
                <w:color w:val="000000"/>
                <w:sz w:val="20"/>
                <w:szCs w:val="20"/>
                <w:lang w:val="en-GB" w:eastAsia="en-AU"/>
              </w:rPr>
            </w:pPr>
            <w:r w:rsidRPr="00C83D8B">
              <w:rPr>
                <w:rFonts w:ascii="Calibri" w:eastAsia="Times New Roman" w:hAnsi="Calibri" w:cs="Calibri"/>
                <w:b/>
                <w:bCs/>
                <w:color w:val="000000"/>
                <w:sz w:val="20"/>
                <w:szCs w:val="20"/>
                <w:lang w:val="en-GB" w:eastAsia="en-AU"/>
              </w:rPr>
              <w:t> </w:t>
            </w:r>
          </w:p>
        </w:tc>
      </w:tr>
      <w:tr w:rsidR="00DC0C1C" w:rsidRPr="008E6967" w14:paraId="145E7499" w14:textId="77777777" w:rsidTr="005C21D2">
        <w:tc>
          <w:tcPr>
            <w:tcW w:w="4531" w:type="dxa"/>
            <w:tcBorders>
              <w:top w:val="single" w:sz="8" w:space="0" w:color="auto"/>
              <w:left w:val="single" w:sz="4" w:space="0" w:color="auto"/>
              <w:bottom w:val="single" w:sz="8" w:space="0" w:color="auto"/>
              <w:right w:val="single" w:sz="8" w:space="0" w:color="auto"/>
            </w:tcBorders>
            <w:vAlign w:val="bottom"/>
          </w:tcPr>
          <w:p w14:paraId="7C323485" w14:textId="77777777" w:rsidR="00DC0C1C" w:rsidRPr="00C83D8B" w:rsidRDefault="00DC0C1C" w:rsidP="005C21D2">
            <w:pPr>
              <w:rPr>
                <w:rFonts w:ascii="Arial Narrow" w:eastAsia="Times New Roman" w:hAnsi="Arial Narrow" w:cs="Arial"/>
                <w:color w:val="000000"/>
                <w:sz w:val="20"/>
                <w:szCs w:val="20"/>
                <w:lang w:val="en-GB" w:eastAsia="en-AU"/>
              </w:rPr>
            </w:pPr>
            <w:r>
              <w:rPr>
                <w:rFonts w:ascii="Arial Narrow" w:eastAsia="Times New Roman" w:hAnsi="Arial Narrow" w:cs="Arial"/>
                <w:color w:val="000000"/>
                <w:sz w:val="20"/>
                <w:szCs w:val="20"/>
                <w:lang w:val="en-GB" w:eastAsia="en-AU"/>
              </w:rPr>
              <w:t>3.2 Staffing (3.2.1-3 and 3.2.5 for all providers and 3.2.4 only if applicable)</w:t>
            </w:r>
          </w:p>
        </w:tc>
        <w:tc>
          <w:tcPr>
            <w:tcW w:w="1560" w:type="dxa"/>
            <w:tcBorders>
              <w:top w:val="single" w:sz="8" w:space="0" w:color="auto"/>
              <w:left w:val="nil"/>
              <w:bottom w:val="single" w:sz="8" w:space="0" w:color="auto"/>
              <w:right w:val="single" w:sz="8" w:space="0" w:color="auto"/>
            </w:tcBorders>
            <w:vAlign w:val="center"/>
          </w:tcPr>
          <w:p w14:paraId="2D15CA94" w14:textId="77777777" w:rsidR="00DC0C1C" w:rsidRPr="00C83D8B" w:rsidRDefault="00DC0C1C" w:rsidP="005C21D2">
            <w:pPr>
              <w:rPr>
                <w:rFonts w:ascii="Calibri" w:eastAsia="Times New Roman" w:hAnsi="Calibri" w:cs="Calibri"/>
                <w:color w:val="000000"/>
                <w:sz w:val="20"/>
                <w:szCs w:val="20"/>
                <w:lang w:val="en-GB" w:eastAsia="en-AU"/>
              </w:rPr>
            </w:pPr>
            <w:r w:rsidRPr="00C83D8B">
              <w:rPr>
                <w:rFonts w:ascii="Calibri" w:eastAsia="Times New Roman" w:hAnsi="Calibri" w:cs="Calibri"/>
                <w:color w:val="000000"/>
                <w:sz w:val="20"/>
                <w:szCs w:val="20"/>
                <w:lang w:val="en-GB" w:eastAsia="en-AU"/>
              </w:rPr>
              <w:t> </w:t>
            </w:r>
          </w:p>
        </w:tc>
        <w:tc>
          <w:tcPr>
            <w:tcW w:w="1701" w:type="dxa"/>
            <w:tcBorders>
              <w:top w:val="single" w:sz="8" w:space="0" w:color="auto"/>
              <w:left w:val="nil"/>
              <w:bottom w:val="single" w:sz="8" w:space="0" w:color="auto"/>
              <w:right w:val="single" w:sz="8" w:space="0" w:color="auto"/>
            </w:tcBorders>
            <w:vAlign w:val="center"/>
          </w:tcPr>
          <w:p w14:paraId="380957C6" w14:textId="77777777" w:rsidR="00DC0C1C" w:rsidRPr="00C83D8B" w:rsidRDefault="00DC0C1C" w:rsidP="005C21D2">
            <w:pPr>
              <w:jc w:val="center"/>
              <w:rPr>
                <w:rFonts w:ascii="Wingdings" w:eastAsia="Times New Roman" w:hAnsi="Wingdings" w:cs="Arial"/>
                <w:color w:val="000000"/>
                <w:sz w:val="20"/>
                <w:szCs w:val="20"/>
                <w:lang w:val="en-GB" w:eastAsia="en-AU"/>
              </w:rPr>
            </w:pPr>
            <w:r w:rsidRPr="00C83D8B">
              <w:rPr>
                <w:rFonts w:ascii="Wingdings" w:eastAsia="Times New Roman" w:hAnsi="Wingdings" w:cs="Arial"/>
                <w:color w:val="000000"/>
                <w:sz w:val="20"/>
                <w:szCs w:val="20"/>
                <w:lang w:val="en-GB" w:eastAsia="en-AU"/>
              </w:rPr>
              <w:t></w:t>
            </w:r>
          </w:p>
        </w:tc>
        <w:tc>
          <w:tcPr>
            <w:tcW w:w="1701" w:type="dxa"/>
            <w:tcBorders>
              <w:top w:val="single" w:sz="8" w:space="0" w:color="auto"/>
              <w:left w:val="nil"/>
              <w:bottom w:val="single" w:sz="8" w:space="0" w:color="auto"/>
              <w:right w:val="single" w:sz="4" w:space="0" w:color="auto"/>
            </w:tcBorders>
            <w:vAlign w:val="center"/>
          </w:tcPr>
          <w:p w14:paraId="59790FC2" w14:textId="77777777" w:rsidR="00DC0C1C" w:rsidRPr="00C83D8B" w:rsidRDefault="00DC0C1C" w:rsidP="005C21D2">
            <w:pPr>
              <w:rPr>
                <w:rFonts w:ascii="Calibri" w:eastAsia="Times New Roman" w:hAnsi="Calibri" w:cs="Calibri"/>
                <w:b/>
                <w:bCs/>
                <w:color w:val="000000"/>
                <w:sz w:val="20"/>
                <w:szCs w:val="20"/>
                <w:lang w:val="en-GB" w:eastAsia="en-AU"/>
              </w:rPr>
            </w:pPr>
            <w:r w:rsidRPr="00C83D8B">
              <w:rPr>
                <w:rFonts w:ascii="Calibri" w:eastAsia="Times New Roman" w:hAnsi="Calibri" w:cs="Calibri"/>
                <w:b/>
                <w:bCs/>
                <w:color w:val="000000"/>
                <w:sz w:val="20"/>
                <w:szCs w:val="20"/>
                <w:lang w:val="en-GB" w:eastAsia="en-AU"/>
              </w:rPr>
              <w:t> </w:t>
            </w:r>
          </w:p>
        </w:tc>
      </w:tr>
      <w:tr w:rsidR="00DC0C1C" w:rsidRPr="008E6967" w14:paraId="08D8A96C" w14:textId="77777777" w:rsidTr="005C21D2">
        <w:trPr>
          <w:trHeight w:val="444"/>
        </w:trPr>
        <w:tc>
          <w:tcPr>
            <w:tcW w:w="9493" w:type="dxa"/>
            <w:gridSpan w:val="4"/>
            <w:tcBorders>
              <w:left w:val="single" w:sz="4" w:space="0" w:color="auto"/>
              <w:right w:val="single" w:sz="4" w:space="0" w:color="auto"/>
            </w:tcBorders>
            <w:vAlign w:val="center"/>
          </w:tcPr>
          <w:p w14:paraId="06ABD35F" w14:textId="77777777" w:rsidR="00DC0C1C" w:rsidRPr="008E6967" w:rsidRDefault="00DC0C1C" w:rsidP="005C21D2">
            <w:pPr>
              <w:jc w:val="center"/>
            </w:pPr>
            <w:r w:rsidRPr="00421D05">
              <w:rPr>
                <w:rFonts w:ascii="Arial Narrow" w:eastAsia="Times New Roman" w:hAnsi="Arial Narrow" w:cs="Arial"/>
                <w:b/>
                <w:bCs/>
                <w:color w:val="000000"/>
                <w:sz w:val="20"/>
                <w:szCs w:val="20"/>
                <w:lang w:val="en-GB" w:eastAsia="en-AU"/>
              </w:rPr>
              <w:t>4. Research and Research Training</w:t>
            </w:r>
          </w:p>
        </w:tc>
      </w:tr>
      <w:tr w:rsidR="00DC0C1C" w:rsidRPr="008E6967" w14:paraId="7A423E19" w14:textId="77777777" w:rsidTr="005C21D2">
        <w:tc>
          <w:tcPr>
            <w:tcW w:w="4531" w:type="dxa"/>
            <w:tcBorders>
              <w:top w:val="single" w:sz="8" w:space="0" w:color="auto"/>
              <w:left w:val="single" w:sz="4" w:space="0" w:color="auto"/>
              <w:bottom w:val="single" w:sz="8" w:space="0" w:color="auto"/>
              <w:right w:val="single" w:sz="8" w:space="0" w:color="auto"/>
            </w:tcBorders>
          </w:tcPr>
          <w:p w14:paraId="7AE859C4" w14:textId="77777777" w:rsidR="00DC0C1C" w:rsidRPr="00C83D8B" w:rsidRDefault="00DC0C1C" w:rsidP="005C21D2">
            <w:pPr>
              <w:rPr>
                <w:rFonts w:ascii="Arial Narrow" w:eastAsia="Times New Roman" w:hAnsi="Arial Narrow" w:cs="Arial"/>
                <w:color w:val="000000"/>
                <w:sz w:val="20"/>
                <w:szCs w:val="20"/>
                <w:lang w:val="en-GB" w:eastAsia="en-AU"/>
              </w:rPr>
            </w:pPr>
            <w:r w:rsidRPr="000B074D">
              <w:t>4.2 Research Training (4.2.2-5 only)</w:t>
            </w:r>
          </w:p>
        </w:tc>
        <w:tc>
          <w:tcPr>
            <w:tcW w:w="1560" w:type="dxa"/>
            <w:tcBorders>
              <w:top w:val="single" w:sz="8" w:space="0" w:color="auto"/>
              <w:left w:val="nil"/>
              <w:bottom w:val="single" w:sz="8" w:space="0" w:color="auto"/>
              <w:right w:val="single" w:sz="8" w:space="0" w:color="auto"/>
            </w:tcBorders>
          </w:tcPr>
          <w:p w14:paraId="3EC8A39F" w14:textId="77777777" w:rsidR="00DC0C1C" w:rsidRPr="00C83D8B" w:rsidRDefault="00DC0C1C" w:rsidP="005C21D2">
            <w:pPr>
              <w:rPr>
                <w:rFonts w:ascii="Calibri" w:eastAsia="Times New Roman" w:hAnsi="Calibri" w:cs="Calibri"/>
                <w:color w:val="000000"/>
                <w:sz w:val="20"/>
                <w:szCs w:val="20"/>
                <w:lang w:val="en-GB" w:eastAsia="en-AU"/>
              </w:rPr>
            </w:pPr>
            <w:r w:rsidRPr="000B074D">
              <w:t xml:space="preserve"> </w:t>
            </w:r>
          </w:p>
        </w:tc>
        <w:tc>
          <w:tcPr>
            <w:tcW w:w="1701" w:type="dxa"/>
            <w:tcBorders>
              <w:top w:val="single" w:sz="8" w:space="0" w:color="auto"/>
              <w:left w:val="nil"/>
              <w:bottom w:val="single" w:sz="8" w:space="0" w:color="auto"/>
              <w:right w:val="single" w:sz="8" w:space="0" w:color="auto"/>
            </w:tcBorders>
          </w:tcPr>
          <w:p w14:paraId="3239E880" w14:textId="77777777" w:rsidR="00DC0C1C" w:rsidRPr="00C83D8B" w:rsidRDefault="00DC0C1C" w:rsidP="005C21D2">
            <w:pPr>
              <w:jc w:val="center"/>
              <w:rPr>
                <w:rFonts w:ascii="Wingdings" w:eastAsia="Times New Roman" w:hAnsi="Wingdings" w:cs="Arial"/>
                <w:color w:val="000000"/>
                <w:sz w:val="20"/>
                <w:szCs w:val="20"/>
                <w:lang w:val="en-GB" w:eastAsia="en-AU"/>
              </w:rPr>
            </w:pPr>
            <w:r w:rsidRPr="00C83D8B">
              <w:rPr>
                <w:rFonts w:ascii="Wingdings" w:eastAsia="Times New Roman" w:hAnsi="Wingdings" w:cs="Arial"/>
                <w:color w:val="000000"/>
                <w:sz w:val="20"/>
                <w:szCs w:val="20"/>
                <w:lang w:val="en-GB" w:eastAsia="en-AU"/>
              </w:rPr>
              <w:t></w:t>
            </w:r>
          </w:p>
        </w:tc>
        <w:tc>
          <w:tcPr>
            <w:tcW w:w="1701" w:type="dxa"/>
            <w:tcBorders>
              <w:top w:val="single" w:sz="8" w:space="0" w:color="auto"/>
              <w:left w:val="nil"/>
              <w:bottom w:val="single" w:sz="8" w:space="0" w:color="auto"/>
              <w:right w:val="single" w:sz="4" w:space="0" w:color="auto"/>
            </w:tcBorders>
          </w:tcPr>
          <w:p w14:paraId="729932E4" w14:textId="77777777" w:rsidR="00DC0C1C" w:rsidRPr="00C83D8B" w:rsidRDefault="00DC0C1C" w:rsidP="005C21D2">
            <w:pPr>
              <w:rPr>
                <w:rFonts w:ascii="Calibri" w:eastAsia="Times New Roman" w:hAnsi="Calibri" w:cs="Calibri"/>
                <w:b/>
                <w:bCs/>
                <w:color w:val="000000"/>
                <w:sz w:val="20"/>
                <w:szCs w:val="20"/>
                <w:lang w:val="en-GB" w:eastAsia="en-AU"/>
              </w:rPr>
            </w:pPr>
            <w:r w:rsidRPr="000B074D">
              <w:t xml:space="preserve"> </w:t>
            </w:r>
          </w:p>
        </w:tc>
      </w:tr>
      <w:tr w:rsidR="00DC0C1C" w:rsidRPr="008E6967" w14:paraId="15808590" w14:textId="77777777" w:rsidTr="005C21D2">
        <w:trPr>
          <w:trHeight w:val="444"/>
        </w:trPr>
        <w:tc>
          <w:tcPr>
            <w:tcW w:w="9493" w:type="dxa"/>
            <w:gridSpan w:val="4"/>
            <w:tcBorders>
              <w:left w:val="single" w:sz="4" w:space="0" w:color="auto"/>
              <w:right w:val="single" w:sz="4" w:space="0" w:color="auto"/>
            </w:tcBorders>
            <w:vAlign w:val="center"/>
          </w:tcPr>
          <w:p w14:paraId="5A554D3A" w14:textId="77777777" w:rsidR="00DC0C1C" w:rsidRPr="008E6967" w:rsidRDefault="00DC0C1C" w:rsidP="005C21D2">
            <w:pPr>
              <w:jc w:val="center"/>
            </w:pPr>
            <w:r w:rsidRPr="00421D05">
              <w:rPr>
                <w:rFonts w:ascii="Arial Narrow" w:eastAsia="Times New Roman" w:hAnsi="Arial Narrow" w:cs="Arial"/>
                <w:b/>
                <w:bCs/>
                <w:color w:val="000000"/>
                <w:sz w:val="20"/>
                <w:szCs w:val="20"/>
                <w:lang w:val="en-GB" w:eastAsia="en-AU"/>
              </w:rPr>
              <w:t>5. Institutional Quality Assurance</w:t>
            </w:r>
          </w:p>
        </w:tc>
      </w:tr>
      <w:tr w:rsidR="00DC0C1C" w:rsidRPr="008E6967" w14:paraId="568D547E" w14:textId="77777777" w:rsidTr="005C21D2">
        <w:tc>
          <w:tcPr>
            <w:tcW w:w="4531" w:type="dxa"/>
            <w:tcBorders>
              <w:top w:val="single" w:sz="8" w:space="0" w:color="auto"/>
              <w:left w:val="single" w:sz="8" w:space="0" w:color="auto"/>
              <w:bottom w:val="single" w:sz="8" w:space="0" w:color="auto"/>
              <w:right w:val="single" w:sz="8" w:space="0" w:color="auto"/>
            </w:tcBorders>
            <w:vAlign w:val="bottom"/>
          </w:tcPr>
          <w:p w14:paraId="7E909078" w14:textId="77777777" w:rsidR="00DC0C1C" w:rsidRPr="00C83D8B" w:rsidRDefault="00DC0C1C" w:rsidP="005C21D2">
            <w:pPr>
              <w:rPr>
                <w:rFonts w:ascii="Arial Narrow" w:eastAsia="Times New Roman" w:hAnsi="Arial Narrow" w:cs="Arial"/>
                <w:color w:val="000000"/>
                <w:sz w:val="20"/>
                <w:szCs w:val="20"/>
                <w:lang w:val="en-GB" w:eastAsia="en-AU"/>
              </w:rPr>
            </w:pPr>
            <w:r w:rsidRPr="00C83D8B">
              <w:rPr>
                <w:rFonts w:ascii="Arial Narrow" w:eastAsia="Times New Roman" w:hAnsi="Arial Narrow" w:cs="Arial"/>
                <w:color w:val="000000"/>
                <w:sz w:val="20"/>
                <w:szCs w:val="20"/>
                <w:lang w:val="en-GB" w:eastAsia="en-AU"/>
              </w:rPr>
              <w:t>5.1 Co</w:t>
            </w:r>
            <w:r>
              <w:rPr>
                <w:rFonts w:ascii="Arial Narrow" w:eastAsia="Times New Roman" w:hAnsi="Arial Narrow" w:cs="Arial"/>
                <w:color w:val="000000"/>
                <w:sz w:val="20"/>
                <w:szCs w:val="20"/>
                <w:lang w:val="en-GB" w:eastAsia="en-AU"/>
              </w:rPr>
              <w:t>urse Approval and Accreditation</w:t>
            </w:r>
          </w:p>
        </w:tc>
        <w:tc>
          <w:tcPr>
            <w:tcW w:w="1560" w:type="dxa"/>
            <w:tcBorders>
              <w:top w:val="single" w:sz="8" w:space="0" w:color="auto"/>
              <w:left w:val="nil"/>
              <w:bottom w:val="single" w:sz="8" w:space="0" w:color="auto"/>
              <w:right w:val="single" w:sz="8" w:space="0" w:color="auto"/>
            </w:tcBorders>
            <w:vAlign w:val="center"/>
          </w:tcPr>
          <w:p w14:paraId="0B033D6A" w14:textId="77777777" w:rsidR="00DC0C1C" w:rsidRDefault="00DC0C1C" w:rsidP="005C21D2">
            <w:pPr>
              <w:spacing w:before="80" w:after="0"/>
              <w:jc w:val="center"/>
              <w:rPr>
                <w:rFonts w:ascii="Wingdings" w:eastAsia="Times New Roman" w:hAnsi="Wingdings" w:cs="Arial"/>
                <w:color w:val="000000"/>
                <w:sz w:val="20"/>
                <w:szCs w:val="20"/>
                <w:lang w:val="en-GB" w:eastAsia="en-AU"/>
              </w:rPr>
            </w:pPr>
            <w:r w:rsidRPr="00C83D8B">
              <w:rPr>
                <w:rFonts w:ascii="Wingdings" w:eastAsia="Times New Roman" w:hAnsi="Wingdings" w:cs="Arial"/>
                <w:color w:val="000000"/>
                <w:sz w:val="20"/>
                <w:szCs w:val="20"/>
                <w:lang w:val="en-GB" w:eastAsia="en-AU"/>
              </w:rPr>
              <w:t></w:t>
            </w:r>
          </w:p>
          <w:p w14:paraId="1657BBB1" w14:textId="77777777" w:rsidR="00DC0C1C" w:rsidRPr="00C83D8B" w:rsidRDefault="00DC0C1C" w:rsidP="005C21D2">
            <w:pPr>
              <w:jc w:val="center"/>
              <w:rPr>
                <w:rFonts w:ascii="Calibri" w:eastAsia="Times New Roman" w:hAnsi="Calibri" w:cs="Calibri"/>
                <w:color w:val="000000"/>
                <w:sz w:val="20"/>
                <w:szCs w:val="20"/>
                <w:lang w:val="en-GB" w:eastAsia="en-AU"/>
              </w:rPr>
            </w:pPr>
            <w:r>
              <w:rPr>
                <w:rFonts w:ascii="Arial Narrow" w:eastAsia="Times New Roman" w:hAnsi="Arial Narrow" w:cs="Arial"/>
                <w:color w:val="000000"/>
                <w:sz w:val="20"/>
                <w:szCs w:val="20"/>
                <w:lang w:val="en-GB" w:eastAsia="en-AU"/>
              </w:rPr>
              <w:t>(5.1.2 only)</w:t>
            </w:r>
          </w:p>
        </w:tc>
        <w:tc>
          <w:tcPr>
            <w:tcW w:w="1701" w:type="dxa"/>
            <w:tcBorders>
              <w:top w:val="single" w:sz="8" w:space="0" w:color="auto"/>
              <w:left w:val="nil"/>
              <w:bottom w:val="single" w:sz="8" w:space="0" w:color="auto"/>
              <w:right w:val="single" w:sz="8" w:space="0" w:color="auto"/>
            </w:tcBorders>
            <w:vAlign w:val="center"/>
          </w:tcPr>
          <w:p w14:paraId="3EC820E9" w14:textId="77777777" w:rsidR="00DC0C1C" w:rsidRDefault="00DC0C1C" w:rsidP="005C21D2">
            <w:pPr>
              <w:spacing w:before="0" w:after="0"/>
              <w:jc w:val="center"/>
              <w:rPr>
                <w:rFonts w:ascii="Wingdings" w:eastAsia="Times New Roman" w:hAnsi="Wingdings" w:cs="Arial"/>
                <w:color w:val="000000"/>
                <w:sz w:val="20"/>
                <w:szCs w:val="20"/>
                <w:lang w:val="en-GB" w:eastAsia="en-AU"/>
              </w:rPr>
            </w:pPr>
            <w:r w:rsidRPr="00C83D8B">
              <w:rPr>
                <w:rFonts w:ascii="Wingdings" w:eastAsia="Times New Roman" w:hAnsi="Wingdings" w:cs="Arial"/>
                <w:color w:val="000000"/>
                <w:sz w:val="20"/>
                <w:szCs w:val="20"/>
                <w:lang w:val="en-GB" w:eastAsia="en-AU"/>
              </w:rPr>
              <w:t></w:t>
            </w:r>
          </w:p>
          <w:p w14:paraId="1EA3598C" w14:textId="77777777" w:rsidR="00DC0C1C" w:rsidRPr="00C83D8B" w:rsidRDefault="00DC0C1C" w:rsidP="005C21D2">
            <w:pPr>
              <w:jc w:val="center"/>
              <w:rPr>
                <w:rFonts w:ascii="Wingdings" w:eastAsia="Times New Roman" w:hAnsi="Wingdings" w:cs="Arial"/>
                <w:color w:val="000000"/>
                <w:sz w:val="20"/>
                <w:szCs w:val="20"/>
                <w:lang w:val="en-GB" w:eastAsia="en-AU"/>
              </w:rPr>
            </w:pPr>
            <w:r>
              <w:rPr>
                <w:rFonts w:ascii="Arial Narrow" w:eastAsia="Times New Roman" w:hAnsi="Arial Narrow" w:cs="Arial"/>
                <w:color w:val="000000"/>
                <w:sz w:val="20"/>
                <w:szCs w:val="20"/>
                <w:lang w:val="en-GB" w:eastAsia="en-AU"/>
              </w:rPr>
              <w:t>(5.1.2-3 only)</w:t>
            </w:r>
          </w:p>
        </w:tc>
        <w:tc>
          <w:tcPr>
            <w:tcW w:w="1701" w:type="dxa"/>
            <w:tcBorders>
              <w:top w:val="single" w:sz="8" w:space="0" w:color="auto"/>
              <w:left w:val="nil"/>
              <w:bottom w:val="single" w:sz="8" w:space="0" w:color="auto"/>
              <w:right w:val="single" w:sz="8" w:space="0" w:color="auto"/>
            </w:tcBorders>
            <w:vAlign w:val="center"/>
          </w:tcPr>
          <w:p w14:paraId="7BAF0D99" w14:textId="77777777" w:rsidR="00DC0C1C" w:rsidRDefault="00DC0C1C" w:rsidP="005C21D2">
            <w:pPr>
              <w:spacing w:before="0" w:after="0"/>
              <w:jc w:val="center"/>
              <w:rPr>
                <w:rFonts w:ascii="Wingdings" w:eastAsia="Times New Roman" w:hAnsi="Wingdings" w:cs="Arial"/>
                <w:color w:val="000000"/>
                <w:sz w:val="20"/>
                <w:szCs w:val="20"/>
                <w:lang w:val="en-GB" w:eastAsia="en-AU"/>
              </w:rPr>
            </w:pPr>
            <w:r w:rsidRPr="00C83D8B">
              <w:rPr>
                <w:rFonts w:ascii="Wingdings" w:eastAsia="Times New Roman" w:hAnsi="Wingdings" w:cs="Arial"/>
                <w:color w:val="000000"/>
                <w:sz w:val="20"/>
                <w:szCs w:val="20"/>
                <w:lang w:val="en-GB" w:eastAsia="en-AU"/>
              </w:rPr>
              <w:t></w:t>
            </w:r>
          </w:p>
          <w:p w14:paraId="05A99A33" w14:textId="77777777" w:rsidR="00DC0C1C" w:rsidRPr="00C83D8B" w:rsidRDefault="00DC0C1C" w:rsidP="005C21D2">
            <w:pPr>
              <w:jc w:val="center"/>
              <w:rPr>
                <w:rFonts w:ascii="Calibri" w:eastAsia="Times New Roman" w:hAnsi="Calibri" w:cs="Calibri"/>
                <w:b/>
                <w:bCs/>
                <w:color w:val="000000"/>
                <w:sz w:val="20"/>
                <w:szCs w:val="20"/>
                <w:lang w:val="en-GB" w:eastAsia="en-AU"/>
              </w:rPr>
            </w:pPr>
            <w:r>
              <w:rPr>
                <w:rFonts w:ascii="Arial Narrow" w:eastAsia="Times New Roman" w:hAnsi="Arial Narrow" w:cs="Arial"/>
                <w:color w:val="000000"/>
                <w:sz w:val="20"/>
                <w:szCs w:val="20"/>
                <w:lang w:val="en-GB" w:eastAsia="en-AU"/>
              </w:rPr>
              <w:t>(5.1.3 only)</w:t>
            </w:r>
          </w:p>
        </w:tc>
      </w:tr>
      <w:tr w:rsidR="00DC0C1C" w:rsidRPr="008E6967" w14:paraId="661CCAD5" w14:textId="77777777" w:rsidTr="005C21D2">
        <w:tc>
          <w:tcPr>
            <w:tcW w:w="4531" w:type="dxa"/>
            <w:tcBorders>
              <w:top w:val="single" w:sz="8" w:space="0" w:color="auto"/>
              <w:left w:val="single" w:sz="8" w:space="0" w:color="auto"/>
              <w:bottom w:val="single" w:sz="8" w:space="0" w:color="auto"/>
              <w:right w:val="single" w:sz="8" w:space="0" w:color="auto"/>
            </w:tcBorders>
            <w:vAlign w:val="bottom"/>
          </w:tcPr>
          <w:p w14:paraId="06EF47EF" w14:textId="77777777" w:rsidR="00DC0C1C" w:rsidRPr="00C83D8B" w:rsidRDefault="00DC0C1C" w:rsidP="005C21D2">
            <w:pPr>
              <w:rPr>
                <w:rFonts w:ascii="Arial Narrow" w:eastAsia="Times New Roman" w:hAnsi="Arial Narrow" w:cs="Arial"/>
                <w:color w:val="000000"/>
                <w:sz w:val="20"/>
                <w:szCs w:val="20"/>
                <w:lang w:val="en-GB" w:eastAsia="en-AU"/>
              </w:rPr>
            </w:pPr>
            <w:r w:rsidRPr="00C83D8B">
              <w:rPr>
                <w:rFonts w:ascii="Arial Narrow" w:eastAsia="Times New Roman" w:hAnsi="Arial Narrow" w:cs="Arial"/>
                <w:color w:val="000000"/>
                <w:sz w:val="20"/>
                <w:szCs w:val="20"/>
                <w:lang w:val="en-GB" w:eastAsia="en-AU"/>
              </w:rPr>
              <w:t xml:space="preserve">5.2 Academic and Research Integrity </w:t>
            </w:r>
          </w:p>
        </w:tc>
        <w:tc>
          <w:tcPr>
            <w:tcW w:w="1560" w:type="dxa"/>
            <w:tcBorders>
              <w:top w:val="single" w:sz="8" w:space="0" w:color="auto"/>
              <w:left w:val="nil"/>
              <w:bottom w:val="single" w:sz="8" w:space="0" w:color="auto"/>
              <w:right w:val="single" w:sz="8" w:space="0" w:color="auto"/>
            </w:tcBorders>
            <w:vAlign w:val="center"/>
          </w:tcPr>
          <w:p w14:paraId="24A74D5B" w14:textId="77777777" w:rsidR="00DC0C1C" w:rsidRPr="00C83D8B" w:rsidRDefault="00DC0C1C" w:rsidP="005C21D2">
            <w:pPr>
              <w:jc w:val="center"/>
              <w:rPr>
                <w:rFonts w:ascii="Calibri" w:eastAsia="Times New Roman" w:hAnsi="Calibri" w:cs="Calibri"/>
                <w:color w:val="000000"/>
                <w:sz w:val="20"/>
                <w:szCs w:val="20"/>
                <w:lang w:val="en-GB" w:eastAsia="en-AU"/>
              </w:rPr>
            </w:pPr>
            <w:r w:rsidRPr="00C83D8B">
              <w:rPr>
                <w:rFonts w:ascii="Wingdings" w:eastAsia="Times New Roman" w:hAnsi="Wingdings" w:cs="Arial"/>
                <w:color w:val="000000"/>
                <w:sz w:val="20"/>
                <w:szCs w:val="20"/>
                <w:lang w:val="en-GB" w:eastAsia="en-AU"/>
              </w:rPr>
              <w:t></w:t>
            </w:r>
          </w:p>
        </w:tc>
        <w:tc>
          <w:tcPr>
            <w:tcW w:w="1701" w:type="dxa"/>
            <w:tcBorders>
              <w:top w:val="single" w:sz="8" w:space="0" w:color="auto"/>
              <w:left w:val="nil"/>
              <w:bottom w:val="single" w:sz="8" w:space="0" w:color="auto"/>
              <w:right w:val="single" w:sz="8" w:space="0" w:color="auto"/>
            </w:tcBorders>
            <w:vAlign w:val="center"/>
          </w:tcPr>
          <w:p w14:paraId="414F5202" w14:textId="77777777" w:rsidR="00DC0C1C" w:rsidRPr="00C83D8B" w:rsidRDefault="00DC0C1C" w:rsidP="005C21D2">
            <w:pPr>
              <w:jc w:val="center"/>
              <w:rPr>
                <w:rFonts w:ascii="Wingdings" w:eastAsia="Times New Roman" w:hAnsi="Wingdings" w:cs="Arial"/>
                <w:color w:val="000000"/>
                <w:sz w:val="20"/>
                <w:szCs w:val="20"/>
                <w:lang w:val="en-GB" w:eastAsia="en-AU"/>
              </w:rPr>
            </w:pPr>
          </w:p>
        </w:tc>
        <w:tc>
          <w:tcPr>
            <w:tcW w:w="1701" w:type="dxa"/>
            <w:tcBorders>
              <w:top w:val="single" w:sz="8" w:space="0" w:color="auto"/>
              <w:left w:val="nil"/>
              <w:bottom w:val="single" w:sz="8" w:space="0" w:color="auto"/>
              <w:right w:val="single" w:sz="8" w:space="0" w:color="auto"/>
            </w:tcBorders>
            <w:vAlign w:val="center"/>
          </w:tcPr>
          <w:p w14:paraId="1B09E82D" w14:textId="77777777" w:rsidR="00DC0C1C" w:rsidRPr="00C83D8B" w:rsidRDefault="00DC0C1C" w:rsidP="005C21D2">
            <w:pPr>
              <w:jc w:val="center"/>
              <w:rPr>
                <w:rFonts w:ascii="Calibri" w:eastAsia="Times New Roman" w:hAnsi="Calibri" w:cs="Calibri"/>
                <w:b/>
                <w:bCs/>
                <w:color w:val="000000"/>
                <w:sz w:val="20"/>
                <w:szCs w:val="20"/>
                <w:lang w:val="en-GB" w:eastAsia="en-AU"/>
              </w:rPr>
            </w:pPr>
          </w:p>
        </w:tc>
      </w:tr>
      <w:tr w:rsidR="00DC0C1C" w:rsidRPr="008E6967" w14:paraId="1182451C" w14:textId="77777777" w:rsidTr="005C21D2">
        <w:tc>
          <w:tcPr>
            <w:tcW w:w="4531" w:type="dxa"/>
            <w:tcBorders>
              <w:top w:val="single" w:sz="8" w:space="0" w:color="auto"/>
              <w:left w:val="single" w:sz="8" w:space="0" w:color="auto"/>
              <w:bottom w:val="single" w:sz="8" w:space="0" w:color="auto"/>
              <w:right w:val="single" w:sz="8" w:space="0" w:color="auto"/>
            </w:tcBorders>
            <w:vAlign w:val="bottom"/>
          </w:tcPr>
          <w:p w14:paraId="799E27F7" w14:textId="77777777" w:rsidR="00DC0C1C" w:rsidRPr="00C83D8B" w:rsidRDefault="00DC0C1C" w:rsidP="005C21D2">
            <w:pPr>
              <w:rPr>
                <w:rFonts w:ascii="Arial Narrow" w:eastAsia="Times New Roman" w:hAnsi="Arial Narrow" w:cs="Arial"/>
                <w:color w:val="000000"/>
                <w:sz w:val="20"/>
                <w:szCs w:val="20"/>
                <w:lang w:val="en-GB" w:eastAsia="en-AU"/>
              </w:rPr>
            </w:pPr>
            <w:r w:rsidRPr="00C83D8B">
              <w:rPr>
                <w:rFonts w:ascii="Arial Narrow" w:eastAsia="Times New Roman" w:hAnsi="Arial Narrow" w:cs="Arial"/>
                <w:color w:val="000000"/>
                <w:sz w:val="20"/>
                <w:szCs w:val="20"/>
                <w:lang w:val="en-GB" w:eastAsia="en-AU"/>
              </w:rPr>
              <w:t xml:space="preserve">5.3 Monitoring, </w:t>
            </w:r>
            <w:proofErr w:type="gramStart"/>
            <w:r w:rsidRPr="00C83D8B">
              <w:rPr>
                <w:rFonts w:ascii="Arial Narrow" w:eastAsia="Times New Roman" w:hAnsi="Arial Narrow" w:cs="Arial"/>
                <w:color w:val="000000"/>
                <w:sz w:val="20"/>
                <w:szCs w:val="20"/>
                <w:lang w:val="en-GB" w:eastAsia="en-AU"/>
              </w:rPr>
              <w:t>Review</w:t>
            </w:r>
            <w:proofErr w:type="gramEnd"/>
            <w:r w:rsidRPr="00C83D8B">
              <w:rPr>
                <w:rFonts w:ascii="Arial Narrow" w:eastAsia="Times New Roman" w:hAnsi="Arial Narrow" w:cs="Arial"/>
                <w:color w:val="000000"/>
                <w:sz w:val="20"/>
                <w:szCs w:val="20"/>
                <w:lang w:val="en-GB" w:eastAsia="en-AU"/>
              </w:rPr>
              <w:t xml:space="preserve"> and Improvement </w:t>
            </w:r>
          </w:p>
        </w:tc>
        <w:tc>
          <w:tcPr>
            <w:tcW w:w="1560" w:type="dxa"/>
            <w:tcBorders>
              <w:top w:val="single" w:sz="8" w:space="0" w:color="auto"/>
              <w:left w:val="nil"/>
              <w:bottom w:val="single" w:sz="8" w:space="0" w:color="auto"/>
              <w:right w:val="single" w:sz="8" w:space="0" w:color="auto"/>
            </w:tcBorders>
            <w:vAlign w:val="center"/>
          </w:tcPr>
          <w:p w14:paraId="43701FB9" w14:textId="77777777" w:rsidR="00DC0C1C" w:rsidRPr="00C83D8B" w:rsidRDefault="00DC0C1C" w:rsidP="005C21D2">
            <w:pPr>
              <w:jc w:val="center"/>
              <w:rPr>
                <w:rFonts w:ascii="Calibri" w:eastAsia="Times New Roman" w:hAnsi="Calibri" w:cs="Calibri"/>
                <w:color w:val="000000"/>
                <w:sz w:val="20"/>
                <w:szCs w:val="20"/>
                <w:lang w:val="en-GB" w:eastAsia="en-AU"/>
              </w:rPr>
            </w:pPr>
            <w:r w:rsidRPr="00C83D8B">
              <w:rPr>
                <w:rFonts w:ascii="Wingdings" w:eastAsia="Times New Roman" w:hAnsi="Wingdings" w:cs="Arial"/>
                <w:color w:val="000000"/>
                <w:sz w:val="20"/>
                <w:szCs w:val="20"/>
                <w:lang w:val="en-GB" w:eastAsia="en-AU"/>
              </w:rPr>
              <w:t></w:t>
            </w:r>
            <w:r>
              <w:rPr>
                <w:rFonts w:ascii="Wingdings" w:eastAsia="Times New Roman" w:hAnsi="Wingdings" w:cs="Arial"/>
                <w:color w:val="000000"/>
                <w:sz w:val="20"/>
                <w:szCs w:val="20"/>
                <w:lang w:val="en-GB" w:eastAsia="en-AU"/>
              </w:rPr>
              <w:br/>
            </w:r>
            <w:r>
              <w:rPr>
                <w:rFonts w:ascii="Arial Narrow" w:eastAsia="Times New Roman" w:hAnsi="Arial Narrow" w:cs="Arial"/>
                <w:color w:val="000000"/>
                <w:sz w:val="20"/>
                <w:szCs w:val="20"/>
                <w:lang w:val="en-GB" w:eastAsia="en-AU"/>
              </w:rPr>
              <w:t>(5.3.7 only)</w:t>
            </w:r>
          </w:p>
        </w:tc>
        <w:tc>
          <w:tcPr>
            <w:tcW w:w="1701" w:type="dxa"/>
            <w:tcBorders>
              <w:top w:val="single" w:sz="8" w:space="0" w:color="auto"/>
              <w:left w:val="nil"/>
              <w:bottom w:val="single" w:sz="8" w:space="0" w:color="auto"/>
              <w:right w:val="single" w:sz="8" w:space="0" w:color="auto"/>
            </w:tcBorders>
            <w:vAlign w:val="center"/>
          </w:tcPr>
          <w:p w14:paraId="3F7DD2C0" w14:textId="77777777" w:rsidR="00DC0C1C" w:rsidRPr="00C83D8B" w:rsidRDefault="00DC0C1C" w:rsidP="005C21D2">
            <w:pPr>
              <w:jc w:val="center"/>
              <w:rPr>
                <w:rFonts w:ascii="Wingdings" w:eastAsia="Times New Roman" w:hAnsi="Wingdings" w:cs="Arial"/>
                <w:color w:val="000000"/>
                <w:sz w:val="20"/>
                <w:szCs w:val="20"/>
                <w:lang w:val="en-GB" w:eastAsia="en-AU"/>
              </w:rPr>
            </w:pPr>
          </w:p>
        </w:tc>
        <w:tc>
          <w:tcPr>
            <w:tcW w:w="1701" w:type="dxa"/>
            <w:tcBorders>
              <w:top w:val="single" w:sz="8" w:space="0" w:color="auto"/>
              <w:left w:val="nil"/>
              <w:bottom w:val="single" w:sz="8" w:space="0" w:color="auto"/>
              <w:right w:val="single" w:sz="8" w:space="0" w:color="auto"/>
            </w:tcBorders>
            <w:vAlign w:val="center"/>
          </w:tcPr>
          <w:p w14:paraId="590AE1B8" w14:textId="77777777" w:rsidR="00DC0C1C" w:rsidRPr="00C83D8B" w:rsidRDefault="00DC0C1C" w:rsidP="005C21D2">
            <w:pPr>
              <w:jc w:val="center"/>
              <w:rPr>
                <w:rFonts w:ascii="Calibri" w:eastAsia="Times New Roman" w:hAnsi="Calibri" w:cs="Calibri"/>
                <w:b/>
                <w:bCs/>
                <w:color w:val="000000"/>
                <w:sz w:val="20"/>
                <w:szCs w:val="20"/>
                <w:lang w:val="en-GB" w:eastAsia="en-AU"/>
              </w:rPr>
            </w:pPr>
            <w:r w:rsidRPr="00C83D8B">
              <w:rPr>
                <w:rFonts w:ascii="Wingdings" w:eastAsia="Times New Roman" w:hAnsi="Wingdings" w:cs="Arial"/>
                <w:color w:val="000000"/>
                <w:sz w:val="20"/>
                <w:szCs w:val="20"/>
                <w:lang w:val="en-GB" w:eastAsia="en-AU"/>
              </w:rPr>
              <w:t></w:t>
            </w:r>
            <w:r>
              <w:rPr>
                <w:rFonts w:ascii="Wingdings" w:eastAsia="Times New Roman" w:hAnsi="Wingdings" w:cs="Arial"/>
                <w:color w:val="000000"/>
                <w:sz w:val="20"/>
                <w:szCs w:val="20"/>
                <w:lang w:val="en-GB" w:eastAsia="en-AU"/>
              </w:rPr>
              <w:br/>
            </w:r>
            <w:r>
              <w:rPr>
                <w:rFonts w:ascii="Arial Narrow" w:eastAsia="Times New Roman" w:hAnsi="Arial Narrow" w:cs="Arial"/>
                <w:color w:val="000000"/>
                <w:sz w:val="20"/>
                <w:szCs w:val="20"/>
                <w:lang w:val="en-GB" w:eastAsia="en-AU"/>
              </w:rPr>
              <w:t>(5.3.1-4 only)</w:t>
            </w:r>
          </w:p>
        </w:tc>
      </w:tr>
      <w:tr w:rsidR="00DC0C1C" w:rsidRPr="008E6967" w14:paraId="6F9EB7C5" w14:textId="77777777" w:rsidTr="005C21D2">
        <w:tc>
          <w:tcPr>
            <w:tcW w:w="4531" w:type="dxa"/>
            <w:tcBorders>
              <w:top w:val="single" w:sz="8" w:space="0" w:color="auto"/>
              <w:left w:val="single" w:sz="8" w:space="0" w:color="auto"/>
              <w:bottom w:val="single" w:sz="8" w:space="0" w:color="auto"/>
              <w:right w:val="single" w:sz="8" w:space="0" w:color="auto"/>
            </w:tcBorders>
            <w:vAlign w:val="bottom"/>
          </w:tcPr>
          <w:p w14:paraId="4DA200EA" w14:textId="77777777" w:rsidR="00DC0C1C" w:rsidRPr="00C83D8B" w:rsidRDefault="00DC0C1C" w:rsidP="005C21D2">
            <w:pPr>
              <w:rPr>
                <w:rFonts w:ascii="Arial Narrow" w:eastAsia="Times New Roman" w:hAnsi="Arial Narrow" w:cs="Arial"/>
                <w:color w:val="000000"/>
                <w:sz w:val="20"/>
                <w:szCs w:val="20"/>
                <w:lang w:val="en-GB" w:eastAsia="en-AU"/>
              </w:rPr>
            </w:pPr>
            <w:r w:rsidRPr="00C83D8B">
              <w:rPr>
                <w:rFonts w:ascii="Arial Narrow" w:eastAsia="Times New Roman" w:hAnsi="Arial Narrow" w:cs="Arial"/>
                <w:color w:val="000000"/>
                <w:sz w:val="20"/>
                <w:szCs w:val="20"/>
                <w:lang w:val="en-GB" w:eastAsia="en-AU"/>
              </w:rPr>
              <w:t>5.4 Delivery with Other Parties</w:t>
            </w:r>
            <w:r>
              <w:rPr>
                <w:rFonts w:ascii="Arial Narrow" w:eastAsia="Times New Roman" w:hAnsi="Arial Narrow" w:cs="Arial"/>
                <w:color w:val="000000"/>
                <w:sz w:val="20"/>
                <w:szCs w:val="20"/>
                <w:lang w:val="en-GB" w:eastAsia="en-AU"/>
              </w:rPr>
              <w:t xml:space="preserve"> (if applicable)</w:t>
            </w:r>
          </w:p>
        </w:tc>
        <w:tc>
          <w:tcPr>
            <w:tcW w:w="1560" w:type="dxa"/>
            <w:tcBorders>
              <w:top w:val="single" w:sz="8" w:space="0" w:color="auto"/>
              <w:left w:val="nil"/>
              <w:bottom w:val="single" w:sz="8" w:space="0" w:color="auto"/>
              <w:right w:val="single" w:sz="8" w:space="0" w:color="auto"/>
            </w:tcBorders>
            <w:vAlign w:val="center"/>
          </w:tcPr>
          <w:p w14:paraId="5B09DE42" w14:textId="77777777" w:rsidR="00DC0C1C" w:rsidRPr="00C83D8B" w:rsidRDefault="00DC0C1C" w:rsidP="005C21D2">
            <w:pPr>
              <w:rPr>
                <w:rFonts w:ascii="Calibri" w:eastAsia="Times New Roman" w:hAnsi="Calibri" w:cs="Calibri"/>
                <w:color w:val="000000"/>
                <w:sz w:val="20"/>
                <w:szCs w:val="20"/>
                <w:lang w:val="en-GB" w:eastAsia="en-AU"/>
              </w:rPr>
            </w:pPr>
            <w:r w:rsidRPr="00C83D8B">
              <w:rPr>
                <w:rFonts w:ascii="Calibri" w:eastAsia="Times New Roman" w:hAnsi="Calibri" w:cs="Calibri"/>
                <w:color w:val="000000"/>
                <w:sz w:val="20"/>
                <w:szCs w:val="20"/>
                <w:lang w:val="en-GB" w:eastAsia="en-AU"/>
              </w:rPr>
              <w:t> </w:t>
            </w:r>
          </w:p>
        </w:tc>
        <w:tc>
          <w:tcPr>
            <w:tcW w:w="1701" w:type="dxa"/>
            <w:tcBorders>
              <w:top w:val="single" w:sz="8" w:space="0" w:color="auto"/>
              <w:left w:val="nil"/>
              <w:bottom w:val="single" w:sz="8" w:space="0" w:color="auto"/>
              <w:right w:val="single" w:sz="8" w:space="0" w:color="auto"/>
            </w:tcBorders>
            <w:vAlign w:val="center"/>
          </w:tcPr>
          <w:p w14:paraId="24A06E3C" w14:textId="77777777" w:rsidR="00DC0C1C" w:rsidRPr="00C83D8B" w:rsidRDefault="00DC0C1C" w:rsidP="005C21D2">
            <w:pPr>
              <w:jc w:val="center"/>
              <w:rPr>
                <w:rFonts w:ascii="Wingdings" w:eastAsia="Times New Roman" w:hAnsi="Wingdings" w:cs="Arial"/>
                <w:color w:val="000000"/>
                <w:sz w:val="20"/>
                <w:szCs w:val="20"/>
                <w:lang w:val="en-GB" w:eastAsia="en-AU"/>
              </w:rPr>
            </w:pPr>
            <w:r w:rsidRPr="00C83D8B">
              <w:rPr>
                <w:rFonts w:ascii="Wingdings" w:eastAsia="Times New Roman" w:hAnsi="Wingdings" w:cs="Arial"/>
                <w:color w:val="000000"/>
                <w:sz w:val="20"/>
                <w:szCs w:val="20"/>
                <w:lang w:val="en-GB" w:eastAsia="en-AU"/>
              </w:rPr>
              <w:t></w:t>
            </w:r>
          </w:p>
        </w:tc>
        <w:tc>
          <w:tcPr>
            <w:tcW w:w="1701" w:type="dxa"/>
            <w:tcBorders>
              <w:top w:val="single" w:sz="8" w:space="0" w:color="auto"/>
              <w:left w:val="nil"/>
              <w:bottom w:val="single" w:sz="8" w:space="0" w:color="auto"/>
              <w:right w:val="single" w:sz="8" w:space="0" w:color="auto"/>
            </w:tcBorders>
            <w:vAlign w:val="center"/>
          </w:tcPr>
          <w:p w14:paraId="39B1A89F" w14:textId="77777777" w:rsidR="00DC0C1C" w:rsidRPr="00C83D8B" w:rsidRDefault="00DC0C1C" w:rsidP="005C21D2">
            <w:pPr>
              <w:rPr>
                <w:rFonts w:ascii="Calibri" w:eastAsia="Times New Roman" w:hAnsi="Calibri" w:cs="Calibri"/>
                <w:b/>
                <w:bCs/>
                <w:color w:val="000000"/>
                <w:sz w:val="20"/>
                <w:szCs w:val="20"/>
                <w:lang w:val="en-GB" w:eastAsia="en-AU"/>
              </w:rPr>
            </w:pPr>
            <w:r w:rsidRPr="00C83D8B">
              <w:rPr>
                <w:rFonts w:ascii="Calibri" w:eastAsia="Times New Roman" w:hAnsi="Calibri" w:cs="Calibri"/>
                <w:b/>
                <w:bCs/>
                <w:color w:val="000000"/>
                <w:sz w:val="20"/>
                <w:szCs w:val="20"/>
                <w:lang w:val="en-GB" w:eastAsia="en-AU"/>
              </w:rPr>
              <w:t> </w:t>
            </w:r>
          </w:p>
        </w:tc>
      </w:tr>
      <w:tr w:rsidR="00DC0C1C" w:rsidRPr="008E6967" w14:paraId="2363D3B2" w14:textId="77777777" w:rsidTr="005C21D2">
        <w:trPr>
          <w:trHeight w:val="444"/>
        </w:trPr>
        <w:tc>
          <w:tcPr>
            <w:tcW w:w="9493" w:type="dxa"/>
            <w:gridSpan w:val="4"/>
            <w:tcBorders>
              <w:left w:val="single" w:sz="4" w:space="0" w:color="auto"/>
              <w:right w:val="single" w:sz="4" w:space="0" w:color="auto"/>
            </w:tcBorders>
            <w:vAlign w:val="center"/>
          </w:tcPr>
          <w:p w14:paraId="36FD02DE" w14:textId="77777777" w:rsidR="00DC0C1C" w:rsidRPr="008E6967" w:rsidRDefault="00DC0C1C" w:rsidP="005C21D2">
            <w:pPr>
              <w:jc w:val="center"/>
            </w:pPr>
            <w:r w:rsidRPr="00D728F0">
              <w:rPr>
                <w:rFonts w:ascii="Arial Narrow" w:eastAsia="Times New Roman" w:hAnsi="Arial Narrow" w:cs="Arial"/>
                <w:b/>
                <w:bCs/>
                <w:color w:val="000000"/>
                <w:sz w:val="20"/>
                <w:szCs w:val="20"/>
                <w:lang w:val="en-GB" w:eastAsia="en-AU"/>
              </w:rPr>
              <w:t>6. Governance and Accountability</w:t>
            </w:r>
          </w:p>
        </w:tc>
      </w:tr>
      <w:tr w:rsidR="00DC0C1C" w:rsidRPr="008E6967" w14:paraId="3C2C72B8" w14:textId="77777777" w:rsidTr="005C21D2">
        <w:tc>
          <w:tcPr>
            <w:tcW w:w="4531" w:type="dxa"/>
            <w:tcBorders>
              <w:top w:val="single" w:sz="8" w:space="0" w:color="auto"/>
              <w:left w:val="single" w:sz="4" w:space="0" w:color="auto"/>
              <w:bottom w:val="single" w:sz="8" w:space="0" w:color="auto"/>
              <w:right w:val="single" w:sz="8" w:space="0" w:color="auto"/>
            </w:tcBorders>
            <w:vAlign w:val="bottom"/>
          </w:tcPr>
          <w:p w14:paraId="47BD0D5C" w14:textId="77777777" w:rsidR="00DC0C1C" w:rsidRPr="00C83D8B" w:rsidRDefault="00DC0C1C" w:rsidP="005C21D2">
            <w:pPr>
              <w:rPr>
                <w:rFonts w:ascii="Arial Narrow" w:eastAsia="Times New Roman" w:hAnsi="Arial Narrow" w:cs="Arial"/>
                <w:color w:val="000000"/>
                <w:sz w:val="20"/>
                <w:szCs w:val="20"/>
                <w:lang w:val="en-GB" w:eastAsia="en-AU"/>
              </w:rPr>
            </w:pPr>
            <w:r w:rsidRPr="00C83D8B">
              <w:rPr>
                <w:rFonts w:ascii="Arial Narrow" w:eastAsia="Times New Roman" w:hAnsi="Arial Narrow" w:cs="Arial"/>
                <w:color w:val="000000"/>
                <w:sz w:val="20"/>
                <w:szCs w:val="20"/>
                <w:lang w:val="en-GB" w:eastAsia="en-AU"/>
              </w:rPr>
              <w:t xml:space="preserve">6.1 Corporate Governance </w:t>
            </w:r>
            <w:r>
              <w:rPr>
                <w:rFonts w:ascii="Arial Narrow" w:eastAsia="Times New Roman" w:hAnsi="Arial Narrow" w:cs="Arial"/>
                <w:color w:val="000000"/>
                <w:sz w:val="20"/>
                <w:szCs w:val="20"/>
                <w:lang w:val="en-GB" w:eastAsia="en-AU"/>
              </w:rPr>
              <w:t>(6.1.3-4 only)</w:t>
            </w:r>
          </w:p>
        </w:tc>
        <w:tc>
          <w:tcPr>
            <w:tcW w:w="1560" w:type="dxa"/>
            <w:tcBorders>
              <w:top w:val="single" w:sz="8" w:space="0" w:color="auto"/>
              <w:left w:val="nil"/>
              <w:bottom w:val="single" w:sz="8" w:space="0" w:color="auto"/>
              <w:right w:val="single" w:sz="8" w:space="0" w:color="auto"/>
            </w:tcBorders>
            <w:vAlign w:val="center"/>
          </w:tcPr>
          <w:p w14:paraId="3AB65704" w14:textId="77777777" w:rsidR="00DC0C1C" w:rsidRPr="00FB1BC7" w:rsidRDefault="00DC0C1C" w:rsidP="005C21D2">
            <w:pPr>
              <w:jc w:val="center"/>
              <w:rPr>
                <w:rFonts w:ascii="Calibri" w:eastAsia="Times New Roman" w:hAnsi="Calibri" w:cs="Calibri"/>
                <w:color w:val="000000"/>
                <w:sz w:val="20"/>
                <w:szCs w:val="20"/>
                <w:lang w:val="en-GB" w:eastAsia="en-AU"/>
              </w:rPr>
            </w:pPr>
            <w:r w:rsidRPr="00FB1BC7">
              <w:rPr>
                <w:rFonts w:ascii="Wingdings" w:eastAsia="Times New Roman" w:hAnsi="Wingdings" w:cs="Arial"/>
                <w:color w:val="000000"/>
                <w:sz w:val="20"/>
                <w:szCs w:val="20"/>
                <w:lang w:val="en-GB" w:eastAsia="en-AU"/>
              </w:rPr>
              <w:t></w:t>
            </w:r>
          </w:p>
        </w:tc>
        <w:tc>
          <w:tcPr>
            <w:tcW w:w="1701" w:type="dxa"/>
            <w:tcBorders>
              <w:top w:val="single" w:sz="8" w:space="0" w:color="auto"/>
              <w:left w:val="nil"/>
              <w:bottom w:val="single" w:sz="8" w:space="0" w:color="auto"/>
              <w:right w:val="single" w:sz="8" w:space="0" w:color="auto"/>
            </w:tcBorders>
            <w:vAlign w:val="center"/>
          </w:tcPr>
          <w:p w14:paraId="00351112" w14:textId="77777777" w:rsidR="00DC0C1C" w:rsidRPr="00FB1BC7" w:rsidRDefault="00DC0C1C" w:rsidP="005C21D2">
            <w:pPr>
              <w:jc w:val="center"/>
              <w:rPr>
                <w:rFonts w:ascii="Wingdings" w:eastAsia="Times New Roman" w:hAnsi="Wingdings" w:cs="Arial"/>
                <w:color w:val="000000"/>
                <w:sz w:val="20"/>
                <w:szCs w:val="20"/>
                <w:lang w:val="en-GB" w:eastAsia="en-AU"/>
              </w:rPr>
            </w:pPr>
          </w:p>
        </w:tc>
        <w:tc>
          <w:tcPr>
            <w:tcW w:w="1701" w:type="dxa"/>
            <w:tcBorders>
              <w:top w:val="single" w:sz="8" w:space="0" w:color="auto"/>
              <w:left w:val="nil"/>
              <w:bottom w:val="single" w:sz="8" w:space="0" w:color="auto"/>
              <w:right w:val="single" w:sz="4" w:space="0" w:color="auto"/>
            </w:tcBorders>
            <w:vAlign w:val="center"/>
          </w:tcPr>
          <w:p w14:paraId="0EDC8023" w14:textId="77777777" w:rsidR="00DC0C1C" w:rsidRPr="00FB1BC7" w:rsidRDefault="00DC0C1C" w:rsidP="005C21D2">
            <w:pPr>
              <w:jc w:val="center"/>
              <w:rPr>
                <w:rFonts w:ascii="Calibri" w:eastAsia="Times New Roman" w:hAnsi="Calibri" w:cs="Calibri"/>
                <w:color w:val="000000"/>
                <w:sz w:val="20"/>
                <w:szCs w:val="20"/>
                <w:lang w:val="en-GB" w:eastAsia="en-AU"/>
              </w:rPr>
            </w:pPr>
          </w:p>
        </w:tc>
      </w:tr>
      <w:tr w:rsidR="00DC0C1C" w:rsidRPr="008E6967" w14:paraId="1743E1C5" w14:textId="77777777" w:rsidTr="005C21D2">
        <w:tc>
          <w:tcPr>
            <w:tcW w:w="4531" w:type="dxa"/>
            <w:tcBorders>
              <w:top w:val="single" w:sz="8" w:space="0" w:color="auto"/>
              <w:left w:val="single" w:sz="4" w:space="0" w:color="auto"/>
              <w:bottom w:val="single" w:sz="8" w:space="0" w:color="auto"/>
              <w:right w:val="single" w:sz="8" w:space="0" w:color="auto"/>
            </w:tcBorders>
            <w:vAlign w:val="bottom"/>
          </w:tcPr>
          <w:p w14:paraId="1039C0F0" w14:textId="77777777" w:rsidR="00DC0C1C" w:rsidRPr="00C83D8B" w:rsidRDefault="00DC0C1C" w:rsidP="005C21D2">
            <w:pPr>
              <w:rPr>
                <w:rFonts w:ascii="Arial Narrow" w:eastAsia="Times New Roman" w:hAnsi="Arial Narrow" w:cs="Arial"/>
                <w:color w:val="000000"/>
                <w:sz w:val="20"/>
                <w:szCs w:val="20"/>
                <w:lang w:val="en-GB" w:eastAsia="en-AU"/>
              </w:rPr>
            </w:pPr>
            <w:r w:rsidRPr="00C83D8B">
              <w:rPr>
                <w:rFonts w:ascii="Arial Narrow" w:eastAsia="Times New Roman" w:hAnsi="Arial Narrow" w:cs="Arial"/>
                <w:color w:val="000000"/>
                <w:sz w:val="20"/>
                <w:szCs w:val="20"/>
                <w:lang w:val="en-GB" w:eastAsia="en-AU"/>
              </w:rPr>
              <w:t>6.2 Corporate</w:t>
            </w:r>
            <w:r>
              <w:rPr>
                <w:rFonts w:ascii="Arial Narrow" w:eastAsia="Times New Roman" w:hAnsi="Arial Narrow" w:cs="Arial"/>
                <w:color w:val="000000"/>
                <w:sz w:val="20"/>
                <w:szCs w:val="20"/>
                <w:lang w:val="en-GB" w:eastAsia="en-AU"/>
              </w:rPr>
              <w:t xml:space="preserve"> Monitoring and Accountability </w:t>
            </w:r>
          </w:p>
        </w:tc>
        <w:tc>
          <w:tcPr>
            <w:tcW w:w="1560" w:type="dxa"/>
            <w:tcBorders>
              <w:top w:val="single" w:sz="8" w:space="0" w:color="auto"/>
              <w:left w:val="nil"/>
              <w:bottom w:val="single" w:sz="8" w:space="0" w:color="auto"/>
              <w:right w:val="single" w:sz="8" w:space="0" w:color="auto"/>
            </w:tcBorders>
            <w:vAlign w:val="center"/>
          </w:tcPr>
          <w:p w14:paraId="12AB76CE" w14:textId="77777777" w:rsidR="00DC0C1C" w:rsidRPr="00FB1BC7" w:rsidRDefault="00DC0C1C" w:rsidP="005C21D2">
            <w:pPr>
              <w:jc w:val="center"/>
              <w:rPr>
                <w:rFonts w:ascii="Calibri" w:eastAsia="Times New Roman" w:hAnsi="Calibri" w:cs="Calibri"/>
                <w:color w:val="000000"/>
                <w:sz w:val="20"/>
                <w:szCs w:val="20"/>
                <w:lang w:val="en-GB" w:eastAsia="en-AU"/>
              </w:rPr>
            </w:pPr>
            <w:r w:rsidRPr="00FB1BC7">
              <w:rPr>
                <w:rFonts w:ascii="Wingdings" w:eastAsia="Times New Roman" w:hAnsi="Wingdings" w:cs="Arial"/>
                <w:color w:val="000000"/>
                <w:sz w:val="20"/>
                <w:szCs w:val="20"/>
                <w:lang w:val="en-GB" w:eastAsia="en-AU"/>
              </w:rPr>
              <w:t></w:t>
            </w:r>
          </w:p>
        </w:tc>
        <w:tc>
          <w:tcPr>
            <w:tcW w:w="1701" w:type="dxa"/>
            <w:tcBorders>
              <w:top w:val="single" w:sz="8" w:space="0" w:color="auto"/>
              <w:left w:val="nil"/>
              <w:bottom w:val="single" w:sz="8" w:space="0" w:color="auto"/>
              <w:right w:val="single" w:sz="8" w:space="0" w:color="auto"/>
            </w:tcBorders>
            <w:vAlign w:val="center"/>
          </w:tcPr>
          <w:p w14:paraId="56F9787A" w14:textId="77777777" w:rsidR="00DC0C1C" w:rsidRPr="00FB1BC7" w:rsidRDefault="00DC0C1C" w:rsidP="005C21D2">
            <w:pPr>
              <w:jc w:val="center"/>
              <w:rPr>
                <w:rFonts w:ascii="Wingdings" w:eastAsia="Times New Roman" w:hAnsi="Wingdings" w:cs="Arial"/>
                <w:color w:val="000000"/>
                <w:sz w:val="20"/>
                <w:szCs w:val="20"/>
                <w:lang w:val="en-GB" w:eastAsia="en-AU"/>
              </w:rPr>
            </w:pPr>
          </w:p>
        </w:tc>
        <w:tc>
          <w:tcPr>
            <w:tcW w:w="1701" w:type="dxa"/>
            <w:tcBorders>
              <w:top w:val="single" w:sz="8" w:space="0" w:color="auto"/>
              <w:left w:val="nil"/>
              <w:bottom w:val="single" w:sz="8" w:space="0" w:color="auto"/>
              <w:right w:val="single" w:sz="4" w:space="0" w:color="auto"/>
            </w:tcBorders>
            <w:vAlign w:val="center"/>
          </w:tcPr>
          <w:p w14:paraId="3B8FD0A3" w14:textId="77777777" w:rsidR="00DC0C1C" w:rsidRPr="00FB1BC7" w:rsidRDefault="00DC0C1C" w:rsidP="005C21D2">
            <w:pPr>
              <w:jc w:val="center"/>
              <w:rPr>
                <w:rFonts w:ascii="Calibri" w:eastAsia="Times New Roman" w:hAnsi="Calibri" w:cs="Calibri"/>
                <w:color w:val="000000"/>
                <w:sz w:val="20"/>
                <w:szCs w:val="20"/>
                <w:lang w:val="en-GB" w:eastAsia="en-AU"/>
              </w:rPr>
            </w:pPr>
          </w:p>
        </w:tc>
      </w:tr>
      <w:tr w:rsidR="00DC0C1C" w:rsidRPr="00FB1BC7" w14:paraId="63BBCB94" w14:textId="77777777" w:rsidTr="005C21D2">
        <w:trPr>
          <w:cnfStyle w:val="010000000000" w:firstRow="0" w:lastRow="1" w:firstColumn="0" w:lastColumn="0" w:oddVBand="0" w:evenVBand="0" w:oddHBand="0" w:evenHBand="0" w:firstRowFirstColumn="0" w:firstRowLastColumn="0" w:lastRowFirstColumn="0" w:lastRowLastColumn="0"/>
        </w:trPr>
        <w:tc>
          <w:tcPr>
            <w:tcW w:w="4531" w:type="dxa"/>
            <w:tcBorders>
              <w:top w:val="single" w:sz="8" w:space="0" w:color="auto"/>
              <w:left w:val="single" w:sz="4" w:space="0" w:color="auto"/>
              <w:bottom w:val="single" w:sz="8" w:space="0" w:color="auto"/>
              <w:right w:val="single" w:sz="8" w:space="0" w:color="auto"/>
            </w:tcBorders>
            <w:shd w:val="clear" w:color="auto" w:fill="auto"/>
            <w:vAlign w:val="bottom"/>
          </w:tcPr>
          <w:p w14:paraId="22391344" w14:textId="77777777" w:rsidR="00DC0C1C" w:rsidRPr="00FB1BC7" w:rsidRDefault="00DC0C1C" w:rsidP="005C21D2">
            <w:pPr>
              <w:rPr>
                <w:rFonts w:ascii="Arial Narrow" w:eastAsia="Times New Roman" w:hAnsi="Arial Narrow" w:cs="Arial"/>
                <w:b w:val="0"/>
                <w:bCs w:val="0"/>
                <w:color w:val="000000"/>
                <w:sz w:val="20"/>
                <w:szCs w:val="20"/>
                <w:lang w:val="en-GB" w:eastAsia="en-AU"/>
              </w:rPr>
            </w:pPr>
            <w:r w:rsidRPr="00FB1BC7">
              <w:rPr>
                <w:rFonts w:ascii="Arial Narrow" w:eastAsia="Times New Roman" w:hAnsi="Arial Narrow" w:cs="Arial"/>
                <w:b w:val="0"/>
                <w:bCs w:val="0"/>
                <w:color w:val="000000"/>
                <w:sz w:val="20"/>
                <w:szCs w:val="20"/>
                <w:lang w:val="en-GB" w:eastAsia="en-AU"/>
              </w:rPr>
              <w:t xml:space="preserve">6.3 Academic Governance </w:t>
            </w:r>
          </w:p>
        </w:tc>
        <w:tc>
          <w:tcPr>
            <w:tcW w:w="1560" w:type="dxa"/>
            <w:tcBorders>
              <w:top w:val="single" w:sz="8" w:space="0" w:color="auto"/>
              <w:left w:val="nil"/>
              <w:bottom w:val="single" w:sz="8" w:space="0" w:color="auto"/>
              <w:right w:val="single" w:sz="8" w:space="0" w:color="auto"/>
            </w:tcBorders>
            <w:shd w:val="clear" w:color="auto" w:fill="auto"/>
            <w:vAlign w:val="center"/>
          </w:tcPr>
          <w:p w14:paraId="02A4E33C" w14:textId="77777777" w:rsidR="00DC0C1C" w:rsidRPr="00FB1BC7" w:rsidRDefault="00DC0C1C" w:rsidP="005C21D2">
            <w:pPr>
              <w:jc w:val="center"/>
              <w:rPr>
                <w:rFonts w:ascii="Arial Narrow" w:eastAsia="Times New Roman" w:hAnsi="Arial Narrow" w:cs="Arial"/>
                <w:b w:val="0"/>
                <w:bCs w:val="0"/>
                <w:color w:val="000000"/>
                <w:sz w:val="20"/>
                <w:szCs w:val="20"/>
                <w:lang w:val="en-GB" w:eastAsia="en-AU"/>
              </w:rPr>
            </w:pPr>
            <w:r w:rsidRPr="00FB1BC7">
              <w:rPr>
                <w:rFonts w:ascii="Wingdings" w:eastAsia="Times New Roman" w:hAnsi="Wingdings" w:cs="Arial"/>
                <w:b w:val="0"/>
                <w:bCs w:val="0"/>
                <w:color w:val="000000"/>
                <w:sz w:val="20"/>
                <w:szCs w:val="20"/>
                <w:lang w:val="en-GB" w:eastAsia="en-AU"/>
              </w:rPr>
              <w:t></w:t>
            </w:r>
          </w:p>
        </w:tc>
        <w:tc>
          <w:tcPr>
            <w:tcW w:w="1701" w:type="dxa"/>
            <w:tcBorders>
              <w:top w:val="single" w:sz="8" w:space="0" w:color="auto"/>
              <w:left w:val="nil"/>
              <w:bottom w:val="single" w:sz="8" w:space="0" w:color="auto"/>
              <w:right w:val="single" w:sz="8" w:space="0" w:color="auto"/>
            </w:tcBorders>
            <w:shd w:val="clear" w:color="auto" w:fill="auto"/>
            <w:vAlign w:val="center"/>
          </w:tcPr>
          <w:p w14:paraId="0AAE2BDF" w14:textId="77777777" w:rsidR="00DC0C1C" w:rsidRPr="00FB1BC7" w:rsidRDefault="00DC0C1C" w:rsidP="005C21D2">
            <w:pPr>
              <w:jc w:val="center"/>
              <w:rPr>
                <w:rFonts w:ascii="Arial Narrow" w:eastAsia="Times New Roman" w:hAnsi="Arial Narrow" w:cs="Arial"/>
                <w:b w:val="0"/>
                <w:bCs w:val="0"/>
                <w:color w:val="000000"/>
                <w:sz w:val="20"/>
                <w:szCs w:val="20"/>
                <w:lang w:val="en-GB" w:eastAsia="en-AU"/>
              </w:rPr>
            </w:pPr>
          </w:p>
        </w:tc>
        <w:tc>
          <w:tcPr>
            <w:tcW w:w="1701" w:type="dxa"/>
            <w:tcBorders>
              <w:top w:val="single" w:sz="8" w:space="0" w:color="auto"/>
              <w:left w:val="nil"/>
              <w:bottom w:val="single" w:sz="8" w:space="0" w:color="auto"/>
              <w:right w:val="single" w:sz="4" w:space="0" w:color="auto"/>
            </w:tcBorders>
            <w:shd w:val="clear" w:color="auto" w:fill="auto"/>
            <w:vAlign w:val="center"/>
          </w:tcPr>
          <w:p w14:paraId="56D5D0E5" w14:textId="77777777" w:rsidR="00DC0C1C" w:rsidRPr="00FB1BC7" w:rsidRDefault="00DC0C1C" w:rsidP="005C21D2">
            <w:pPr>
              <w:jc w:val="center"/>
              <w:rPr>
                <w:rFonts w:ascii="Arial Narrow" w:eastAsia="Times New Roman" w:hAnsi="Arial Narrow" w:cs="Arial"/>
                <w:b w:val="0"/>
                <w:bCs w:val="0"/>
                <w:color w:val="000000"/>
                <w:sz w:val="20"/>
                <w:szCs w:val="20"/>
                <w:lang w:val="en-GB" w:eastAsia="en-AU"/>
              </w:rPr>
            </w:pPr>
          </w:p>
        </w:tc>
      </w:tr>
    </w:tbl>
    <w:p w14:paraId="367DDAFC" w14:textId="77777777" w:rsidR="00DC0C1C" w:rsidRPr="00C83D8B" w:rsidRDefault="00DC0C1C" w:rsidP="00DC0C1C">
      <w:pPr>
        <w:shd w:val="clear" w:color="auto" w:fill="FFFFFF"/>
        <w:spacing w:before="100" w:beforeAutospacing="1" w:after="100" w:afterAutospacing="1"/>
        <w:jc w:val="center"/>
        <w:rPr>
          <w:rFonts w:ascii="Arial" w:eastAsia="Times New Roman" w:hAnsi="Arial" w:cs="Arial"/>
          <w:color w:val="auto"/>
          <w:sz w:val="19"/>
          <w:szCs w:val="19"/>
          <w:lang w:val="en-US" w:eastAsia="en-AU"/>
        </w:rPr>
      </w:pPr>
    </w:p>
    <w:p w14:paraId="1546D6CF" w14:textId="77777777" w:rsidR="00DC0C1C" w:rsidRPr="007073B2" w:rsidRDefault="00DC0C1C" w:rsidP="00DC0C1C"/>
    <w:p w14:paraId="59AB6DD5" w14:textId="77777777" w:rsidR="00DC0C1C" w:rsidRPr="004B1915" w:rsidRDefault="00DC0C1C" w:rsidP="00DC0C1C">
      <w:pPr>
        <w:pStyle w:val="Heading2"/>
      </w:pPr>
      <w:r w:rsidRPr="004B1915">
        <w:lastRenderedPageBreak/>
        <w:t>Document information</w:t>
      </w:r>
    </w:p>
    <w:tbl>
      <w:tblPr>
        <w:tblStyle w:val="TEQSAtables"/>
        <w:tblW w:w="5000" w:type="pct"/>
        <w:tblLook w:val="04A0" w:firstRow="1" w:lastRow="0" w:firstColumn="1" w:lastColumn="0" w:noHBand="0" w:noVBand="1"/>
      </w:tblPr>
      <w:tblGrid>
        <w:gridCol w:w="2387"/>
        <w:gridCol w:w="6629"/>
      </w:tblGrid>
      <w:tr w:rsidR="00DC0C1C" w:rsidRPr="004B1915" w14:paraId="72A7BD0D" w14:textId="77777777" w:rsidTr="005C21D2">
        <w:trPr>
          <w:cnfStyle w:val="100000000000" w:firstRow="1" w:lastRow="0" w:firstColumn="0" w:lastColumn="0" w:oddVBand="0" w:evenVBand="0" w:oddHBand="0" w:evenHBand="0" w:firstRowFirstColumn="0" w:firstRowLastColumn="0" w:lastRowFirstColumn="0" w:lastRowLastColumn="0"/>
        </w:trPr>
        <w:tc>
          <w:tcPr>
            <w:tcW w:w="1324" w:type="pct"/>
            <w:tcBorders>
              <w:top w:val="single" w:sz="4" w:space="0" w:color="004855"/>
              <w:left w:val="single" w:sz="4" w:space="0" w:color="004855"/>
              <w:bottom w:val="single" w:sz="4" w:space="0" w:color="004855"/>
              <w:right w:val="single" w:sz="4" w:space="0" w:color="004855"/>
            </w:tcBorders>
            <w:shd w:val="clear" w:color="auto" w:fill="FBE4D5" w:themeFill="accent6" w:themeFillTint="33"/>
          </w:tcPr>
          <w:p w14:paraId="20A16BC8" w14:textId="77777777" w:rsidR="00DC0C1C" w:rsidRPr="004B1915" w:rsidRDefault="00DC0C1C" w:rsidP="005C21D2">
            <w:r w:rsidRPr="004B1915">
              <w:rPr>
                <w:color w:val="auto"/>
              </w:rPr>
              <w:t>Title</w:t>
            </w:r>
          </w:p>
        </w:tc>
        <w:tc>
          <w:tcPr>
            <w:tcW w:w="3676" w:type="pct"/>
            <w:tcBorders>
              <w:top w:val="single" w:sz="4" w:space="0" w:color="004855"/>
              <w:left w:val="single" w:sz="4" w:space="0" w:color="004855"/>
              <w:bottom w:val="single" w:sz="4" w:space="0" w:color="004855"/>
              <w:right w:val="single" w:sz="4" w:space="0" w:color="004855"/>
            </w:tcBorders>
            <w:shd w:val="clear" w:color="auto" w:fill="FBE4D5" w:themeFill="accent6" w:themeFillTint="33"/>
          </w:tcPr>
          <w:p w14:paraId="6BB0A49B" w14:textId="77777777" w:rsidR="00DC0C1C" w:rsidRPr="004B1915" w:rsidRDefault="00DC0C1C" w:rsidP="005C21D2">
            <w:pPr>
              <w:rPr>
                <w:b w:val="0"/>
                <w:color w:val="auto"/>
              </w:rPr>
            </w:pPr>
            <w:r w:rsidRPr="004B1915">
              <w:rPr>
                <w:color w:val="auto"/>
              </w:rPr>
              <w:t xml:space="preserve">TEQSA </w:t>
            </w:r>
            <w:r>
              <w:rPr>
                <w:color w:val="auto"/>
              </w:rPr>
              <w:t>Core Plus</w:t>
            </w:r>
            <w:r w:rsidRPr="004B1915">
              <w:rPr>
                <w:color w:val="auto"/>
              </w:rPr>
              <w:t xml:space="preserve"> policy</w:t>
            </w:r>
          </w:p>
        </w:tc>
      </w:tr>
      <w:tr w:rsidR="00DC0C1C" w:rsidRPr="004B1915" w14:paraId="62DE5090" w14:textId="77777777" w:rsidTr="005C21D2">
        <w:tc>
          <w:tcPr>
            <w:tcW w:w="1324" w:type="pct"/>
            <w:tcBorders>
              <w:top w:val="single" w:sz="4" w:space="0" w:color="004855"/>
            </w:tcBorders>
          </w:tcPr>
          <w:p w14:paraId="280C878C" w14:textId="77777777" w:rsidR="00DC0C1C" w:rsidRPr="004B1915" w:rsidRDefault="00DC0C1C" w:rsidP="005C21D2">
            <w:pPr>
              <w:rPr>
                <w:b/>
              </w:rPr>
            </w:pPr>
            <w:r w:rsidRPr="004B1915">
              <w:rPr>
                <w:b/>
              </w:rPr>
              <w:t>Category</w:t>
            </w:r>
          </w:p>
        </w:tc>
        <w:tc>
          <w:tcPr>
            <w:tcW w:w="3676" w:type="pct"/>
            <w:tcBorders>
              <w:top w:val="single" w:sz="4" w:space="0" w:color="004855"/>
            </w:tcBorders>
          </w:tcPr>
          <w:p w14:paraId="03B8C806" w14:textId="77777777" w:rsidR="00DC0C1C" w:rsidRPr="004B1915" w:rsidRDefault="00DC0C1C" w:rsidP="005C21D2">
            <w:r w:rsidRPr="004B1915">
              <w:t>Operational policy</w:t>
            </w:r>
          </w:p>
        </w:tc>
      </w:tr>
      <w:tr w:rsidR="00DC0C1C" w:rsidRPr="004B1915" w14:paraId="759A1C3B" w14:textId="77777777" w:rsidTr="005C21D2">
        <w:trPr>
          <w:cnfStyle w:val="000000010000" w:firstRow="0" w:lastRow="0" w:firstColumn="0" w:lastColumn="0" w:oddVBand="0" w:evenVBand="0" w:oddHBand="0" w:evenHBand="1" w:firstRowFirstColumn="0" w:firstRowLastColumn="0" w:lastRowFirstColumn="0" w:lastRowLastColumn="0"/>
        </w:trPr>
        <w:tc>
          <w:tcPr>
            <w:tcW w:w="1324" w:type="pct"/>
          </w:tcPr>
          <w:p w14:paraId="05C5A1F9" w14:textId="77777777" w:rsidR="00DC0C1C" w:rsidRPr="004B1915" w:rsidRDefault="00DC0C1C" w:rsidP="005C21D2">
            <w:pPr>
              <w:rPr>
                <w:b/>
              </w:rPr>
            </w:pPr>
            <w:r w:rsidRPr="004B1915">
              <w:rPr>
                <w:b/>
              </w:rPr>
              <w:t>Audience</w:t>
            </w:r>
          </w:p>
        </w:tc>
        <w:tc>
          <w:tcPr>
            <w:tcW w:w="3676" w:type="pct"/>
          </w:tcPr>
          <w:p w14:paraId="09E37207" w14:textId="77777777" w:rsidR="00DC0C1C" w:rsidRPr="004B1915" w:rsidRDefault="00DC0C1C" w:rsidP="005C21D2">
            <w:r>
              <w:t>Providers and Staff</w:t>
            </w:r>
          </w:p>
        </w:tc>
      </w:tr>
      <w:tr w:rsidR="00DC0C1C" w:rsidRPr="004B1915" w14:paraId="7E2AA7AA" w14:textId="77777777" w:rsidTr="005C21D2">
        <w:tc>
          <w:tcPr>
            <w:tcW w:w="1324" w:type="pct"/>
          </w:tcPr>
          <w:p w14:paraId="3439EB49" w14:textId="77777777" w:rsidR="00DC0C1C" w:rsidRPr="004B1915" w:rsidRDefault="00DC0C1C" w:rsidP="005C21D2">
            <w:pPr>
              <w:rPr>
                <w:b/>
              </w:rPr>
            </w:pPr>
            <w:r w:rsidRPr="004B1915">
              <w:rPr>
                <w:b/>
              </w:rPr>
              <w:t>Policy owner</w:t>
            </w:r>
          </w:p>
        </w:tc>
        <w:tc>
          <w:tcPr>
            <w:tcW w:w="3676" w:type="pct"/>
          </w:tcPr>
          <w:p w14:paraId="2D042012" w14:textId="77777777" w:rsidR="00DC0C1C" w:rsidRDefault="00DC0C1C" w:rsidP="005C21D2">
            <w:r>
              <w:t>Director, Re-registration and CRICOS Group</w:t>
            </w:r>
          </w:p>
          <w:p w14:paraId="124F1022" w14:textId="77777777" w:rsidR="00DC0C1C" w:rsidRPr="004B1915" w:rsidRDefault="00DC0C1C" w:rsidP="005C21D2">
            <w:r>
              <w:t>Director, Registration and Courses</w:t>
            </w:r>
          </w:p>
        </w:tc>
      </w:tr>
      <w:tr w:rsidR="00DC0C1C" w:rsidRPr="004B1915" w14:paraId="7F9566C6" w14:textId="77777777" w:rsidTr="005C21D2">
        <w:trPr>
          <w:cnfStyle w:val="000000010000" w:firstRow="0" w:lastRow="0" w:firstColumn="0" w:lastColumn="0" w:oddVBand="0" w:evenVBand="0" w:oddHBand="0" w:evenHBand="1" w:firstRowFirstColumn="0" w:firstRowLastColumn="0" w:lastRowFirstColumn="0" w:lastRowLastColumn="0"/>
        </w:trPr>
        <w:tc>
          <w:tcPr>
            <w:tcW w:w="1324" w:type="pct"/>
          </w:tcPr>
          <w:p w14:paraId="456F1141" w14:textId="77777777" w:rsidR="00DC0C1C" w:rsidRPr="004B1915" w:rsidRDefault="00DC0C1C" w:rsidP="005C21D2">
            <w:pPr>
              <w:rPr>
                <w:b/>
              </w:rPr>
            </w:pPr>
            <w:r w:rsidRPr="004B1915">
              <w:rPr>
                <w:b/>
              </w:rPr>
              <w:t>Version</w:t>
            </w:r>
          </w:p>
        </w:tc>
        <w:tc>
          <w:tcPr>
            <w:tcW w:w="3676" w:type="pct"/>
          </w:tcPr>
          <w:p w14:paraId="50F5C50D" w14:textId="77777777" w:rsidR="00DC0C1C" w:rsidRPr="004B1915" w:rsidRDefault="00DC0C1C" w:rsidP="005C21D2">
            <w:r w:rsidRPr="004B1915">
              <w:t>1</w:t>
            </w:r>
          </w:p>
        </w:tc>
      </w:tr>
      <w:tr w:rsidR="00DC0C1C" w:rsidRPr="004B1915" w14:paraId="788DF838" w14:textId="77777777" w:rsidTr="005C21D2">
        <w:tc>
          <w:tcPr>
            <w:tcW w:w="1324" w:type="pct"/>
          </w:tcPr>
          <w:p w14:paraId="2194BF14" w14:textId="77777777" w:rsidR="00DC0C1C" w:rsidRPr="004B1915" w:rsidRDefault="00DC0C1C" w:rsidP="005C21D2">
            <w:pPr>
              <w:rPr>
                <w:b/>
              </w:rPr>
            </w:pPr>
            <w:r w:rsidRPr="004B1915">
              <w:rPr>
                <w:b/>
              </w:rPr>
              <w:t>Effective date</w:t>
            </w:r>
          </w:p>
        </w:tc>
        <w:tc>
          <w:tcPr>
            <w:tcW w:w="3676" w:type="pct"/>
          </w:tcPr>
          <w:p w14:paraId="62733390" w14:textId="77777777" w:rsidR="00DC0C1C" w:rsidRPr="004B1915" w:rsidRDefault="00DC0C1C" w:rsidP="005C21D2">
            <w:r w:rsidRPr="004B1915">
              <w:t>[</w:t>
            </w:r>
            <w:r>
              <w:rPr>
                <w:i/>
              </w:rPr>
              <w:t>27 January 2021</w:t>
            </w:r>
            <w:r w:rsidRPr="004B1915">
              <w:t>]</w:t>
            </w:r>
          </w:p>
        </w:tc>
      </w:tr>
      <w:tr w:rsidR="00DC0C1C" w:rsidRPr="004B1915" w14:paraId="02DA35A0" w14:textId="77777777" w:rsidTr="005C21D2">
        <w:trPr>
          <w:cnfStyle w:val="000000010000" w:firstRow="0" w:lastRow="0" w:firstColumn="0" w:lastColumn="0" w:oddVBand="0" w:evenVBand="0" w:oddHBand="0" w:evenHBand="1" w:firstRowFirstColumn="0" w:firstRowLastColumn="0" w:lastRowFirstColumn="0" w:lastRowLastColumn="0"/>
        </w:trPr>
        <w:tc>
          <w:tcPr>
            <w:tcW w:w="1324" w:type="pct"/>
          </w:tcPr>
          <w:p w14:paraId="79788589" w14:textId="77777777" w:rsidR="00DC0C1C" w:rsidRPr="004B1915" w:rsidRDefault="00DC0C1C" w:rsidP="005C21D2">
            <w:pPr>
              <w:rPr>
                <w:b/>
              </w:rPr>
            </w:pPr>
            <w:r w:rsidRPr="004B1915">
              <w:rPr>
                <w:b/>
              </w:rPr>
              <w:t>Review date</w:t>
            </w:r>
          </w:p>
        </w:tc>
        <w:tc>
          <w:tcPr>
            <w:tcW w:w="3676" w:type="pct"/>
          </w:tcPr>
          <w:p w14:paraId="1FA7C917" w14:textId="77777777" w:rsidR="00DC0C1C" w:rsidRPr="004B1915" w:rsidRDefault="00DC0C1C" w:rsidP="005C21D2">
            <w:r w:rsidRPr="004B1915">
              <w:t>[</w:t>
            </w:r>
            <w:r w:rsidRPr="004B1915">
              <w:rPr>
                <w:i/>
              </w:rPr>
              <w:t>date of next review</w:t>
            </w:r>
            <w:r w:rsidRPr="004B1915">
              <w:t>]</w:t>
            </w:r>
          </w:p>
        </w:tc>
      </w:tr>
      <w:tr w:rsidR="00DC0C1C" w:rsidRPr="004B1915" w14:paraId="7A62ADF3" w14:textId="77777777" w:rsidTr="005C21D2">
        <w:tc>
          <w:tcPr>
            <w:tcW w:w="1324" w:type="pct"/>
          </w:tcPr>
          <w:p w14:paraId="0847EC6E" w14:textId="77777777" w:rsidR="00DC0C1C" w:rsidRPr="00226637" w:rsidRDefault="00DC0C1C" w:rsidP="005C21D2">
            <w:pPr>
              <w:rPr>
                <w:b/>
              </w:rPr>
            </w:pPr>
            <w:r w:rsidRPr="00226637">
              <w:rPr>
                <w:b/>
              </w:rPr>
              <w:t>Approval</w:t>
            </w:r>
          </w:p>
        </w:tc>
        <w:tc>
          <w:tcPr>
            <w:tcW w:w="3676" w:type="pct"/>
          </w:tcPr>
          <w:p w14:paraId="4A45FF5F" w14:textId="77777777" w:rsidR="00DC0C1C" w:rsidRPr="00226637" w:rsidRDefault="00DC0C1C" w:rsidP="005C21D2">
            <w:r>
              <w:t>A</w:t>
            </w:r>
            <w:r w:rsidRPr="00D364E4">
              <w:t>pproved by</w:t>
            </w:r>
            <w:r>
              <w:t xml:space="preserve"> the Commission on 27 January 2021</w:t>
            </w:r>
          </w:p>
        </w:tc>
      </w:tr>
    </w:tbl>
    <w:p w14:paraId="59F50A53" w14:textId="684964FB" w:rsidR="00886FB9" w:rsidRPr="005642C0" w:rsidRDefault="00886FB9" w:rsidP="00886FB9"/>
    <w:sectPr w:rsidR="00886FB9" w:rsidRPr="005642C0" w:rsidSect="00FF2540">
      <w:headerReference w:type="default" r:id="rId16"/>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B0729" w14:textId="77777777" w:rsidR="00372FB2" w:rsidRDefault="00372FB2" w:rsidP="006C328D">
      <w:pPr>
        <w:spacing w:before="0" w:after="0"/>
      </w:pPr>
      <w:r>
        <w:separator/>
      </w:r>
    </w:p>
  </w:endnote>
  <w:endnote w:type="continuationSeparator" w:id="0">
    <w:p w14:paraId="45494BD2" w14:textId="77777777" w:rsidR="00372FB2" w:rsidRDefault="00372FB2" w:rsidP="006C3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4E7D"/>
        <w:sz w:val="20"/>
        <w:szCs w:val="20"/>
      </w:rPr>
      <w:id w:val="-1988930592"/>
      <w:docPartObj>
        <w:docPartGallery w:val="Page Numbers (Bottom of Page)"/>
        <w:docPartUnique/>
      </w:docPartObj>
    </w:sdtPr>
    <w:sdtEndPr/>
    <w:sdtContent>
      <w:sdt>
        <w:sdtPr>
          <w:rPr>
            <w:color w:val="004E7D"/>
            <w:sz w:val="20"/>
            <w:szCs w:val="20"/>
          </w:rPr>
          <w:id w:val="860082579"/>
          <w:docPartObj>
            <w:docPartGallery w:val="Page Numbers (Top of Page)"/>
            <w:docPartUnique/>
          </w:docPartObj>
        </w:sdtPr>
        <w:sdtEndPr/>
        <w:sdtContent>
          <w:p w14:paraId="3699666A" w14:textId="26F7508A" w:rsidR="00FF2540" w:rsidRPr="008402E0" w:rsidRDefault="003E40BA">
            <w:pPr>
              <w:pStyle w:val="Footer"/>
              <w:jc w:val="right"/>
              <w:rPr>
                <w:color w:val="004E7D"/>
                <w:sz w:val="20"/>
                <w:szCs w:val="20"/>
              </w:rPr>
            </w:pPr>
            <w:r>
              <w:rPr>
                <w:noProof/>
              </w:rPr>
              <mc:AlternateContent>
                <mc:Choice Requires="wps">
                  <w:drawing>
                    <wp:anchor distT="0" distB="0" distL="114300" distR="114300" simplePos="0" relativeHeight="251659264" behindDoc="0" locked="0" layoutInCell="1" allowOverlap="1" wp14:anchorId="78D98456" wp14:editId="4EECB1F1">
                      <wp:simplePos x="0" y="0"/>
                      <wp:positionH relativeFrom="page">
                        <wp:align>right</wp:align>
                      </wp:positionH>
                      <wp:positionV relativeFrom="paragraph">
                        <wp:posOffset>-209550</wp:posOffset>
                      </wp:positionV>
                      <wp:extent cx="920750" cy="920750"/>
                      <wp:effectExtent l="57150" t="57150" r="12700" b="12700"/>
                      <wp:wrapNone/>
                      <wp:docPr id="1" name="Right Triangle 1"/>
                      <wp:cNvGraphicFramePr/>
                      <a:graphic xmlns:a="http://schemas.openxmlformats.org/drawingml/2006/main">
                        <a:graphicData uri="http://schemas.microsoft.com/office/word/2010/wordprocessingShape">
                          <wps:wsp>
                            <wps:cNvSpPr/>
                            <wps:spPr>
                              <a:xfrm rot="16200000">
                                <a:off x="0" y="0"/>
                                <a:ext cx="920750" cy="920750"/>
                              </a:xfrm>
                              <a:prstGeom prst="rtTriangle">
                                <a:avLst/>
                              </a:prstGeom>
                              <a:solidFill>
                                <a:srgbClr val="F7941D"/>
                              </a:solidFill>
                              <a:ln w="41275">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6C5AAC8" id="_x0000_t6" coordsize="21600,21600" o:spt="6" path="m,l,21600r21600,xe">
                      <v:stroke joinstyle="miter"/>
                      <v:path gradientshapeok="t" o:connecttype="custom" o:connectlocs="0,0;0,10800;0,21600;10800,21600;21600,21600;10800,10800" textboxrect="1800,12600,12600,19800"/>
                    </v:shapetype>
                    <v:shape id="Right Triangle 1" o:spid="_x0000_s1026" type="#_x0000_t6" style="position:absolute;margin-left:21.3pt;margin-top:-16.5pt;width:72.5pt;height:72.5pt;rotation:-90;z-index:251659264;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" fillcolor="#f7941d" strokecolor="#f7caac [1305]" strokeweight="3.25pt">
                      <w10:wrap anchorx="page"/>
                    </v:shape>
                  </w:pict>
                </mc:Fallback>
              </mc:AlternateContent>
            </w:r>
            <w:r w:rsidR="00FF2540" w:rsidRPr="008402E0">
              <w:rPr>
                <w:color w:val="004E7D"/>
                <w:sz w:val="20"/>
                <w:szCs w:val="20"/>
              </w:rPr>
              <w:t xml:space="preserve">Page </w:t>
            </w:r>
            <w:r w:rsidR="00FF2540" w:rsidRPr="008402E0">
              <w:rPr>
                <w:b/>
                <w:bCs/>
                <w:color w:val="004E7D"/>
                <w:sz w:val="20"/>
                <w:szCs w:val="20"/>
              </w:rPr>
              <w:fldChar w:fldCharType="begin"/>
            </w:r>
            <w:r w:rsidR="00FF2540" w:rsidRPr="008402E0">
              <w:rPr>
                <w:b/>
                <w:bCs/>
                <w:color w:val="004E7D"/>
                <w:sz w:val="20"/>
                <w:szCs w:val="20"/>
              </w:rPr>
              <w:instrText xml:space="preserve"> PAGE </w:instrText>
            </w:r>
            <w:r w:rsidR="00FF2540" w:rsidRPr="008402E0">
              <w:rPr>
                <w:b/>
                <w:bCs/>
                <w:color w:val="004E7D"/>
                <w:sz w:val="20"/>
                <w:szCs w:val="20"/>
              </w:rPr>
              <w:fldChar w:fldCharType="separate"/>
            </w:r>
            <w:r w:rsidR="00FD6E53" w:rsidRPr="008402E0">
              <w:rPr>
                <w:b/>
                <w:bCs/>
                <w:noProof/>
                <w:color w:val="004E7D"/>
                <w:sz w:val="20"/>
                <w:szCs w:val="20"/>
              </w:rPr>
              <w:t>1</w:t>
            </w:r>
            <w:r w:rsidR="00FF2540" w:rsidRPr="008402E0">
              <w:rPr>
                <w:b/>
                <w:bCs/>
                <w:color w:val="004E7D"/>
                <w:sz w:val="20"/>
                <w:szCs w:val="20"/>
              </w:rPr>
              <w:fldChar w:fldCharType="end"/>
            </w:r>
            <w:r w:rsidR="00FF2540" w:rsidRPr="008402E0">
              <w:rPr>
                <w:color w:val="004E7D"/>
                <w:sz w:val="20"/>
                <w:szCs w:val="20"/>
              </w:rPr>
              <w:t xml:space="preserve"> of </w:t>
            </w:r>
            <w:r w:rsidR="00FF2540" w:rsidRPr="008402E0">
              <w:rPr>
                <w:b/>
                <w:bCs/>
                <w:color w:val="004E7D"/>
                <w:sz w:val="20"/>
                <w:szCs w:val="20"/>
              </w:rPr>
              <w:fldChar w:fldCharType="begin"/>
            </w:r>
            <w:r w:rsidR="00FF2540" w:rsidRPr="008402E0">
              <w:rPr>
                <w:b/>
                <w:bCs/>
                <w:color w:val="004E7D"/>
                <w:sz w:val="20"/>
                <w:szCs w:val="20"/>
              </w:rPr>
              <w:instrText xml:space="preserve"> NUMPAGES  </w:instrText>
            </w:r>
            <w:r w:rsidR="00FF2540" w:rsidRPr="008402E0">
              <w:rPr>
                <w:b/>
                <w:bCs/>
                <w:color w:val="004E7D"/>
                <w:sz w:val="20"/>
                <w:szCs w:val="20"/>
              </w:rPr>
              <w:fldChar w:fldCharType="separate"/>
            </w:r>
            <w:r w:rsidR="00FD6E53" w:rsidRPr="008402E0">
              <w:rPr>
                <w:b/>
                <w:bCs/>
                <w:noProof/>
                <w:color w:val="004E7D"/>
                <w:sz w:val="20"/>
                <w:szCs w:val="20"/>
              </w:rPr>
              <w:t>1</w:t>
            </w:r>
            <w:r w:rsidR="00FF2540" w:rsidRPr="008402E0">
              <w:rPr>
                <w:b/>
                <w:bCs/>
                <w:color w:val="004E7D"/>
                <w:sz w:val="20"/>
                <w:szCs w:val="20"/>
              </w:rPr>
              <w:fldChar w:fldCharType="end"/>
            </w:r>
          </w:p>
        </w:sdtContent>
      </w:sdt>
    </w:sdtContent>
  </w:sdt>
  <w:p w14:paraId="35FAC9C0" w14:textId="77777777" w:rsidR="00FF2540" w:rsidRDefault="00FF2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1004F" w14:textId="77777777" w:rsidR="00372FB2" w:rsidRDefault="00372FB2" w:rsidP="006C328D">
      <w:pPr>
        <w:spacing w:before="0" w:after="0"/>
      </w:pPr>
      <w:r>
        <w:separator/>
      </w:r>
    </w:p>
  </w:footnote>
  <w:footnote w:type="continuationSeparator" w:id="0">
    <w:p w14:paraId="7477A8C3" w14:textId="77777777" w:rsidR="00372FB2" w:rsidRDefault="00372FB2" w:rsidP="006C328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286A5" w14:textId="77777777" w:rsidR="001D46BE" w:rsidRDefault="001D46BE" w:rsidP="001D46BE">
    <w:pPr>
      <w:pStyle w:val="Header"/>
      <w:tabs>
        <w:tab w:val="clear" w:pos="9026"/>
        <w:tab w:val="right" w:pos="13892"/>
      </w:tabs>
      <w:jc w:val="center"/>
      <w:rPr>
        <w:b/>
        <w:i/>
        <w:color w:val="FF0000"/>
        <w:sz w:val="20"/>
        <w:szCs w:val="20"/>
      </w:rPr>
    </w:pPr>
  </w:p>
  <w:p w14:paraId="14C4451F" w14:textId="18768259" w:rsidR="006C328D" w:rsidRPr="006C328D" w:rsidRDefault="006C328D" w:rsidP="006C328D">
    <w:pPr>
      <w:pStyle w:val="Header"/>
      <w:spacing w:after="240"/>
      <w:jc w:val="right"/>
      <w:rPr>
        <w:rFonts w:ascii="Georgia" w:hAnsi="Georgia" w:cs="Arial"/>
        <w:b/>
        <w:noProof/>
        <w:color w:val="004855"/>
        <w:sz w:val="28"/>
        <w:szCs w:val="28"/>
        <w:lang w:eastAsia="en-AU"/>
      </w:rPr>
    </w:pPr>
    <w:r>
      <w:rPr>
        <w:rFonts w:ascii="Georgia" w:hAnsi="Georgia" w:cs="Arial"/>
        <w:b/>
        <w:noProof/>
        <w:color w:val="004855"/>
        <w:sz w:val="28"/>
        <w:szCs w:val="28"/>
        <w:lang w:eastAsia="en-AU"/>
      </w:rPr>
      <w:t xml:space="preserve"> </w:t>
    </w:r>
    <w:r>
      <w:rPr>
        <w:rFonts w:ascii="Georgia" w:hAnsi="Georgia" w:cs="Arial"/>
        <w:b/>
        <w:noProof/>
        <w:color w:val="004855"/>
        <w:sz w:val="28"/>
        <w:szCs w:val="28"/>
        <w:lang w:eastAsia="en-AU"/>
      </w:rPr>
      <w:drawing>
        <wp:inline distT="0" distB="0" distL="0" distR="0" wp14:anchorId="2B2135CB" wp14:editId="1996BAB4">
          <wp:extent cx="3205353" cy="476804"/>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05353" cy="476804"/>
                  </a:xfrm>
                  <a:prstGeom prst="rect">
                    <a:avLst/>
                  </a:prstGeom>
                  <a:noFill/>
                  <a:ln>
                    <a:noFill/>
                  </a:ln>
                </pic:spPr>
              </pic:pic>
            </a:graphicData>
          </a:graphic>
        </wp:inline>
      </w:drawing>
    </w:r>
    <w:r>
      <w:rPr>
        <w:rFonts w:ascii="Georgia" w:hAnsi="Georgia" w:cs="Arial"/>
        <w:b/>
        <w:noProof/>
        <w:color w:val="004855"/>
        <w:sz w:val="28"/>
        <w:szCs w:val="28"/>
        <w:lang w:eastAsia="en-AU"/>
      </w:rPr>
      <w:tab/>
    </w:r>
    <w:r>
      <w:rPr>
        <w:rFonts w:ascii="Georgia" w:hAnsi="Georgia" w:cs="Arial"/>
        <w:b/>
        <w:noProof/>
        <w:color w:val="004855"/>
        <w:sz w:val="28"/>
        <w:szCs w:val="28"/>
        <w:lang w:eastAsia="en-AU"/>
      </w:rPr>
      <w:drawing>
        <wp:inline distT="0" distB="0" distL="0" distR="0" wp14:anchorId="4FB4F80A" wp14:editId="004591B6">
          <wp:extent cx="1425274" cy="353261"/>
          <wp:effectExtent l="0" t="0" r="3810" b="889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25274" cy="35326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48838" w14:textId="63C49C58" w:rsidR="00886FB9" w:rsidRPr="006C328D" w:rsidRDefault="00886FB9" w:rsidP="006C328D">
    <w:pPr>
      <w:pStyle w:val="Header"/>
      <w:spacing w:after="240"/>
      <w:jc w:val="right"/>
      <w:rPr>
        <w:rFonts w:ascii="Georgia" w:hAnsi="Georgia" w:cs="Arial"/>
        <w:b/>
        <w:noProof/>
        <w:color w:val="004855"/>
        <w:sz w:val="28"/>
        <w:szCs w:val="28"/>
        <w:lang w:eastAsia="en-AU"/>
      </w:rPr>
    </w:pPr>
    <w:r>
      <w:rPr>
        <w:rFonts w:ascii="Georgia" w:hAnsi="Georgia" w:cs="Arial"/>
        <w:b/>
        <w:noProof/>
        <w:color w:val="004855"/>
        <w:sz w:val="28"/>
        <w:szCs w:val="28"/>
        <w:lang w:eastAsia="en-AU"/>
      </w:rPr>
      <w:t xml:space="preserve"> </w:t>
    </w:r>
    <w:r>
      <w:rPr>
        <w:rFonts w:ascii="Georgia" w:hAnsi="Georgia" w:cs="Arial"/>
        <w:b/>
        <w:noProof/>
        <w:color w:val="004855"/>
        <w:sz w:val="28"/>
        <w:szCs w:val="28"/>
        <w:lang w:eastAsia="en-AU"/>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36pt" o:bullet="t">
        <v:imagedata r:id="rId1" o:title="Teal-Triangles"/>
      </v:shape>
    </w:pict>
  </w:numPicBullet>
  <w:numPicBullet w:numPicBulletId="1">
    <w:pict>
      <v:shape id="_x0000_i1027" type="#_x0000_t75" style="width:1in;height:36pt" o:bullet="t">
        <v:imagedata r:id="rId2" o:title="Pink-Triangles"/>
      </v:shape>
    </w:pict>
  </w:numPicBullet>
  <w:numPicBullet w:numPicBulletId="2">
    <w:pict>
      <v:shape id="_x0000_i1028" type="#_x0000_t75" style="width:1in;height:36pt" o:bullet="t">
        <v:imagedata r:id="rId3" o:title="Yellow-Triangles"/>
      </v:shape>
    </w:pict>
  </w:numPicBullet>
  <w:abstractNum w:abstractNumId="0" w15:restartNumberingAfterBreak="0">
    <w:nsid w:val="FFFFFF7C"/>
    <w:multiLevelType w:val="singleLevel"/>
    <w:tmpl w:val="9D8A4D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C28D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DAB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88D8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AE53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1073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88E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B612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DC49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9056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30639"/>
    <w:multiLevelType w:val="hybridMultilevel"/>
    <w:tmpl w:val="D5CA4C2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FE541A5"/>
    <w:multiLevelType w:val="multilevel"/>
    <w:tmpl w:val="63D68E2A"/>
    <w:lvl w:ilvl="0">
      <w:start w:val="1"/>
      <w:numFmt w:val="bullet"/>
      <w:pStyle w:val="Bullet1"/>
      <w:lvlText w:val=""/>
      <w:lvlJc w:val="left"/>
      <w:pPr>
        <w:ind w:left="284" w:hanging="284"/>
      </w:pPr>
      <w:rPr>
        <w:rFonts w:ascii="Symbol" w:hAnsi="Symbol" w:hint="default"/>
        <w:color w:val="004E7D"/>
      </w:rPr>
    </w:lvl>
    <w:lvl w:ilvl="1">
      <w:start w:val="1"/>
      <w:numFmt w:val="bullet"/>
      <w:lvlText w:val="–"/>
      <w:lvlJc w:val="left"/>
      <w:pPr>
        <w:ind w:left="568" w:hanging="284"/>
      </w:pPr>
      <w:rPr>
        <w:rFonts w:ascii="Arial" w:hAnsi="Arial" w:hint="default"/>
        <w:color w:val="00847E" w:themeColor="accent1"/>
      </w:rPr>
    </w:lvl>
    <w:lvl w:ilvl="2">
      <w:start w:val="1"/>
      <w:numFmt w:val="bullet"/>
      <w:lvlText w:val="»"/>
      <w:lvlJc w:val="left"/>
      <w:pPr>
        <w:ind w:left="852" w:hanging="284"/>
      </w:pPr>
      <w:rPr>
        <w:rFonts w:ascii="Arial" w:hAnsi="Arial" w:hint="default"/>
        <w:color w:val="00847E"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26D50250"/>
    <w:multiLevelType w:val="hybridMultilevel"/>
    <w:tmpl w:val="62A492F2"/>
    <w:lvl w:ilvl="0" w:tplc="CA78D74C">
      <w:start w:val="1"/>
      <w:numFmt w:val="bullet"/>
      <w:pStyle w:val="PullOut-Teal"/>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92680B"/>
    <w:multiLevelType w:val="hybridMultilevel"/>
    <w:tmpl w:val="6C12699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E1761EE"/>
    <w:multiLevelType w:val="multilevel"/>
    <w:tmpl w:val="E96EA27E"/>
    <w:lvl w:ilvl="0">
      <w:start w:val="1"/>
      <w:numFmt w:val="decimal"/>
      <w:pStyle w:val="TableTitle"/>
      <w:lvlText w:val="Table %1."/>
      <w:lvlJc w:val="left"/>
      <w:pPr>
        <w:ind w:left="1134" w:hanging="1134"/>
      </w:pPr>
      <w:rPr>
        <w:rFonts w:hint="default"/>
        <w:b w:val="0"/>
        <w:i w:val="0"/>
        <w:caps w:val="0"/>
        <w:color w:val="004E7D"/>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35A332E"/>
    <w:multiLevelType w:val="multilevel"/>
    <w:tmpl w:val="94C85D9A"/>
    <w:lvl w:ilvl="0">
      <w:start w:val="1"/>
      <w:numFmt w:val="bullet"/>
      <w:lvlText w:val=""/>
      <w:lvlJc w:val="left"/>
      <w:pPr>
        <w:ind w:left="284" w:hanging="284"/>
      </w:pPr>
      <w:rPr>
        <w:rFonts w:ascii="Symbol" w:hAnsi="Symbol" w:hint="default"/>
        <w:color w:val="00847E" w:themeColor="accent1"/>
      </w:rPr>
    </w:lvl>
    <w:lvl w:ilvl="1">
      <w:start w:val="1"/>
      <w:numFmt w:val="bullet"/>
      <w:pStyle w:val="Bullet2"/>
      <w:lvlText w:val="–"/>
      <w:lvlJc w:val="left"/>
      <w:pPr>
        <w:ind w:left="568" w:hanging="284"/>
      </w:pPr>
      <w:rPr>
        <w:rFonts w:ascii="Arial" w:hAnsi="Arial" w:hint="default"/>
        <w:color w:val="004E7D"/>
      </w:rPr>
    </w:lvl>
    <w:lvl w:ilvl="2">
      <w:start w:val="1"/>
      <w:numFmt w:val="bullet"/>
      <w:pStyle w:val="Bullet3"/>
      <w:lvlText w:val="»"/>
      <w:lvlJc w:val="left"/>
      <w:pPr>
        <w:ind w:left="710" w:hanging="284"/>
      </w:pPr>
      <w:rPr>
        <w:rFonts w:ascii="Arial" w:hAnsi="Arial" w:hint="default"/>
        <w:color w:val="004E7D"/>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34560EEA"/>
    <w:multiLevelType w:val="hybridMultilevel"/>
    <w:tmpl w:val="0D560CF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C2D47AE"/>
    <w:multiLevelType w:val="hybridMultilevel"/>
    <w:tmpl w:val="43C43536"/>
    <w:lvl w:ilvl="0" w:tplc="93243402">
      <w:start w:val="1"/>
      <w:numFmt w:val="bullet"/>
      <w:pStyle w:val="PullOut-Yellow"/>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053F42"/>
    <w:multiLevelType w:val="hybridMultilevel"/>
    <w:tmpl w:val="0D560CF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8615703"/>
    <w:multiLevelType w:val="multilevel"/>
    <w:tmpl w:val="803CF862"/>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594F6627"/>
    <w:multiLevelType w:val="hybridMultilevel"/>
    <w:tmpl w:val="77D82B46"/>
    <w:lvl w:ilvl="0" w:tplc="B66A71E0">
      <w:start w:val="1"/>
      <w:numFmt w:val="bullet"/>
      <w:pStyle w:val="PullOut-Pink"/>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AB1989"/>
    <w:multiLevelType w:val="hybridMultilevel"/>
    <w:tmpl w:val="6C12699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5BF51665"/>
    <w:multiLevelType w:val="multilevel"/>
    <w:tmpl w:val="BA4CA9E6"/>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C283B55"/>
    <w:multiLevelType w:val="multilevel"/>
    <w:tmpl w:val="2A22B136"/>
    <w:lvl w:ilvl="0">
      <w:start w:val="1"/>
      <w:numFmt w:val="decimal"/>
      <w:pStyle w:val="FigureTitle"/>
      <w:lvlText w:val="Figure %1."/>
      <w:lvlJc w:val="left"/>
      <w:pPr>
        <w:ind w:left="1134" w:hanging="1134"/>
      </w:pPr>
      <w:rPr>
        <w:rFonts w:hint="default"/>
        <w:b w:val="0"/>
        <w:i w:val="0"/>
        <w:caps w:val="0"/>
        <w:color w:val="004E7D"/>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F6B5D74"/>
    <w:multiLevelType w:val="hybridMultilevel"/>
    <w:tmpl w:val="EDC2DD9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C473748"/>
    <w:multiLevelType w:val="hybridMultilevel"/>
    <w:tmpl w:val="EDC2DD9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E9C1F08"/>
    <w:multiLevelType w:val="multilevel"/>
    <w:tmpl w:val="6DC6B1AA"/>
    <w:lvl w:ilvl="0">
      <w:start w:val="1"/>
      <w:numFmt w:val="bullet"/>
      <w:lvlText w:val=""/>
      <w:lvlJc w:val="left"/>
      <w:pPr>
        <w:ind w:left="284" w:hanging="284"/>
      </w:pPr>
      <w:rPr>
        <w:rFonts w:ascii="Symbol" w:hAnsi="Symbol" w:hint="default"/>
        <w:color w:val="00847E" w:themeColor="accent1"/>
      </w:rPr>
    </w:lvl>
    <w:lvl w:ilvl="1">
      <w:start w:val="1"/>
      <w:numFmt w:val="bullet"/>
      <w:lvlText w:val=""/>
      <w:lvlJc w:val="left"/>
      <w:pPr>
        <w:ind w:left="568" w:hanging="284"/>
      </w:pPr>
      <w:rPr>
        <w:rFonts w:ascii="Symbol" w:hAnsi="Symbol" w:hint="default"/>
        <w:color w:val="004E7D"/>
      </w:rPr>
    </w:lvl>
    <w:lvl w:ilvl="2">
      <w:start w:val="1"/>
      <w:numFmt w:val="bullet"/>
      <w:lvlText w:val="»"/>
      <w:lvlJc w:val="left"/>
      <w:pPr>
        <w:ind w:left="852" w:hanging="284"/>
      </w:pPr>
      <w:rPr>
        <w:rFonts w:ascii="Arial" w:hAnsi="Arial" w:hint="default"/>
        <w:color w:val="00847E"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8" w15:restartNumberingAfterBreak="0">
    <w:nsid w:val="790B67C4"/>
    <w:multiLevelType w:val="multilevel"/>
    <w:tmpl w:val="FE688822"/>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3B45" w:themeColor="text2"/>
      </w:rPr>
    </w:lvl>
    <w:lvl w:ilvl="3">
      <w:start w:val="1"/>
      <w:numFmt w:val="bullet"/>
      <w:lvlText w:val="»"/>
      <w:lvlJc w:val="left"/>
      <w:pPr>
        <w:ind w:left="794" w:hanging="510"/>
      </w:pPr>
      <w:rPr>
        <w:rFonts w:ascii="Arial" w:hAnsi="Arial" w:hint="default"/>
        <w:color w:val="003B45"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9" w15:restartNumberingAfterBreak="0">
    <w:nsid w:val="7B891533"/>
    <w:multiLevelType w:val="hybridMultilevel"/>
    <w:tmpl w:val="EDC2DD9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EE44065"/>
    <w:multiLevelType w:val="multilevel"/>
    <w:tmpl w:val="CC9AB0EE"/>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327025617">
    <w:abstractNumId w:val="30"/>
  </w:num>
  <w:num w:numId="2" w16cid:durableId="1599868285">
    <w:abstractNumId w:val="28"/>
  </w:num>
  <w:num w:numId="3" w16cid:durableId="1312172844">
    <w:abstractNumId w:val="16"/>
  </w:num>
  <w:num w:numId="4" w16cid:durableId="362631984">
    <w:abstractNumId w:val="24"/>
  </w:num>
  <w:num w:numId="5" w16cid:durableId="357514761">
    <w:abstractNumId w:val="23"/>
  </w:num>
  <w:num w:numId="6" w16cid:durableId="557742041">
    <w:abstractNumId w:val="20"/>
  </w:num>
  <w:num w:numId="7" w16cid:durableId="12269888">
    <w:abstractNumId w:val="12"/>
  </w:num>
  <w:num w:numId="8" w16cid:durableId="1940522195">
    <w:abstractNumId w:val="14"/>
  </w:num>
  <w:num w:numId="9" w16cid:durableId="743406529">
    <w:abstractNumId w:val="15"/>
  </w:num>
  <w:num w:numId="10" w16cid:durableId="1053505506">
    <w:abstractNumId w:val="21"/>
  </w:num>
  <w:num w:numId="11" w16cid:durableId="1364400906">
    <w:abstractNumId w:val="18"/>
  </w:num>
  <w:num w:numId="12" w16cid:durableId="1466770915">
    <w:abstractNumId w:val="11"/>
  </w:num>
  <w:num w:numId="13" w16cid:durableId="201090555">
    <w:abstractNumId w:val="27"/>
  </w:num>
  <w:num w:numId="14" w16cid:durableId="1702366032">
    <w:abstractNumId w:val="29"/>
  </w:num>
  <w:num w:numId="15" w16cid:durableId="772941469">
    <w:abstractNumId w:val="10"/>
  </w:num>
  <w:num w:numId="16" w16cid:durableId="207689215">
    <w:abstractNumId w:val="17"/>
  </w:num>
  <w:num w:numId="17" w16cid:durableId="19362061">
    <w:abstractNumId w:val="13"/>
  </w:num>
  <w:num w:numId="18" w16cid:durableId="1511018644">
    <w:abstractNumId w:val="22"/>
  </w:num>
  <w:num w:numId="19" w16cid:durableId="224151490">
    <w:abstractNumId w:val="19"/>
  </w:num>
  <w:num w:numId="20" w16cid:durableId="822156960">
    <w:abstractNumId w:val="25"/>
  </w:num>
  <w:num w:numId="21" w16cid:durableId="123886764">
    <w:abstractNumId w:val="26"/>
  </w:num>
  <w:num w:numId="22" w16cid:durableId="901017994">
    <w:abstractNumId w:val="15"/>
    <w:lvlOverride w:ilvl="0">
      <w:lvl w:ilvl="0">
        <w:start w:val="1"/>
        <w:numFmt w:val="decimal"/>
        <w:pStyle w:val="TableTitle"/>
        <w:lvlText w:val="Table %1."/>
        <w:lvlJc w:val="left"/>
        <w:pPr>
          <w:ind w:left="7087" w:hanging="1134"/>
        </w:pPr>
        <w:rPr>
          <w:rFonts w:hint="default"/>
          <w:b w:val="0"/>
          <w:i w:val="0"/>
          <w:caps w:val="0"/>
          <w:color w:val="004E7D"/>
        </w:rPr>
      </w:lvl>
    </w:lvlOverride>
  </w:num>
  <w:num w:numId="23" w16cid:durableId="2144536722">
    <w:abstractNumId w:val="9"/>
  </w:num>
  <w:num w:numId="24" w16cid:durableId="531765069">
    <w:abstractNumId w:val="7"/>
  </w:num>
  <w:num w:numId="25" w16cid:durableId="1372338373">
    <w:abstractNumId w:val="6"/>
  </w:num>
  <w:num w:numId="26" w16cid:durableId="1528369334">
    <w:abstractNumId w:val="5"/>
  </w:num>
  <w:num w:numId="27" w16cid:durableId="742339509">
    <w:abstractNumId w:val="4"/>
  </w:num>
  <w:num w:numId="28" w16cid:durableId="545607953">
    <w:abstractNumId w:val="8"/>
  </w:num>
  <w:num w:numId="29" w16cid:durableId="1383097729">
    <w:abstractNumId w:val="3"/>
  </w:num>
  <w:num w:numId="30" w16cid:durableId="1971207963">
    <w:abstractNumId w:val="2"/>
  </w:num>
  <w:num w:numId="31" w16cid:durableId="268926264">
    <w:abstractNumId w:val="1"/>
  </w:num>
  <w:num w:numId="32" w16cid:durableId="1192718405">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28D"/>
    <w:rsid w:val="001D46BE"/>
    <w:rsid w:val="001F39F5"/>
    <w:rsid w:val="00310F0F"/>
    <w:rsid w:val="00372FB2"/>
    <w:rsid w:val="003773D8"/>
    <w:rsid w:val="003E40BA"/>
    <w:rsid w:val="00420110"/>
    <w:rsid w:val="004C0765"/>
    <w:rsid w:val="004F6AAF"/>
    <w:rsid w:val="005409CF"/>
    <w:rsid w:val="00557514"/>
    <w:rsid w:val="005642C0"/>
    <w:rsid w:val="005B458E"/>
    <w:rsid w:val="006A55A2"/>
    <w:rsid w:val="006C328D"/>
    <w:rsid w:val="007B01C8"/>
    <w:rsid w:val="007F1E89"/>
    <w:rsid w:val="007F78F7"/>
    <w:rsid w:val="008402E0"/>
    <w:rsid w:val="00886FB9"/>
    <w:rsid w:val="008F7517"/>
    <w:rsid w:val="00916350"/>
    <w:rsid w:val="009B769E"/>
    <w:rsid w:val="009E6619"/>
    <w:rsid w:val="00A52435"/>
    <w:rsid w:val="00A864AD"/>
    <w:rsid w:val="00B30D67"/>
    <w:rsid w:val="00B5474A"/>
    <w:rsid w:val="00D01439"/>
    <w:rsid w:val="00D14F43"/>
    <w:rsid w:val="00D717EC"/>
    <w:rsid w:val="00DC0C1C"/>
    <w:rsid w:val="00E359CB"/>
    <w:rsid w:val="00E37624"/>
    <w:rsid w:val="00EC3103"/>
    <w:rsid w:val="00FB030E"/>
    <w:rsid w:val="00FD2ADF"/>
    <w:rsid w:val="00FD6E53"/>
    <w:rsid w:val="00FF25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F32FF"/>
  <w15:docId w15:val="{55DE76BA-4093-4B02-966F-8DC836969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ADF"/>
  </w:style>
  <w:style w:type="paragraph" w:styleId="Heading1">
    <w:name w:val="heading 1"/>
    <w:basedOn w:val="Normal"/>
    <w:next w:val="Normal"/>
    <w:link w:val="Heading1Char"/>
    <w:uiPriority w:val="9"/>
    <w:qFormat/>
    <w:rsid w:val="008402E0"/>
    <w:pPr>
      <w:keepNext/>
      <w:keepLines/>
      <w:pageBreakBefore/>
      <w:spacing w:before="0" w:after="1800" w:line="540" w:lineRule="atLeast"/>
      <w:outlineLvl w:val="0"/>
    </w:pPr>
    <w:rPr>
      <w:rFonts w:asciiTheme="majorHAnsi" w:eastAsiaTheme="majorEastAsia" w:hAnsiTheme="majorHAnsi" w:cstheme="majorBidi"/>
      <w:b/>
      <w:color w:val="004E7D"/>
      <w:sz w:val="48"/>
      <w:szCs w:val="32"/>
    </w:rPr>
  </w:style>
  <w:style w:type="paragraph" w:styleId="Heading2">
    <w:name w:val="heading 2"/>
    <w:basedOn w:val="Normal"/>
    <w:next w:val="Normal"/>
    <w:link w:val="Heading2Char"/>
    <w:uiPriority w:val="9"/>
    <w:qFormat/>
    <w:rsid w:val="008402E0"/>
    <w:pPr>
      <w:keepNext/>
      <w:keepLines/>
      <w:spacing w:before="480" w:after="240" w:line="500" w:lineRule="atLeast"/>
      <w:outlineLvl w:val="1"/>
    </w:pPr>
    <w:rPr>
      <w:rFonts w:asciiTheme="majorHAnsi" w:eastAsiaTheme="majorEastAsia" w:hAnsiTheme="majorHAnsi" w:cstheme="majorBidi"/>
      <w:color w:val="004E7D"/>
      <w:sz w:val="44"/>
      <w:szCs w:val="26"/>
    </w:rPr>
  </w:style>
  <w:style w:type="paragraph" w:styleId="Heading3">
    <w:name w:val="heading 3"/>
    <w:basedOn w:val="Normal"/>
    <w:next w:val="Normal"/>
    <w:link w:val="Heading3Char"/>
    <w:uiPriority w:val="9"/>
    <w:qFormat/>
    <w:rsid w:val="008402E0"/>
    <w:pPr>
      <w:keepNext/>
      <w:keepLines/>
      <w:spacing w:before="480" w:after="240" w:line="380" w:lineRule="atLeast"/>
      <w:outlineLvl w:val="2"/>
    </w:pPr>
    <w:rPr>
      <w:rFonts w:asciiTheme="majorHAnsi" w:eastAsiaTheme="majorEastAsia" w:hAnsiTheme="majorHAnsi" w:cstheme="majorBidi"/>
      <w:color w:val="004E7D"/>
      <w:sz w:val="32"/>
      <w:szCs w:val="24"/>
    </w:rPr>
  </w:style>
  <w:style w:type="paragraph" w:styleId="Heading4">
    <w:name w:val="heading 4"/>
    <w:basedOn w:val="Normal"/>
    <w:next w:val="Normal"/>
    <w:link w:val="Heading4Char"/>
    <w:uiPriority w:val="9"/>
    <w:qFormat/>
    <w:rsid w:val="005B458E"/>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5B458E"/>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5B458E"/>
    <w:pPr>
      <w:keepNext/>
      <w:keepLines/>
      <w:outlineLvl w:val="5"/>
    </w:pPr>
    <w:rPr>
      <w:rFonts w:eastAsiaTheme="majorEastAsia" w:cstheme="majorBidi"/>
      <w:b/>
      <w:i/>
      <w:sz w:val="20"/>
      <w:szCs w:val="20"/>
    </w:rPr>
  </w:style>
  <w:style w:type="paragraph" w:styleId="Heading7">
    <w:name w:val="heading 7"/>
    <w:basedOn w:val="Normal"/>
    <w:next w:val="Normal"/>
    <w:link w:val="Heading7Char"/>
    <w:uiPriority w:val="9"/>
    <w:qFormat/>
    <w:rsid w:val="005B458E"/>
    <w:pPr>
      <w:keepNext/>
      <w:keepLines/>
      <w:outlineLvl w:val="6"/>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Numbered">
    <w:name w:val="Appendix Numbered"/>
    <w:basedOn w:val="Heading2"/>
    <w:uiPriority w:val="11"/>
    <w:qFormat/>
    <w:rsid w:val="005B458E"/>
    <w:pPr>
      <w:pageBreakBefore/>
      <w:numPr>
        <w:numId w:val="1"/>
      </w:numPr>
    </w:pPr>
    <w:rPr>
      <w:b/>
    </w:rPr>
  </w:style>
  <w:style w:type="character" w:customStyle="1" w:styleId="Heading2Char">
    <w:name w:val="Heading 2 Char"/>
    <w:basedOn w:val="DefaultParagraphFont"/>
    <w:link w:val="Heading2"/>
    <w:uiPriority w:val="9"/>
    <w:rsid w:val="008402E0"/>
    <w:rPr>
      <w:rFonts w:asciiTheme="majorHAnsi" w:eastAsiaTheme="majorEastAsia" w:hAnsiTheme="majorHAnsi" w:cstheme="majorBidi"/>
      <w:color w:val="004E7D"/>
      <w:sz w:val="44"/>
      <w:szCs w:val="26"/>
    </w:rPr>
  </w:style>
  <w:style w:type="paragraph" w:customStyle="1" w:styleId="Boxed1Text">
    <w:name w:val="Boxed 1 Text"/>
    <w:basedOn w:val="Normal"/>
    <w:uiPriority w:val="29"/>
    <w:qFormat/>
    <w:rsid w:val="005B458E"/>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5B458E"/>
    <w:pPr>
      <w:numPr>
        <w:numId w:val="2"/>
      </w:numPr>
    </w:pPr>
  </w:style>
  <w:style w:type="paragraph" w:customStyle="1" w:styleId="Boxed1Heading">
    <w:name w:val="Boxed 1 Heading"/>
    <w:basedOn w:val="Boxed1Text"/>
    <w:uiPriority w:val="29"/>
    <w:qFormat/>
    <w:rsid w:val="005B458E"/>
    <w:pPr>
      <w:keepNext/>
    </w:pPr>
    <w:rPr>
      <w:b/>
    </w:rPr>
  </w:style>
  <w:style w:type="paragraph" w:customStyle="1" w:styleId="Boxed2Text">
    <w:name w:val="Boxed 2 Text"/>
    <w:basedOn w:val="Boxed1Text"/>
    <w:uiPriority w:val="31"/>
    <w:qFormat/>
    <w:rsid w:val="005409CF"/>
    <w:pPr>
      <w:pBdr>
        <w:top w:val="single" w:sz="4" w:space="14" w:color="F7941D"/>
        <w:left w:val="single" w:sz="4" w:space="14" w:color="F7941D"/>
        <w:bottom w:val="single" w:sz="4" w:space="14" w:color="F7941D"/>
        <w:right w:val="single" w:sz="4" w:space="14" w:color="F7941D"/>
      </w:pBdr>
      <w:shd w:val="clear" w:color="auto" w:fill="auto"/>
    </w:pPr>
  </w:style>
  <w:style w:type="paragraph" w:customStyle="1" w:styleId="Boxed2Bullet">
    <w:name w:val="Boxed 2 Bullet"/>
    <w:basedOn w:val="Boxed2Text"/>
    <w:uiPriority w:val="32"/>
    <w:qFormat/>
    <w:rsid w:val="005642C0"/>
    <w:pPr>
      <w:numPr>
        <w:ilvl w:val="1"/>
        <w:numId w:val="2"/>
      </w:numPr>
    </w:pPr>
  </w:style>
  <w:style w:type="paragraph" w:customStyle="1" w:styleId="Boxed2Heading">
    <w:name w:val="Boxed 2 Heading"/>
    <w:basedOn w:val="Boxed2Text"/>
    <w:uiPriority w:val="31"/>
    <w:qFormat/>
    <w:rsid w:val="005409CF"/>
    <w:pPr>
      <w:keepNext/>
    </w:pPr>
    <w:rPr>
      <w:b/>
    </w:rPr>
  </w:style>
  <w:style w:type="paragraph" w:customStyle="1" w:styleId="Bullet1">
    <w:name w:val="Bullet 1"/>
    <w:basedOn w:val="Normal"/>
    <w:uiPriority w:val="2"/>
    <w:qFormat/>
    <w:rsid w:val="005642C0"/>
    <w:pPr>
      <w:numPr>
        <w:numId w:val="12"/>
      </w:numPr>
    </w:pPr>
  </w:style>
  <w:style w:type="paragraph" w:customStyle="1" w:styleId="Bullet2">
    <w:name w:val="Bullet 2"/>
    <w:basedOn w:val="Normal"/>
    <w:uiPriority w:val="2"/>
    <w:qFormat/>
    <w:rsid w:val="005B458E"/>
    <w:pPr>
      <w:numPr>
        <w:ilvl w:val="1"/>
        <w:numId w:val="3"/>
      </w:numPr>
    </w:pPr>
  </w:style>
  <w:style w:type="paragraph" w:customStyle="1" w:styleId="Bullet3">
    <w:name w:val="Bullet 3"/>
    <w:basedOn w:val="Normal"/>
    <w:uiPriority w:val="2"/>
    <w:qFormat/>
    <w:rsid w:val="005642C0"/>
    <w:pPr>
      <w:numPr>
        <w:ilvl w:val="2"/>
        <w:numId w:val="3"/>
      </w:numPr>
    </w:pPr>
  </w:style>
  <w:style w:type="paragraph" w:customStyle="1" w:styleId="FigureTitle">
    <w:name w:val="Figure Title"/>
    <w:basedOn w:val="Normal"/>
    <w:uiPriority w:val="12"/>
    <w:qFormat/>
    <w:rsid w:val="00557514"/>
    <w:pPr>
      <w:keepNext/>
      <w:numPr>
        <w:numId w:val="4"/>
      </w:numPr>
      <w:spacing w:before="240"/>
    </w:pPr>
    <w:rPr>
      <w:rFonts w:asciiTheme="majorHAnsi" w:hAnsiTheme="majorHAnsi"/>
      <w:color w:val="004E7D"/>
    </w:rPr>
  </w:style>
  <w:style w:type="paragraph" w:customStyle="1" w:styleId="Heading1Numbered">
    <w:name w:val="Heading 1 Numbered"/>
    <w:basedOn w:val="Heading1"/>
    <w:uiPriority w:val="10"/>
    <w:qFormat/>
    <w:rsid w:val="005B458E"/>
    <w:pPr>
      <w:numPr>
        <w:numId w:val="5"/>
      </w:numPr>
    </w:pPr>
  </w:style>
  <w:style w:type="character" w:customStyle="1" w:styleId="Heading1Char">
    <w:name w:val="Heading 1 Char"/>
    <w:basedOn w:val="DefaultParagraphFont"/>
    <w:link w:val="Heading1"/>
    <w:uiPriority w:val="9"/>
    <w:rsid w:val="008402E0"/>
    <w:rPr>
      <w:rFonts w:asciiTheme="majorHAnsi" w:eastAsiaTheme="majorEastAsia" w:hAnsiTheme="majorHAnsi" w:cstheme="majorBidi"/>
      <w:b/>
      <w:color w:val="004E7D"/>
      <w:sz w:val="48"/>
      <w:szCs w:val="32"/>
    </w:rPr>
  </w:style>
  <w:style w:type="paragraph" w:customStyle="1" w:styleId="Heading2Numbered">
    <w:name w:val="Heading 2 Numbered"/>
    <w:basedOn w:val="Heading2"/>
    <w:uiPriority w:val="10"/>
    <w:qFormat/>
    <w:rsid w:val="005B458E"/>
    <w:pPr>
      <w:numPr>
        <w:ilvl w:val="1"/>
        <w:numId w:val="5"/>
      </w:numPr>
    </w:pPr>
  </w:style>
  <w:style w:type="paragraph" w:customStyle="1" w:styleId="Heading3Numbered">
    <w:name w:val="Heading 3 Numbered"/>
    <w:basedOn w:val="Heading3"/>
    <w:uiPriority w:val="10"/>
    <w:qFormat/>
    <w:rsid w:val="005B458E"/>
    <w:pPr>
      <w:numPr>
        <w:ilvl w:val="2"/>
        <w:numId w:val="5"/>
      </w:numPr>
    </w:pPr>
  </w:style>
  <w:style w:type="character" w:customStyle="1" w:styleId="Heading3Char">
    <w:name w:val="Heading 3 Char"/>
    <w:basedOn w:val="DefaultParagraphFont"/>
    <w:link w:val="Heading3"/>
    <w:uiPriority w:val="9"/>
    <w:rsid w:val="008402E0"/>
    <w:rPr>
      <w:rFonts w:asciiTheme="majorHAnsi" w:eastAsiaTheme="majorEastAsia" w:hAnsiTheme="majorHAnsi" w:cstheme="majorBidi"/>
      <w:color w:val="004E7D"/>
      <w:sz w:val="32"/>
      <w:szCs w:val="24"/>
    </w:rPr>
  </w:style>
  <w:style w:type="paragraph" w:customStyle="1" w:styleId="Heading4Numbered">
    <w:name w:val="Heading 4 Numbered"/>
    <w:basedOn w:val="Heading4"/>
    <w:uiPriority w:val="10"/>
    <w:qFormat/>
    <w:rsid w:val="005B458E"/>
    <w:pPr>
      <w:numPr>
        <w:ilvl w:val="3"/>
        <w:numId w:val="5"/>
      </w:numPr>
    </w:pPr>
  </w:style>
  <w:style w:type="character" w:customStyle="1" w:styleId="Heading4Char">
    <w:name w:val="Heading 4 Char"/>
    <w:basedOn w:val="DefaultParagraphFont"/>
    <w:link w:val="Heading4"/>
    <w:uiPriority w:val="9"/>
    <w:rsid w:val="005B458E"/>
    <w:rPr>
      <w:rFonts w:eastAsiaTheme="majorEastAsia" w:cstheme="majorBidi"/>
      <w:b/>
      <w:iCs/>
      <w:color w:val="auto"/>
      <w:sz w:val="24"/>
    </w:rPr>
  </w:style>
  <w:style w:type="paragraph" w:customStyle="1" w:styleId="Heading5Numbered">
    <w:name w:val="Heading 5 Numbered"/>
    <w:basedOn w:val="Heading5"/>
    <w:uiPriority w:val="10"/>
    <w:qFormat/>
    <w:rsid w:val="005B458E"/>
    <w:pPr>
      <w:keepNext w:val="0"/>
      <w:numPr>
        <w:ilvl w:val="4"/>
        <w:numId w:val="5"/>
      </w:numPr>
    </w:pPr>
  </w:style>
  <w:style w:type="character" w:customStyle="1" w:styleId="Heading5Char">
    <w:name w:val="Heading 5 Char"/>
    <w:basedOn w:val="DefaultParagraphFont"/>
    <w:link w:val="Heading5"/>
    <w:uiPriority w:val="9"/>
    <w:rsid w:val="005B458E"/>
    <w:rPr>
      <w:rFonts w:eastAsiaTheme="majorEastAsia" w:cstheme="majorBidi"/>
      <w:b/>
      <w:i/>
      <w:color w:val="auto"/>
    </w:rPr>
  </w:style>
  <w:style w:type="paragraph" w:customStyle="1" w:styleId="Heading6Numbered">
    <w:name w:val="Heading 6 Numbered"/>
    <w:basedOn w:val="Heading6"/>
    <w:uiPriority w:val="10"/>
    <w:qFormat/>
    <w:rsid w:val="005B458E"/>
    <w:pPr>
      <w:keepNext w:val="0"/>
      <w:numPr>
        <w:ilvl w:val="5"/>
        <w:numId w:val="5"/>
      </w:numPr>
    </w:pPr>
    <w:rPr>
      <w:sz w:val="22"/>
      <w:szCs w:val="22"/>
    </w:rPr>
  </w:style>
  <w:style w:type="character" w:customStyle="1" w:styleId="Heading6Char">
    <w:name w:val="Heading 6 Char"/>
    <w:basedOn w:val="DefaultParagraphFont"/>
    <w:link w:val="Heading6"/>
    <w:uiPriority w:val="9"/>
    <w:rsid w:val="005B458E"/>
    <w:rPr>
      <w:rFonts w:eastAsiaTheme="majorEastAsia" w:cstheme="majorBidi"/>
      <w:b/>
      <w:i/>
      <w:sz w:val="20"/>
      <w:szCs w:val="20"/>
    </w:rPr>
  </w:style>
  <w:style w:type="paragraph" w:customStyle="1" w:styleId="Heading7Numbered">
    <w:name w:val="Heading 7 Numbered"/>
    <w:basedOn w:val="Heading7"/>
    <w:uiPriority w:val="10"/>
    <w:qFormat/>
    <w:rsid w:val="005B458E"/>
    <w:pPr>
      <w:numPr>
        <w:ilvl w:val="6"/>
        <w:numId w:val="5"/>
      </w:numPr>
    </w:pPr>
    <w:rPr>
      <w:sz w:val="22"/>
      <w:szCs w:val="22"/>
    </w:rPr>
  </w:style>
  <w:style w:type="character" w:customStyle="1" w:styleId="Heading7Char">
    <w:name w:val="Heading 7 Char"/>
    <w:basedOn w:val="DefaultParagraphFont"/>
    <w:link w:val="Heading7"/>
    <w:uiPriority w:val="9"/>
    <w:rsid w:val="005B458E"/>
    <w:rPr>
      <w:rFonts w:eastAsiaTheme="majorEastAsia" w:cstheme="majorBidi"/>
      <w:i/>
      <w:iCs/>
      <w:sz w:val="20"/>
      <w:szCs w:val="20"/>
    </w:rPr>
  </w:style>
  <w:style w:type="paragraph" w:customStyle="1" w:styleId="IntroPara">
    <w:name w:val="Intro Para"/>
    <w:basedOn w:val="Normal"/>
    <w:uiPriority w:val="1"/>
    <w:qFormat/>
    <w:rsid w:val="00B5474A"/>
    <w:pPr>
      <w:spacing w:before="240" w:after="240"/>
      <w:contextualSpacing/>
    </w:pPr>
    <w:rPr>
      <w:rFonts w:asciiTheme="majorHAnsi" w:hAnsiTheme="majorHAnsi"/>
      <w:color w:val="004E7D"/>
    </w:rPr>
  </w:style>
  <w:style w:type="paragraph" w:customStyle="1" w:styleId="List1Numbered1">
    <w:name w:val="List 1 Numbered 1"/>
    <w:basedOn w:val="Normal"/>
    <w:uiPriority w:val="2"/>
    <w:qFormat/>
    <w:rsid w:val="005B458E"/>
    <w:pPr>
      <w:numPr>
        <w:numId w:val="6"/>
      </w:numPr>
    </w:pPr>
  </w:style>
  <w:style w:type="paragraph" w:customStyle="1" w:styleId="List1Numbered2">
    <w:name w:val="List 1 Numbered 2"/>
    <w:basedOn w:val="Normal"/>
    <w:uiPriority w:val="2"/>
    <w:qFormat/>
    <w:rsid w:val="005B458E"/>
    <w:pPr>
      <w:numPr>
        <w:ilvl w:val="1"/>
        <w:numId w:val="6"/>
      </w:numPr>
    </w:pPr>
  </w:style>
  <w:style w:type="paragraph" w:customStyle="1" w:styleId="List1Numbered3">
    <w:name w:val="List 1 Numbered 3"/>
    <w:basedOn w:val="Normal"/>
    <w:uiPriority w:val="2"/>
    <w:qFormat/>
    <w:rsid w:val="005B458E"/>
    <w:pPr>
      <w:numPr>
        <w:ilvl w:val="2"/>
        <w:numId w:val="6"/>
      </w:numPr>
    </w:pPr>
  </w:style>
  <w:style w:type="paragraph" w:customStyle="1" w:styleId="NormalIndent5mm">
    <w:name w:val="Normal Indent 5mm"/>
    <w:basedOn w:val="Normal"/>
    <w:qFormat/>
    <w:rsid w:val="005B458E"/>
    <w:pPr>
      <w:ind w:left="284"/>
    </w:pPr>
  </w:style>
  <w:style w:type="paragraph" w:customStyle="1" w:styleId="PullOut-Teal">
    <w:name w:val="Pull Out - Teal"/>
    <w:basedOn w:val="Normal"/>
    <w:uiPriority w:val="22"/>
    <w:rsid w:val="00D01439"/>
    <w:pPr>
      <w:numPr>
        <w:numId w:val="7"/>
      </w:numPr>
      <w:spacing w:before="480" w:after="480" w:line="340" w:lineRule="atLeast"/>
    </w:pPr>
    <w:rPr>
      <w:color w:val="004E7D"/>
      <w:sz w:val="28"/>
    </w:rPr>
  </w:style>
  <w:style w:type="paragraph" w:customStyle="1" w:styleId="SourceNotes">
    <w:name w:val="Source Notes"/>
    <w:basedOn w:val="Normal"/>
    <w:uiPriority w:val="21"/>
    <w:qFormat/>
    <w:rsid w:val="005B458E"/>
    <w:pPr>
      <w:spacing w:before="60" w:after="60"/>
    </w:pPr>
    <w:rPr>
      <w:sz w:val="16"/>
    </w:rPr>
  </w:style>
  <w:style w:type="paragraph" w:customStyle="1" w:styleId="SourceNotesHeading">
    <w:name w:val="Source Notes Heading"/>
    <w:basedOn w:val="SourceNotes"/>
    <w:uiPriority w:val="20"/>
    <w:qFormat/>
    <w:rsid w:val="005B458E"/>
    <w:pPr>
      <w:spacing w:before="120"/>
    </w:pPr>
    <w:rPr>
      <w:rFonts w:asciiTheme="majorHAnsi" w:hAnsiTheme="majorHAnsi"/>
      <w:b/>
    </w:rPr>
  </w:style>
  <w:style w:type="paragraph" w:customStyle="1" w:styleId="SourceNotesNumbered">
    <w:name w:val="Source Notes Numbered"/>
    <w:basedOn w:val="SourceNotes"/>
    <w:uiPriority w:val="21"/>
    <w:qFormat/>
    <w:rsid w:val="005B458E"/>
    <w:pPr>
      <w:numPr>
        <w:numId w:val="8"/>
      </w:numPr>
    </w:pPr>
  </w:style>
  <w:style w:type="paragraph" w:customStyle="1" w:styleId="TableTitle">
    <w:name w:val="Table Title"/>
    <w:basedOn w:val="FigureTitle"/>
    <w:uiPriority w:val="12"/>
    <w:qFormat/>
    <w:rsid w:val="005B458E"/>
    <w:pPr>
      <w:numPr>
        <w:numId w:val="9"/>
      </w:numPr>
    </w:pPr>
  </w:style>
  <w:style w:type="paragraph" w:customStyle="1" w:styleId="PullOut-Pink">
    <w:name w:val="Pull Out - Pink"/>
    <w:basedOn w:val="PullOut-Teal"/>
    <w:uiPriority w:val="22"/>
    <w:rsid w:val="005B458E"/>
    <w:pPr>
      <w:numPr>
        <w:numId w:val="10"/>
      </w:numPr>
    </w:pPr>
  </w:style>
  <w:style w:type="paragraph" w:customStyle="1" w:styleId="PullOut-Yellow">
    <w:name w:val="Pull Out - Yellow"/>
    <w:basedOn w:val="PullOut-Teal"/>
    <w:qFormat/>
    <w:rsid w:val="005B458E"/>
    <w:pPr>
      <w:numPr>
        <w:numId w:val="11"/>
      </w:numPr>
    </w:pPr>
  </w:style>
  <w:style w:type="paragraph" w:styleId="Caption">
    <w:name w:val="caption"/>
    <w:basedOn w:val="Normal"/>
    <w:next w:val="Normal"/>
    <w:uiPriority w:val="19"/>
    <w:qFormat/>
    <w:rsid w:val="00557514"/>
    <w:pPr>
      <w:spacing w:before="180" w:after="480" w:line="200" w:lineRule="atLeast"/>
      <w:ind w:right="2268"/>
    </w:pPr>
    <w:rPr>
      <w:rFonts w:asciiTheme="majorHAnsi" w:hAnsiTheme="majorHAnsi"/>
      <w:iCs/>
      <w:color w:val="004E7D"/>
      <w:sz w:val="16"/>
      <w:szCs w:val="18"/>
    </w:rPr>
  </w:style>
  <w:style w:type="paragraph" w:styleId="Title">
    <w:name w:val="Title"/>
    <w:basedOn w:val="Normal"/>
    <w:next w:val="Normal"/>
    <w:link w:val="TitleChar"/>
    <w:uiPriority w:val="22"/>
    <w:qFormat/>
    <w:rsid w:val="008402E0"/>
    <w:pPr>
      <w:keepLines/>
      <w:spacing w:before="0" w:after="360" w:line="640" w:lineRule="exact"/>
      <w:contextualSpacing/>
      <w:outlineLvl w:val="0"/>
    </w:pPr>
    <w:rPr>
      <w:rFonts w:asciiTheme="majorHAnsi" w:eastAsiaTheme="majorEastAsia" w:hAnsiTheme="majorHAnsi" w:cstheme="majorBidi"/>
      <w:color w:val="004E7D"/>
      <w:kern w:val="28"/>
      <w:sz w:val="60"/>
      <w:szCs w:val="56"/>
    </w:rPr>
  </w:style>
  <w:style w:type="character" w:customStyle="1" w:styleId="TitleChar">
    <w:name w:val="Title Char"/>
    <w:basedOn w:val="DefaultParagraphFont"/>
    <w:link w:val="Title"/>
    <w:uiPriority w:val="22"/>
    <w:rsid w:val="008402E0"/>
    <w:rPr>
      <w:rFonts w:asciiTheme="majorHAnsi" w:eastAsiaTheme="majorEastAsia" w:hAnsiTheme="majorHAnsi" w:cstheme="majorBidi"/>
      <w:color w:val="004E7D"/>
      <w:kern w:val="28"/>
      <w:sz w:val="60"/>
      <w:szCs w:val="56"/>
    </w:rPr>
  </w:style>
  <w:style w:type="paragraph" w:styleId="Subtitle">
    <w:name w:val="Subtitle"/>
    <w:basedOn w:val="Normal"/>
    <w:next w:val="Normal"/>
    <w:link w:val="SubtitleChar"/>
    <w:uiPriority w:val="23"/>
    <w:qFormat/>
    <w:rsid w:val="00D01439"/>
    <w:pPr>
      <w:keepLines/>
      <w:numPr>
        <w:ilvl w:val="1"/>
      </w:numPr>
      <w:spacing w:before="360" w:after="360" w:line="280" w:lineRule="exact"/>
      <w:contextualSpacing/>
    </w:pPr>
    <w:rPr>
      <w:rFonts w:eastAsiaTheme="minorEastAsia"/>
      <w:color w:val="004E7D"/>
      <w:sz w:val="24"/>
    </w:rPr>
  </w:style>
  <w:style w:type="character" w:customStyle="1" w:styleId="SubtitleChar">
    <w:name w:val="Subtitle Char"/>
    <w:basedOn w:val="DefaultParagraphFont"/>
    <w:link w:val="Subtitle"/>
    <w:uiPriority w:val="23"/>
    <w:rsid w:val="00D01439"/>
    <w:rPr>
      <w:rFonts w:eastAsiaTheme="minorEastAsia"/>
      <w:color w:val="004E7D"/>
      <w:sz w:val="24"/>
    </w:rPr>
  </w:style>
  <w:style w:type="character" w:styleId="Strong">
    <w:name w:val="Strong"/>
    <w:basedOn w:val="DefaultParagraphFont"/>
    <w:uiPriority w:val="33"/>
    <w:qFormat/>
    <w:rsid w:val="005B458E"/>
    <w:rPr>
      <w:b/>
      <w:bCs/>
    </w:rPr>
  </w:style>
  <w:style w:type="character" w:styleId="Emphasis">
    <w:name w:val="Emphasis"/>
    <w:basedOn w:val="DefaultParagraphFont"/>
    <w:uiPriority w:val="33"/>
    <w:qFormat/>
    <w:rsid w:val="005B458E"/>
    <w:rPr>
      <w:i/>
      <w:iCs/>
    </w:rPr>
  </w:style>
  <w:style w:type="paragraph" w:styleId="NoSpacing">
    <w:name w:val="No Spacing"/>
    <w:uiPriority w:val="1"/>
    <w:qFormat/>
    <w:rsid w:val="005B458E"/>
    <w:pPr>
      <w:spacing w:after="0"/>
    </w:pPr>
  </w:style>
  <w:style w:type="character" w:styleId="IntenseEmphasis">
    <w:name w:val="Intense Emphasis"/>
    <w:basedOn w:val="DefaultParagraphFont"/>
    <w:uiPriority w:val="33"/>
    <w:qFormat/>
    <w:rsid w:val="005B458E"/>
    <w:rPr>
      <w:b/>
      <w:i/>
      <w:iCs/>
      <w:color w:val="000000" w:themeColor="text1"/>
    </w:rPr>
  </w:style>
  <w:style w:type="paragraph" w:styleId="TOCHeading">
    <w:name w:val="TOC Heading"/>
    <w:basedOn w:val="Heading1"/>
    <w:next w:val="Normal"/>
    <w:uiPriority w:val="39"/>
    <w:qFormat/>
    <w:rsid w:val="005B458E"/>
    <w:pPr>
      <w:outlineLvl w:val="9"/>
    </w:pPr>
  </w:style>
  <w:style w:type="paragraph" w:styleId="Header">
    <w:name w:val="header"/>
    <w:basedOn w:val="Normal"/>
    <w:link w:val="HeaderChar"/>
    <w:uiPriority w:val="99"/>
    <w:unhideWhenUsed/>
    <w:rsid w:val="006C328D"/>
    <w:pPr>
      <w:tabs>
        <w:tab w:val="center" w:pos="4513"/>
        <w:tab w:val="right" w:pos="9026"/>
      </w:tabs>
      <w:spacing w:before="0" w:after="0"/>
    </w:pPr>
  </w:style>
  <w:style w:type="character" w:customStyle="1" w:styleId="HeaderChar">
    <w:name w:val="Header Char"/>
    <w:basedOn w:val="DefaultParagraphFont"/>
    <w:link w:val="Header"/>
    <w:uiPriority w:val="99"/>
    <w:rsid w:val="006C328D"/>
  </w:style>
  <w:style w:type="paragraph" w:styleId="Footer">
    <w:name w:val="footer"/>
    <w:basedOn w:val="Normal"/>
    <w:link w:val="FooterChar"/>
    <w:uiPriority w:val="99"/>
    <w:unhideWhenUsed/>
    <w:rsid w:val="006C328D"/>
    <w:pPr>
      <w:tabs>
        <w:tab w:val="center" w:pos="4513"/>
        <w:tab w:val="right" w:pos="9026"/>
      </w:tabs>
      <w:spacing w:before="0" w:after="0"/>
    </w:pPr>
  </w:style>
  <w:style w:type="character" w:customStyle="1" w:styleId="FooterChar">
    <w:name w:val="Footer Char"/>
    <w:basedOn w:val="DefaultParagraphFont"/>
    <w:link w:val="Footer"/>
    <w:uiPriority w:val="99"/>
    <w:rsid w:val="006C328D"/>
  </w:style>
  <w:style w:type="paragraph" w:styleId="BalloonText">
    <w:name w:val="Balloon Text"/>
    <w:basedOn w:val="Normal"/>
    <w:link w:val="BalloonTextChar"/>
    <w:uiPriority w:val="99"/>
    <w:semiHidden/>
    <w:unhideWhenUsed/>
    <w:rsid w:val="006C328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28D"/>
    <w:rPr>
      <w:rFonts w:ascii="Tahoma" w:hAnsi="Tahoma" w:cs="Tahoma"/>
      <w:sz w:val="16"/>
      <w:szCs w:val="16"/>
    </w:rPr>
  </w:style>
  <w:style w:type="character" w:styleId="IntenseReference">
    <w:name w:val="Intense Reference"/>
    <w:basedOn w:val="DefaultParagraphFont"/>
    <w:uiPriority w:val="32"/>
    <w:qFormat/>
    <w:rsid w:val="00D01439"/>
    <w:rPr>
      <w:b/>
      <w:bCs/>
      <w:smallCaps/>
      <w:color w:val="004E7D"/>
      <w:spacing w:val="5"/>
    </w:rPr>
  </w:style>
  <w:style w:type="paragraph" w:styleId="IntenseQuote">
    <w:name w:val="Intense Quote"/>
    <w:basedOn w:val="Normal"/>
    <w:next w:val="Normal"/>
    <w:link w:val="IntenseQuoteChar"/>
    <w:uiPriority w:val="30"/>
    <w:rsid w:val="005409CF"/>
    <w:pPr>
      <w:pBdr>
        <w:top w:val="single" w:sz="4" w:space="10" w:color="00847E" w:themeColor="accent1"/>
        <w:bottom w:val="single" w:sz="4" w:space="10" w:color="00847E" w:themeColor="accent1"/>
      </w:pBdr>
      <w:spacing w:before="360" w:after="360"/>
      <w:ind w:left="864" w:right="864"/>
      <w:jc w:val="center"/>
    </w:pPr>
    <w:rPr>
      <w:i/>
      <w:iCs/>
      <w:color w:val="004E7D"/>
    </w:rPr>
  </w:style>
  <w:style w:type="character" w:customStyle="1" w:styleId="IntenseQuoteChar">
    <w:name w:val="Intense Quote Char"/>
    <w:basedOn w:val="DefaultParagraphFont"/>
    <w:link w:val="IntenseQuote"/>
    <w:uiPriority w:val="30"/>
    <w:rsid w:val="005409CF"/>
    <w:rPr>
      <w:i/>
      <w:iCs/>
      <w:color w:val="004E7D"/>
    </w:rPr>
  </w:style>
  <w:style w:type="paragraph" w:styleId="ListParagraph">
    <w:name w:val="List Paragraph"/>
    <w:aliases w:val="L"/>
    <w:basedOn w:val="Normal"/>
    <w:link w:val="ListParagraphChar"/>
    <w:uiPriority w:val="34"/>
    <w:qFormat/>
    <w:rsid w:val="00420110"/>
    <w:pPr>
      <w:ind w:left="720"/>
      <w:contextualSpacing/>
    </w:pPr>
  </w:style>
  <w:style w:type="character" w:styleId="Hyperlink">
    <w:name w:val="Hyperlink"/>
    <w:basedOn w:val="DefaultParagraphFont"/>
    <w:uiPriority w:val="99"/>
    <w:semiHidden/>
    <w:unhideWhenUsed/>
    <w:rsid w:val="00FD2ADF"/>
    <w:rPr>
      <w:color w:val="004E7D"/>
      <w:u w:val="single"/>
    </w:rPr>
  </w:style>
  <w:style w:type="character" w:customStyle="1" w:styleId="ListParagraphChar">
    <w:name w:val="List Paragraph Char"/>
    <w:aliases w:val="L Char"/>
    <w:basedOn w:val="DefaultParagraphFont"/>
    <w:link w:val="ListParagraph"/>
    <w:uiPriority w:val="34"/>
    <w:rsid w:val="00DC0C1C"/>
  </w:style>
  <w:style w:type="table" w:customStyle="1" w:styleId="TEQSAtables">
    <w:name w:val="TEQSA tables"/>
    <w:basedOn w:val="TableNormal"/>
    <w:uiPriority w:val="99"/>
    <w:rsid w:val="00DC0C1C"/>
    <w:pPr>
      <w:spacing w:before="0" w:after="0"/>
      <w:jc w:val="center"/>
    </w:pPr>
    <w:rPr>
      <w:color w:val="auto"/>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Mar>
        <w:top w:w="57" w:type="dxa"/>
        <w:left w:w="142" w:type="dxa"/>
        <w:bottom w:w="57" w:type="dxa"/>
        <w:right w:w="142" w:type="dxa"/>
      </w:tcMar>
    </w:tcPr>
    <w:tblStylePr w:type="firstRow">
      <w:rPr>
        <w:rFonts w:ascii="Arial" w:hAnsi="Arial"/>
        <w:b/>
        <w:color w:val="E7E6E6" w:themeColor="background2"/>
        <w:sz w:val="2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single" w:sz="4" w:space="0" w:color="000000" w:themeColor="text1"/>
          <w:tl2br w:val="nil"/>
          <w:tr2bl w:val="nil"/>
        </w:tcBorders>
        <w:shd w:val="clear" w:color="auto" w:fill="004855"/>
      </w:tcPr>
    </w:tblStylePr>
    <w:tblStylePr w:type="band2Horz">
      <w:tblPr/>
      <w:tcPr>
        <w:shd w:val="clear" w:color="auto" w:fill="FBE4D5" w:themeFill="accent6" w:themeFillTint="33"/>
      </w:tcPr>
    </w:tblStylePr>
  </w:style>
  <w:style w:type="table" w:customStyle="1" w:styleId="DefaultTable1">
    <w:name w:val="Default Table 1"/>
    <w:basedOn w:val="TableNormal"/>
    <w:uiPriority w:val="99"/>
    <w:rsid w:val="00DC0C1C"/>
    <w:pPr>
      <w:spacing w:before="60" w:after="60"/>
    </w:pPr>
    <w:rPr>
      <w:sz w:val="18"/>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00847E"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47E"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B3FFFB" w:themeFill="accent1" w:themeFillTint="33"/>
      </w:tcPr>
    </w:tblStylePr>
    <w:tblStylePr w:type="band2Vert">
      <w:tblPr/>
      <w:tcPr>
        <w:shd w:val="clear" w:color="auto" w:fill="67FFF7" w:themeFill="accent1" w:themeFillTint="66"/>
      </w:tcPr>
    </w:tblStylePr>
    <w:tblStylePr w:type="band1Horz">
      <w:tblPr/>
      <w:tcPr>
        <w:shd w:val="clear" w:color="auto" w:fill="B3FFFB" w:themeFill="accent1" w:themeFillTint="33"/>
      </w:tcPr>
    </w:tblStylePr>
    <w:tblStylePr w:type="band2Horz">
      <w:tblPr/>
      <w:tcPr>
        <w:shd w:val="clear" w:color="auto" w:fill="67FFF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7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eqsa.gov.au/guides-resources/resources/sector-updates-and-alerts/independent-experts-engaged-provide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teqsa.gov.au/provider-registration/support-and-resources" TargetMode="External"/><Relationship Id="rId10" Type="http://schemas.openxmlformats.org/officeDocument/2006/relationships/hyperlink" Target="https://www.teqsa.gov.au/guides-resources/resources/corporate-publications/teqsa-initial-provider-registrations-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eqsa.gov.au/provider-registration/support-and-resourc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QSA">
      <a:dk1>
        <a:srgbClr val="000000"/>
      </a:dk1>
      <a:lt1>
        <a:sysClr val="window" lastClr="FFFFFF"/>
      </a:lt1>
      <a:dk2>
        <a:srgbClr val="003B45"/>
      </a:dk2>
      <a:lt2>
        <a:srgbClr val="E7E6E6"/>
      </a:lt2>
      <a:accent1>
        <a:srgbClr val="00847E"/>
      </a:accent1>
      <a:accent2>
        <a:srgbClr val="003B45"/>
      </a:accent2>
      <a:accent3>
        <a:srgbClr val="F37A8A"/>
      </a:accent3>
      <a:accent4>
        <a:srgbClr val="FEC553"/>
      </a:accent4>
      <a:accent5>
        <a:srgbClr val="A2DADD"/>
      </a:accent5>
      <a:accent6>
        <a:srgbClr val="ED7D31"/>
      </a:accent6>
      <a:hlink>
        <a:srgbClr val="00847E"/>
      </a:hlink>
      <a:folHlink>
        <a:srgbClr val="00847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qsaDocumentType xmlns="28b94040-26a8-469a-8038-0c82e6a14f19">
      <Value>Template</Value>
    </TeqsaDocumentType>
    <TeqsaTeam xmlns="28b94040-26a8-469a-8038-0c82e6a14f19">
      <Value>Engagement</Value>
    </TeqsaTeam>
    <Owner xmlns="979ab06a-6535-4638-b59f-980faa50cb4b">
      <UserInfo>
        <DisplayName>Treloar, Karen</DisplayName>
        <AccountId>25</AccountId>
        <AccountType/>
      </UserInfo>
    </Owner>
  </documentManagement>
</p:properties>
</file>

<file path=customXml/item3.xml><?xml version="1.0" encoding="utf-8"?>
<ct:contentTypeSchema xmlns:ct="http://schemas.microsoft.com/office/2006/metadata/contentType" xmlns:ma="http://schemas.microsoft.com/office/2006/metadata/properties/metaAttributes" ct:_="" ma:_="" ma:contentTypeName="Resource Item" ma:contentTypeID="0x01010037581DFBB9924576A005A4A1995DD10D001BC120C84BAF1049BC9567D96DB3AF79" ma:contentTypeVersion="12" ma:contentTypeDescription="Resource Item" ma:contentTypeScope="" ma:versionID="9f467cdf85b38a87755ce40538bc18e1">
  <xsd:schema xmlns:xsd="http://www.w3.org/2001/XMLSchema" xmlns:xs="http://www.w3.org/2001/XMLSchema" xmlns:p="http://schemas.microsoft.com/office/2006/metadata/properties" xmlns:ns2="28b94040-26a8-469a-8038-0c82e6a14f19" xmlns:ns3="979ab06a-6535-4638-b59f-980faa50cb4b" targetNamespace="http://schemas.microsoft.com/office/2006/metadata/properties" ma:root="true" ma:fieldsID="c91955eeaf87c53fa598bf1eca64e23f" ns2:_="" ns3:_="">
    <xsd:import namespace="28b94040-26a8-469a-8038-0c82e6a14f19"/>
    <xsd:import namespace="979ab06a-6535-4638-b59f-980faa50cb4b"/>
    <xsd:element name="properties">
      <xsd:complexType>
        <xsd:sequence>
          <xsd:element name="documentManagement">
            <xsd:complexType>
              <xsd:all>
                <xsd:element ref="ns2:TeqsaDocumentType" minOccurs="0"/>
                <xsd:element ref="ns2:TeqsaTeam" minOccurs="0"/>
                <xsd:element ref="ns3: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94040-26a8-469a-8038-0c82e6a14f19" elementFormDefault="qualified">
    <xsd:import namespace="http://schemas.microsoft.com/office/2006/documentManagement/types"/>
    <xsd:import namespace="http://schemas.microsoft.com/office/infopath/2007/PartnerControls"/>
    <xsd:element name="TeqsaDocumentType" ma:index="1" nillable="true" ma:displayName="Type" ma:format="Dropdown" ma:internalName="TeqsaDocumentType" ma:requiredMultiChoice="true">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ommunique"/>
                    <xsd:enumeration value="Knowledge Article"/>
                    <xsd:enumeration value="Other"/>
                  </xsd:restriction>
                </xsd:simpleType>
              </xsd:element>
            </xsd:sequence>
          </xsd:extension>
        </xsd:complexContent>
      </xsd:complexType>
    </xsd:element>
    <xsd:element name="TeqsaTeam" ma:index="2" nillable="true" ma:displayName="Team" ma:format="Dropdown" ma:internalName="TeqsaTeam" ma:requiredMultiChoice="true">
      <xsd:complexType>
        <xsd:complexContent>
          <xsd:extension base="dms:MultiChoice">
            <xsd:sequence>
              <xsd:element name="Value" maxOccurs="unbounded" minOccurs="0" nillable="true">
                <xsd:simpleType>
                  <xsd:restriction base="dms:Choice">
                    <xsd:enumeration value="Acknowledgement of Country"/>
                    <xsd:enumeration value="Annual Report"/>
                    <xsd:enumeration value="APS Employee Census"/>
                    <xsd:enumeration value="Assessment and Investigations"/>
                    <xsd:enumeration value="Assurance"/>
                    <xsd:enumeration value="Business Solutions"/>
                    <xsd:enumeration value="Case Management Handbook"/>
                    <xsd:enumeration value="Commission"/>
                    <xsd:enumeration value="Communications"/>
                    <xsd:enumeration value="Compliance and Investigations"/>
                    <xsd:enumeration value="Corporate"/>
                    <xsd:enumeration value="COVIDSafe"/>
                    <xsd:enumeration value="CRIS"/>
                    <xsd:enumeration value="CRM"/>
                    <xsd:enumeration value="Culture and Values"/>
                    <xsd:enumeration value="ELT"/>
                    <xsd:enumeration value="Emergency"/>
                    <xsd:enumeration value="Engagement"/>
                    <xsd:enumeration value="Enterprise Agreement"/>
                    <xsd:enumeration value="Executive Office"/>
                    <xsd:enumeration value="Experts and Events"/>
                    <xsd:enumeration value="Finance"/>
                    <xsd:enumeration value="Governance"/>
                    <xsd:enumeration value="Harassment Contact Officers"/>
                    <xsd:enumeration value="Higher Education Integrity Unit"/>
                    <xsd:enumeration value="HR Policies and Procedures"/>
                    <xsd:enumeration value="ICT"/>
                    <xsd:enumeration value="Inclusion and Diversity"/>
                    <xsd:enumeration value="IT"/>
                    <xsd:enumeration value="Learning Committee"/>
                    <xsd:enumeration value="Learning Development"/>
                    <xsd:enumeration value="Legal"/>
                    <xsd:enumeration value="Library"/>
                    <xsd:enumeration value="Mental Health"/>
                    <xsd:enumeration value="Orientation"/>
                    <xsd:enumeration value="Parliamentary Liaison"/>
                    <xsd:enumeration value="People and Capability"/>
                    <xsd:enumeration value="Policy and Analysis"/>
                    <xsd:enumeration value="Policy and Research"/>
                    <xsd:enumeration value="Provider Category Standards"/>
                    <xsd:enumeration value="Provider Management Solution"/>
                    <xsd:enumeration value="Quality Assurance"/>
                    <xsd:enumeration value="Reception"/>
                    <xsd:enumeration value="Recognition and Awards"/>
                    <xsd:enumeration value="Records Management"/>
                    <xsd:enumeration value="Records Management Project"/>
                    <xsd:enumeration value="Regulatory Operations"/>
                    <xsd:enumeration value="RUOK"/>
                    <xsd:enumeration value="Secretariat"/>
                    <xsd:enumeration value="Security"/>
                    <xsd:enumeration value="SMT"/>
                    <xsd:enumeration value="Social club"/>
                    <xsd:enumeration value="Social media"/>
                    <xsd:enumeration value="Specialisation"/>
                    <xsd:enumeration value="Staff Consultative Committee"/>
                    <xsd:enumeration value="Thematic Analysis"/>
                    <xsd:enumeration value="TRAC"/>
                    <xsd:enumeration value="Updates for Staff"/>
                    <xsd:enumeration value="Work Health and Safety Committe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9ab06a-6535-4638-b59f-980faa50cb4b" elementFormDefault="qualified">
    <xsd:import namespace="http://schemas.microsoft.com/office/2006/documentManagement/types"/>
    <xsd:import namespace="http://schemas.microsoft.com/office/infopath/2007/PartnerControls"/>
    <xsd:element name="Owner" ma:index="10" nillable="true"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6614D6-DA47-4A88-BB0E-7C89098DA12E}">
  <ds:schemaRefs>
    <ds:schemaRef ds:uri="http://schemas.microsoft.com/sharepoint/v3/contenttype/forms"/>
  </ds:schemaRefs>
</ds:datastoreItem>
</file>

<file path=customXml/itemProps2.xml><?xml version="1.0" encoding="utf-8"?>
<ds:datastoreItem xmlns:ds="http://schemas.openxmlformats.org/officeDocument/2006/customXml" ds:itemID="{A82E1C12-8773-409A-B29D-4FC4E6BF5F01}">
  <ds:schemaRefs>
    <ds:schemaRef ds:uri="http://purl.org/dc/terms/"/>
    <ds:schemaRef ds:uri="979ab06a-6535-4638-b59f-980faa50cb4b"/>
    <ds:schemaRef ds:uri="http://schemas.microsoft.com/office/2006/metadata/properties"/>
    <ds:schemaRef ds:uri="28b94040-26a8-469a-8038-0c82e6a14f19"/>
    <ds:schemaRef ds:uri="http://purl.org/dc/dcmitype/"/>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326F54C7-F6CE-4EC0-91D2-D7361BDF2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94040-26a8-469a-8038-0c82e6a14f19"/>
    <ds:schemaRef ds:uri="979ab06a-6535-4638-b59f-980faa50cb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Standard TEQSA Document Template</vt:lpstr>
    </vt:vector>
  </TitlesOfParts>
  <Company>Tertiary Education Quality and Standards Agency</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Plus model for regulatory assessments policy</dc:title>
  <dc:creator>Tom Hewitt-McManus</dc:creator>
  <cp:lastModifiedBy>Tom Hewitt-McManus</cp:lastModifiedBy>
  <cp:revision>7</cp:revision>
  <dcterms:created xsi:type="dcterms:W3CDTF">2022-12-07T01:04:00Z</dcterms:created>
  <dcterms:modified xsi:type="dcterms:W3CDTF">2022-12-07T06:01:00Z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0x01010037581DFBB9924576A005A4A1995DD10D001BC120C84BAF1049BC9567D96DB3AF79</vt:lpwstr>
  </property>
  <property fmtid="{D5CDD505-2E9C-101B-9397-08002B2CF9AE}" pid="3" name="Team">
    <vt:lpwstr>45;#Comms and International|f1db5572-7306-443e-a442-d56c9f2c52d1</vt:lpwstr>
  </property>
</Properties>
</file>