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AE75" w14:textId="77777777" w:rsidR="003D50FC" w:rsidRPr="00A8568C" w:rsidRDefault="00E1680E" w:rsidP="00A8568C">
      <w:pPr>
        <w:pStyle w:val="Title"/>
        <w:rPr>
          <w:sz w:val="52"/>
          <w:szCs w:val="52"/>
        </w:rPr>
      </w:pPr>
      <w:r w:rsidRPr="00A8568C">
        <w:rPr>
          <w:sz w:val="52"/>
          <w:szCs w:val="52"/>
        </w:rPr>
        <w:t>C</w:t>
      </w:r>
      <w:r w:rsidR="00BF7047" w:rsidRPr="00A8568C">
        <w:rPr>
          <w:sz w:val="52"/>
          <w:szCs w:val="52"/>
        </w:rPr>
        <w:t xml:space="preserve">omplaints </w:t>
      </w:r>
      <w:r w:rsidR="00964537" w:rsidRPr="00A8568C">
        <w:rPr>
          <w:sz w:val="52"/>
          <w:szCs w:val="52"/>
        </w:rPr>
        <w:t>about TEQSA</w:t>
      </w:r>
      <w:r w:rsidRPr="00A8568C">
        <w:rPr>
          <w:sz w:val="52"/>
          <w:szCs w:val="52"/>
        </w:rPr>
        <w:t xml:space="preserve"> policy</w:t>
      </w:r>
    </w:p>
    <w:p w14:paraId="2F1296EC" w14:textId="77777777" w:rsidR="00D61172" w:rsidRPr="004B1915" w:rsidRDefault="00D61172" w:rsidP="00D61172">
      <w:pPr>
        <w:pStyle w:val="Heading2"/>
      </w:pPr>
      <w:r w:rsidRPr="004B1915">
        <w:t>Purpose</w:t>
      </w:r>
    </w:p>
    <w:p w14:paraId="77349C18" w14:textId="59D3FC71" w:rsidR="002A44AB" w:rsidRDefault="00B94248" w:rsidP="00591D55">
      <w:r>
        <w:t>This</w:t>
      </w:r>
      <w:r w:rsidR="00201BDC">
        <w:t xml:space="preserve"> policy </w:t>
      </w:r>
      <w:r>
        <w:t xml:space="preserve">sets out </w:t>
      </w:r>
      <w:r w:rsidR="002A44AB">
        <w:t>principles</w:t>
      </w:r>
      <w:r>
        <w:t xml:space="preserve"> that</w:t>
      </w:r>
      <w:r w:rsidR="002A44AB">
        <w:t xml:space="preserve"> inform </w:t>
      </w:r>
      <w:r w:rsidR="00E96CD1">
        <w:t>TEQSA’s approach to</w:t>
      </w:r>
      <w:r w:rsidR="00964537">
        <w:t xml:space="preserve"> managing complaints</w:t>
      </w:r>
      <w:r w:rsidR="00591D55">
        <w:t xml:space="preserve"> </w:t>
      </w:r>
      <w:r w:rsidR="00C76A48">
        <w:t>about</w:t>
      </w:r>
      <w:r w:rsidR="00713F02">
        <w:t xml:space="preserve"> TEQSA’s </w:t>
      </w:r>
      <w:r w:rsidR="002A43BF">
        <w:t xml:space="preserve">practices </w:t>
      </w:r>
      <w:r w:rsidR="00713F02">
        <w:t>and services</w:t>
      </w:r>
      <w:r w:rsidR="00D82D5A">
        <w:t>,</w:t>
      </w:r>
      <w:r w:rsidR="00FD25C9">
        <w:t xml:space="preserve"> </w:t>
      </w:r>
      <w:r w:rsidR="00D442C8">
        <w:t xml:space="preserve">or </w:t>
      </w:r>
      <w:r w:rsidR="00C76A48">
        <w:t xml:space="preserve">about </w:t>
      </w:r>
      <w:r w:rsidR="00D442C8">
        <w:t>the actions of a TEQSA employee or contractor</w:t>
      </w:r>
      <w:r w:rsidR="00B468C1">
        <w:t xml:space="preserve"> and its complaints handling process</w:t>
      </w:r>
      <w:r w:rsidR="0057782D">
        <w:t>.</w:t>
      </w:r>
    </w:p>
    <w:p w14:paraId="3855460C" w14:textId="77777777" w:rsidR="00D61172" w:rsidRPr="004B1915" w:rsidRDefault="00D61172" w:rsidP="00D61172">
      <w:pPr>
        <w:pStyle w:val="Heading2"/>
      </w:pPr>
      <w:r w:rsidRPr="004B1915">
        <w:t>Scope</w:t>
      </w:r>
    </w:p>
    <w:p w14:paraId="3A6D019E" w14:textId="77777777" w:rsidR="00D61172" w:rsidRDefault="007F45A0" w:rsidP="00D61172">
      <w:r>
        <w:t xml:space="preserve">This policy applies to </w:t>
      </w:r>
      <w:r w:rsidR="00591D55">
        <w:t xml:space="preserve">external </w:t>
      </w:r>
      <w:r w:rsidR="002A44AB">
        <w:t xml:space="preserve">complaints about </w:t>
      </w:r>
      <w:r w:rsidR="004A3528">
        <w:t>practices</w:t>
      </w:r>
      <w:r w:rsidR="00DC183C">
        <w:t xml:space="preserve"> and services </w:t>
      </w:r>
      <w:r w:rsidR="002A44AB">
        <w:t xml:space="preserve">that </w:t>
      </w:r>
      <w:r w:rsidR="00DC183C">
        <w:t>TEQSA provides</w:t>
      </w:r>
      <w:r w:rsidR="00125FDA">
        <w:t xml:space="preserve"> to its external stakeholders</w:t>
      </w:r>
      <w:r w:rsidR="002A44AB">
        <w:t>,</w:t>
      </w:r>
      <w:r w:rsidR="00125FDA">
        <w:t xml:space="preserve"> and</w:t>
      </w:r>
      <w:r w:rsidR="002A44AB">
        <w:t xml:space="preserve"> </w:t>
      </w:r>
      <w:r w:rsidR="00591D55">
        <w:t xml:space="preserve">external </w:t>
      </w:r>
      <w:r w:rsidR="002A44AB">
        <w:t>complaints about</w:t>
      </w:r>
      <w:r w:rsidR="00125FDA">
        <w:t xml:space="preserve"> the actions of TEQSA employees or contractors</w:t>
      </w:r>
      <w:r w:rsidR="00591D55">
        <w:t>, including complaints alleging TEQSA employee or contractor bias</w:t>
      </w:r>
      <w:r w:rsidR="00125FDA">
        <w:t>.</w:t>
      </w:r>
    </w:p>
    <w:p w14:paraId="02E3DA47" w14:textId="77777777" w:rsidR="000B2666" w:rsidRDefault="00F7108E" w:rsidP="00D61172">
      <w:r>
        <w:t>T</w:t>
      </w:r>
      <w:r w:rsidR="000B2666">
        <w:t>his policy does not cover:</w:t>
      </w:r>
    </w:p>
    <w:p w14:paraId="7A397B07" w14:textId="77777777" w:rsidR="00F7108E" w:rsidRDefault="00F7108E" w:rsidP="00D23181">
      <w:pPr>
        <w:pStyle w:val="ListParagraph"/>
        <w:numPr>
          <w:ilvl w:val="0"/>
          <w:numId w:val="49"/>
        </w:numPr>
      </w:pPr>
      <w:r>
        <w:t>complaints about regulatory decisions by TEQSA</w:t>
      </w:r>
      <w:r w:rsidR="000C548B">
        <w:t>—</w:t>
      </w:r>
      <w:r>
        <w:t>these are covered by review and appeal provisions</w:t>
      </w:r>
    </w:p>
    <w:p w14:paraId="0A31C651" w14:textId="77777777" w:rsidR="000B2666" w:rsidRDefault="00591D55" w:rsidP="00D23181">
      <w:pPr>
        <w:pStyle w:val="ListParagraph"/>
        <w:numPr>
          <w:ilvl w:val="0"/>
          <w:numId w:val="49"/>
        </w:numPr>
      </w:pPr>
      <w:r>
        <w:t xml:space="preserve">complaints </w:t>
      </w:r>
      <w:r w:rsidR="00D23181">
        <w:t>about fees or charges for TEQSA applications</w:t>
      </w:r>
      <w:r w:rsidR="000C548B">
        <w:t>—</w:t>
      </w:r>
      <w:r w:rsidR="00D23181">
        <w:t>these are set by legislative instrument</w:t>
      </w:r>
    </w:p>
    <w:p w14:paraId="3291C4E7" w14:textId="51B5FDBD" w:rsidR="00D23181" w:rsidRDefault="00591D55" w:rsidP="00D23181">
      <w:pPr>
        <w:pStyle w:val="ListParagraph"/>
        <w:numPr>
          <w:ilvl w:val="0"/>
          <w:numId w:val="49"/>
        </w:numPr>
      </w:pPr>
      <w:r>
        <w:t xml:space="preserve">complaints </w:t>
      </w:r>
      <w:r w:rsidR="00CA7AD6">
        <w:t>about higher education providers</w:t>
      </w:r>
      <w:r w:rsidR="000C548B">
        <w:t>—</w:t>
      </w:r>
      <w:r>
        <w:t>these are covered by TEQSA’</w:t>
      </w:r>
      <w:r w:rsidR="000C548B">
        <w:t xml:space="preserve">s </w:t>
      </w:r>
      <w:hyperlink r:id="rId11" w:history="1">
        <w:r w:rsidR="000C548B" w:rsidRPr="0000051B">
          <w:rPr>
            <w:rStyle w:val="Hyperlink"/>
          </w:rPr>
          <w:t>policy</w:t>
        </w:r>
        <w:r w:rsidR="00BF7047" w:rsidRPr="0000051B">
          <w:rPr>
            <w:rStyle w:val="Hyperlink"/>
          </w:rPr>
          <w:t xml:space="preserve"> on complaints about providers</w:t>
        </w:r>
      </w:hyperlink>
    </w:p>
    <w:p w14:paraId="1D3BA398" w14:textId="77777777" w:rsidR="00A50E39" w:rsidRDefault="00591D55" w:rsidP="00B727A8">
      <w:pPr>
        <w:pStyle w:val="ListParagraph"/>
        <w:numPr>
          <w:ilvl w:val="0"/>
          <w:numId w:val="49"/>
        </w:numPr>
      </w:pPr>
      <w:r>
        <w:t xml:space="preserve">internal </w:t>
      </w:r>
      <w:r w:rsidR="00CA7AD6">
        <w:t>complaints about TEQSA</w:t>
      </w:r>
      <w:r w:rsidR="001601D9">
        <w:t>’s practices and services</w:t>
      </w:r>
      <w:r w:rsidR="006765D5">
        <w:t>—</w:t>
      </w:r>
      <w:r w:rsidR="006765D5" w:rsidRPr="00834B4A">
        <w:t>these are</w:t>
      </w:r>
      <w:r w:rsidR="00834B4A" w:rsidRPr="00834B4A">
        <w:t xml:space="preserve"> covered</w:t>
      </w:r>
      <w:r w:rsidR="00834B4A">
        <w:t xml:space="preserve"> by TEQSA’s internal grievance and public interest disclosure procedures</w:t>
      </w:r>
    </w:p>
    <w:p w14:paraId="13FFB13F" w14:textId="7ABFC2F9" w:rsidR="00D61172" w:rsidRDefault="00591D55" w:rsidP="00B727A8">
      <w:pPr>
        <w:pStyle w:val="ListParagraph"/>
        <w:numPr>
          <w:ilvl w:val="0"/>
          <w:numId w:val="49"/>
        </w:numPr>
      </w:pPr>
      <w:r>
        <w:t xml:space="preserve">investigations </w:t>
      </w:r>
      <w:r w:rsidR="00FC3BF3">
        <w:t>about TEQSA conducted by the Commonwealth Ombudsman.</w:t>
      </w:r>
      <w:r w:rsidR="00B94248">
        <w:t xml:space="preserve"> Information about making complaints to the Commonwealth Ombudsman can be found on its website (</w:t>
      </w:r>
      <w:hyperlink r:id="rId12" w:history="1">
        <w:r w:rsidR="0000051B" w:rsidRPr="002B6C71">
          <w:rPr>
            <w:rStyle w:val="Hyperlink"/>
          </w:rPr>
          <w:t>www.ombudsman.gov.au</w:t>
        </w:r>
      </w:hyperlink>
      <w:r w:rsidR="00B94248">
        <w:t>).</w:t>
      </w:r>
    </w:p>
    <w:p w14:paraId="533F8C1C" w14:textId="5081EAEF" w:rsidR="00D61172" w:rsidRPr="004B1915" w:rsidRDefault="00D61172" w:rsidP="00D61172">
      <w:pPr>
        <w:pStyle w:val="Heading2"/>
      </w:pPr>
      <w:r w:rsidRPr="004B1915">
        <w:t>Principles</w:t>
      </w:r>
      <w:r w:rsidR="00B468C1">
        <w:t xml:space="preserve"> that guide complaint handling</w:t>
      </w:r>
    </w:p>
    <w:p w14:paraId="47EF004A" w14:textId="0BAC0D74" w:rsidR="00D670C0" w:rsidRPr="002A44AB" w:rsidRDefault="009C4606" w:rsidP="000D6679">
      <w:pPr>
        <w:pStyle w:val="ListParagraph"/>
        <w:numPr>
          <w:ilvl w:val="0"/>
          <w:numId w:val="45"/>
        </w:numPr>
        <w:ind w:left="720"/>
        <w:rPr>
          <w:rFonts w:cs="Arial"/>
        </w:rPr>
      </w:pPr>
      <w:r w:rsidRPr="002A44AB">
        <w:rPr>
          <w:rFonts w:cs="Arial"/>
        </w:rPr>
        <w:t>TEQSA aims to provide high quality s</w:t>
      </w:r>
      <w:r w:rsidR="00282928" w:rsidRPr="002A44AB">
        <w:rPr>
          <w:rFonts w:cs="Arial"/>
        </w:rPr>
        <w:t xml:space="preserve">ervices to </w:t>
      </w:r>
      <w:r w:rsidR="003515E2" w:rsidRPr="002A44AB">
        <w:rPr>
          <w:rFonts w:cs="Arial"/>
        </w:rPr>
        <w:t>all stakeholders</w:t>
      </w:r>
      <w:r w:rsidR="002A44AB">
        <w:rPr>
          <w:rFonts w:cs="Arial"/>
        </w:rPr>
        <w:t xml:space="preserve">, and </w:t>
      </w:r>
      <w:r w:rsidR="0036285F" w:rsidRPr="002A44AB">
        <w:rPr>
          <w:rFonts w:cs="Arial"/>
        </w:rPr>
        <w:t>invite</w:t>
      </w:r>
      <w:r w:rsidR="002A44AB" w:rsidRPr="002A44AB">
        <w:rPr>
          <w:rFonts w:cs="Arial"/>
        </w:rPr>
        <w:t>s</w:t>
      </w:r>
      <w:r w:rsidR="00F468E2" w:rsidRPr="002A44AB">
        <w:rPr>
          <w:rFonts w:cs="Arial"/>
        </w:rPr>
        <w:t xml:space="preserve"> </w:t>
      </w:r>
      <w:r w:rsidR="00D61172" w:rsidRPr="002A44AB">
        <w:rPr>
          <w:rFonts w:cs="Arial"/>
        </w:rPr>
        <w:t xml:space="preserve">complaints </w:t>
      </w:r>
      <w:r w:rsidR="00596EA0" w:rsidRPr="002A44AB">
        <w:rPr>
          <w:rFonts w:cs="Arial"/>
        </w:rPr>
        <w:t xml:space="preserve">from external stakeholders </w:t>
      </w:r>
      <w:r w:rsidR="008E58AC" w:rsidRPr="002A44AB">
        <w:rPr>
          <w:rFonts w:cs="Arial"/>
        </w:rPr>
        <w:t xml:space="preserve">when </w:t>
      </w:r>
      <w:r w:rsidR="002A44AB">
        <w:rPr>
          <w:rFonts w:cs="Arial"/>
        </w:rPr>
        <w:t>its</w:t>
      </w:r>
      <w:r w:rsidR="002A44AB" w:rsidRPr="002A44AB">
        <w:rPr>
          <w:rFonts w:cs="Arial"/>
        </w:rPr>
        <w:t xml:space="preserve"> </w:t>
      </w:r>
      <w:r w:rsidR="00EC5CAD" w:rsidRPr="002A44AB">
        <w:rPr>
          <w:rFonts w:cs="Arial"/>
        </w:rPr>
        <w:t xml:space="preserve">practices </w:t>
      </w:r>
      <w:r w:rsidR="008006AB" w:rsidRPr="002A44AB">
        <w:rPr>
          <w:rFonts w:cs="Arial"/>
        </w:rPr>
        <w:t>or services</w:t>
      </w:r>
      <w:r w:rsidR="002A44AB">
        <w:rPr>
          <w:rFonts w:cs="Arial"/>
        </w:rPr>
        <w:t>,</w:t>
      </w:r>
      <w:r w:rsidR="00F468E2" w:rsidRPr="002A44AB">
        <w:rPr>
          <w:rFonts w:cs="Arial"/>
        </w:rPr>
        <w:t xml:space="preserve"> </w:t>
      </w:r>
      <w:r w:rsidR="00564E54" w:rsidRPr="002A44AB">
        <w:rPr>
          <w:rFonts w:cs="Arial"/>
        </w:rPr>
        <w:t xml:space="preserve">or the actions of </w:t>
      </w:r>
      <w:r w:rsidR="002A44AB">
        <w:rPr>
          <w:rFonts w:cs="Arial"/>
        </w:rPr>
        <w:t>its</w:t>
      </w:r>
      <w:r w:rsidR="002A44AB" w:rsidRPr="002A44AB">
        <w:rPr>
          <w:rFonts w:cs="Arial"/>
        </w:rPr>
        <w:t xml:space="preserve"> </w:t>
      </w:r>
      <w:r w:rsidR="00564E54" w:rsidRPr="002A44AB">
        <w:rPr>
          <w:rFonts w:cs="Arial"/>
        </w:rPr>
        <w:t>employee</w:t>
      </w:r>
      <w:r w:rsidR="002A44AB">
        <w:rPr>
          <w:rFonts w:cs="Arial"/>
        </w:rPr>
        <w:t>s</w:t>
      </w:r>
      <w:r w:rsidR="00564E54" w:rsidRPr="002A44AB">
        <w:rPr>
          <w:rFonts w:cs="Arial"/>
        </w:rPr>
        <w:t xml:space="preserve"> or contractor</w:t>
      </w:r>
      <w:r w:rsidR="002A44AB">
        <w:rPr>
          <w:rFonts w:cs="Arial"/>
        </w:rPr>
        <w:t>s,</w:t>
      </w:r>
      <w:r w:rsidR="00564E54" w:rsidRPr="002A44AB">
        <w:rPr>
          <w:rFonts w:cs="Arial"/>
        </w:rPr>
        <w:t xml:space="preserve"> </w:t>
      </w:r>
      <w:r w:rsidR="008E58AC" w:rsidRPr="002A44AB">
        <w:rPr>
          <w:rFonts w:cs="Arial"/>
        </w:rPr>
        <w:t xml:space="preserve">do not meet </w:t>
      </w:r>
      <w:r w:rsidR="002A44AB">
        <w:rPr>
          <w:rFonts w:cs="Arial"/>
        </w:rPr>
        <w:t>the standards</w:t>
      </w:r>
      <w:r w:rsidR="002A44AB" w:rsidRPr="002A44AB">
        <w:rPr>
          <w:rFonts w:cs="Arial"/>
        </w:rPr>
        <w:t xml:space="preserve"> </w:t>
      </w:r>
      <w:r w:rsidR="008E58AC" w:rsidRPr="002A44AB">
        <w:rPr>
          <w:rFonts w:cs="Arial"/>
        </w:rPr>
        <w:t xml:space="preserve">set out in </w:t>
      </w:r>
      <w:r w:rsidR="00591D55">
        <w:rPr>
          <w:rFonts w:cs="Arial"/>
        </w:rPr>
        <w:t>it</w:t>
      </w:r>
      <w:r w:rsidR="00A8568C">
        <w:rPr>
          <w:rFonts w:cs="Arial"/>
        </w:rPr>
        <w:t xml:space="preserve">s </w:t>
      </w:r>
      <w:hyperlink r:id="rId13" w:history="1">
        <w:r w:rsidR="00A8568C" w:rsidRPr="009409AD">
          <w:rPr>
            <w:rStyle w:val="Hyperlink"/>
            <w:rFonts w:cs="Arial"/>
          </w:rPr>
          <w:t>Service Charter</w:t>
        </w:r>
      </w:hyperlink>
      <w:r w:rsidR="00D670C0" w:rsidRPr="002A44AB">
        <w:rPr>
          <w:rFonts w:cs="Arial"/>
        </w:rPr>
        <w:t>.</w:t>
      </w:r>
    </w:p>
    <w:p w14:paraId="6E289D5A" w14:textId="4F32FADC" w:rsidR="008877AF" w:rsidRDefault="00DD0DED" w:rsidP="008877AF">
      <w:pPr>
        <w:pStyle w:val="ListParagraph"/>
        <w:numPr>
          <w:ilvl w:val="0"/>
          <w:numId w:val="45"/>
        </w:numPr>
        <w:ind w:left="720"/>
        <w:rPr>
          <w:rFonts w:cs="Arial"/>
        </w:rPr>
      </w:pPr>
      <w:r>
        <w:rPr>
          <w:rFonts w:cs="Arial"/>
        </w:rPr>
        <w:t>All</w:t>
      </w:r>
      <w:r w:rsidR="008877AF">
        <w:rPr>
          <w:rFonts w:cs="Arial"/>
        </w:rPr>
        <w:t xml:space="preserve"> complaint</w:t>
      </w:r>
      <w:r>
        <w:rPr>
          <w:rFonts w:cs="Arial"/>
        </w:rPr>
        <w:t>s</w:t>
      </w:r>
      <w:r w:rsidR="008877AF">
        <w:rPr>
          <w:rFonts w:cs="Arial"/>
        </w:rPr>
        <w:t xml:space="preserve"> against TEQSA or its employees</w:t>
      </w:r>
      <w:r w:rsidR="008877AF" w:rsidRPr="000C548B">
        <w:rPr>
          <w:rFonts w:cs="Arial"/>
        </w:rPr>
        <w:t xml:space="preserve"> will be </w:t>
      </w:r>
      <w:r w:rsidR="00EE583D">
        <w:rPr>
          <w:rFonts w:cs="Arial"/>
        </w:rPr>
        <w:t>considered</w:t>
      </w:r>
      <w:r w:rsidR="008877AF" w:rsidRPr="000C548B">
        <w:rPr>
          <w:rFonts w:cs="Arial"/>
        </w:rPr>
        <w:t xml:space="preserve"> seriously.</w:t>
      </w:r>
    </w:p>
    <w:p w14:paraId="272981B4" w14:textId="77777777" w:rsidR="00273666" w:rsidRPr="00E71D8E" w:rsidRDefault="00273666" w:rsidP="00273666">
      <w:pPr>
        <w:pStyle w:val="ListParagraph"/>
        <w:numPr>
          <w:ilvl w:val="0"/>
          <w:numId w:val="45"/>
        </w:numPr>
        <w:ind w:left="720"/>
        <w:rPr>
          <w:rFonts w:cs="Arial"/>
        </w:rPr>
      </w:pPr>
      <w:r w:rsidRPr="00E71D8E">
        <w:rPr>
          <w:rFonts w:cs="Arial"/>
        </w:rPr>
        <w:t>Complain</w:t>
      </w:r>
      <w:r>
        <w:rPr>
          <w:rFonts w:cs="Arial"/>
        </w:rPr>
        <w:t xml:space="preserve">ts </w:t>
      </w:r>
      <w:r w:rsidR="008877AF">
        <w:rPr>
          <w:rFonts w:cs="Arial"/>
        </w:rPr>
        <w:t xml:space="preserve">about TEQSA </w:t>
      </w:r>
      <w:r w:rsidR="00DD0DED">
        <w:rPr>
          <w:rFonts w:cs="Arial"/>
        </w:rPr>
        <w:t xml:space="preserve">will </w:t>
      </w:r>
      <w:r w:rsidR="006A1947">
        <w:rPr>
          <w:rFonts w:cs="Arial"/>
        </w:rPr>
        <w:t>be</w:t>
      </w:r>
      <w:r>
        <w:rPr>
          <w:rFonts w:cs="Arial"/>
        </w:rPr>
        <w:t xml:space="preserve"> handled in a way that is </w:t>
      </w:r>
      <w:r w:rsidRPr="00E71D8E">
        <w:rPr>
          <w:rFonts w:cs="Arial"/>
        </w:rPr>
        <w:t>prompt, respectful, r</w:t>
      </w:r>
      <w:r>
        <w:rPr>
          <w:rFonts w:cs="Arial"/>
        </w:rPr>
        <w:t>esponsive, fair and consistent.</w:t>
      </w:r>
    </w:p>
    <w:p w14:paraId="7E61A18A" w14:textId="77777777" w:rsidR="00273666" w:rsidRPr="0090291C" w:rsidRDefault="00273666" w:rsidP="00273666">
      <w:pPr>
        <w:pStyle w:val="ListParagraph"/>
        <w:numPr>
          <w:ilvl w:val="0"/>
          <w:numId w:val="45"/>
        </w:numPr>
        <w:ind w:left="720"/>
        <w:rPr>
          <w:rFonts w:cs="Arial"/>
        </w:rPr>
      </w:pPr>
      <w:r>
        <w:rPr>
          <w:rFonts w:cs="Arial"/>
        </w:rPr>
        <w:t>Principles</w:t>
      </w:r>
      <w:r w:rsidR="006A1947">
        <w:rPr>
          <w:rFonts w:cs="Arial"/>
        </w:rPr>
        <w:t xml:space="preserve"> of</w:t>
      </w:r>
      <w:r>
        <w:rPr>
          <w:rFonts w:cs="Arial"/>
        </w:rPr>
        <w:t xml:space="preserve"> procedural fairness will be applied to all parties when investigating and responding to a complaint about TEQSA’s activities and practices, and about the activities and practices of its staff.</w:t>
      </w:r>
    </w:p>
    <w:p w14:paraId="0503BAE9" w14:textId="77777777" w:rsidR="008877AF" w:rsidRDefault="008877AF" w:rsidP="008877AF">
      <w:pPr>
        <w:pStyle w:val="ListParagraph"/>
        <w:numPr>
          <w:ilvl w:val="0"/>
          <w:numId w:val="45"/>
        </w:numPr>
        <w:ind w:left="720"/>
        <w:rPr>
          <w:rFonts w:cs="Arial"/>
        </w:rPr>
      </w:pPr>
      <w:r>
        <w:rPr>
          <w:rFonts w:cs="Arial"/>
        </w:rPr>
        <w:t>TEQSA will use findings following investigation of a complaint to improve its practices and services to stakeholders.</w:t>
      </w:r>
    </w:p>
    <w:p w14:paraId="01A0F77E" w14:textId="2C66A407" w:rsidR="005100D7" w:rsidRDefault="005100D7" w:rsidP="00AE7DA5">
      <w:pPr>
        <w:pStyle w:val="ListParagraph"/>
        <w:rPr>
          <w:rFonts w:cs="Arial"/>
        </w:rPr>
      </w:pPr>
    </w:p>
    <w:p w14:paraId="78332675" w14:textId="3702ED7D" w:rsidR="00B468C1" w:rsidRPr="004B1915" w:rsidRDefault="00B468C1" w:rsidP="00B468C1">
      <w:pPr>
        <w:pStyle w:val="Heading2"/>
      </w:pPr>
      <w:r>
        <w:lastRenderedPageBreak/>
        <w:t>Complaints handling process</w:t>
      </w:r>
    </w:p>
    <w:p w14:paraId="6FD0B4A6" w14:textId="365B2D31" w:rsidR="00B468C1" w:rsidRPr="00D673FA" w:rsidRDefault="00B468C1">
      <w:pPr>
        <w:pStyle w:val="ListParagraph"/>
        <w:numPr>
          <w:ilvl w:val="0"/>
          <w:numId w:val="51"/>
        </w:numPr>
        <w:rPr>
          <w:rFonts w:cs="Arial"/>
        </w:rPr>
      </w:pPr>
      <w:r w:rsidRPr="00D673FA">
        <w:rPr>
          <w:rFonts w:cs="Arial"/>
        </w:rPr>
        <w:t xml:space="preserve">TEQSA does not restrict the manner in which a complaint may be made. However, in general, complaints should be submitted by email to </w:t>
      </w:r>
      <w:hyperlink r:id="rId14" w:history="1">
        <w:r w:rsidR="0000051B" w:rsidRPr="002B6C71">
          <w:rPr>
            <w:rStyle w:val="Hyperlink"/>
            <w:rFonts w:cs="Arial"/>
          </w:rPr>
          <w:t>review@teqsa.gov.au</w:t>
        </w:r>
      </w:hyperlink>
      <w:r w:rsidRPr="00D673FA">
        <w:rPr>
          <w:rFonts w:cs="Arial"/>
        </w:rPr>
        <w:t>.</w:t>
      </w:r>
    </w:p>
    <w:p w14:paraId="34AF428F" w14:textId="12EA730B" w:rsidR="00B468C1" w:rsidRDefault="00B468C1" w:rsidP="00B468C1">
      <w:pPr>
        <w:pStyle w:val="ListParagraph"/>
        <w:numPr>
          <w:ilvl w:val="0"/>
          <w:numId w:val="51"/>
        </w:numPr>
        <w:rPr>
          <w:rFonts w:cs="Arial"/>
        </w:rPr>
      </w:pPr>
      <w:r>
        <w:rPr>
          <w:rFonts w:cs="Arial"/>
        </w:rPr>
        <w:t>If a complainant provides contact information, TEQSA will confirm receipt of the complaint, and provide information about how TEQSA complaint will handle the complaint (including, as far as possible, the timeframe in which TEQSA will consider and respond to it).</w:t>
      </w:r>
    </w:p>
    <w:p w14:paraId="529444F1" w14:textId="031C3F72" w:rsidR="00B468C1" w:rsidRPr="008559D5" w:rsidRDefault="00B468C1" w:rsidP="00B468C1">
      <w:pPr>
        <w:pStyle w:val="ListParagraph"/>
        <w:numPr>
          <w:ilvl w:val="0"/>
          <w:numId w:val="51"/>
        </w:numPr>
        <w:rPr>
          <w:rFonts w:cs="Arial"/>
        </w:rPr>
      </w:pPr>
      <w:r>
        <w:rPr>
          <w:rFonts w:cs="Arial"/>
        </w:rPr>
        <w:t>Consideration of complaints about TEQSA and staff members</w:t>
      </w:r>
      <w:r w:rsidRPr="008559D5">
        <w:rPr>
          <w:rFonts w:cs="Arial"/>
        </w:rPr>
        <w:t xml:space="preserve"> </w:t>
      </w:r>
      <w:r>
        <w:rPr>
          <w:rFonts w:cs="Arial"/>
        </w:rPr>
        <w:t xml:space="preserve">will </w:t>
      </w:r>
      <w:r w:rsidRPr="008559D5">
        <w:rPr>
          <w:rFonts w:cs="Arial"/>
        </w:rPr>
        <w:t xml:space="preserve">be </w:t>
      </w:r>
      <w:r>
        <w:rPr>
          <w:rFonts w:cs="Arial"/>
        </w:rPr>
        <w:t xml:space="preserve">coordinated by </w:t>
      </w:r>
      <w:r w:rsidRPr="008559D5">
        <w:rPr>
          <w:rFonts w:cs="Arial"/>
        </w:rPr>
        <w:t>TEQSA</w:t>
      </w:r>
      <w:r>
        <w:rPr>
          <w:rFonts w:cs="Arial"/>
        </w:rPr>
        <w:t>’s</w:t>
      </w:r>
      <w:r w:rsidRPr="008559D5">
        <w:rPr>
          <w:rFonts w:cs="Arial"/>
        </w:rPr>
        <w:t xml:space="preserve"> Legal </w:t>
      </w:r>
      <w:r>
        <w:rPr>
          <w:rFonts w:cs="Arial"/>
        </w:rPr>
        <w:t xml:space="preserve">Team, except in the case of a complaint about the Legal Team or a member of the Legal Team. In the case of complaints about the Legal Team or a member of the Legal Team, they will be referred to the TEQSA CEO—and TEQSA’s consideration of them will be informed by TEQSA’s conflict of interest policy and any other relevant policies. Depending on the nature and complexity of the complaint(s), the TEQSA CEO may also seek external legal advice about any complaint(s) made about the Legal Team or a member of the Legal Team.  </w:t>
      </w:r>
    </w:p>
    <w:p w14:paraId="1D25B369" w14:textId="14BED741" w:rsidR="00B468C1" w:rsidRPr="00B94248" w:rsidRDefault="00B468C1" w:rsidP="00B468C1">
      <w:pPr>
        <w:pStyle w:val="ListParagraph"/>
        <w:numPr>
          <w:ilvl w:val="0"/>
          <w:numId w:val="51"/>
        </w:numPr>
        <w:rPr>
          <w:rFonts w:cs="Arial"/>
        </w:rPr>
      </w:pPr>
      <w:r w:rsidRPr="00B94248">
        <w:rPr>
          <w:rFonts w:cs="Arial"/>
        </w:rPr>
        <w:t>Complaints are handled in accordance with TEQSA’s privacy and confidentiality obligations.</w:t>
      </w:r>
      <w:r>
        <w:rPr>
          <w:rFonts w:cs="Arial"/>
        </w:rPr>
        <w:t xml:space="preserve"> TEQSA’s privacy policy is available here: </w:t>
      </w:r>
      <w:hyperlink r:id="rId15" w:history="1">
        <w:r w:rsidR="00A8568C" w:rsidRPr="005B07BA">
          <w:rPr>
            <w:rStyle w:val="Hyperlink"/>
            <w:rFonts w:cs="Arial"/>
          </w:rPr>
          <w:t>www.teqsa.gov.au/privacy</w:t>
        </w:r>
      </w:hyperlink>
      <w:r w:rsidR="00A8568C">
        <w:rPr>
          <w:rFonts w:cs="Arial"/>
        </w:rPr>
        <w:t xml:space="preserve">. </w:t>
      </w:r>
      <w:r w:rsidRPr="0060788B">
        <w:rPr>
          <w:rFonts w:cs="Arial"/>
        </w:rPr>
        <w:t>In particular, to</w:t>
      </w:r>
      <w:r w:rsidRPr="00B94248">
        <w:rPr>
          <w:rFonts w:cs="Arial"/>
        </w:rPr>
        <w:t xml:space="preserve"> the extent that TEQSA proposes to disclose a complainant’s personal details, the complainant’s consent will be sought.</w:t>
      </w:r>
    </w:p>
    <w:p w14:paraId="4A607F29" w14:textId="77777777" w:rsidR="00B468C1" w:rsidRDefault="00B468C1" w:rsidP="00B468C1">
      <w:pPr>
        <w:pStyle w:val="ListParagraph"/>
        <w:numPr>
          <w:ilvl w:val="0"/>
          <w:numId w:val="51"/>
        </w:numPr>
        <w:rPr>
          <w:rFonts w:cs="Arial"/>
        </w:rPr>
      </w:pPr>
      <w:r w:rsidRPr="00E71D8E">
        <w:rPr>
          <w:rFonts w:cs="Arial"/>
        </w:rPr>
        <w:t xml:space="preserve">Subject to TEQSA’s confidentiality obligations, complainants are informed of </w:t>
      </w:r>
      <w:r>
        <w:rPr>
          <w:rFonts w:cs="Arial"/>
        </w:rPr>
        <w:t>the action TEQSA</w:t>
      </w:r>
      <w:r w:rsidRPr="00E71D8E">
        <w:rPr>
          <w:rFonts w:cs="Arial"/>
        </w:rPr>
        <w:t xml:space="preserve"> take</w:t>
      </w:r>
      <w:r>
        <w:rPr>
          <w:rFonts w:cs="Arial"/>
        </w:rPr>
        <w:t>s</w:t>
      </w:r>
      <w:r w:rsidRPr="00E71D8E">
        <w:rPr>
          <w:rFonts w:cs="Arial"/>
        </w:rPr>
        <w:t xml:space="preserve"> in response to a </w:t>
      </w:r>
      <w:r>
        <w:rPr>
          <w:rFonts w:cs="Arial"/>
        </w:rPr>
        <w:t>complaint.</w:t>
      </w:r>
    </w:p>
    <w:p w14:paraId="72FB34B0" w14:textId="77777777" w:rsidR="00B468C1" w:rsidRDefault="00B468C1" w:rsidP="00B468C1">
      <w:pPr>
        <w:pStyle w:val="ListParagraph"/>
        <w:numPr>
          <w:ilvl w:val="0"/>
          <w:numId w:val="51"/>
        </w:numPr>
        <w:rPr>
          <w:rFonts w:cs="Arial"/>
        </w:rPr>
      </w:pPr>
      <w:r>
        <w:rPr>
          <w:rFonts w:cs="Arial"/>
        </w:rPr>
        <w:t>Records of complaints about TEQSA will be maintained separately from other complaints, including from records of complaints about providers.</w:t>
      </w:r>
    </w:p>
    <w:p w14:paraId="544EDA45" w14:textId="77777777" w:rsidR="00B468C1" w:rsidRPr="004640A6" w:rsidRDefault="00B468C1" w:rsidP="00B468C1">
      <w:pPr>
        <w:pStyle w:val="ListParagraph"/>
        <w:numPr>
          <w:ilvl w:val="0"/>
          <w:numId w:val="51"/>
        </w:numPr>
        <w:rPr>
          <w:rFonts w:cs="Arial"/>
        </w:rPr>
      </w:pPr>
      <w:r w:rsidRPr="004640A6">
        <w:rPr>
          <w:rFonts w:cs="Arial"/>
        </w:rPr>
        <w:t xml:space="preserve">Where a complaint falls outside TEQSA’s remit, the complainant will be informed of any other agencies to which the complaint may be relevant. </w:t>
      </w:r>
    </w:p>
    <w:p w14:paraId="474C3B85" w14:textId="70186FF1" w:rsidR="00B468C1" w:rsidRDefault="00B468C1" w:rsidP="00B468C1">
      <w:pPr>
        <w:pStyle w:val="ListParagraph"/>
        <w:numPr>
          <w:ilvl w:val="0"/>
          <w:numId w:val="51"/>
        </w:numPr>
        <w:rPr>
          <w:rFonts w:cs="Arial"/>
        </w:rPr>
      </w:pPr>
      <w:r>
        <w:rPr>
          <w:rFonts w:cs="Arial"/>
        </w:rPr>
        <w:t>TEQSA may decide not to investigate a complaint found to be fraudulent, vexatious or vindictive.</w:t>
      </w:r>
    </w:p>
    <w:p w14:paraId="1743465D" w14:textId="32C123FB" w:rsidR="00D61172" w:rsidRPr="004B1915" w:rsidRDefault="00D61172" w:rsidP="00D61172">
      <w:pPr>
        <w:pStyle w:val="Heading2"/>
      </w:pPr>
      <w:r w:rsidRPr="004B1915">
        <w:t>Further information</w:t>
      </w:r>
    </w:p>
    <w:p w14:paraId="0AEF09FF" w14:textId="36E24042" w:rsidR="000602FA" w:rsidRDefault="00D61172">
      <w:r w:rsidRPr="004B1915">
        <w:t xml:space="preserve">Further information about TEQSA’s approach to </w:t>
      </w:r>
      <w:r>
        <w:t>the management and handling of complaints</w:t>
      </w:r>
      <w:r w:rsidRPr="004B1915">
        <w:t xml:space="preserve"> </w:t>
      </w:r>
      <w:r w:rsidR="001D6183">
        <w:t xml:space="preserve">about TEQSA </w:t>
      </w:r>
      <w:r w:rsidRPr="004B1915">
        <w:t xml:space="preserve">can be obtained by directing an email enquiry to: </w:t>
      </w:r>
      <w:hyperlink r:id="rId16" w:history="1">
        <w:r w:rsidR="00A8568C" w:rsidRPr="005B07BA">
          <w:rPr>
            <w:rStyle w:val="Hyperlink"/>
          </w:rPr>
          <w:t>review@teqsa.gov.au</w:t>
        </w:r>
      </w:hyperlink>
      <w:r w:rsidR="005F4973">
        <w:t xml:space="preserve">. </w:t>
      </w:r>
    </w:p>
    <w:sectPr w:rsidR="000602FA" w:rsidSect="00A8568C">
      <w:headerReference w:type="default" r:id="rId17"/>
      <w:footerReference w:type="default" r:id="rId18"/>
      <w:pgSz w:w="11906" w:h="16838"/>
      <w:pgMar w:top="1985"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F946" w14:textId="77777777" w:rsidR="00967DD4" w:rsidRDefault="00967DD4" w:rsidP="006C328D">
      <w:pPr>
        <w:spacing w:before="0" w:after="0"/>
      </w:pPr>
      <w:r>
        <w:separator/>
      </w:r>
    </w:p>
  </w:endnote>
  <w:endnote w:type="continuationSeparator" w:id="0">
    <w:p w14:paraId="64EBA85C" w14:textId="77777777" w:rsidR="00967DD4" w:rsidRDefault="00967DD4"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1988930592"/>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p w14:paraId="4CBAE8A0" w14:textId="77777777" w:rsidR="00FD25C9" w:rsidRPr="00A8568C" w:rsidRDefault="00FD25C9">
            <w:pPr>
              <w:pStyle w:val="Footer"/>
              <w:jc w:val="right"/>
              <w:rPr>
                <w:color w:val="004E7D"/>
                <w:sz w:val="20"/>
                <w:szCs w:val="20"/>
              </w:rPr>
            </w:pPr>
            <w:r w:rsidRPr="00A8568C">
              <w:rPr>
                <w:color w:val="004E7D"/>
                <w:sz w:val="20"/>
                <w:szCs w:val="20"/>
              </w:rPr>
              <w:t xml:space="preserve">Page </w:t>
            </w:r>
            <w:r w:rsidRPr="00A8568C">
              <w:rPr>
                <w:b/>
                <w:bCs/>
                <w:color w:val="004E7D"/>
                <w:sz w:val="20"/>
                <w:szCs w:val="20"/>
              </w:rPr>
              <w:fldChar w:fldCharType="begin"/>
            </w:r>
            <w:r w:rsidRPr="00A8568C">
              <w:rPr>
                <w:b/>
                <w:bCs/>
                <w:color w:val="004E7D"/>
                <w:sz w:val="20"/>
                <w:szCs w:val="20"/>
              </w:rPr>
              <w:instrText xml:space="preserve"> PAGE </w:instrText>
            </w:r>
            <w:r w:rsidRPr="00A8568C">
              <w:rPr>
                <w:b/>
                <w:bCs/>
                <w:color w:val="004E7D"/>
                <w:sz w:val="20"/>
                <w:szCs w:val="20"/>
              </w:rPr>
              <w:fldChar w:fldCharType="separate"/>
            </w:r>
            <w:r w:rsidR="005F5126" w:rsidRPr="00A8568C">
              <w:rPr>
                <w:b/>
                <w:bCs/>
                <w:noProof/>
                <w:color w:val="004E7D"/>
                <w:sz w:val="20"/>
                <w:szCs w:val="20"/>
              </w:rPr>
              <w:t>2</w:t>
            </w:r>
            <w:r w:rsidRPr="00A8568C">
              <w:rPr>
                <w:b/>
                <w:bCs/>
                <w:color w:val="004E7D"/>
                <w:sz w:val="20"/>
                <w:szCs w:val="20"/>
              </w:rPr>
              <w:fldChar w:fldCharType="end"/>
            </w:r>
            <w:r w:rsidRPr="00A8568C">
              <w:rPr>
                <w:color w:val="004E7D"/>
                <w:sz w:val="20"/>
                <w:szCs w:val="20"/>
              </w:rPr>
              <w:t xml:space="preserve"> of </w:t>
            </w:r>
            <w:r w:rsidRPr="00A8568C">
              <w:rPr>
                <w:b/>
                <w:bCs/>
                <w:color w:val="004E7D"/>
                <w:sz w:val="20"/>
                <w:szCs w:val="20"/>
              </w:rPr>
              <w:fldChar w:fldCharType="begin"/>
            </w:r>
            <w:r w:rsidRPr="00A8568C">
              <w:rPr>
                <w:b/>
                <w:bCs/>
                <w:color w:val="004E7D"/>
                <w:sz w:val="20"/>
                <w:szCs w:val="20"/>
              </w:rPr>
              <w:instrText xml:space="preserve"> NUMPAGES  </w:instrText>
            </w:r>
            <w:r w:rsidRPr="00A8568C">
              <w:rPr>
                <w:b/>
                <w:bCs/>
                <w:color w:val="004E7D"/>
                <w:sz w:val="20"/>
                <w:szCs w:val="20"/>
              </w:rPr>
              <w:fldChar w:fldCharType="separate"/>
            </w:r>
            <w:r w:rsidR="005F5126" w:rsidRPr="00A8568C">
              <w:rPr>
                <w:b/>
                <w:bCs/>
                <w:noProof/>
                <w:color w:val="004E7D"/>
                <w:sz w:val="20"/>
                <w:szCs w:val="20"/>
              </w:rPr>
              <w:t>2</w:t>
            </w:r>
            <w:r w:rsidRPr="00A8568C">
              <w:rPr>
                <w:b/>
                <w:bCs/>
                <w:color w:val="004E7D"/>
                <w:sz w:val="20"/>
                <w:szCs w:val="20"/>
              </w:rPr>
              <w:fldChar w:fldCharType="end"/>
            </w:r>
          </w:p>
        </w:sdtContent>
      </w:sdt>
    </w:sdtContent>
  </w:sdt>
  <w:p w14:paraId="397B2807" w14:textId="77777777" w:rsidR="00FD25C9" w:rsidRDefault="00FD2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248DD" w14:textId="77777777" w:rsidR="00967DD4" w:rsidRDefault="00967DD4" w:rsidP="006C328D">
      <w:pPr>
        <w:spacing w:before="0" w:after="0"/>
      </w:pPr>
      <w:r>
        <w:separator/>
      </w:r>
    </w:p>
  </w:footnote>
  <w:footnote w:type="continuationSeparator" w:id="0">
    <w:p w14:paraId="334C7C69" w14:textId="77777777" w:rsidR="00967DD4" w:rsidRDefault="00967DD4"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FBB3" w14:textId="77777777" w:rsidR="00FD25C9" w:rsidRPr="006C328D" w:rsidRDefault="00FD25C9"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57013012" wp14:editId="2936860C">
          <wp:extent cx="3205353" cy="4768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3E10509C" wp14:editId="4F4A94AB">
          <wp:extent cx="1425274" cy="353262"/>
          <wp:effectExtent l="0" t="0" r="381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pt" o:bullet="t">
        <v:imagedata r:id="rId1" o:title="Teal-Triangles"/>
      </v:shape>
    </w:pict>
  </w:numPicBullet>
  <w:numPicBullet w:numPicBulletId="1">
    <w:pict>
      <v:shape id="_x0000_i1036" type="#_x0000_t75" style="width:1in;height:36pt" o:bullet="t">
        <v:imagedata r:id="rId2" o:title="Pink-Triangles"/>
      </v:shape>
    </w:pict>
  </w:numPicBullet>
  <w:numPicBullet w:numPicBulletId="2">
    <w:pict>
      <v:shape id="_x0000_i1037" type="#_x0000_t75" style="width:1in;height:36pt" o:bullet="t">
        <v:imagedata r:id="rId3" o:title="Yellow-Triangles"/>
      </v:shape>
    </w:pict>
  </w:numPicBullet>
  <w:abstractNum w:abstractNumId="0" w15:restartNumberingAfterBreak="0">
    <w:nsid w:val="02454378"/>
    <w:multiLevelType w:val="hybridMultilevel"/>
    <w:tmpl w:val="47AE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980CDF"/>
    <w:multiLevelType w:val="hybridMultilevel"/>
    <w:tmpl w:val="AC4E9C3C"/>
    <w:lvl w:ilvl="0" w:tplc="27A6817E">
      <w:start w:val="1"/>
      <w:numFmt w:val="decimal"/>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7C718C"/>
    <w:multiLevelType w:val="hybridMultilevel"/>
    <w:tmpl w:val="BE10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CC50D6"/>
    <w:multiLevelType w:val="hybridMultilevel"/>
    <w:tmpl w:val="C6285E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7074592"/>
    <w:multiLevelType w:val="hybridMultilevel"/>
    <w:tmpl w:val="5F64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D568DD"/>
    <w:multiLevelType w:val="hybridMultilevel"/>
    <w:tmpl w:val="5C685B6C"/>
    <w:lvl w:ilvl="0" w:tplc="0C09000F">
      <w:start w:val="1"/>
      <w:numFmt w:val="decimal"/>
      <w:lvlText w:val="%1."/>
      <w:lvlJc w:val="left"/>
      <w:pPr>
        <w:ind w:left="1856" w:hanging="360"/>
      </w:pPr>
      <w:rPr>
        <w:rFonts w:hint="default"/>
      </w:rPr>
    </w:lvl>
    <w:lvl w:ilvl="1" w:tplc="0C090019" w:tentative="1">
      <w:start w:val="1"/>
      <w:numFmt w:val="lowerLetter"/>
      <w:lvlText w:val="%2."/>
      <w:lvlJc w:val="left"/>
      <w:pPr>
        <w:ind w:left="2576" w:hanging="360"/>
      </w:pPr>
    </w:lvl>
    <w:lvl w:ilvl="2" w:tplc="0C09001B" w:tentative="1">
      <w:start w:val="1"/>
      <w:numFmt w:val="lowerRoman"/>
      <w:lvlText w:val="%3."/>
      <w:lvlJc w:val="right"/>
      <w:pPr>
        <w:ind w:left="3296" w:hanging="180"/>
      </w:pPr>
    </w:lvl>
    <w:lvl w:ilvl="3" w:tplc="0C09000F" w:tentative="1">
      <w:start w:val="1"/>
      <w:numFmt w:val="decimal"/>
      <w:lvlText w:val="%4."/>
      <w:lvlJc w:val="left"/>
      <w:pPr>
        <w:ind w:left="4016" w:hanging="360"/>
      </w:pPr>
    </w:lvl>
    <w:lvl w:ilvl="4" w:tplc="0C090019" w:tentative="1">
      <w:start w:val="1"/>
      <w:numFmt w:val="lowerLetter"/>
      <w:lvlText w:val="%5."/>
      <w:lvlJc w:val="left"/>
      <w:pPr>
        <w:ind w:left="4736" w:hanging="360"/>
      </w:pPr>
    </w:lvl>
    <w:lvl w:ilvl="5" w:tplc="0C09001B" w:tentative="1">
      <w:start w:val="1"/>
      <w:numFmt w:val="lowerRoman"/>
      <w:lvlText w:val="%6."/>
      <w:lvlJc w:val="right"/>
      <w:pPr>
        <w:ind w:left="5456" w:hanging="180"/>
      </w:pPr>
    </w:lvl>
    <w:lvl w:ilvl="6" w:tplc="0C09000F" w:tentative="1">
      <w:start w:val="1"/>
      <w:numFmt w:val="decimal"/>
      <w:lvlText w:val="%7."/>
      <w:lvlJc w:val="left"/>
      <w:pPr>
        <w:ind w:left="6176" w:hanging="360"/>
      </w:pPr>
    </w:lvl>
    <w:lvl w:ilvl="7" w:tplc="0C090019" w:tentative="1">
      <w:start w:val="1"/>
      <w:numFmt w:val="lowerLetter"/>
      <w:lvlText w:val="%8."/>
      <w:lvlJc w:val="left"/>
      <w:pPr>
        <w:ind w:left="6896" w:hanging="360"/>
      </w:pPr>
    </w:lvl>
    <w:lvl w:ilvl="8" w:tplc="0C09001B" w:tentative="1">
      <w:start w:val="1"/>
      <w:numFmt w:val="lowerRoman"/>
      <w:lvlText w:val="%9."/>
      <w:lvlJc w:val="right"/>
      <w:pPr>
        <w:ind w:left="7616" w:hanging="180"/>
      </w:pPr>
    </w:lvl>
  </w:abstractNum>
  <w:abstractNum w:abstractNumId="15" w15:restartNumberingAfterBreak="0">
    <w:nsid w:val="6E370C71"/>
    <w:multiLevelType w:val="hybridMultilevel"/>
    <w:tmpl w:val="DD1E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19429617">
    <w:abstractNumId w:val="17"/>
  </w:num>
  <w:num w:numId="2" w16cid:durableId="839929929">
    <w:abstractNumId w:val="16"/>
  </w:num>
  <w:num w:numId="3" w16cid:durableId="1877346148">
    <w:abstractNumId w:val="16"/>
  </w:num>
  <w:num w:numId="4" w16cid:durableId="2123920001">
    <w:abstractNumId w:val="4"/>
  </w:num>
  <w:num w:numId="5" w16cid:durableId="1445878420">
    <w:abstractNumId w:val="4"/>
  </w:num>
  <w:num w:numId="6" w16cid:durableId="1652439248">
    <w:abstractNumId w:val="4"/>
  </w:num>
  <w:num w:numId="7" w16cid:durableId="354619623">
    <w:abstractNumId w:val="11"/>
  </w:num>
  <w:num w:numId="8" w16cid:durableId="700546292">
    <w:abstractNumId w:val="10"/>
  </w:num>
  <w:num w:numId="9" w16cid:durableId="1579634953">
    <w:abstractNumId w:val="10"/>
  </w:num>
  <w:num w:numId="10" w16cid:durableId="1741323561">
    <w:abstractNumId w:val="10"/>
  </w:num>
  <w:num w:numId="11" w16cid:durableId="1329092894">
    <w:abstractNumId w:val="10"/>
  </w:num>
  <w:num w:numId="12" w16cid:durableId="517163896">
    <w:abstractNumId w:val="10"/>
  </w:num>
  <w:num w:numId="13" w16cid:durableId="97335739">
    <w:abstractNumId w:val="10"/>
  </w:num>
  <w:num w:numId="14" w16cid:durableId="1976326942">
    <w:abstractNumId w:val="10"/>
  </w:num>
  <w:num w:numId="15" w16cid:durableId="1073235377">
    <w:abstractNumId w:val="8"/>
  </w:num>
  <w:num w:numId="16" w16cid:durableId="1092438547">
    <w:abstractNumId w:val="8"/>
  </w:num>
  <w:num w:numId="17" w16cid:durableId="2118913899">
    <w:abstractNumId w:val="8"/>
  </w:num>
  <w:num w:numId="18" w16cid:durableId="266235992">
    <w:abstractNumId w:val="1"/>
  </w:num>
  <w:num w:numId="19" w16cid:durableId="583687507">
    <w:abstractNumId w:val="2"/>
  </w:num>
  <w:num w:numId="20" w16cid:durableId="335622094">
    <w:abstractNumId w:val="3"/>
  </w:num>
  <w:num w:numId="21" w16cid:durableId="1401252045">
    <w:abstractNumId w:val="9"/>
  </w:num>
  <w:num w:numId="22" w16cid:durableId="655720355">
    <w:abstractNumId w:val="5"/>
  </w:num>
  <w:num w:numId="23" w16cid:durableId="186414426">
    <w:abstractNumId w:val="17"/>
  </w:num>
  <w:num w:numId="24" w16cid:durableId="52313879">
    <w:abstractNumId w:val="16"/>
  </w:num>
  <w:num w:numId="25" w16cid:durableId="565338385">
    <w:abstractNumId w:val="16"/>
  </w:num>
  <w:num w:numId="26" w16cid:durableId="2106801684">
    <w:abstractNumId w:val="4"/>
  </w:num>
  <w:num w:numId="27" w16cid:durableId="1564295192">
    <w:abstractNumId w:val="4"/>
  </w:num>
  <w:num w:numId="28" w16cid:durableId="977145479">
    <w:abstractNumId w:val="4"/>
  </w:num>
  <w:num w:numId="29" w16cid:durableId="2138717275">
    <w:abstractNumId w:val="11"/>
  </w:num>
  <w:num w:numId="30" w16cid:durableId="660275901">
    <w:abstractNumId w:val="10"/>
  </w:num>
  <w:num w:numId="31" w16cid:durableId="397559978">
    <w:abstractNumId w:val="10"/>
  </w:num>
  <w:num w:numId="32" w16cid:durableId="582181482">
    <w:abstractNumId w:val="10"/>
  </w:num>
  <w:num w:numId="33" w16cid:durableId="338511420">
    <w:abstractNumId w:val="10"/>
  </w:num>
  <w:num w:numId="34" w16cid:durableId="164784698">
    <w:abstractNumId w:val="10"/>
  </w:num>
  <w:num w:numId="35" w16cid:durableId="1636642178">
    <w:abstractNumId w:val="10"/>
  </w:num>
  <w:num w:numId="36" w16cid:durableId="1662268807">
    <w:abstractNumId w:val="10"/>
  </w:num>
  <w:num w:numId="37" w16cid:durableId="1901986095">
    <w:abstractNumId w:val="8"/>
  </w:num>
  <w:num w:numId="38" w16cid:durableId="1054694765">
    <w:abstractNumId w:val="8"/>
  </w:num>
  <w:num w:numId="39" w16cid:durableId="1700669068">
    <w:abstractNumId w:val="8"/>
  </w:num>
  <w:num w:numId="40" w16cid:durableId="891186451">
    <w:abstractNumId w:val="1"/>
  </w:num>
  <w:num w:numId="41" w16cid:durableId="686907696">
    <w:abstractNumId w:val="2"/>
  </w:num>
  <w:num w:numId="42" w16cid:durableId="1255632535">
    <w:abstractNumId w:val="3"/>
  </w:num>
  <w:num w:numId="43" w16cid:durableId="1534225317">
    <w:abstractNumId w:val="9"/>
  </w:num>
  <w:num w:numId="44" w16cid:durableId="1013217516">
    <w:abstractNumId w:val="5"/>
  </w:num>
  <w:num w:numId="45" w16cid:durableId="218060653">
    <w:abstractNumId w:val="14"/>
  </w:num>
  <w:num w:numId="46" w16cid:durableId="492988281">
    <w:abstractNumId w:val="15"/>
  </w:num>
  <w:num w:numId="47" w16cid:durableId="1329090183">
    <w:abstractNumId w:val="12"/>
  </w:num>
  <w:num w:numId="48" w16cid:durableId="1495486983">
    <w:abstractNumId w:val="0"/>
  </w:num>
  <w:num w:numId="49" w16cid:durableId="1537428445">
    <w:abstractNumId w:val="7"/>
  </w:num>
  <w:num w:numId="50" w16cid:durableId="904217406">
    <w:abstractNumId w:val="13"/>
  </w:num>
  <w:num w:numId="51" w16cid:durableId="117014643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051B"/>
    <w:rsid w:val="0001111B"/>
    <w:rsid w:val="00030BDD"/>
    <w:rsid w:val="00050B7D"/>
    <w:rsid w:val="0005631F"/>
    <w:rsid w:val="000602FA"/>
    <w:rsid w:val="000616FC"/>
    <w:rsid w:val="00075565"/>
    <w:rsid w:val="0009487F"/>
    <w:rsid w:val="000A203E"/>
    <w:rsid w:val="000A7509"/>
    <w:rsid w:val="000B2666"/>
    <w:rsid w:val="000C548B"/>
    <w:rsid w:val="000D6679"/>
    <w:rsid w:val="000F6730"/>
    <w:rsid w:val="0010443C"/>
    <w:rsid w:val="00106D62"/>
    <w:rsid w:val="00107AA3"/>
    <w:rsid w:val="00125FDA"/>
    <w:rsid w:val="00152322"/>
    <w:rsid w:val="00153906"/>
    <w:rsid w:val="001601D9"/>
    <w:rsid w:val="00162A03"/>
    <w:rsid w:val="00163F76"/>
    <w:rsid w:val="001A628D"/>
    <w:rsid w:val="001B3317"/>
    <w:rsid w:val="001D6183"/>
    <w:rsid w:val="001E609F"/>
    <w:rsid w:val="001F39F5"/>
    <w:rsid w:val="00200175"/>
    <w:rsid w:val="002003DB"/>
    <w:rsid w:val="00201BDC"/>
    <w:rsid w:val="00204166"/>
    <w:rsid w:val="00237980"/>
    <w:rsid w:val="00273666"/>
    <w:rsid w:val="00273F82"/>
    <w:rsid w:val="00282928"/>
    <w:rsid w:val="00286D18"/>
    <w:rsid w:val="00293050"/>
    <w:rsid w:val="002945F8"/>
    <w:rsid w:val="0029697A"/>
    <w:rsid w:val="002A091B"/>
    <w:rsid w:val="002A43BF"/>
    <w:rsid w:val="002A44AB"/>
    <w:rsid w:val="002A5674"/>
    <w:rsid w:val="002C351C"/>
    <w:rsid w:val="002E2842"/>
    <w:rsid w:val="003072A6"/>
    <w:rsid w:val="0031202E"/>
    <w:rsid w:val="003254CC"/>
    <w:rsid w:val="00347E2B"/>
    <w:rsid w:val="003515E2"/>
    <w:rsid w:val="00353380"/>
    <w:rsid w:val="00362699"/>
    <w:rsid w:val="0036285F"/>
    <w:rsid w:val="00364144"/>
    <w:rsid w:val="0038204C"/>
    <w:rsid w:val="003839EC"/>
    <w:rsid w:val="003920A2"/>
    <w:rsid w:val="003D50FC"/>
    <w:rsid w:val="003F4307"/>
    <w:rsid w:val="00415BCF"/>
    <w:rsid w:val="004258D5"/>
    <w:rsid w:val="00461F0C"/>
    <w:rsid w:val="004640A6"/>
    <w:rsid w:val="004663BB"/>
    <w:rsid w:val="00481E88"/>
    <w:rsid w:val="004A33D4"/>
    <w:rsid w:val="004A3528"/>
    <w:rsid w:val="004B6245"/>
    <w:rsid w:val="004C230F"/>
    <w:rsid w:val="004C6EEA"/>
    <w:rsid w:val="004D74BD"/>
    <w:rsid w:val="004E3FE1"/>
    <w:rsid w:val="004E41BE"/>
    <w:rsid w:val="004F47F5"/>
    <w:rsid w:val="0050448B"/>
    <w:rsid w:val="005100D7"/>
    <w:rsid w:val="00516264"/>
    <w:rsid w:val="00526F73"/>
    <w:rsid w:val="00533289"/>
    <w:rsid w:val="005441D4"/>
    <w:rsid w:val="00545AA7"/>
    <w:rsid w:val="00564E54"/>
    <w:rsid w:val="0057782D"/>
    <w:rsid w:val="00581151"/>
    <w:rsid w:val="00585827"/>
    <w:rsid w:val="00591D55"/>
    <w:rsid w:val="0059264A"/>
    <w:rsid w:val="00596EA0"/>
    <w:rsid w:val="005B458E"/>
    <w:rsid w:val="005D5EB2"/>
    <w:rsid w:val="005E243B"/>
    <w:rsid w:val="005F4973"/>
    <w:rsid w:val="005F510F"/>
    <w:rsid w:val="005F5126"/>
    <w:rsid w:val="00604588"/>
    <w:rsid w:val="006070B5"/>
    <w:rsid w:val="0060788B"/>
    <w:rsid w:val="00627BF6"/>
    <w:rsid w:val="00633F5B"/>
    <w:rsid w:val="006344A8"/>
    <w:rsid w:val="006565BC"/>
    <w:rsid w:val="006567AB"/>
    <w:rsid w:val="00663E55"/>
    <w:rsid w:val="006765D5"/>
    <w:rsid w:val="006770C8"/>
    <w:rsid w:val="00680F63"/>
    <w:rsid w:val="006A1947"/>
    <w:rsid w:val="006A1E0B"/>
    <w:rsid w:val="006C328D"/>
    <w:rsid w:val="006E6C07"/>
    <w:rsid w:val="006F0918"/>
    <w:rsid w:val="00713F02"/>
    <w:rsid w:val="0071549A"/>
    <w:rsid w:val="00750B2C"/>
    <w:rsid w:val="00751D9E"/>
    <w:rsid w:val="00752C51"/>
    <w:rsid w:val="00754110"/>
    <w:rsid w:val="007601C0"/>
    <w:rsid w:val="00781F22"/>
    <w:rsid w:val="007874B4"/>
    <w:rsid w:val="007B01C8"/>
    <w:rsid w:val="007B066E"/>
    <w:rsid w:val="007B5F42"/>
    <w:rsid w:val="007F45A0"/>
    <w:rsid w:val="007F78F7"/>
    <w:rsid w:val="008006AB"/>
    <w:rsid w:val="00802DC3"/>
    <w:rsid w:val="00830E30"/>
    <w:rsid w:val="00831875"/>
    <w:rsid w:val="0083212F"/>
    <w:rsid w:val="00833CFB"/>
    <w:rsid w:val="00834B4A"/>
    <w:rsid w:val="00835EAA"/>
    <w:rsid w:val="00835F36"/>
    <w:rsid w:val="008559D5"/>
    <w:rsid w:val="00864CAC"/>
    <w:rsid w:val="00865E27"/>
    <w:rsid w:val="008668CC"/>
    <w:rsid w:val="00867F40"/>
    <w:rsid w:val="0088495C"/>
    <w:rsid w:val="0088563D"/>
    <w:rsid w:val="008877AF"/>
    <w:rsid w:val="008C1DE5"/>
    <w:rsid w:val="008E58AC"/>
    <w:rsid w:val="008F6319"/>
    <w:rsid w:val="0090291C"/>
    <w:rsid w:val="00925E9A"/>
    <w:rsid w:val="009409AD"/>
    <w:rsid w:val="00947435"/>
    <w:rsid w:val="0096400B"/>
    <w:rsid w:val="00964537"/>
    <w:rsid w:val="00967DD4"/>
    <w:rsid w:val="00991BD4"/>
    <w:rsid w:val="00992356"/>
    <w:rsid w:val="009943EF"/>
    <w:rsid w:val="009A5066"/>
    <w:rsid w:val="009B57D5"/>
    <w:rsid w:val="009B769E"/>
    <w:rsid w:val="009C4606"/>
    <w:rsid w:val="009E4AB9"/>
    <w:rsid w:val="00A22F18"/>
    <w:rsid w:val="00A50E39"/>
    <w:rsid w:val="00A767EB"/>
    <w:rsid w:val="00A83C8E"/>
    <w:rsid w:val="00A84AD9"/>
    <w:rsid w:val="00A8568C"/>
    <w:rsid w:val="00A97CF3"/>
    <w:rsid w:val="00AC4576"/>
    <w:rsid w:val="00AE0D38"/>
    <w:rsid w:val="00AE7DA5"/>
    <w:rsid w:val="00B15206"/>
    <w:rsid w:val="00B26BA5"/>
    <w:rsid w:val="00B34BB3"/>
    <w:rsid w:val="00B468C1"/>
    <w:rsid w:val="00B727A8"/>
    <w:rsid w:val="00B844BF"/>
    <w:rsid w:val="00B94248"/>
    <w:rsid w:val="00BB0496"/>
    <w:rsid w:val="00BD4ACB"/>
    <w:rsid w:val="00BE19CE"/>
    <w:rsid w:val="00BF2381"/>
    <w:rsid w:val="00BF7047"/>
    <w:rsid w:val="00BF7F16"/>
    <w:rsid w:val="00C14CCF"/>
    <w:rsid w:val="00C24B92"/>
    <w:rsid w:val="00C31263"/>
    <w:rsid w:val="00C368BB"/>
    <w:rsid w:val="00C45B90"/>
    <w:rsid w:val="00C76A48"/>
    <w:rsid w:val="00C81CDA"/>
    <w:rsid w:val="00C83E10"/>
    <w:rsid w:val="00CA1599"/>
    <w:rsid w:val="00CA6ADC"/>
    <w:rsid w:val="00CA7AD6"/>
    <w:rsid w:val="00CC2637"/>
    <w:rsid w:val="00CC493C"/>
    <w:rsid w:val="00CD2604"/>
    <w:rsid w:val="00CD5946"/>
    <w:rsid w:val="00CE62C9"/>
    <w:rsid w:val="00CF3A87"/>
    <w:rsid w:val="00D171EA"/>
    <w:rsid w:val="00D2133E"/>
    <w:rsid w:val="00D23181"/>
    <w:rsid w:val="00D31CCE"/>
    <w:rsid w:val="00D442C8"/>
    <w:rsid w:val="00D61172"/>
    <w:rsid w:val="00D61E03"/>
    <w:rsid w:val="00D670C0"/>
    <w:rsid w:val="00D673FA"/>
    <w:rsid w:val="00D77630"/>
    <w:rsid w:val="00D82D5A"/>
    <w:rsid w:val="00D9724C"/>
    <w:rsid w:val="00D97252"/>
    <w:rsid w:val="00DA1B4B"/>
    <w:rsid w:val="00DC17FA"/>
    <w:rsid w:val="00DC183C"/>
    <w:rsid w:val="00DD0DED"/>
    <w:rsid w:val="00DF063C"/>
    <w:rsid w:val="00E10C78"/>
    <w:rsid w:val="00E1680E"/>
    <w:rsid w:val="00E907FC"/>
    <w:rsid w:val="00E93138"/>
    <w:rsid w:val="00E96CD1"/>
    <w:rsid w:val="00E9771F"/>
    <w:rsid w:val="00EA054E"/>
    <w:rsid w:val="00EA315F"/>
    <w:rsid w:val="00EA5604"/>
    <w:rsid w:val="00EB2C66"/>
    <w:rsid w:val="00EB6E46"/>
    <w:rsid w:val="00EB73F4"/>
    <w:rsid w:val="00EC5CAD"/>
    <w:rsid w:val="00EE0D99"/>
    <w:rsid w:val="00EE583D"/>
    <w:rsid w:val="00EF4DE6"/>
    <w:rsid w:val="00F046A9"/>
    <w:rsid w:val="00F04E9D"/>
    <w:rsid w:val="00F11F7C"/>
    <w:rsid w:val="00F276DC"/>
    <w:rsid w:val="00F328BE"/>
    <w:rsid w:val="00F468E2"/>
    <w:rsid w:val="00F628E8"/>
    <w:rsid w:val="00F7108E"/>
    <w:rsid w:val="00F773DB"/>
    <w:rsid w:val="00F854C5"/>
    <w:rsid w:val="00F86D34"/>
    <w:rsid w:val="00FA079D"/>
    <w:rsid w:val="00FA5861"/>
    <w:rsid w:val="00FC3BF3"/>
    <w:rsid w:val="00FD25C9"/>
    <w:rsid w:val="00FD5FAC"/>
    <w:rsid w:val="00FE0B04"/>
    <w:rsid w:val="00FE2F52"/>
    <w:rsid w:val="00FF2540"/>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B4836"/>
  <w15:docId w15:val="{89C321E0-975E-47C8-A135-E7C7B35F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A8568C"/>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A8568C"/>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A8568C"/>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A8568C"/>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A8568C"/>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A8568C"/>
    <w:rPr>
      <w:rFonts w:asciiTheme="majorHAnsi" w:eastAsiaTheme="majorEastAsia" w:hAnsiTheme="majorHAnsi" w:cstheme="majorBidi"/>
      <w:color w:val="004E7D"/>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A8568C"/>
    <w:pPr>
      <w:keepLines/>
      <w:spacing w:before="0" w:after="360" w:line="640" w:lineRule="exact"/>
      <w:contextualSpacing/>
      <w:outlineLvl w:val="0"/>
    </w:pPr>
    <w:rPr>
      <w:rFonts w:asciiTheme="majorHAnsi" w:eastAsiaTheme="majorEastAsia" w:hAnsiTheme="majorHAnsi" w:cstheme="majorBidi"/>
      <w:color w:val="004E7D"/>
      <w:kern w:val="28"/>
      <w:sz w:val="60"/>
      <w:szCs w:val="56"/>
    </w:rPr>
  </w:style>
  <w:style w:type="character" w:customStyle="1" w:styleId="TitleChar">
    <w:name w:val="Title Char"/>
    <w:basedOn w:val="DefaultParagraphFont"/>
    <w:link w:val="Title"/>
    <w:uiPriority w:val="22"/>
    <w:rsid w:val="00A8568C"/>
    <w:rPr>
      <w:rFonts w:asciiTheme="majorHAnsi" w:eastAsiaTheme="majorEastAsia" w:hAnsiTheme="majorHAnsi" w:cstheme="majorBidi"/>
      <w:color w:val="004E7D"/>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aliases w:val="L"/>
    <w:basedOn w:val="Normal"/>
    <w:link w:val="ListParagraphChar"/>
    <w:uiPriority w:val="34"/>
    <w:qFormat/>
    <w:rsid w:val="00D61172"/>
    <w:pPr>
      <w:spacing w:before="40" w:after="160" w:line="280" w:lineRule="exact"/>
      <w:ind w:left="720"/>
      <w:contextualSpacing/>
    </w:pPr>
    <w:rPr>
      <w:rFonts w:ascii="Arial" w:hAnsi="Arial"/>
      <w:color w:val="auto"/>
    </w:rPr>
  </w:style>
  <w:style w:type="character" w:customStyle="1" w:styleId="ListParagraphChar">
    <w:name w:val="List Paragraph Char"/>
    <w:aliases w:val="L Char"/>
    <w:basedOn w:val="DefaultParagraphFont"/>
    <w:link w:val="ListParagraph"/>
    <w:uiPriority w:val="34"/>
    <w:rsid w:val="00D61172"/>
    <w:rPr>
      <w:rFonts w:ascii="Arial" w:hAnsi="Arial"/>
      <w:color w:val="auto"/>
    </w:rPr>
  </w:style>
  <w:style w:type="character" w:styleId="Hyperlink">
    <w:name w:val="Hyperlink"/>
    <w:basedOn w:val="DefaultParagraphFont"/>
    <w:uiPriority w:val="99"/>
    <w:unhideWhenUsed/>
    <w:rsid w:val="00A8568C"/>
    <w:rPr>
      <w:color w:val="004E7D"/>
      <w:u w:val="single"/>
    </w:rPr>
  </w:style>
  <w:style w:type="character" w:styleId="CommentReference">
    <w:name w:val="annotation reference"/>
    <w:basedOn w:val="DefaultParagraphFont"/>
    <w:uiPriority w:val="99"/>
    <w:semiHidden/>
    <w:unhideWhenUsed/>
    <w:rsid w:val="00D61172"/>
    <w:rPr>
      <w:sz w:val="16"/>
      <w:szCs w:val="16"/>
    </w:rPr>
  </w:style>
  <w:style w:type="paragraph" w:styleId="CommentText">
    <w:name w:val="annotation text"/>
    <w:basedOn w:val="Normal"/>
    <w:link w:val="CommentTextChar"/>
    <w:uiPriority w:val="99"/>
    <w:semiHidden/>
    <w:unhideWhenUsed/>
    <w:rsid w:val="00D61172"/>
    <w:pPr>
      <w:spacing w:before="40" w:after="160"/>
    </w:pPr>
    <w:rPr>
      <w:rFonts w:ascii="Arial" w:hAnsi="Arial"/>
      <w:color w:val="auto"/>
      <w:sz w:val="20"/>
      <w:szCs w:val="20"/>
    </w:rPr>
  </w:style>
  <w:style w:type="character" w:customStyle="1" w:styleId="CommentTextChar">
    <w:name w:val="Comment Text Char"/>
    <w:basedOn w:val="DefaultParagraphFont"/>
    <w:link w:val="CommentText"/>
    <w:uiPriority w:val="99"/>
    <w:semiHidden/>
    <w:rsid w:val="00D61172"/>
    <w:rPr>
      <w:rFonts w:ascii="Arial" w:hAnsi="Arial"/>
      <w:color w:val="auto"/>
      <w:sz w:val="20"/>
      <w:szCs w:val="20"/>
    </w:rPr>
  </w:style>
  <w:style w:type="table" w:customStyle="1" w:styleId="TEQSAtables">
    <w:name w:val="TEQSA tables"/>
    <w:basedOn w:val="TableNormal"/>
    <w:uiPriority w:val="99"/>
    <w:rsid w:val="000602FA"/>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paragraph" w:styleId="CommentSubject">
    <w:name w:val="annotation subject"/>
    <w:basedOn w:val="CommentText"/>
    <w:next w:val="CommentText"/>
    <w:link w:val="CommentSubjectChar"/>
    <w:uiPriority w:val="99"/>
    <w:semiHidden/>
    <w:unhideWhenUsed/>
    <w:rsid w:val="000616FC"/>
    <w:pPr>
      <w:spacing w:before="120" w:after="12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0616FC"/>
    <w:rPr>
      <w:rFonts w:ascii="Arial" w:hAnsi="Arial"/>
      <w:b/>
      <w:bCs/>
      <w:color w:val="auto"/>
      <w:sz w:val="20"/>
      <w:szCs w:val="20"/>
    </w:rPr>
  </w:style>
  <w:style w:type="character" w:styleId="UnresolvedMention">
    <w:name w:val="Unresolved Mention"/>
    <w:basedOn w:val="DefaultParagraphFont"/>
    <w:uiPriority w:val="99"/>
    <w:semiHidden/>
    <w:unhideWhenUsed/>
    <w:rsid w:val="00A85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for-providers/resources/teqsa-service-char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mbudsma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eview@teqsa.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latest-news/publications/concerns-and-complaints-about-providers-policy" TargetMode="External"/><Relationship Id="rId5" Type="http://schemas.openxmlformats.org/officeDocument/2006/relationships/numbering" Target="numbering.xml"/><Relationship Id="rId15" Type="http://schemas.openxmlformats.org/officeDocument/2006/relationships/hyperlink" Target="http://www.teqsa.gov.au/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view@teqsa.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c7dac4e8-3feb-44f4-96ca-b86e7c14d0f6"/>
    <ds:schemaRef ds:uri="http://purl.org/dc/dcmitype/"/>
    <ds:schemaRef ds:uri="http://purl.org/dc/terms/"/>
  </ds:schemaRefs>
</ds:datastoreItem>
</file>

<file path=customXml/itemProps3.xml><?xml version="1.0" encoding="utf-8"?>
<ds:datastoreItem xmlns:ds="http://schemas.openxmlformats.org/officeDocument/2006/customXml" ds:itemID="{FF7C9659-CB53-4F67-9B6F-E7A1D7D2F36D}">
  <ds:schemaRefs>
    <ds:schemaRef ds:uri="http://schemas.openxmlformats.org/officeDocument/2006/bibliography"/>
  </ds:schemaRefs>
</ds:datastoreItem>
</file>

<file path=customXml/itemProps4.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Complaints about TEQSA policy</vt:lpstr>
    </vt:vector>
  </TitlesOfParts>
  <Company>Tertiary Education Quality and Standards Agency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about TEQSA policy</dc:title>
  <dc:creator>May, Raphael</dc:creator>
  <cp:lastModifiedBy>Tom Hewitt-McManus</cp:lastModifiedBy>
  <cp:revision>5</cp:revision>
  <cp:lastPrinted>2019-08-26T22:52:00Z</cp:lastPrinted>
  <dcterms:created xsi:type="dcterms:W3CDTF">2022-08-19T02:25:00Z</dcterms:created>
  <dcterms:modified xsi:type="dcterms:W3CDTF">2022-08-19T02:47:00Z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