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F62C3" w14:textId="191057DA" w:rsidR="003160FA" w:rsidRPr="00F1451E" w:rsidRDefault="00521E36" w:rsidP="008317C1">
      <w:pPr>
        <w:pStyle w:val="Heading1"/>
        <w:spacing w:after="840"/>
        <w:rPr>
          <w:color w:val="00A398"/>
          <w:lang w:eastAsia="en-AU"/>
        </w:rPr>
      </w:pPr>
      <w:r w:rsidRPr="00F1451E">
        <w:rPr>
          <w:color w:val="00A398"/>
          <w:lang w:eastAsia="en-AU"/>
        </w:rPr>
        <w:t xml:space="preserve">TEQSA’s </w:t>
      </w:r>
      <w:r w:rsidR="006222FD" w:rsidRPr="00F1451E">
        <w:rPr>
          <w:color w:val="00A398"/>
          <w:lang w:eastAsia="en-AU"/>
        </w:rPr>
        <w:t>a</w:t>
      </w:r>
      <w:r w:rsidRPr="00F1451E">
        <w:rPr>
          <w:color w:val="00A398"/>
          <w:lang w:eastAsia="en-AU"/>
        </w:rPr>
        <w:t xml:space="preserve">pproach to </w:t>
      </w:r>
      <w:r w:rsidR="006222FD" w:rsidRPr="00F1451E">
        <w:rPr>
          <w:color w:val="00A398"/>
          <w:lang w:eastAsia="en-AU"/>
        </w:rPr>
        <w:t>c</w:t>
      </w:r>
      <w:r w:rsidR="00367D5D" w:rsidRPr="00F1451E">
        <w:rPr>
          <w:color w:val="00A398"/>
          <w:lang w:eastAsia="en-AU"/>
        </w:rPr>
        <w:t>h</w:t>
      </w:r>
      <w:r w:rsidR="00F053BB" w:rsidRPr="00F1451E">
        <w:rPr>
          <w:color w:val="00A398"/>
          <w:lang w:eastAsia="en-AU"/>
        </w:rPr>
        <w:t>ange</w:t>
      </w:r>
      <w:r w:rsidRPr="00F1451E">
        <w:rPr>
          <w:color w:val="00A398"/>
          <w:lang w:eastAsia="en-AU"/>
        </w:rPr>
        <w:t>s</w:t>
      </w:r>
      <w:r w:rsidR="00F053BB" w:rsidRPr="00F1451E">
        <w:rPr>
          <w:color w:val="00A398"/>
          <w:lang w:eastAsia="en-AU"/>
        </w:rPr>
        <w:t xml:space="preserve"> </w:t>
      </w:r>
      <w:proofErr w:type="gramStart"/>
      <w:r w:rsidR="006222FD" w:rsidRPr="00F1451E">
        <w:rPr>
          <w:color w:val="00A398"/>
          <w:lang w:eastAsia="en-AU"/>
        </w:rPr>
        <w:t>of  c</w:t>
      </w:r>
      <w:r w:rsidR="00F053BB" w:rsidRPr="00F1451E">
        <w:rPr>
          <w:color w:val="00A398"/>
          <w:lang w:eastAsia="en-AU"/>
        </w:rPr>
        <w:t>ontrol</w:t>
      </w:r>
      <w:proofErr w:type="gramEnd"/>
      <w:r w:rsidR="00515825" w:rsidRPr="00F1451E">
        <w:rPr>
          <w:color w:val="00A398"/>
          <w:lang w:eastAsia="en-AU"/>
        </w:rPr>
        <w:t xml:space="preserve"> </w:t>
      </w:r>
      <w:r w:rsidR="006222FD" w:rsidRPr="00F1451E">
        <w:rPr>
          <w:color w:val="00A398"/>
          <w:lang w:eastAsia="en-AU"/>
        </w:rPr>
        <w:t xml:space="preserve">or ownership </w:t>
      </w:r>
      <w:r w:rsidRPr="00F1451E">
        <w:rPr>
          <w:color w:val="00A398"/>
          <w:lang w:eastAsia="en-AU"/>
        </w:rPr>
        <w:t xml:space="preserve">of </w:t>
      </w:r>
      <w:r w:rsidR="00367D5D" w:rsidRPr="00F1451E">
        <w:rPr>
          <w:color w:val="00A398"/>
          <w:lang w:eastAsia="en-AU"/>
        </w:rPr>
        <w:t xml:space="preserve">a </w:t>
      </w:r>
      <w:r w:rsidR="006222FD" w:rsidRPr="00F1451E">
        <w:rPr>
          <w:color w:val="00A398"/>
          <w:lang w:eastAsia="en-AU"/>
        </w:rPr>
        <w:t>h</w:t>
      </w:r>
      <w:r w:rsidRPr="00F1451E">
        <w:rPr>
          <w:color w:val="00A398"/>
          <w:lang w:eastAsia="en-AU"/>
        </w:rPr>
        <w:t xml:space="preserve">igher </w:t>
      </w:r>
      <w:r w:rsidR="006222FD" w:rsidRPr="00F1451E">
        <w:rPr>
          <w:color w:val="00A398"/>
          <w:lang w:eastAsia="en-AU"/>
        </w:rPr>
        <w:t>e</w:t>
      </w:r>
      <w:r w:rsidRPr="00F1451E">
        <w:rPr>
          <w:color w:val="00A398"/>
          <w:lang w:eastAsia="en-AU"/>
        </w:rPr>
        <w:t xml:space="preserve">ducation </w:t>
      </w:r>
      <w:r w:rsidR="006222FD" w:rsidRPr="00F1451E">
        <w:rPr>
          <w:color w:val="00A398"/>
          <w:lang w:eastAsia="en-AU"/>
        </w:rPr>
        <w:t>p</w:t>
      </w:r>
      <w:r w:rsidRPr="00F1451E">
        <w:rPr>
          <w:color w:val="00A398"/>
          <w:lang w:eastAsia="en-AU"/>
        </w:rPr>
        <w:t>rovider</w:t>
      </w:r>
    </w:p>
    <w:p w14:paraId="095AC3BC" w14:textId="6DD2BBF9" w:rsidR="008317C1" w:rsidRPr="008317C1" w:rsidRDefault="008317C1" w:rsidP="008317C1">
      <w:pPr>
        <w:pStyle w:val="Subtitle"/>
        <w:numPr>
          <w:ilvl w:val="0"/>
          <w:numId w:val="0"/>
        </w:numPr>
        <w:rPr>
          <w:rStyle w:val="SubtleEmphasis"/>
        </w:rPr>
      </w:pPr>
      <w:r w:rsidRPr="008317C1">
        <w:rPr>
          <w:rStyle w:val="SubtleEmphasis"/>
        </w:rPr>
        <w:t>Version 1.0 (October 2021)</w:t>
      </w:r>
    </w:p>
    <w:p w14:paraId="397C9647" w14:textId="4C9EF646" w:rsidR="004A4AE6" w:rsidRPr="00F1451E" w:rsidRDefault="004A4AE6" w:rsidP="00DB2474">
      <w:pPr>
        <w:pStyle w:val="Heading2"/>
        <w:spacing w:before="240"/>
        <w:rPr>
          <w:color w:val="00A398"/>
        </w:rPr>
      </w:pPr>
      <w:r w:rsidRPr="00F1451E">
        <w:rPr>
          <w:color w:val="00A398"/>
        </w:rPr>
        <w:t>Purpose</w:t>
      </w:r>
    </w:p>
    <w:p w14:paraId="7B9DE78C" w14:textId="0E93D36D" w:rsidR="00C557ED" w:rsidRPr="00990FA6" w:rsidRDefault="00453D09" w:rsidP="00F60967">
      <w:pPr>
        <w:rPr>
          <w:rFonts w:ascii="Arial" w:hAnsi="Arial" w:cs="Arial"/>
        </w:rPr>
      </w:pPr>
      <w:r w:rsidRPr="00990FA6">
        <w:rPr>
          <w:rFonts w:ascii="Arial" w:hAnsi="Arial" w:cs="Arial"/>
        </w:rPr>
        <w:t xml:space="preserve">The </w:t>
      </w:r>
      <w:r w:rsidR="00F60967" w:rsidRPr="00990FA6">
        <w:rPr>
          <w:rFonts w:ascii="Arial" w:hAnsi="Arial" w:cs="Arial"/>
        </w:rPr>
        <w:t xml:space="preserve">purpose of this policy is to describe the </w:t>
      </w:r>
      <w:r w:rsidR="002316F8" w:rsidRPr="00990FA6">
        <w:rPr>
          <w:rFonts w:ascii="Arial" w:hAnsi="Arial" w:cs="Arial"/>
        </w:rPr>
        <w:t>Tertiary Education Quality and S</w:t>
      </w:r>
      <w:r w:rsidR="00F60967" w:rsidRPr="00990FA6">
        <w:rPr>
          <w:rFonts w:ascii="Arial" w:hAnsi="Arial" w:cs="Arial"/>
        </w:rPr>
        <w:t xml:space="preserve">tandards Agency’s (TEQSA’s) approach in responding to a change </w:t>
      </w:r>
      <w:r w:rsidR="006222FD" w:rsidRPr="00990FA6">
        <w:rPr>
          <w:rFonts w:ascii="Arial" w:hAnsi="Arial" w:cs="Arial"/>
        </w:rPr>
        <w:t xml:space="preserve">of </w:t>
      </w:r>
      <w:r w:rsidR="00F60967" w:rsidRPr="00990FA6">
        <w:rPr>
          <w:rFonts w:ascii="Arial" w:hAnsi="Arial" w:cs="Arial"/>
        </w:rPr>
        <w:t xml:space="preserve">control </w:t>
      </w:r>
      <w:r w:rsidR="006222FD" w:rsidRPr="00990FA6">
        <w:rPr>
          <w:rFonts w:ascii="Arial" w:hAnsi="Arial" w:cs="Arial"/>
        </w:rPr>
        <w:t xml:space="preserve">or ownership </w:t>
      </w:r>
      <w:r w:rsidR="00F60967" w:rsidRPr="00990FA6">
        <w:rPr>
          <w:rFonts w:ascii="Arial" w:hAnsi="Arial" w:cs="Arial"/>
        </w:rPr>
        <w:t>of a</w:t>
      </w:r>
      <w:r w:rsidR="00C01DF0" w:rsidRPr="00990FA6">
        <w:rPr>
          <w:rFonts w:ascii="Arial" w:hAnsi="Arial" w:cs="Arial"/>
        </w:rPr>
        <w:t xml:space="preserve"> higher education</w:t>
      </w:r>
      <w:r w:rsidR="00F60967" w:rsidRPr="00990FA6">
        <w:rPr>
          <w:rFonts w:ascii="Arial" w:hAnsi="Arial" w:cs="Arial"/>
        </w:rPr>
        <w:t xml:space="preserve"> provider</w:t>
      </w:r>
      <w:r w:rsidR="006222FD" w:rsidRPr="00990FA6">
        <w:rPr>
          <w:rFonts w:ascii="Arial" w:hAnsi="Arial" w:cs="Arial"/>
        </w:rPr>
        <w:t xml:space="preserve"> (HEP</w:t>
      </w:r>
      <w:proofErr w:type="gramStart"/>
      <w:r w:rsidR="006222FD" w:rsidRPr="00990FA6">
        <w:rPr>
          <w:rFonts w:ascii="Arial" w:hAnsi="Arial" w:cs="Arial"/>
        </w:rPr>
        <w:t>)</w:t>
      </w:r>
      <w:r w:rsidR="00F60967" w:rsidRPr="00990FA6">
        <w:rPr>
          <w:rFonts w:ascii="Arial" w:hAnsi="Arial" w:cs="Arial"/>
        </w:rPr>
        <w:t xml:space="preserve">, </w:t>
      </w:r>
      <w:r w:rsidR="00F566B2" w:rsidRPr="00990FA6">
        <w:rPr>
          <w:rFonts w:ascii="Arial" w:hAnsi="Arial" w:cs="Arial"/>
        </w:rPr>
        <w:t>and</w:t>
      </w:r>
      <w:proofErr w:type="gramEnd"/>
      <w:r w:rsidR="00F566B2" w:rsidRPr="00990FA6">
        <w:rPr>
          <w:rFonts w:ascii="Arial" w:hAnsi="Arial" w:cs="Arial"/>
        </w:rPr>
        <w:t xml:space="preserve"> </w:t>
      </w:r>
      <w:r w:rsidR="009346A4" w:rsidRPr="00990FA6">
        <w:rPr>
          <w:rFonts w:ascii="Arial" w:hAnsi="Arial" w:cs="Arial"/>
        </w:rPr>
        <w:t>describe</w:t>
      </w:r>
      <w:r w:rsidR="00F566B2" w:rsidRPr="00990FA6">
        <w:rPr>
          <w:rFonts w:ascii="Arial" w:hAnsi="Arial" w:cs="Arial"/>
        </w:rPr>
        <w:t xml:space="preserve"> the reasons for its </w:t>
      </w:r>
      <w:r w:rsidR="00C557ED" w:rsidRPr="00990FA6">
        <w:rPr>
          <w:rFonts w:ascii="Arial" w:hAnsi="Arial" w:cs="Arial"/>
        </w:rPr>
        <w:t xml:space="preserve">interest following such an event. </w:t>
      </w:r>
    </w:p>
    <w:p w14:paraId="0F657401" w14:textId="65A2E812" w:rsidR="006222FD" w:rsidRPr="00990FA6" w:rsidRDefault="00564F8D" w:rsidP="00F60967">
      <w:pPr>
        <w:rPr>
          <w:rFonts w:ascii="Arial" w:hAnsi="Arial" w:cs="Arial"/>
        </w:rPr>
      </w:pPr>
      <w:r w:rsidRPr="00990FA6">
        <w:rPr>
          <w:rFonts w:ascii="Arial" w:hAnsi="Arial" w:cs="Arial"/>
        </w:rPr>
        <w:t>A change of control or ownership occurs when a new entity obtains substantial ownership of a registered HEP (</w:t>
      </w:r>
      <w:proofErr w:type="gramStart"/>
      <w:r w:rsidRPr="00990FA6">
        <w:rPr>
          <w:rFonts w:ascii="Arial" w:hAnsi="Arial" w:cs="Arial"/>
        </w:rPr>
        <w:t>whether or not</w:t>
      </w:r>
      <w:proofErr w:type="gramEnd"/>
      <w:r w:rsidRPr="00990FA6">
        <w:rPr>
          <w:rFonts w:ascii="Arial" w:hAnsi="Arial" w:cs="Arial"/>
        </w:rPr>
        <w:t xml:space="preserve"> that is a majority stake in a provider). </w:t>
      </w:r>
      <w:r w:rsidR="00C557ED" w:rsidRPr="00990FA6">
        <w:rPr>
          <w:rFonts w:ascii="Arial" w:hAnsi="Arial" w:cs="Arial"/>
        </w:rPr>
        <w:t xml:space="preserve">A change in control </w:t>
      </w:r>
      <w:r w:rsidR="006222FD" w:rsidRPr="00990FA6">
        <w:rPr>
          <w:rFonts w:ascii="Arial" w:hAnsi="Arial" w:cs="Arial"/>
        </w:rPr>
        <w:t xml:space="preserve">or ownership </w:t>
      </w:r>
      <w:r w:rsidR="00C557ED" w:rsidRPr="00990FA6">
        <w:rPr>
          <w:rFonts w:ascii="Arial" w:hAnsi="Arial" w:cs="Arial"/>
        </w:rPr>
        <w:t xml:space="preserve">of a </w:t>
      </w:r>
      <w:r w:rsidR="006222FD" w:rsidRPr="00990FA6">
        <w:rPr>
          <w:rFonts w:ascii="Arial" w:hAnsi="Arial" w:cs="Arial"/>
        </w:rPr>
        <w:t xml:space="preserve">HEP </w:t>
      </w:r>
      <w:r w:rsidR="00C557ED" w:rsidRPr="00990FA6">
        <w:rPr>
          <w:rFonts w:ascii="Arial" w:hAnsi="Arial" w:cs="Arial"/>
        </w:rPr>
        <w:t xml:space="preserve">has the potential to significantly impact </w:t>
      </w:r>
      <w:r w:rsidR="00423B07" w:rsidRPr="00990FA6">
        <w:rPr>
          <w:rFonts w:ascii="Arial" w:hAnsi="Arial" w:cs="Arial"/>
        </w:rPr>
        <w:t xml:space="preserve">a </w:t>
      </w:r>
      <w:r w:rsidR="00C557ED" w:rsidRPr="00990FA6">
        <w:rPr>
          <w:rFonts w:ascii="Arial" w:hAnsi="Arial" w:cs="Arial"/>
        </w:rPr>
        <w:t xml:space="preserve">provider’s ability to meet the </w:t>
      </w:r>
      <w:r w:rsidR="00C557ED" w:rsidRPr="00990FA6">
        <w:rPr>
          <w:rFonts w:ascii="Arial" w:hAnsi="Arial" w:cs="Arial"/>
          <w:i/>
        </w:rPr>
        <w:t>Higher Education Standards Framework (Threshold Standards) 20</w:t>
      </w:r>
      <w:r w:rsidR="001D770A" w:rsidRPr="00990FA6">
        <w:rPr>
          <w:rFonts w:ascii="Arial" w:hAnsi="Arial" w:cs="Arial"/>
          <w:i/>
        </w:rPr>
        <w:t>21</w:t>
      </w:r>
      <w:r w:rsidR="00C557ED" w:rsidRPr="00990FA6">
        <w:rPr>
          <w:rFonts w:ascii="Arial" w:hAnsi="Arial" w:cs="Arial"/>
          <w:i/>
        </w:rPr>
        <w:t xml:space="preserve"> </w:t>
      </w:r>
      <w:r w:rsidR="00C557ED" w:rsidRPr="00990FA6">
        <w:rPr>
          <w:rFonts w:ascii="Arial" w:hAnsi="Arial" w:cs="Arial"/>
        </w:rPr>
        <w:t>(HES Framework)</w:t>
      </w:r>
      <w:r w:rsidR="00E52BC7" w:rsidRPr="00990FA6">
        <w:rPr>
          <w:rFonts w:ascii="Arial" w:hAnsi="Arial" w:cs="Arial"/>
        </w:rPr>
        <w:t xml:space="preserve">, noting </w:t>
      </w:r>
      <w:r w:rsidR="00B4649E" w:rsidRPr="00990FA6">
        <w:rPr>
          <w:rFonts w:ascii="Arial" w:hAnsi="Arial" w:cs="Arial"/>
        </w:rPr>
        <w:t>the</w:t>
      </w:r>
      <w:r w:rsidR="00E52BC7" w:rsidRPr="00990FA6">
        <w:rPr>
          <w:rFonts w:ascii="Arial" w:hAnsi="Arial" w:cs="Arial"/>
        </w:rPr>
        <w:t xml:space="preserve"> effect that a </w:t>
      </w:r>
      <w:r w:rsidR="00EC1DDC" w:rsidRPr="00990FA6">
        <w:rPr>
          <w:rFonts w:ascii="Arial" w:hAnsi="Arial" w:cs="Arial"/>
        </w:rPr>
        <w:t>change in control</w:t>
      </w:r>
      <w:r w:rsidR="00E52BC7" w:rsidRPr="00990FA6">
        <w:rPr>
          <w:rFonts w:ascii="Arial" w:hAnsi="Arial" w:cs="Arial"/>
        </w:rPr>
        <w:t xml:space="preserve"> </w:t>
      </w:r>
      <w:r w:rsidR="006222FD" w:rsidRPr="00990FA6">
        <w:rPr>
          <w:rFonts w:ascii="Arial" w:hAnsi="Arial" w:cs="Arial"/>
        </w:rPr>
        <w:t xml:space="preserve">or ownership </w:t>
      </w:r>
      <w:r w:rsidR="00E52BC7" w:rsidRPr="00990FA6">
        <w:rPr>
          <w:rFonts w:ascii="Arial" w:hAnsi="Arial" w:cs="Arial"/>
        </w:rPr>
        <w:t xml:space="preserve">can have on </w:t>
      </w:r>
      <w:r w:rsidR="00423B07" w:rsidRPr="00990FA6">
        <w:rPr>
          <w:rFonts w:ascii="Arial" w:hAnsi="Arial" w:cs="Arial"/>
        </w:rPr>
        <w:t xml:space="preserve">a </w:t>
      </w:r>
      <w:r w:rsidR="00E52BC7" w:rsidRPr="00990FA6">
        <w:rPr>
          <w:rFonts w:ascii="Arial" w:hAnsi="Arial" w:cs="Arial"/>
        </w:rPr>
        <w:t xml:space="preserve">provider’s </w:t>
      </w:r>
      <w:r w:rsidR="000A6D22">
        <w:rPr>
          <w:rFonts w:ascii="Arial" w:hAnsi="Arial" w:cs="Arial"/>
        </w:rPr>
        <w:t xml:space="preserve">governance arrangements and </w:t>
      </w:r>
      <w:r w:rsidR="00E52BC7" w:rsidRPr="00990FA6">
        <w:rPr>
          <w:rFonts w:ascii="Arial" w:hAnsi="Arial" w:cs="Arial"/>
        </w:rPr>
        <w:t>management</w:t>
      </w:r>
      <w:r w:rsidR="00C557ED" w:rsidRPr="00990FA6">
        <w:rPr>
          <w:rFonts w:ascii="Arial" w:hAnsi="Arial" w:cs="Arial"/>
        </w:rPr>
        <w:t>.</w:t>
      </w:r>
      <w:r w:rsidR="001D770A" w:rsidRPr="00990FA6">
        <w:rPr>
          <w:rFonts w:ascii="Arial" w:hAnsi="Arial" w:cs="Arial"/>
        </w:rPr>
        <w:t xml:space="preserve"> </w:t>
      </w:r>
    </w:p>
    <w:p w14:paraId="73C8EA2E" w14:textId="3A3836A7" w:rsidR="00F92EC8" w:rsidRPr="00990FA6" w:rsidRDefault="002316F8" w:rsidP="00F60967">
      <w:pPr>
        <w:rPr>
          <w:rFonts w:ascii="Arial" w:hAnsi="Arial" w:cs="Arial"/>
        </w:rPr>
      </w:pPr>
      <w:r w:rsidRPr="00990FA6">
        <w:rPr>
          <w:rFonts w:ascii="Arial" w:hAnsi="Arial" w:cs="Arial"/>
        </w:rPr>
        <w:t xml:space="preserve">TEQSA’s interest following a change </w:t>
      </w:r>
      <w:r w:rsidR="00B4649E" w:rsidRPr="00990FA6">
        <w:rPr>
          <w:rFonts w:ascii="Arial" w:hAnsi="Arial" w:cs="Arial"/>
        </w:rPr>
        <w:t>in</w:t>
      </w:r>
      <w:r w:rsidRPr="00990FA6">
        <w:rPr>
          <w:rFonts w:ascii="Arial" w:hAnsi="Arial" w:cs="Arial"/>
        </w:rPr>
        <w:t xml:space="preserve"> control</w:t>
      </w:r>
      <w:r w:rsidR="006222FD" w:rsidRPr="00990FA6">
        <w:rPr>
          <w:rFonts w:ascii="Arial" w:hAnsi="Arial" w:cs="Arial"/>
        </w:rPr>
        <w:t xml:space="preserve"> or ownership</w:t>
      </w:r>
      <w:r w:rsidRPr="00990FA6">
        <w:rPr>
          <w:rFonts w:ascii="Arial" w:hAnsi="Arial" w:cs="Arial"/>
        </w:rPr>
        <w:t xml:space="preserve"> </w:t>
      </w:r>
      <w:r w:rsidR="00B4649E" w:rsidRPr="00990FA6">
        <w:rPr>
          <w:rFonts w:ascii="Arial" w:hAnsi="Arial" w:cs="Arial"/>
        </w:rPr>
        <w:t>of</w:t>
      </w:r>
      <w:r w:rsidRPr="00990FA6">
        <w:rPr>
          <w:rFonts w:ascii="Arial" w:hAnsi="Arial" w:cs="Arial"/>
        </w:rPr>
        <w:t xml:space="preserve"> a </w:t>
      </w:r>
      <w:r w:rsidR="006222FD" w:rsidRPr="00990FA6">
        <w:rPr>
          <w:rFonts w:ascii="Arial" w:hAnsi="Arial" w:cs="Arial"/>
        </w:rPr>
        <w:t xml:space="preserve">HEP </w:t>
      </w:r>
      <w:r w:rsidRPr="00990FA6">
        <w:rPr>
          <w:rFonts w:ascii="Arial" w:hAnsi="Arial" w:cs="Arial"/>
        </w:rPr>
        <w:t xml:space="preserve">will focus primarily on </w:t>
      </w:r>
      <w:r w:rsidR="00B54CC1" w:rsidRPr="00990FA6">
        <w:rPr>
          <w:rFonts w:ascii="Arial" w:hAnsi="Arial" w:cs="Arial"/>
        </w:rPr>
        <w:t xml:space="preserve">potential </w:t>
      </w:r>
      <w:r w:rsidRPr="00990FA6">
        <w:rPr>
          <w:rFonts w:ascii="Arial" w:hAnsi="Arial" w:cs="Arial"/>
        </w:rPr>
        <w:t>risks to the quality of students’ educational experience</w:t>
      </w:r>
      <w:r w:rsidR="00B4649E" w:rsidRPr="00990FA6">
        <w:rPr>
          <w:rFonts w:ascii="Arial" w:hAnsi="Arial" w:cs="Arial"/>
        </w:rPr>
        <w:t xml:space="preserve">, and </w:t>
      </w:r>
      <w:r w:rsidR="00423B07" w:rsidRPr="00990FA6">
        <w:rPr>
          <w:rFonts w:ascii="Arial" w:hAnsi="Arial" w:cs="Arial"/>
        </w:rPr>
        <w:t xml:space="preserve">a </w:t>
      </w:r>
      <w:r w:rsidR="00B4649E" w:rsidRPr="00990FA6">
        <w:rPr>
          <w:rFonts w:ascii="Arial" w:hAnsi="Arial" w:cs="Arial"/>
        </w:rPr>
        <w:t>provider’s financial viability and sustainability</w:t>
      </w:r>
      <w:r w:rsidRPr="00990FA6">
        <w:rPr>
          <w:rFonts w:ascii="Arial" w:hAnsi="Arial" w:cs="Arial"/>
        </w:rPr>
        <w:t>.</w:t>
      </w:r>
      <w:r w:rsidR="00B54CC1" w:rsidRPr="00990FA6">
        <w:rPr>
          <w:rFonts w:ascii="Arial" w:hAnsi="Arial" w:cs="Arial"/>
        </w:rPr>
        <w:t xml:space="preserve"> </w:t>
      </w:r>
      <w:r w:rsidR="007B6241" w:rsidRPr="00990FA6">
        <w:rPr>
          <w:rFonts w:ascii="Arial" w:hAnsi="Arial" w:cs="Arial"/>
        </w:rPr>
        <w:t xml:space="preserve">Examples of </w:t>
      </w:r>
      <w:r w:rsidR="001D770A" w:rsidRPr="00990FA6">
        <w:rPr>
          <w:rFonts w:ascii="Arial" w:hAnsi="Arial" w:cs="Arial"/>
        </w:rPr>
        <w:t xml:space="preserve">events that impact </w:t>
      </w:r>
      <w:r w:rsidR="00F92EC8" w:rsidRPr="00990FA6">
        <w:rPr>
          <w:rFonts w:ascii="Arial" w:hAnsi="Arial" w:cs="Arial"/>
        </w:rPr>
        <w:t xml:space="preserve">students following a change in control </w:t>
      </w:r>
      <w:r w:rsidR="006222FD" w:rsidRPr="00990FA6">
        <w:rPr>
          <w:rFonts w:ascii="Arial" w:hAnsi="Arial" w:cs="Arial"/>
        </w:rPr>
        <w:t xml:space="preserve">or ownership </w:t>
      </w:r>
      <w:r w:rsidR="007B6241" w:rsidRPr="00990FA6">
        <w:rPr>
          <w:rFonts w:ascii="Arial" w:hAnsi="Arial" w:cs="Arial"/>
        </w:rPr>
        <w:t>that would concern TEQSA</w:t>
      </w:r>
      <w:r w:rsidR="00E52BC7" w:rsidRPr="00990FA6">
        <w:rPr>
          <w:rFonts w:ascii="Arial" w:hAnsi="Arial" w:cs="Arial"/>
        </w:rPr>
        <w:t>, while not exhaustive</w:t>
      </w:r>
      <w:r w:rsidR="006E5A19" w:rsidRPr="00990FA6">
        <w:rPr>
          <w:rFonts w:ascii="Arial" w:hAnsi="Arial" w:cs="Arial"/>
        </w:rPr>
        <w:t>, include</w:t>
      </w:r>
      <w:r w:rsidR="00F92EC8" w:rsidRPr="00990FA6">
        <w:rPr>
          <w:rFonts w:ascii="Arial" w:hAnsi="Arial" w:cs="Arial"/>
        </w:rPr>
        <w:t>:</w:t>
      </w:r>
    </w:p>
    <w:p w14:paraId="7DCCDE85" w14:textId="1DC8B075" w:rsidR="007B6241" w:rsidRPr="002F0929" w:rsidRDefault="00B1478D" w:rsidP="00DB2474">
      <w:pPr>
        <w:pStyle w:val="ListParagraph"/>
        <w:numPr>
          <w:ilvl w:val="0"/>
          <w:numId w:val="52"/>
        </w:numPr>
        <w:rPr>
          <w:rFonts w:cs="Arial"/>
        </w:rPr>
      </w:pPr>
      <w:r>
        <w:rPr>
          <w:rFonts w:cs="Arial"/>
        </w:rPr>
        <w:t>a</w:t>
      </w:r>
      <w:r w:rsidR="008C6F13" w:rsidRPr="002F0929">
        <w:rPr>
          <w:rFonts w:cs="Arial"/>
        </w:rPr>
        <w:t xml:space="preserve"> rapid increase in </w:t>
      </w:r>
      <w:r w:rsidR="00E52BC7" w:rsidRPr="00990FA6">
        <w:rPr>
          <w:rFonts w:cs="Arial"/>
        </w:rPr>
        <w:t xml:space="preserve">student enrolments </w:t>
      </w:r>
      <w:r w:rsidR="007B6241" w:rsidRPr="00990FA6">
        <w:rPr>
          <w:rFonts w:cs="Arial"/>
        </w:rPr>
        <w:t xml:space="preserve">in the absence of </w:t>
      </w:r>
      <w:r w:rsidR="00E52BC7" w:rsidRPr="00990FA6">
        <w:rPr>
          <w:rFonts w:cs="Arial"/>
        </w:rPr>
        <w:t>a planned and managed approach, particularly where there is reliance on growth in single source markets</w:t>
      </w:r>
    </w:p>
    <w:p w14:paraId="37817F3D" w14:textId="37262D54" w:rsidR="005622EB" w:rsidRDefault="00B1478D" w:rsidP="00DB2474">
      <w:pPr>
        <w:pStyle w:val="ListParagraph"/>
        <w:numPr>
          <w:ilvl w:val="0"/>
          <w:numId w:val="52"/>
        </w:numPr>
        <w:rPr>
          <w:rFonts w:cs="Arial"/>
        </w:rPr>
      </w:pPr>
      <w:r>
        <w:rPr>
          <w:rFonts w:cs="Arial"/>
        </w:rPr>
        <w:t>c</w:t>
      </w:r>
      <w:r w:rsidR="0031611B" w:rsidRPr="002F0929">
        <w:rPr>
          <w:rFonts w:cs="Arial"/>
        </w:rPr>
        <w:t>ourse closures in the absence of adequate teach out arran</w:t>
      </w:r>
      <w:r w:rsidR="0031611B" w:rsidRPr="00990FA6">
        <w:rPr>
          <w:rFonts w:cs="Arial"/>
        </w:rPr>
        <w:t>gements</w:t>
      </w:r>
    </w:p>
    <w:p w14:paraId="58FD27AF" w14:textId="4EA5CB87" w:rsidR="00A72276" w:rsidRPr="00990FA6" w:rsidRDefault="00B1478D" w:rsidP="00DB2474">
      <w:pPr>
        <w:pStyle w:val="ListParagraph"/>
        <w:numPr>
          <w:ilvl w:val="0"/>
          <w:numId w:val="52"/>
        </w:numPr>
        <w:rPr>
          <w:rFonts w:cs="Arial"/>
        </w:rPr>
      </w:pPr>
      <w:r>
        <w:rPr>
          <w:rFonts w:cs="Arial"/>
        </w:rPr>
        <w:t>r</w:t>
      </w:r>
      <w:r w:rsidR="00A72276">
        <w:rPr>
          <w:rFonts w:cs="Arial"/>
        </w:rPr>
        <w:t>eductions in staffing (academic and support services) to lower expenses</w:t>
      </w:r>
    </w:p>
    <w:p w14:paraId="7DFB28CA" w14:textId="497DD5FB" w:rsidR="00C6364C" w:rsidRPr="00990FA6" w:rsidRDefault="00B1478D" w:rsidP="00DB2474">
      <w:pPr>
        <w:pStyle w:val="ListParagraph"/>
        <w:numPr>
          <w:ilvl w:val="0"/>
          <w:numId w:val="52"/>
        </w:numPr>
        <w:rPr>
          <w:rFonts w:cs="Arial"/>
        </w:rPr>
      </w:pPr>
      <w:r>
        <w:rPr>
          <w:rFonts w:cs="Arial"/>
        </w:rPr>
        <w:t>r</w:t>
      </w:r>
      <w:r w:rsidR="00C6364C" w:rsidRPr="00990FA6">
        <w:rPr>
          <w:rFonts w:cs="Arial"/>
        </w:rPr>
        <w:t>eductions in investment in facilities and infrastructure and</w:t>
      </w:r>
      <w:r w:rsidR="008C6F13" w:rsidRPr="00990FA6">
        <w:rPr>
          <w:rFonts w:cs="Arial"/>
        </w:rPr>
        <w:t xml:space="preserve"> the financial capacity of</w:t>
      </w:r>
      <w:r w:rsidR="00C6364C" w:rsidRPr="00990FA6">
        <w:rPr>
          <w:rFonts w:cs="Arial"/>
        </w:rPr>
        <w:t xml:space="preserve"> the </w:t>
      </w:r>
      <w:r w:rsidR="006222FD" w:rsidRPr="00990FA6">
        <w:rPr>
          <w:rFonts w:cs="Arial"/>
        </w:rPr>
        <w:t>HEP</w:t>
      </w:r>
    </w:p>
    <w:p w14:paraId="2758C139" w14:textId="3ED573CF" w:rsidR="00C6364C" w:rsidRPr="00990FA6" w:rsidRDefault="00B1478D" w:rsidP="00DB2474">
      <w:pPr>
        <w:pStyle w:val="ListParagraph"/>
        <w:numPr>
          <w:ilvl w:val="0"/>
          <w:numId w:val="52"/>
        </w:numPr>
        <w:rPr>
          <w:rFonts w:cs="Arial"/>
        </w:rPr>
      </w:pPr>
      <w:r>
        <w:rPr>
          <w:rFonts w:cs="Arial"/>
        </w:rPr>
        <w:t>r</w:t>
      </w:r>
      <w:r w:rsidR="00C6364C" w:rsidRPr="00990FA6">
        <w:rPr>
          <w:rFonts w:cs="Arial"/>
        </w:rPr>
        <w:t xml:space="preserve">eductions in the quality </w:t>
      </w:r>
      <w:r w:rsidR="008C6F13" w:rsidRPr="00990FA6">
        <w:rPr>
          <w:rFonts w:cs="Arial"/>
        </w:rPr>
        <w:t xml:space="preserve">of the </w:t>
      </w:r>
      <w:r w:rsidR="00C6364C" w:rsidRPr="00990FA6">
        <w:rPr>
          <w:rFonts w:cs="Arial"/>
        </w:rPr>
        <w:t>learning environment</w:t>
      </w:r>
      <w:r w:rsidR="00564F8D" w:rsidRPr="00990FA6">
        <w:rPr>
          <w:rFonts w:cs="Arial"/>
        </w:rPr>
        <w:t xml:space="preserve"> through for example,</w:t>
      </w:r>
      <w:r w:rsidR="00C6364C" w:rsidRPr="00990FA6">
        <w:rPr>
          <w:rFonts w:cs="Arial"/>
        </w:rPr>
        <w:t xml:space="preserve"> reductions in senior academic leaders, increases in student to staff ratios, increased rates of academic staff casuali</w:t>
      </w:r>
      <w:r w:rsidR="00A07BC7" w:rsidRPr="00990FA6">
        <w:rPr>
          <w:rFonts w:cs="Arial"/>
        </w:rPr>
        <w:t>s</w:t>
      </w:r>
      <w:r w:rsidR="00C6364C" w:rsidRPr="00990FA6">
        <w:rPr>
          <w:rFonts w:cs="Arial"/>
        </w:rPr>
        <w:t>ation,</w:t>
      </w:r>
      <w:r w:rsidR="00423B07" w:rsidRPr="00990FA6">
        <w:rPr>
          <w:rFonts w:cs="Arial"/>
        </w:rPr>
        <w:t xml:space="preserve"> or an</w:t>
      </w:r>
      <w:r w:rsidR="00C6364C" w:rsidRPr="00990FA6">
        <w:rPr>
          <w:rFonts w:cs="Arial"/>
        </w:rPr>
        <w:t xml:space="preserve"> overreliance on third party teaching/delivery arrangements. </w:t>
      </w:r>
    </w:p>
    <w:p w14:paraId="12F97AA8" w14:textId="77777777" w:rsidR="004A4AE6" w:rsidRPr="00F1451E" w:rsidRDefault="004A4AE6" w:rsidP="00DB2474">
      <w:pPr>
        <w:pStyle w:val="Heading2"/>
        <w:spacing w:before="240"/>
        <w:rPr>
          <w:color w:val="00A398"/>
        </w:rPr>
      </w:pPr>
      <w:r w:rsidRPr="00F1451E">
        <w:rPr>
          <w:color w:val="00A398"/>
        </w:rPr>
        <w:t>Scope</w:t>
      </w:r>
    </w:p>
    <w:p w14:paraId="07E3356F" w14:textId="4954C2B9" w:rsidR="003332EC" w:rsidRPr="00990FA6" w:rsidRDefault="007B5E93">
      <w:pPr>
        <w:rPr>
          <w:rFonts w:ascii="Arial" w:hAnsi="Arial" w:cs="Arial"/>
        </w:rPr>
      </w:pPr>
      <w:r w:rsidRPr="00990FA6">
        <w:rPr>
          <w:rFonts w:ascii="Arial" w:hAnsi="Arial" w:cs="Arial"/>
        </w:rPr>
        <w:t>This policy relates to providers that have been subject to a chan</w:t>
      </w:r>
      <w:r w:rsidR="00B31FC9" w:rsidRPr="00990FA6">
        <w:rPr>
          <w:rFonts w:ascii="Arial" w:hAnsi="Arial" w:cs="Arial"/>
        </w:rPr>
        <w:t>ge of control</w:t>
      </w:r>
      <w:r w:rsidR="00423B07" w:rsidRPr="00990FA6">
        <w:rPr>
          <w:rFonts w:ascii="Arial" w:hAnsi="Arial" w:cs="Arial"/>
        </w:rPr>
        <w:t xml:space="preserve"> or ownership</w:t>
      </w:r>
      <w:r w:rsidR="00B31FC9" w:rsidRPr="00990FA6">
        <w:rPr>
          <w:rFonts w:ascii="Arial" w:hAnsi="Arial" w:cs="Arial"/>
        </w:rPr>
        <w:t xml:space="preserve"> in recent history</w:t>
      </w:r>
      <w:r w:rsidR="00C94110" w:rsidRPr="00990FA6">
        <w:rPr>
          <w:rFonts w:ascii="Arial" w:hAnsi="Arial" w:cs="Arial"/>
        </w:rPr>
        <w:t xml:space="preserve">. </w:t>
      </w:r>
    </w:p>
    <w:p w14:paraId="71AA218C" w14:textId="77777777" w:rsidR="00C55CE1" w:rsidRPr="00F1451E" w:rsidRDefault="00C55CE1" w:rsidP="00C55CE1">
      <w:pPr>
        <w:pStyle w:val="Heading2"/>
        <w:spacing w:before="120" w:after="120" w:line="288" w:lineRule="auto"/>
        <w:rPr>
          <w:color w:val="00A398"/>
        </w:rPr>
      </w:pPr>
      <w:bookmarkStart w:id="0" w:name="_Hlk79144176"/>
      <w:r w:rsidRPr="00F1451E">
        <w:rPr>
          <w:color w:val="00A398"/>
        </w:rPr>
        <w:lastRenderedPageBreak/>
        <w:t>Principles</w:t>
      </w:r>
    </w:p>
    <w:p w14:paraId="26D5F358" w14:textId="6D28B37B" w:rsidR="00C55CE1" w:rsidRPr="00DB2474" w:rsidRDefault="000A3BA4" w:rsidP="00C55CE1">
      <w:pPr>
        <w:pStyle w:val="ListParagraph"/>
        <w:numPr>
          <w:ilvl w:val="0"/>
          <w:numId w:val="45"/>
        </w:numPr>
        <w:spacing w:before="120" w:after="120" w:line="288" w:lineRule="auto"/>
        <w:contextualSpacing w:val="0"/>
      </w:pPr>
      <w:bookmarkStart w:id="1" w:name="_Hlk79652090"/>
      <w:r>
        <w:t>Before a change of ownership or control</w:t>
      </w:r>
      <w:r w:rsidR="00C55CE1">
        <w:t xml:space="preserve"> </w:t>
      </w:r>
      <w:r w:rsidR="007F0133">
        <w:t xml:space="preserve">of a registered HEP </w:t>
      </w:r>
      <w:r w:rsidR="00C55CE1">
        <w:t xml:space="preserve">event takes place , TEQSA expects to be provided with notification in accordance with section 29(1)(a) of the </w:t>
      </w:r>
      <w:r w:rsidR="00C55CE1" w:rsidRPr="00DB2474">
        <w:t>TEQSA Act</w:t>
      </w:r>
      <w:r w:rsidR="00C55CE1">
        <w:t xml:space="preserve"> (for further detail, refer to TEQSA’s </w:t>
      </w:r>
      <w:hyperlink r:id="rId11" w:history="1">
        <w:r w:rsidR="00C55CE1" w:rsidRPr="00A27862">
          <w:rPr>
            <w:rStyle w:val="Hyperlink"/>
            <w:i/>
          </w:rPr>
          <w:t>Material Change Notification Policy</w:t>
        </w:r>
      </w:hyperlink>
      <w:r w:rsidR="00C55CE1">
        <w:t>). It is not necessary for an acquirer to take a majority ownership stake (</w:t>
      </w:r>
      <w:proofErr w:type="gramStart"/>
      <w:r w:rsidR="00C55CE1">
        <w:t>i.e.</w:t>
      </w:r>
      <w:proofErr w:type="gramEnd"/>
      <w:r w:rsidR="00C55CE1">
        <w:t xml:space="preserve"> greater than 50 per cent) in a provider in order to exercise effective control.</w:t>
      </w:r>
    </w:p>
    <w:p w14:paraId="78E537A1" w14:textId="77777777" w:rsidR="00C55CE1" w:rsidRDefault="00C55CE1" w:rsidP="00C55CE1">
      <w:pPr>
        <w:pStyle w:val="ListParagraph"/>
        <w:numPr>
          <w:ilvl w:val="0"/>
          <w:numId w:val="45"/>
        </w:numPr>
        <w:spacing w:before="120" w:after="120" w:line="288" w:lineRule="auto"/>
        <w:contextualSpacing w:val="0"/>
      </w:pPr>
      <w:r>
        <w:t>TEQSA’s approach in responding to a change in control or ownership of a HEP will be guided by its</w:t>
      </w:r>
      <w:r w:rsidRPr="00DD7A60">
        <w:t xml:space="preserve"> regulatory principles </w:t>
      </w:r>
      <w:r>
        <w:t>of reflecting risk,</w:t>
      </w:r>
      <w:r w:rsidRPr="00DD7A60">
        <w:t xml:space="preserve"> </w:t>
      </w:r>
      <w:proofErr w:type="gramStart"/>
      <w:r w:rsidRPr="00DD7A60">
        <w:t>proportionality</w:t>
      </w:r>
      <w:proofErr w:type="gramEnd"/>
      <w:r>
        <w:t xml:space="preserve"> and</w:t>
      </w:r>
      <w:r w:rsidRPr="00DD7A60">
        <w:t xml:space="preserve"> necessity</w:t>
      </w:r>
      <w:r>
        <w:t xml:space="preserve">. TEQSA’s investigations and regulatory intervention will be focussed on key risks arising from the change of control or ownership to the quality of students’ educational experience, and the provider’s financial viability and sustainability. </w:t>
      </w:r>
    </w:p>
    <w:p w14:paraId="0C941254" w14:textId="1CFBDD79" w:rsidR="00C55CE1" w:rsidRDefault="00C55CE1" w:rsidP="00C55CE1">
      <w:pPr>
        <w:pStyle w:val="ListParagraph"/>
        <w:numPr>
          <w:ilvl w:val="0"/>
          <w:numId w:val="45"/>
        </w:numPr>
        <w:spacing w:before="120" w:after="120" w:line="288" w:lineRule="auto"/>
        <w:contextualSpacing w:val="0"/>
      </w:pPr>
      <w:r>
        <w:t>Where there is a change of control or ownership of a HEP, TEQSA will seek early engagement with the affected provider</w:t>
      </w:r>
      <w:r w:rsidR="00E5619D">
        <w:t xml:space="preserve"> (and its new owners)</w:t>
      </w:r>
      <w:r>
        <w:t xml:space="preserve">. </w:t>
      </w:r>
      <w:r w:rsidRPr="003F310F">
        <w:t xml:space="preserve">The objective of this engagement </w:t>
      </w:r>
      <w:r>
        <w:t>is</w:t>
      </w:r>
      <w:r w:rsidRPr="003F310F">
        <w:t xml:space="preserve"> to </w:t>
      </w:r>
      <w:r>
        <w:t>ensure that the provider can continue to meet the requirements of the HES Framework</w:t>
      </w:r>
      <w:r w:rsidR="000A6D22">
        <w:t>,</w:t>
      </w:r>
      <w:r w:rsidR="00A30AC5">
        <w:t xml:space="preserve"> </w:t>
      </w:r>
      <w:r>
        <w:t>to address any concerns TEQSA holds with aspects of the provider’s operations under its previous control</w:t>
      </w:r>
      <w:r w:rsidR="000A6D22">
        <w:t xml:space="preserve"> and to confirm the future strategic directions of the HEP</w:t>
      </w:r>
      <w:r w:rsidR="00A30AC5">
        <w:t>.</w:t>
      </w:r>
    </w:p>
    <w:p w14:paraId="278FD74A" w14:textId="239E2E8B" w:rsidR="00C55CE1" w:rsidRPr="000D55FF" w:rsidRDefault="00C55CE1" w:rsidP="00C55CE1">
      <w:pPr>
        <w:pStyle w:val="ListParagraph"/>
        <w:numPr>
          <w:ilvl w:val="0"/>
          <w:numId w:val="45"/>
        </w:numPr>
        <w:spacing w:before="120" w:after="120" w:line="288" w:lineRule="auto"/>
        <w:contextualSpacing w:val="0"/>
      </w:pPr>
      <w:r w:rsidRPr="000D55FF">
        <w:t xml:space="preserve">At a minimum, </w:t>
      </w:r>
      <w:r>
        <w:t>HEPs</w:t>
      </w:r>
      <w:r w:rsidRPr="000D55FF">
        <w:t xml:space="preserve"> should expect that TEQSA will request documentation on the nature of the transaction, run a background check on any new shareholders and/or directors, and consider the history of prior tertiary education provision by the acquiring entity or its personnel.</w:t>
      </w:r>
      <w:r w:rsidR="007F0133" w:rsidRPr="007F0133">
        <w:t xml:space="preserve"> </w:t>
      </w:r>
      <w:r w:rsidR="007F0133">
        <w:t>TEQSA may also request details of changes to key personnel, governance committees, financial statements</w:t>
      </w:r>
      <w:r w:rsidR="00A30AC5">
        <w:t>,</w:t>
      </w:r>
      <w:r w:rsidR="007F0133">
        <w:t xml:space="preserve"> and fit and proper person declarations.</w:t>
      </w:r>
      <w:r w:rsidRPr="000D55FF">
        <w:t xml:space="preserve"> Examples of sources TEQSA may refer to in its background checks include A</w:t>
      </w:r>
      <w:r>
        <w:t xml:space="preserve">ustralian </w:t>
      </w:r>
      <w:r w:rsidRPr="000D55FF">
        <w:t>S</w:t>
      </w:r>
      <w:r>
        <w:t>ecurities and Investments Commission</w:t>
      </w:r>
      <w:r w:rsidRPr="000D55FF">
        <w:t xml:space="preserve">’s </w:t>
      </w:r>
      <w:r>
        <w:t xml:space="preserve">(ASIC) </w:t>
      </w:r>
      <w:r w:rsidRPr="000D55FF">
        <w:t xml:space="preserve">current and historical company exacts, Equifax’s corporate scorecards and company/director credit reports, and the Australian Financial Security Authority’s National Personal Insolvency Index. </w:t>
      </w:r>
    </w:p>
    <w:p w14:paraId="54430341" w14:textId="77777777" w:rsidR="00C55CE1" w:rsidRDefault="00C55CE1" w:rsidP="00C55CE1">
      <w:pPr>
        <w:pStyle w:val="ListParagraph"/>
        <w:numPr>
          <w:ilvl w:val="0"/>
          <w:numId w:val="45"/>
        </w:numPr>
        <w:spacing w:before="120" w:after="120" w:line="288" w:lineRule="auto"/>
        <w:contextualSpacing w:val="0"/>
      </w:pPr>
      <w:r>
        <w:t>HEP</w:t>
      </w:r>
      <w:r w:rsidRPr="000D55FF">
        <w:t xml:space="preserve">s should also be aware that a change of control </w:t>
      </w:r>
      <w:r>
        <w:t xml:space="preserve">or ownership </w:t>
      </w:r>
      <w:r w:rsidRPr="000D55FF">
        <w:t xml:space="preserve">may trigger a compliance assessment if appropriate in the circumstances. </w:t>
      </w:r>
      <w:r>
        <w:t>A</w:t>
      </w:r>
      <w:r w:rsidRPr="000D55FF">
        <w:t xml:space="preserve"> compliance assessment can be initiated at any time before or after the change of control </w:t>
      </w:r>
      <w:r>
        <w:t xml:space="preserve">or ownership </w:t>
      </w:r>
      <w:r w:rsidRPr="000D55FF">
        <w:t xml:space="preserve">has taken place.  </w:t>
      </w:r>
    </w:p>
    <w:p w14:paraId="29E0B87F" w14:textId="77777777" w:rsidR="00C55CE1" w:rsidRPr="000D55FF" w:rsidRDefault="00C55CE1" w:rsidP="00C55CE1">
      <w:pPr>
        <w:pStyle w:val="ListParagraph"/>
        <w:numPr>
          <w:ilvl w:val="0"/>
          <w:numId w:val="45"/>
        </w:numPr>
        <w:spacing w:before="120" w:after="120" w:line="288" w:lineRule="auto"/>
        <w:contextualSpacing w:val="0"/>
      </w:pPr>
      <w:r>
        <w:t>If TEQSA’s concerns are not resolved by the provider’s response, TEQSA can take other regulatory steps to mitigate the risk that the provider will not meet the HESF. This includes placing conditions on courses and/or registration, or in serious cases shortening or cancelling a provider’s registration.</w:t>
      </w:r>
    </w:p>
    <w:p w14:paraId="2D12987C" w14:textId="77777777" w:rsidR="00C55CE1" w:rsidRPr="000D55FF" w:rsidRDefault="00C55CE1" w:rsidP="00C55CE1">
      <w:pPr>
        <w:pStyle w:val="ListParagraph"/>
        <w:numPr>
          <w:ilvl w:val="0"/>
          <w:numId w:val="45"/>
        </w:numPr>
        <w:spacing w:before="120" w:after="120" w:line="288" w:lineRule="auto"/>
        <w:contextualSpacing w:val="0"/>
      </w:pPr>
      <w:r w:rsidRPr="000D55FF">
        <w:t xml:space="preserve">TEQSA recognises that it is part of a broader regulatory community and will work with other relevant Commonwealth and/or State and Territory agencies to acquire and share regulatory information, for intelligence purposes and to minimise regulatory burden on providers where they have already submitted information to other agencies. </w:t>
      </w:r>
      <w:bookmarkEnd w:id="1"/>
    </w:p>
    <w:bookmarkEnd w:id="0"/>
    <w:p w14:paraId="19E43A4D" w14:textId="77777777" w:rsidR="004A4AE6" w:rsidRPr="00F1451E" w:rsidRDefault="004A4AE6" w:rsidP="00DB2474">
      <w:pPr>
        <w:pStyle w:val="Heading2"/>
        <w:spacing w:before="240"/>
        <w:rPr>
          <w:color w:val="00A398"/>
        </w:rPr>
      </w:pPr>
      <w:r w:rsidRPr="00F1451E">
        <w:rPr>
          <w:color w:val="00A398"/>
        </w:rPr>
        <w:lastRenderedPageBreak/>
        <w:t>Further information</w:t>
      </w:r>
    </w:p>
    <w:p w14:paraId="5B8770B1" w14:textId="09C91E1B" w:rsidR="00990FA6" w:rsidRDefault="004A4AE6">
      <w:pPr>
        <w:rPr>
          <w:rFonts w:asciiTheme="majorHAnsi" w:eastAsiaTheme="majorEastAsia" w:hAnsiTheme="majorHAnsi" w:cstheme="majorBidi"/>
          <w:color w:val="00847E" w:themeColor="accent1"/>
          <w:sz w:val="44"/>
          <w:szCs w:val="26"/>
        </w:rPr>
      </w:pPr>
      <w:r w:rsidRPr="004B1915">
        <w:t xml:space="preserve">Further information about TEQSA’s approach </w:t>
      </w:r>
      <w:r w:rsidR="00F01F45">
        <w:t>following</w:t>
      </w:r>
      <w:r w:rsidR="00F01F45" w:rsidRPr="004B1915">
        <w:t xml:space="preserve"> </w:t>
      </w:r>
      <w:r w:rsidR="00F01F45">
        <w:t xml:space="preserve">a change in provider control </w:t>
      </w:r>
      <w:r w:rsidRPr="004B1915">
        <w:t>can be obtained by directing an email enquiry to:</w:t>
      </w:r>
      <w:r w:rsidR="00E75740">
        <w:t xml:space="preserve"> </w:t>
      </w:r>
      <w:hyperlink r:id="rId12" w:history="1">
        <w:r w:rsidR="00E75740" w:rsidRPr="004B1915">
          <w:rPr>
            <w:rStyle w:val="Hyperlink"/>
          </w:rPr>
          <w:t>enquiries@teqsa.gov.au</w:t>
        </w:r>
      </w:hyperlink>
      <w:r w:rsidR="00E75740">
        <w:t>.</w:t>
      </w:r>
      <w:r w:rsidRPr="004B1915">
        <w:t xml:space="preserve"> </w:t>
      </w:r>
    </w:p>
    <w:sectPr w:rsidR="00990FA6" w:rsidSect="000C60CD">
      <w:headerReference w:type="default" r:id="rId13"/>
      <w:footerReference w:type="default" r:id="rId14"/>
      <w:headerReference w:type="first" r:id="rId15"/>
      <w:footerReference w:type="first" r:id="rId16"/>
      <w:pgSz w:w="11906" w:h="16838"/>
      <w:pgMar w:top="1440" w:right="1440" w:bottom="1440" w:left="1440"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8C080" w14:textId="77777777" w:rsidR="00A57741" w:rsidRDefault="00A57741" w:rsidP="006C328D">
      <w:pPr>
        <w:spacing w:before="0" w:after="0"/>
      </w:pPr>
      <w:r>
        <w:separator/>
      </w:r>
    </w:p>
  </w:endnote>
  <w:endnote w:type="continuationSeparator" w:id="0">
    <w:p w14:paraId="0269C187" w14:textId="77777777" w:rsidR="00A57741" w:rsidRDefault="00A57741"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847E" w:themeColor="accent1"/>
        <w:sz w:val="20"/>
        <w:szCs w:val="20"/>
      </w:rPr>
      <w:id w:val="-385334316"/>
      <w:docPartObj>
        <w:docPartGallery w:val="Page Numbers (Bottom of Page)"/>
        <w:docPartUnique/>
      </w:docPartObj>
    </w:sdtPr>
    <w:sdtEndPr/>
    <w:sdtContent>
      <w:sdt>
        <w:sdtPr>
          <w:rPr>
            <w:color w:val="00847E" w:themeColor="accent1"/>
            <w:sz w:val="20"/>
            <w:szCs w:val="20"/>
          </w:rPr>
          <w:id w:val="265895531"/>
          <w:docPartObj>
            <w:docPartGallery w:val="Page Numbers (Top of Page)"/>
            <w:docPartUnique/>
          </w:docPartObj>
        </w:sdtPr>
        <w:sdtEndPr/>
        <w:sdtContent>
          <w:p w14:paraId="41C5006D" w14:textId="0277B7E6" w:rsidR="002A4633" w:rsidRPr="003160FA" w:rsidRDefault="002A4633">
            <w:pPr>
              <w:pStyle w:val="Footer"/>
              <w:jc w:val="right"/>
              <w:rPr>
                <w:color w:val="00847E" w:themeColor="accent1"/>
                <w:sz w:val="20"/>
                <w:szCs w:val="20"/>
              </w:rPr>
            </w:pPr>
            <w:r w:rsidRPr="003160FA">
              <w:rPr>
                <w:color w:val="00847E" w:themeColor="accent1"/>
                <w:sz w:val="20"/>
                <w:szCs w:val="20"/>
              </w:rPr>
              <w:t xml:space="preserve">Page </w:t>
            </w:r>
            <w:r w:rsidRPr="003160FA">
              <w:rPr>
                <w:b/>
                <w:bCs/>
                <w:color w:val="00847E" w:themeColor="accent1"/>
                <w:sz w:val="20"/>
                <w:szCs w:val="20"/>
              </w:rPr>
              <w:fldChar w:fldCharType="begin"/>
            </w:r>
            <w:r w:rsidRPr="003160FA">
              <w:rPr>
                <w:b/>
                <w:bCs/>
                <w:color w:val="00847E" w:themeColor="accent1"/>
                <w:sz w:val="20"/>
                <w:szCs w:val="20"/>
              </w:rPr>
              <w:instrText xml:space="preserve"> PAGE </w:instrText>
            </w:r>
            <w:r w:rsidRPr="003160FA">
              <w:rPr>
                <w:b/>
                <w:bCs/>
                <w:color w:val="00847E" w:themeColor="accent1"/>
                <w:sz w:val="20"/>
                <w:szCs w:val="20"/>
              </w:rPr>
              <w:fldChar w:fldCharType="separate"/>
            </w:r>
            <w:r w:rsidR="006F6457">
              <w:rPr>
                <w:b/>
                <w:bCs/>
                <w:noProof/>
                <w:color w:val="00847E" w:themeColor="accent1"/>
                <w:sz w:val="20"/>
                <w:szCs w:val="20"/>
              </w:rPr>
              <w:t>2</w:t>
            </w:r>
            <w:r w:rsidRPr="003160FA">
              <w:rPr>
                <w:b/>
                <w:bCs/>
                <w:color w:val="00847E" w:themeColor="accent1"/>
                <w:sz w:val="20"/>
                <w:szCs w:val="20"/>
              </w:rPr>
              <w:fldChar w:fldCharType="end"/>
            </w:r>
            <w:r w:rsidRPr="003160FA">
              <w:rPr>
                <w:color w:val="00847E" w:themeColor="accent1"/>
                <w:sz w:val="20"/>
                <w:szCs w:val="20"/>
              </w:rPr>
              <w:t xml:space="preserve"> of </w:t>
            </w:r>
            <w:r w:rsidRPr="003160FA">
              <w:rPr>
                <w:b/>
                <w:bCs/>
                <w:color w:val="00847E" w:themeColor="accent1"/>
                <w:sz w:val="20"/>
                <w:szCs w:val="20"/>
              </w:rPr>
              <w:fldChar w:fldCharType="begin"/>
            </w:r>
            <w:r w:rsidRPr="003160FA">
              <w:rPr>
                <w:b/>
                <w:bCs/>
                <w:color w:val="00847E" w:themeColor="accent1"/>
                <w:sz w:val="20"/>
                <w:szCs w:val="20"/>
              </w:rPr>
              <w:instrText xml:space="preserve"> NUMPAGES  </w:instrText>
            </w:r>
            <w:r w:rsidRPr="003160FA">
              <w:rPr>
                <w:b/>
                <w:bCs/>
                <w:color w:val="00847E" w:themeColor="accent1"/>
                <w:sz w:val="20"/>
                <w:szCs w:val="20"/>
              </w:rPr>
              <w:fldChar w:fldCharType="separate"/>
            </w:r>
            <w:r w:rsidR="006F6457">
              <w:rPr>
                <w:b/>
                <w:bCs/>
                <w:noProof/>
                <w:color w:val="00847E" w:themeColor="accent1"/>
                <w:sz w:val="20"/>
                <w:szCs w:val="20"/>
              </w:rPr>
              <w:t>2</w:t>
            </w:r>
            <w:r w:rsidRPr="003160FA">
              <w:rPr>
                <w:b/>
                <w:bCs/>
                <w:color w:val="00847E" w:themeColor="accent1"/>
                <w:sz w:val="20"/>
                <w:szCs w:val="20"/>
              </w:rPr>
              <w:fldChar w:fldCharType="end"/>
            </w:r>
          </w:p>
        </w:sdtContent>
      </w:sdt>
    </w:sdtContent>
  </w:sdt>
  <w:p w14:paraId="3DAE2DA4" w14:textId="77777777" w:rsidR="002A4633" w:rsidRDefault="002A4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847E" w:themeColor="accent1"/>
        <w:sz w:val="20"/>
        <w:szCs w:val="20"/>
      </w:rPr>
      <w:id w:val="1467631289"/>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698AD2F4" w14:textId="34848078" w:rsidR="002A4633" w:rsidRPr="000C60CD" w:rsidRDefault="002A4633">
            <w:pPr>
              <w:pStyle w:val="Footer"/>
              <w:jc w:val="right"/>
              <w:rPr>
                <w:color w:val="00847E" w:themeColor="accent1"/>
                <w:sz w:val="20"/>
                <w:szCs w:val="20"/>
              </w:rPr>
            </w:pPr>
            <w:r w:rsidRPr="000C60CD">
              <w:rPr>
                <w:color w:val="00847E" w:themeColor="accent1"/>
                <w:sz w:val="20"/>
                <w:szCs w:val="20"/>
              </w:rPr>
              <w:t xml:space="preserve">Page </w:t>
            </w:r>
            <w:r w:rsidRPr="000C60CD">
              <w:rPr>
                <w:b/>
                <w:bCs/>
                <w:color w:val="00847E" w:themeColor="accent1"/>
                <w:sz w:val="20"/>
                <w:szCs w:val="20"/>
              </w:rPr>
              <w:fldChar w:fldCharType="begin"/>
            </w:r>
            <w:r w:rsidRPr="000C60CD">
              <w:rPr>
                <w:b/>
                <w:bCs/>
                <w:color w:val="00847E" w:themeColor="accent1"/>
                <w:sz w:val="20"/>
                <w:szCs w:val="20"/>
              </w:rPr>
              <w:instrText xml:space="preserve"> PAGE </w:instrText>
            </w:r>
            <w:r w:rsidRPr="000C60CD">
              <w:rPr>
                <w:b/>
                <w:bCs/>
                <w:color w:val="00847E" w:themeColor="accent1"/>
                <w:sz w:val="20"/>
                <w:szCs w:val="20"/>
              </w:rPr>
              <w:fldChar w:fldCharType="separate"/>
            </w:r>
            <w:r w:rsidR="006F6457">
              <w:rPr>
                <w:b/>
                <w:bCs/>
                <w:noProof/>
                <w:color w:val="00847E" w:themeColor="accent1"/>
                <w:sz w:val="20"/>
                <w:szCs w:val="20"/>
              </w:rPr>
              <w:t>1</w:t>
            </w:r>
            <w:r w:rsidRPr="000C60CD">
              <w:rPr>
                <w:b/>
                <w:bCs/>
                <w:color w:val="00847E" w:themeColor="accent1"/>
                <w:sz w:val="20"/>
                <w:szCs w:val="20"/>
              </w:rPr>
              <w:fldChar w:fldCharType="end"/>
            </w:r>
            <w:r w:rsidRPr="000C60CD">
              <w:rPr>
                <w:color w:val="00847E" w:themeColor="accent1"/>
                <w:sz w:val="20"/>
                <w:szCs w:val="20"/>
              </w:rPr>
              <w:t xml:space="preserve"> of </w:t>
            </w:r>
            <w:r w:rsidRPr="000C60CD">
              <w:rPr>
                <w:b/>
                <w:bCs/>
                <w:color w:val="00847E" w:themeColor="accent1"/>
                <w:sz w:val="20"/>
                <w:szCs w:val="20"/>
              </w:rPr>
              <w:fldChar w:fldCharType="begin"/>
            </w:r>
            <w:r w:rsidRPr="000C60CD">
              <w:rPr>
                <w:b/>
                <w:bCs/>
                <w:color w:val="00847E" w:themeColor="accent1"/>
                <w:sz w:val="20"/>
                <w:szCs w:val="20"/>
              </w:rPr>
              <w:instrText xml:space="preserve"> NUMPAGES  </w:instrText>
            </w:r>
            <w:r w:rsidRPr="000C60CD">
              <w:rPr>
                <w:b/>
                <w:bCs/>
                <w:color w:val="00847E" w:themeColor="accent1"/>
                <w:sz w:val="20"/>
                <w:szCs w:val="20"/>
              </w:rPr>
              <w:fldChar w:fldCharType="separate"/>
            </w:r>
            <w:r w:rsidR="006F6457">
              <w:rPr>
                <w:b/>
                <w:bCs/>
                <w:noProof/>
                <w:color w:val="00847E" w:themeColor="accent1"/>
                <w:sz w:val="20"/>
                <w:szCs w:val="20"/>
              </w:rPr>
              <w:t>2</w:t>
            </w:r>
            <w:r w:rsidRPr="000C60CD">
              <w:rPr>
                <w:b/>
                <w:bCs/>
                <w:color w:val="00847E" w:themeColor="accent1"/>
                <w:sz w:val="20"/>
                <w:szCs w:val="20"/>
              </w:rPr>
              <w:fldChar w:fldCharType="end"/>
            </w:r>
          </w:p>
        </w:sdtContent>
      </w:sdt>
    </w:sdtContent>
  </w:sdt>
  <w:p w14:paraId="0DCBB7C8" w14:textId="77777777" w:rsidR="002A4633" w:rsidRDefault="002A4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488F7" w14:textId="77777777" w:rsidR="00A57741" w:rsidRDefault="00A57741" w:rsidP="006C328D">
      <w:pPr>
        <w:spacing w:before="0" w:after="0"/>
      </w:pPr>
      <w:r>
        <w:separator/>
      </w:r>
    </w:p>
  </w:footnote>
  <w:footnote w:type="continuationSeparator" w:id="0">
    <w:p w14:paraId="0B39C6C3" w14:textId="77777777" w:rsidR="00A57741" w:rsidRDefault="00A57741"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8E239" w14:textId="77777777" w:rsidR="002A4633" w:rsidRPr="006C328D" w:rsidRDefault="002A4633"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8E70" w14:textId="77777777" w:rsidR="002A4633" w:rsidRDefault="002A4633">
    <w:pPr>
      <w:pStyle w:val="Header"/>
    </w:pPr>
  </w:p>
  <w:p w14:paraId="29CC23EC" w14:textId="77777777" w:rsidR="002A4633" w:rsidRDefault="002A4633">
    <w:pPr>
      <w:pStyle w:val="Header"/>
    </w:pPr>
    <w:r>
      <w:rPr>
        <w:rFonts w:ascii="Georgia" w:hAnsi="Georgia" w:cs="Arial"/>
        <w:b/>
        <w:noProof/>
        <w:color w:val="004855"/>
        <w:sz w:val="28"/>
        <w:szCs w:val="28"/>
        <w:lang w:eastAsia="en-AU"/>
      </w:rPr>
      <w:drawing>
        <wp:inline distT="0" distB="0" distL="0" distR="0" wp14:anchorId="56A6A2EC" wp14:editId="51C5285A">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t xml:space="preserve"> </w:t>
    </w:r>
    <w:r>
      <w:rPr>
        <w:rFonts w:ascii="Georgia" w:hAnsi="Georgia" w:cs="Arial"/>
        <w:b/>
        <w:noProof/>
        <w:color w:val="004855"/>
        <w:sz w:val="28"/>
        <w:szCs w:val="28"/>
        <w:lang w:eastAsia="en-AU"/>
      </w:rPr>
      <w:drawing>
        <wp:inline distT="0" distB="0" distL="0" distR="0" wp14:anchorId="13A9DEC3" wp14:editId="76D39F0D">
          <wp:extent cx="1428750" cy="353174"/>
          <wp:effectExtent l="0" t="0" r="0" b="8890"/>
          <wp:docPr id="3" name="Picture 3"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p w14:paraId="178AE848" w14:textId="77777777" w:rsidR="002A4633" w:rsidRDefault="002A4633">
    <w:pPr>
      <w:pStyle w:val="Header"/>
    </w:pPr>
  </w:p>
  <w:p w14:paraId="46FDD9F0" w14:textId="77777777" w:rsidR="002A4633" w:rsidRDefault="002A4633">
    <w:pPr>
      <w:pStyle w:val="Header"/>
    </w:pPr>
  </w:p>
  <w:p w14:paraId="139EA67B" w14:textId="77777777" w:rsidR="002A4633" w:rsidRDefault="002A4633">
    <w:pPr>
      <w:pStyle w:val="Header"/>
    </w:pPr>
  </w:p>
  <w:p w14:paraId="48656B70" w14:textId="77777777" w:rsidR="002A4633" w:rsidRDefault="002A4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7pt" o:bullet="t">
        <v:imagedata r:id="rId1" o:title="Teal-Triangles"/>
      </v:shape>
    </w:pict>
  </w:numPicBullet>
  <w:numPicBullet w:numPicBulletId="1">
    <w:pict>
      <v:shape id="_x0000_i1027" type="#_x0000_t75" style="width:1in;height:37pt" o:bullet="t">
        <v:imagedata r:id="rId2" o:title="Pink-Triangles"/>
      </v:shape>
    </w:pict>
  </w:numPicBullet>
  <w:numPicBullet w:numPicBulletId="2">
    <w:pict>
      <v:shape id="_x0000_i1028" type="#_x0000_t75" style="width:1in;height:37pt" o:bullet="t">
        <v:imagedata r:id="rId3" o:title="Yellow-Triangles"/>
      </v:shape>
    </w:pict>
  </w:numPicBullet>
  <w:abstractNum w:abstractNumId="0" w15:restartNumberingAfterBreak="0">
    <w:nsid w:val="064A0203"/>
    <w:multiLevelType w:val="hybridMultilevel"/>
    <w:tmpl w:val="62360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B1F85"/>
    <w:multiLevelType w:val="hybridMultilevel"/>
    <w:tmpl w:val="DBA01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5C4AD7"/>
    <w:multiLevelType w:val="hybridMultilevel"/>
    <w:tmpl w:val="C5FAC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A46F84"/>
    <w:multiLevelType w:val="hybridMultilevel"/>
    <w:tmpl w:val="E27658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B57339"/>
    <w:multiLevelType w:val="hybridMultilevel"/>
    <w:tmpl w:val="99444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5A332E"/>
    <w:multiLevelType w:val="multilevel"/>
    <w:tmpl w:val="EDDCBB3C"/>
    <w:lvl w:ilvl="0">
      <w:start w:val="1"/>
      <w:numFmt w:val="bullet"/>
      <w:lvlText w:val=""/>
      <w:lvlJc w:val="left"/>
      <w:pPr>
        <w:ind w:left="284" w:hanging="284"/>
      </w:pPr>
      <w:rPr>
        <w:rFonts w:ascii="Symbol" w:hAnsi="Symbol" w:hint="default"/>
        <w:color w:val="00847E" w:themeColor="accent1"/>
      </w:rPr>
    </w:lvl>
    <w:lvl w:ilvl="1">
      <w:start w:val="1"/>
      <w:numFmt w:val="bullet"/>
      <w:lvlText w:val="–"/>
      <w:lvlJc w:val="left"/>
      <w:pPr>
        <w:ind w:left="568" w:hanging="284"/>
      </w:pPr>
      <w:rPr>
        <w:rFonts w:ascii="Arial" w:hAnsi="Arial" w:hint="default"/>
        <w:color w:val="00847E" w:themeColor="accent1"/>
      </w:rPr>
    </w:lvl>
    <w:lvl w:ilvl="2">
      <w:start w:val="1"/>
      <w:numFmt w:val="bullet"/>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DA2CC1"/>
    <w:multiLevelType w:val="hybridMultilevel"/>
    <w:tmpl w:val="3E5CC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D30E4A"/>
    <w:multiLevelType w:val="hybridMultilevel"/>
    <w:tmpl w:val="D4149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B5186C"/>
    <w:multiLevelType w:val="hybridMultilevel"/>
    <w:tmpl w:val="13888E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7B891533"/>
    <w:multiLevelType w:val="hybridMultilevel"/>
    <w:tmpl w:val="D5CA4C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7"/>
  </w:num>
  <w:num w:numId="3">
    <w:abstractNumId w:val="17"/>
  </w:num>
  <w:num w:numId="4">
    <w:abstractNumId w:val="8"/>
  </w:num>
  <w:num w:numId="5">
    <w:abstractNumId w:val="8"/>
  </w:num>
  <w:num w:numId="6">
    <w:abstractNumId w:val="8"/>
  </w:num>
  <w:num w:numId="7">
    <w:abstractNumId w:val="13"/>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0"/>
  </w:num>
  <w:num w:numId="16">
    <w:abstractNumId w:val="10"/>
  </w:num>
  <w:num w:numId="17">
    <w:abstractNumId w:val="10"/>
  </w:num>
  <w:num w:numId="18">
    <w:abstractNumId w:val="4"/>
  </w:num>
  <w:num w:numId="19">
    <w:abstractNumId w:val="6"/>
  </w:num>
  <w:num w:numId="20">
    <w:abstractNumId w:val="7"/>
  </w:num>
  <w:num w:numId="21">
    <w:abstractNumId w:val="11"/>
  </w:num>
  <w:num w:numId="22">
    <w:abstractNumId w:val="9"/>
  </w:num>
  <w:num w:numId="23">
    <w:abstractNumId w:val="19"/>
  </w:num>
  <w:num w:numId="24">
    <w:abstractNumId w:val="17"/>
  </w:num>
  <w:num w:numId="25">
    <w:abstractNumId w:val="17"/>
  </w:num>
  <w:num w:numId="26">
    <w:abstractNumId w:val="8"/>
  </w:num>
  <w:num w:numId="27">
    <w:abstractNumId w:val="8"/>
  </w:num>
  <w:num w:numId="28">
    <w:abstractNumId w:val="8"/>
  </w:num>
  <w:num w:numId="29">
    <w:abstractNumId w:val="13"/>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0"/>
  </w:num>
  <w:num w:numId="38">
    <w:abstractNumId w:val="10"/>
  </w:num>
  <w:num w:numId="39">
    <w:abstractNumId w:val="10"/>
  </w:num>
  <w:num w:numId="40">
    <w:abstractNumId w:val="4"/>
  </w:num>
  <w:num w:numId="41">
    <w:abstractNumId w:val="6"/>
  </w:num>
  <w:num w:numId="42">
    <w:abstractNumId w:val="7"/>
  </w:num>
  <w:num w:numId="43">
    <w:abstractNumId w:val="11"/>
  </w:num>
  <w:num w:numId="44">
    <w:abstractNumId w:val="9"/>
  </w:num>
  <w:num w:numId="45">
    <w:abstractNumId w:val="18"/>
  </w:num>
  <w:num w:numId="46">
    <w:abstractNumId w:val="3"/>
  </w:num>
  <w:num w:numId="47">
    <w:abstractNumId w:val="0"/>
  </w:num>
  <w:num w:numId="48">
    <w:abstractNumId w:val="1"/>
  </w:num>
  <w:num w:numId="49">
    <w:abstractNumId w:val="15"/>
  </w:num>
  <w:num w:numId="50">
    <w:abstractNumId w:val="14"/>
  </w:num>
  <w:num w:numId="51">
    <w:abstractNumId w:val="2"/>
  </w:num>
  <w:num w:numId="52">
    <w:abstractNumId w:val="5"/>
  </w:num>
  <w:num w:numId="53">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2D03"/>
    <w:rsid w:val="0000662A"/>
    <w:rsid w:val="000129DE"/>
    <w:rsid w:val="000303E4"/>
    <w:rsid w:val="0003053F"/>
    <w:rsid w:val="000550D0"/>
    <w:rsid w:val="000557D3"/>
    <w:rsid w:val="0009167D"/>
    <w:rsid w:val="000A1251"/>
    <w:rsid w:val="000A1ECD"/>
    <w:rsid w:val="000A3BA4"/>
    <w:rsid w:val="000A4FAD"/>
    <w:rsid w:val="000A6D22"/>
    <w:rsid w:val="000B0284"/>
    <w:rsid w:val="000B179F"/>
    <w:rsid w:val="000B428D"/>
    <w:rsid w:val="000B45C7"/>
    <w:rsid w:val="000C49F6"/>
    <w:rsid w:val="000C60CD"/>
    <w:rsid w:val="000D6D6A"/>
    <w:rsid w:val="000F3E4D"/>
    <w:rsid w:val="000F484D"/>
    <w:rsid w:val="000F7D02"/>
    <w:rsid w:val="000F7D07"/>
    <w:rsid w:val="001019F3"/>
    <w:rsid w:val="00101C9C"/>
    <w:rsid w:val="001020F8"/>
    <w:rsid w:val="001033AE"/>
    <w:rsid w:val="0010773B"/>
    <w:rsid w:val="00110D6D"/>
    <w:rsid w:val="00111D3E"/>
    <w:rsid w:val="00113E7F"/>
    <w:rsid w:val="001223B7"/>
    <w:rsid w:val="001232D3"/>
    <w:rsid w:val="00135E1F"/>
    <w:rsid w:val="001401A0"/>
    <w:rsid w:val="00151258"/>
    <w:rsid w:val="00160C09"/>
    <w:rsid w:val="00171E0B"/>
    <w:rsid w:val="0017256D"/>
    <w:rsid w:val="00176AE7"/>
    <w:rsid w:val="00177120"/>
    <w:rsid w:val="00181DE5"/>
    <w:rsid w:val="00183503"/>
    <w:rsid w:val="00184F5C"/>
    <w:rsid w:val="00192E5E"/>
    <w:rsid w:val="001A5F6C"/>
    <w:rsid w:val="001B1F31"/>
    <w:rsid w:val="001B3443"/>
    <w:rsid w:val="001C1157"/>
    <w:rsid w:val="001D770A"/>
    <w:rsid w:val="001E74A7"/>
    <w:rsid w:val="001F39F5"/>
    <w:rsid w:val="001F52F4"/>
    <w:rsid w:val="00205324"/>
    <w:rsid w:val="00207B06"/>
    <w:rsid w:val="002316F8"/>
    <w:rsid w:val="00233889"/>
    <w:rsid w:val="00237C49"/>
    <w:rsid w:val="00243B76"/>
    <w:rsid w:val="0024785F"/>
    <w:rsid w:val="00262EE0"/>
    <w:rsid w:val="0027454A"/>
    <w:rsid w:val="0029055A"/>
    <w:rsid w:val="00290C8A"/>
    <w:rsid w:val="002915ED"/>
    <w:rsid w:val="00291683"/>
    <w:rsid w:val="002A4633"/>
    <w:rsid w:val="002B515E"/>
    <w:rsid w:val="002B7D43"/>
    <w:rsid w:val="002D310C"/>
    <w:rsid w:val="002D7F61"/>
    <w:rsid w:val="002E03FA"/>
    <w:rsid w:val="002F0929"/>
    <w:rsid w:val="00302D1E"/>
    <w:rsid w:val="00304536"/>
    <w:rsid w:val="00305AAC"/>
    <w:rsid w:val="003160FA"/>
    <w:rsid w:val="0031611B"/>
    <w:rsid w:val="00327220"/>
    <w:rsid w:val="003332EC"/>
    <w:rsid w:val="00350ED9"/>
    <w:rsid w:val="00351DFD"/>
    <w:rsid w:val="00356AF1"/>
    <w:rsid w:val="00365BA1"/>
    <w:rsid w:val="00367D5D"/>
    <w:rsid w:val="00370C28"/>
    <w:rsid w:val="00380685"/>
    <w:rsid w:val="003863C0"/>
    <w:rsid w:val="00393F9B"/>
    <w:rsid w:val="003969AE"/>
    <w:rsid w:val="003A0160"/>
    <w:rsid w:val="003A3365"/>
    <w:rsid w:val="003B7EB6"/>
    <w:rsid w:val="003C04C8"/>
    <w:rsid w:val="003C1694"/>
    <w:rsid w:val="003D4D18"/>
    <w:rsid w:val="003D7303"/>
    <w:rsid w:val="003E1A5A"/>
    <w:rsid w:val="003E2A76"/>
    <w:rsid w:val="003F193F"/>
    <w:rsid w:val="003F310F"/>
    <w:rsid w:val="00400565"/>
    <w:rsid w:val="00413FB0"/>
    <w:rsid w:val="00416667"/>
    <w:rsid w:val="004222D0"/>
    <w:rsid w:val="00423B07"/>
    <w:rsid w:val="00436FF3"/>
    <w:rsid w:val="00440ACD"/>
    <w:rsid w:val="00443F75"/>
    <w:rsid w:val="004518F2"/>
    <w:rsid w:val="00451B55"/>
    <w:rsid w:val="00453D09"/>
    <w:rsid w:val="00453F5A"/>
    <w:rsid w:val="0045649E"/>
    <w:rsid w:val="004601E9"/>
    <w:rsid w:val="004614CA"/>
    <w:rsid w:val="004640A7"/>
    <w:rsid w:val="00464DF0"/>
    <w:rsid w:val="00473125"/>
    <w:rsid w:val="0047744D"/>
    <w:rsid w:val="004A0B16"/>
    <w:rsid w:val="004A4AE6"/>
    <w:rsid w:val="004D1012"/>
    <w:rsid w:val="004E6297"/>
    <w:rsid w:val="004F4414"/>
    <w:rsid w:val="004F449B"/>
    <w:rsid w:val="00504A36"/>
    <w:rsid w:val="00515825"/>
    <w:rsid w:val="00520FDE"/>
    <w:rsid w:val="00521E36"/>
    <w:rsid w:val="00532D66"/>
    <w:rsid w:val="00542065"/>
    <w:rsid w:val="00543567"/>
    <w:rsid w:val="0055202A"/>
    <w:rsid w:val="00557F95"/>
    <w:rsid w:val="0056018C"/>
    <w:rsid w:val="005622EB"/>
    <w:rsid w:val="00564F8D"/>
    <w:rsid w:val="00591BB1"/>
    <w:rsid w:val="00592899"/>
    <w:rsid w:val="0059778E"/>
    <w:rsid w:val="005A0767"/>
    <w:rsid w:val="005B3C8B"/>
    <w:rsid w:val="005B3DCB"/>
    <w:rsid w:val="005B458E"/>
    <w:rsid w:val="005D21D3"/>
    <w:rsid w:val="005D3073"/>
    <w:rsid w:val="005F3140"/>
    <w:rsid w:val="005F71C5"/>
    <w:rsid w:val="006020E9"/>
    <w:rsid w:val="0060500D"/>
    <w:rsid w:val="00606FD0"/>
    <w:rsid w:val="006070B9"/>
    <w:rsid w:val="00612AAA"/>
    <w:rsid w:val="006222FD"/>
    <w:rsid w:val="006272B2"/>
    <w:rsid w:val="006277DD"/>
    <w:rsid w:val="00627B15"/>
    <w:rsid w:val="00631951"/>
    <w:rsid w:val="006432AA"/>
    <w:rsid w:val="006501D6"/>
    <w:rsid w:val="00651B6E"/>
    <w:rsid w:val="006541B3"/>
    <w:rsid w:val="00655229"/>
    <w:rsid w:val="006576B5"/>
    <w:rsid w:val="00671DA9"/>
    <w:rsid w:val="00675132"/>
    <w:rsid w:val="0067672C"/>
    <w:rsid w:val="0068205E"/>
    <w:rsid w:val="00682E48"/>
    <w:rsid w:val="00693EC3"/>
    <w:rsid w:val="006A4282"/>
    <w:rsid w:val="006B035B"/>
    <w:rsid w:val="006B4F53"/>
    <w:rsid w:val="006C328D"/>
    <w:rsid w:val="006C58ED"/>
    <w:rsid w:val="006C6AE5"/>
    <w:rsid w:val="006D02F8"/>
    <w:rsid w:val="006D1E50"/>
    <w:rsid w:val="006D247E"/>
    <w:rsid w:val="006D253F"/>
    <w:rsid w:val="006D3A3A"/>
    <w:rsid w:val="006D3CDC"/>
    <w:rsid w:val="006D65B4"/>
    <w:rsid w:val="006E5A19"/>
    <w:rsid w:val="006F1534"/>
    <w:rsid w:val="006F43B1"/>
    <w:rsid w:val="006F6457"/>
    <w:rsid w:val="00714294"/>
    <w:rsid w:val="007143E0"/>
    <w:rsid w:val="00716C08"/>
    <w:rsid w:val="00722815"/>
    <w:rsid w:val="00734F39"/>
    <w:rsid w:val="00737D55"/>
    <w:rsid w:val="00742E73"/>
    <w:rsid w:val="00766993"/>
    <w:rsid w:val="00767F2D"/>
    <w:rsid w:val="007933B1"/>
    <w:rsid w:val="007A0D74"/>
    <w:rsid w:val="007A5CBF"/>
    <w:rsid w:val="007B01C8"/>
    <w:rsid w:val="007B5E93"/>
    <w:rsid w:val="007B6241"/>
    <w:rsid w:val="007C2F44"/>
    <w:rsid w:val="007C4268"/>
    <w:rsid w:val="007C6B3E"/>
    <w:rsid w:val="007E1814"/>
    <w:rsid w:val="007E4B42"/>
    <w:rsid w:val="007E5E9B"/>
    <w:rsid w:val="007F0133"/>
    <w:rsid w:val="007F107B"/>
    <w:rsid w:val="007F5F98"/>
    <w:rsid w:val="00801D5B"/>
    <w:rsid w:val="008202E2"/>
    <w:rsid w:val="00820425"/>
    <w:rsid w:val="00823613"/>
    <w:rsid w:val="008317C1"/>
    <w:rsid w:val="00840B4F"/>
    <w:rsid w:val="00842C99"/>
    <w:rsid w:val="0085247B"/>
    <w:rsid w:val="00854EBC"/>
    <w:rsid w:val="00864406"/>
    <w:rsid w:val="008654F6"/>
    <w:rsid w:val="00865778"/>
    <w:rsid w:val="008675B6"/>
    <w:rsid w:val="00873544"/>
    <w:rsid w:val="00874408"/>
    <w:rsid w:val="00886C2D"/>
    <w:rsid w:val="00891973"/>
    <w:rsid w:val="008922F2"/>
    <w:rsid w:val="008A0BB1"/>
    <w:rsid w:val="008B397D"/>
    <w:rsid w:val="008C6F13"/>
    <w:rsid w:val="008D6E3C"/>
    <w:rsid w:val="008F0395"/>
    <w:rsid w:val="008F1F81"/>
    <w:rsid w:val="008F57DC"/>
    <w:rsid w:val="008F6D84"/>
    <w:rsid w:val="00912DE3"/>
    <w:rsid w:val="00913012"/>
    <w:rsid w:val="0092089A"/>
    <w:rsid w:val="00921277"/>
    <w:rsid w:val="00931A3F"/>
    <w:rsid w:val="009346A4"/>
    <w:rsid w:val="00946BC1"/>
    <w:rsid w:val="00955A2F"/>
    <w:rsid w:val="009639B3"/>
    <w:rsid w:val="00975A70"/>
    <w:rsid w:val="00981818"/>
    <w:rsid w:val="00983F04"/>
    <w:rsid w:val="0098493E"/>
    <w:rsid w:val="00985CA5"/>
    <w:rsid w:val="00985DCD"/>
    <w:rsid w:val="00990FA6"/>
    <w:rsid w:val="009A06A6"/>
    <w:rsid w:val="009B769E"/>
    <w:rsid w:val="009B7E36"/>
    <w:rsid w:val="009C1EFB"/>
    <w:rsid w:val="009C6DD3"/>
    <w:rsid w:val="009D19FB"/>
    <w:rsid w:val="009E483C"/>
    <w:rsid w:val="009F0041"/>
    <w:rsid w:val="009F5FBD"/>
    <w:rsid w:val="00A03E8B"/>
    <w:rsid w:val="00A07BC7"/>
    <w:rsid w:val="00A1132C"/>
    <w:rsid w:val="00A15DEB"/>
    <w:rsid w:val="00A27C40"/>
    <w:rsid w:val="00A30AC5"/>
    <w:rsid w:val="00A370A6"/>
    <w:rsid w:val="00A57741"/>
    <w:rsid w:val="00A60F4F"/>
    <w:rsid w:val="00A70656"/>
    <w:rsid w:val="00A72276"/>
    <w:rsid w:val="00A83644"/>
    <w:rsid w:val="00A91905"/>
    <w:rsid w:val="00A93D25"/>
    <w:rsid w:val="00AB35A7"/>
    <w:rsid w:val="00AB749F"/>
    <w:rsid w:val="00AC665B"/>
    <w:rsid w:val="00AC67D4"/>
    <w:rsid w:val="00AD1566"/>
    <w:rsid w:val="00AD632E"/>
    <w:rsid w:val="00AE00D0"/>
    <w:rsid w:val="00AF4544"/>
    <w:rsid w:val="00B05906"/>
    <w:rsid w:val="00B066DF"/>
    <w:rsid w:val="00B1010A"/>
    <w:rsid w:val="00B13DBF"/>
    <w:rsid w:val="00B1478D"/>
    <w:rsid w:val="00B31FC9"/>
    <w:rsid w:val="00B405FC"/>
    <w:rsid w:val="00B419A7"/>
    <w:rsid w:val="00B463E3"/>
    <w:rsid w:val="00B4649E"/>
    <w:rsid w:val="00B54CC1"/>
    <w:rsid w:val="00B624F1"/>
    <w:rsid w:val="00B669E9"/>
    <w:rsid w:val="00B671AC"/>
    <w:rsid w:val="00B700AB"/>
    <w:rsid w:val="00B779DE"/>
    <w:rsid w:val="00B96F99"/>
    <w:rsid w:val="00BB1430"/>
    <w:rsid w:val="00BB4134"/>
    <w:rsid w:val="00BB5D1D"/>
    <w:rsid w:val="00BC2923"/>
    <w:rsid w:val="00BD6E28"/>
    <w:rsid w:val="00BE73DE"/>
    <w:rsid w:val="00BF5448"/>
    <w:rsid w:val="00BF74C4"/>
    <w:rsid w:val="00C00310"/>
    <w:rsid w:val="00C01DF0"/>
    <w:rsid w:val="00C01FE1"/>
    <w:rsid w:val="00C034B7"/>
    <w:rsid w:val="00C06104"/>
    <w:rsid w:val="00C066D1"/>
    <w:rsid w:val="00C07E5D"/>
    <w:rsid w:val="00C1666F"/>
    <w:rsid w:val="00C17B27"/>
    <w:rsid w:val="00C238AD"/>
    <w:rsid w:val="00C262FE"/>
    <w:rsid w:val="00C40F48"/>
    <w:rsid w:val="00C456AE"/>
    <w:rsid w:val="00C521D0"/>
    <w:rsid w:val="00C52F74"/>
    <w:rsid w:val="00C549FE"/>
    <w:rsid w:val="00C557ED"/>
    <w:rsid w:val="00C55CE1"/>
    <w:rsid w:val="00C6364C"/>
    <w:rsid w:val="00C640B8"/>
    <w:rsid w:val="00C658C9"/>
    <w:rsid w:val="00C71A92"/>
    <w:rsid w:val="00C721A7"/>
    <w:rsid w:val="00C748C6"/>
    <w:rsid w:val="00C77544"/>
    <w:rsid w:val="00C856BF"/>
    <w:rsid w:val="00C91F57"/>
    <w:rsid w:val="00C94110"/>
    <w:rsid w:val="00C965D8"/>
    <w:rsid w:val="00C96986"/>
    <w:rsid w:val="00C96B58"/>
    <w:rsid w:val="00CA47BB"/>
    <w:rsid w:val="00CA68C9"/>
    <w:rsid w:val="00CB3279"/>
    <w:rsid w:val="00CB75E4"/>
    <w:rsid w:val="00CC4C53"/>
    <w:rsid w:val="00CC6D28"/>
    <w:rsid w:val="00CD55FB"/>
    <w:rsid w:val="00CE1FD6"/>
    <w:rsid w:val="00CE3DFB"/>
    <w:rsid w:val="00CF09F0"/>
    <w:rsid w:val="00D00F1D"/>
    <w:rsid w:val="00D03B39"/>
    <w:rsid w:val="00D04D36"/>
    <w:rsid w:val="00D074C9"/>
    <w:rsid w:val="00D16FC1"/>
    <w:rsid w:val="00D311CB"/>
    <w:rsid w:val="00D3557F"/>
    <w:rsid w:val="00D402A5"/>
    <w:rsid w:val="00D40A2A"/>
    <w:rsid w:val="00D7052F"/>
    <w:rsid w:val="00D76A05"/>
    <w:rsid w:val="00D8007D"/>
    <w:rsid w:val="00D80845"/>
    <w:rsid w:val="00D845CE"/>
    <w:rsid w:val="00D91A3B"/>
    <w:rsid w:val="00DA3ACE"/>
    <w:rsid w:val="00DB2474"/>
    <w:rsid w:val="00DB77E8"/>
    <w:rsid w:val="00DB78A9"/>
    <w:rsid w:val="00DD1605"/>
    <w:rsid w:val="00DD4ECA"/>
    <w:rsid w:val="00DD54E3"/>
    <w:rsid w:val="00DD5F13"/>
    <w:rsid w:val="00DE40E8"/>
    <w:rsid w:val="00DF2CFF"/>
    <w:rsid w:val="00DF3FCD"/>
    <w:rsid w:val="00E07953"/>
    <w:rsid w:val="00E1422E"/>
    <w:rsid w:val="00E27A08"/>
    <w:rsid w:val="00E4322E"/>
    <w:rsid w:val="00E432A6"/>
    <w:rsid w:val="00E45B2D"/>
    <w:rsid w:val="00E52BC7"/>
    <w:rsid w:val="00E5619D"/>
    <w:rsid w:val="00E56F55"/>
    <w:rsid w:val="00E6080D"/>
    <w:rsid w:val="00E6265A"/>
    <w:rsid w:val="00E67178"/>
    <w:rsid w:val="00E70007"/>
    <w:rsid w:val="00E75740"/>
    <w:rsid w:val="00E76E76"/>
    <w:rsid w:val="00E80D62"/>
    <w:rsid w:val="00E8321D"/>
    <w:rsid w:val="00E83C88"/>
    <w:rsid w:val="00E94E47"/>
    <w:rsid w:val="00EA0907"/>
    <w:rsid w:val="00EA65DE"/>
    <w:rsid w:val="00EC1DDC"/>
    <w:rsid w:val="00EC455C"/>
    <w:rsid w:val="00ED377D"/>
    <w:rsid w:val="00ED55C8"/>
    <w:rsid w:val="00EE4486"/>
    <w:rsid w:val="00EF1757"/>
    <w:rsid w:val="00F01F45"/>
    <w:rsid w:val="00F053BB"/>
    <w:rsid w:val="00F1357D"/>
    <w:rsid w:val="00F1451E"/>
    <w:rsid w:val="00F22FA9"/>
    <w:rsid w:val="00F31226"/>
    <w:rsid w:val="00F32DB2"/>
    <w:rsid w:val="00F3795A"/>
    <w:rsid w:val="00F566B2"/>
    <w:rsid w:val="00F60967"/>
    <w:rsid w:val="00F66BBF"/>
    <w:rsid w:val="00F74978"/>
    <w:rsid w:val="00F82885"/>
    <w:rsid w:val="00F91FCD"/>
    <w:rsid w:val="00F92E64"/>
    <w:rsid w:val="00F92EC8"/>
    <w:rsid w:val="00F95A5C"/>
    <w:rsid w:val="00FA2046"/>
    <w:rsid w:val="00FA4D52"/>
    <w:rsid w:val="00FB5567"/>
    <w:rsid w:val="00FB5634"/>
    <w:rsid w:val="00FB6D33"/>
    <w:rsid w:val="00FD01E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98CE2"/>
  <w15:docId w15:val="{9CB0CDBB-B76A-4705-9923-546DD237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5B458E"/>
    <w:pPr>
      <w:keepNext/>
      <w:keepLines/>
      <w:spacing w:before="480" w:after="240" w:line="500" w:lineRule="atLeast"/>
      <w:outlineLvl w:val="1"/>
    </w:pPr>
    <w:rPr>
      <w:rFonts w:asciiTheme="majorHAnsi" w:eastAsiaTheme="majorEastAsia" w:hAnsiTheme="majorHAnsi" w:cstheme="majorBidi"/>
      <w:color w:val="00847E" w:themeColor="accent1"/>
      <w:sz w:val="44"/>
      <w:szCs w:val="26"/>
    </w:rPr>
  </w:style>
  <w:style w:type="paragraph" w:styleId="Heading3">
    <w:name w:val="heading 3"/>
    <w:basedOn w:val="Normal"/>
    <w:next w:val="Normal"/>
    <w:link w:val="Heading3Char"/>
    <w:uiPriority w:val="9"/>
    <w:qFormat/>
    <w:rsid w:val="005B458E"/>
    <w:pPr>
      <w:keepNext/>
      <w:keepLines/>
      <w:spacing w:before="480" w:after="240" w:line="380" w:lineRule="atLeast"/>
      <w:outlineLvl w:val="2"/>
    </w:pPr>
    <w:rPr>
      <w:rFonts w:asciiTheme="majorHAnsi" w:eastAsiaTheme="majorEastAsia" w:hAnsiTheme="majorHAnsi" w:cstheme="majorBidi"/>
      <w:color w:val="00847E" w:themeColor="accent1"/>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5B458E"/>
    <w:rPr>
      <w:rFonts w:asciiTheme="majorHAnsi" w:eastAsiaTheme="majorEastAsia" w:hAnsiTheme="majorHAnsi" w:cstheme="majorBidi"/>
      <w:color w:val="00847E" w:themeColor="accent1"/>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style>
  <w:style w:type="paragraph" w:customStyle="1" w:styleId="Bullet2">
    <w:name w:val="Bullet 2"/>
    <w:basedOn w:val="Normal"/>
    <w:uiPriority w:val="2"/>
    <w:qFormat/>
    <w:rsid w:val="005B458E"/>
  </w:style>
  <w:style w:type="paragraph" w:customStyle="1" w:styleId="Bullet3">
    <w:name w:val="Bullet 3"/>
    <w:basedOn w:val="Normal"/>
    <w:uiPriority w:val="2"/>
    <w:qFormat/>
    <w:rsid w:val="005B458E"/>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5B458E"/>
    <w:rPr>
      <w:rFonts w:asciiTheme="majorHAnsi" w:eastAsiaTheme="majorEastAsia" w:hAnsiTheme="majorHAnsi" w:cstheme="majorBidi"/>
      <w:color w:val="00847E" w:themeColor="accent1"/>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11"/>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11"/>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4A4AE6"/>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4A4AE6"/>
    <w:rPr>
      <w:rFonts w:ascii="Arial" w:hAnsi="Arial"/>
      <w:color w:val="auto"/>
    </w:rPr>
  </w:style>
  <w:style w:type="table" w:customStyle="1" w:styleId="TEQSAtables">
    <w:name w:val="TEQSA tables"/>
    <w:basedOn w:val="TableNormal"/>
    <w:uiPriority w:val="99"/>
    <w:rsid w:val="004A4AE6"/>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character" w:styleId="Hyperlink">
    <w:name w:val="Hyperlink"/>
    <w:basedOn w:val="DefaultParagraphFont"/>
    <w:uiPriority w:val="99"/>
    <w:unhideWhenUsed/>
    <w:rsid w:val="004A4AE6"/>
    <w:rPr>
      <w:color w:val="00847E" w:themeColor="hyperlink"/>
      <w:u w:val="single"/>
    </w:rPr>
  </w:style>
  <w:style w:type="character" w:styleId="FollowedHyperlink">
    <w:name w:val="FollowedHyperlink"/>
    <w:basedOn w:val="DefaultParagraphFont"/>
    <w:uiPriority w:val="99"/>
    <w:semiHidden/>
    <w:unhideWhenUsed/>
    <w:rsid w:val="00C262FE"/>
    <w:rPr>
      <w:color w:val="00847E" w:themeColor="followedHyperlink"/>
      <w:u w:val="single"/>
    </w:rPr>
  </w:style>
  <w:style w:type="paragraph" w:styleId="FootnoteText">
    <w:name w:val="footnote text"/>
    <w:basedOn w:val="Normal"/>
    <w:link w:val="FootnoteTextChar"/>
    <w:uiPriority w:val="99"/>
    <w:semiHidden/>
    <w:unhideWhenUsed/>
    <w:rsid w:val="00515825"/>
    <w:pPr>
      <w:spacing w:before="0" w:after="0"/>
    </w:pPr>
    <w:rPr>
      <w:sz w:val="20"/>
      <w:szCs w:val="20"/>
    </w:rPr>
  </w:style>
  <w:style w:type="character" w:customStyle="1" w:styleId="FootnoteTextChar">
    <w:name w:val="Footnote Text Char"/>
    <w:basedOn w:val="DefaultParagraphFont"/>
    <w:link w:val="FootnoteText"/>
    <w:uiPriority w:val="99"/>
    <w:semiHidden/>
    <w:rsid w:val="00515825"/>
    <w:rPr>
      <w:sz w:val="20"/>
      <w:szCs w:val="20"/>
    </w:rPr>
  </w:style>
  <w:style w:type="character" w:styleId="FootnoteReference">
    <w:name w:val="footnote reference"/>
    <w:basedOn w:val="DefaultParagraphFont"/>
    <w:uiPriority w:val="99"/>
    <w:semiHidden/>
    <w:unhideWhenUsed/>
    <w:rsid w:val="00515825"/>
    <w:rPr>
      <w:vertAlign w:val="superscript"/>
    </w:rPr>
  </w:style>
  <w:style w:type="paragraph" w:styleId="EndnoteText">
    <w:name w:val="endnote text"/>
    <w:basedOn w:val="Normal"/>
    <w:link w:val="EndnoteTextChar"/>
    <w:uiPriority w:val="99"/>
    <w:semiHidden/>
    <w:unhideWhenUsed/>
    <w:rsid w:val="00E27A08"/>
    <w:pPr>
      <w:spacing w:before="0" w:after="0"/>
    </w:pPr>
    <w:rPr>
      <w:sz w:val="20"/>
      <w:szCs w:val="20"/>
    </w:rPr>
  </w:style>
  <w:style w:type="character" w:customStyle="1" w:styleId="EndnoteTextChar">
    <w:name w:val="Endnote Text Char"/>
    <w:basedOn w:val="DefaultParagraphFont"/>
    <w:link w:val="EndnoteText"/>
    <w:uiPriority w:val="99"/>
    <w:semiHidden/>
    <w:rsid w:val="00E27A08"/>
    <w:rPr>
      <w:sz w:val="20"/>
      <w:szCs w:val="20"/>
    </w:rPr>
  </w:style>
  <w:style w:type="character" w:styleId="EndnoteReference">
    <w:name w:val="endnote reference"/>
    <w:basedOn w:val="DefaultParagraphFont"/>
    <w:uiPriority w:val="99"/>
    <w:semiHidden/>
    <w:unhideWhenUsed/>
    <w:rsid w:val="00E27A08"/>
    <w:rPr>
      <w:vertAlign w:val="superscript"/>
    </w:rPr>
  </w:style>
  <w:style w:type="character" w:styleId="CommentReference">
    <w:name w:val="annotation reference"/>
    <w:basedOn w:val="DefaultParagraphFont"/>
    <w:uiPriority w:val="99"/>
    <w:semiHidden/>
    <w:unhideWhenUsed/>
    <w:rsid w:val="00F95A5C"/>
    <w:rPr>
      <w:sz w:val="16"/>
      <w:szCs w:val="16"/>
    </w:rPr>
  </w:style>
  <w:style w:type="paragraph" w:styleId="CommentText">
    <w:name w:val="annotation text"/>
    <w:basedOn w:val="Normal"/>
    <w:link w:val="CommentTextChar"/>
    <w:uiPriority w:val="99"/>
    <w:unhideWhenUsed/>
    <w:rsid w:val="00F95A5C"/>
    <w:rPr>
      <w:sz w:val="20"/>
      <w:szCs w:val="20"/>
    </w:rPr>
  </w:style>
  <w:style w:type="character" w:customStyle="1" w:styleId="CommentTextChar">
    <w:name w:val="Comment Text Char"/>
    <w:basedOn w:val="DefaultParagraphFont"/>
    <w:link w:val="CommentText"/>
    <w:uiPriority w:val="99"/>
    <w:rsid w:val="00F95A5C"/>
    <w:rPr>
      <w:sz w:val="20"/>
      <w:szCs w:val="20"/>
    </w:rPr>
  </w:style>
  <w:style w:type="paragraph" w:styleId="CommentSubject">
    <w:name w:val="annotation subject"/>
    <w:basedOn w:val="CommentText"/>
    <w:next w:val="CommentText"/>
    <w:link w:val="CommentSubjectChar"/>
    <w:uiPriority w:val="99"/>
    <w:semiHidden/>
    <w:unhideWhenUsed/>
    <w:rsid w:val="00F95A5C"/>
    <w:rPr>
      <w:b/>
      <w:bCs/>
    </w:rPr>
  </w:style>
  <w:style w:type="character" w:customStyle="1" w:styleId="CommentSubjectChar">
    <w:name w:val="Comment Subject Char"/>
    <w:basedOn w:val="CommentTextChar"/>
    <w:link w:val="CommentSubject"/>
    <w:uiPriority w:val="99"/>
    <w:semiHidden/>
    <w:rsid w:val="00F95A5C"/>
    <w:rPr>
      <w:b/>
      <w:bCs/>
      <w:sz w:val="20"/>
      <w:szCs w:val="20"/>
    </w:rPr>
  </w:style>
  <w:style w:type="paragraph" w:styleId="Revision">
    <w:name w:val="Revision"/>
    <w:hidden/>
    <w:uiPriority w:val="99"/>
    <w:semiHidden/>
    <w:rsid w:val="003332EC"/>
    <w:pPr>
      <w:spacing w:before="0" w:after="0"/>
    </w:pPr>
  </w:style>
  <w:style w:type="character" w:styleId="UnresolvedMention">
    <w:name w:val="Unresolved Mention"/>
    <w:basedOn w:val="DefaultParagraphFont"/>
    <w:uiPriority w:val="99"/>
    <w:semiHidden/>
    <w:unhideWhenUsed/>
    <w:rsid w:val="006222FD"/>
    <w:rPr>
      <w:color w:val="605E5C"/>
      <w:shd w:val="clear" w:color="auto" w:fill="E1DFDD"/>
    </w:rPr>
  </w:style>
  <w:style w:type="character" w:styleId="SubtleEmphasis">
    <w:name w:val="Subtle Emphasis"/>
    <w:basedOn w:val="DefaultParagraphFont"/>
    <w:uiPriority w:val="19"/>
    <w:qFormat/>
    <w:rsid w:val="008317C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teqs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qsa.gov.au/sites/default/files/material-change-notification-policy-4-0.pdf?v=162736688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2017-07-24T14:00:00+00:00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0CE3D-525A-4C27-9A18-CC974608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49B4E-4953-4279-8997-AA386B984921}">
  <ds:schemaRefs>
    <ds:schemaRef ds:uri="http://purl.org/dc/terms/"/>
    <ds:schemaRef ds:uri="c7dac4e8-3feb-44f4-96ca-b86e7c14d0f6"/>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E6A2A99A-5A7D-4FF5-8E98-E58C2B499DD8}">
  <ds:schemaRefs>
    <ds:schemaRef ds:uri="http://schemas.openxmlformats.org/officeDocument/2006/bibliography"/>
  </ds:schemaRefs>
</ds:datastoreItem>
</file>

<file path=customXml/itemProps4.xml><?xml version="1.0" encoding="utf-8"?>
<ds:datastoreItem xmlns:ds="http://schemas.openxmlformats.org/officeDocument/2006/customXml" ds:itemID="{CA7ED60F-9E04-4D86-8D05-AFAC634B0A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Memo Template</vt:lpstr>
    </vt:vector>
  </TitlesOfParts>
  <Company>Tertiary Education Quality and Standards Agency</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TEQSA's approach to changes of control or ownership of a higher education provider policy</dc:title>
  <dc:creator>May, Raphael</dc:creator>
  <cp:lastModifiedBy>Hewitt-McManus, Tom</cp:lastModifiedBy>
  <cp:revision>4</cp:revision>
  <cp:lastPrinted>2019-08-30T06:30:00Z</cp:lastPrinted>
  <dcterms:created xsi:type="dcterms:W3CDTF">2021-11-22T03:54:00Z</dcterms:created>
  <dcterms:modified xsi:type="dcterms:W3CDTF">2021-11-22T04:01:00Z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