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57" w:rsidRDefault="00736157" w:rsidP="001A7481">
      <w:pPr>
        <w:spacing w:after="1080"/>
      </w:pPr>
      <w:r>
        <w:rPr>
          <w:noProof/>
          <w:lang w:eastAsia="en-AU"/>
        </w:rPr>
        <w:drawing>
          <wp:anchor distT="0" distB="0" distL="114300" distR="114300" simplePos="0" relativeHeight="251659264" behindDoc="0" locked="1" layoutInCell="1" allowOverlap="1" wp14:anchorId="22D0D6CA" wp14:editId="40CCD907">
            <wp:simplePos x="0" y="0"/>
            <wp:positionH relativeFrom="margin">
              <wp:posOffset>-588645</wp:posOffset>
            </wp:positionH>
            <wp:positionV relativeFrom="margin">
              <wp:align>top</wp:align>
            </wp:positionV>
            <wp:extent cx="3625215" cy="1090930"/>
            <wp:effectExtent l="0" t="0" r="0" b="0"/>
            <wp:wrapNone/>
            <wp:docPr id="3" name="Picture 3" descr="TEQSA crest." title="TEQS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8" cstate="print">
                      <a:extLst>
                        <a:ext uri="{28A0092B-C50C-407E-A947-70E740481C1C}">
                          <a14:useLocalDpi xmlns:a14="http://schemas.microsoft.com/office/drawing/2010/main" val="0"/>
                        </a:ext>
                      </a:extLst>
                    </a:blip>
                    <a:srcRect l="-20969" t="-135554" b="-1"/>
                    <a:stretch/>
                  </pic:blipFill>
                  <pic:spPr bwMode="auto">
                    <a:xfrm>
                      <a:off x="0" y="0"/>
                      <a:ext cx="362521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6157" w:rsidRDefault="00736157" w:rsidP="001A7481">
      <w:pPr>
        <w:spacing w:after="1080"/>
      </w:pPr>
    </w:p>
    <w:sdt>
      <w:sdtPr>
        <w:id w:val="-748235"/>
        <w:docPartObj>
          <w:docPartGallery w:val="Table of Contents"/>
          <w:docPartUnique/>
        </w:docPartObj>
      </w:sdtPr>
      <w:sdtEndPr>
        <w:rPr>
          <w:b/>
          <w:bCs/>
          <w:noProof/>
        </w:rPr>
      </w:sdtEndPr>
      <w:sdtContent>
        <w:p w:rsidR="00F00721" w:rsidRDefault="000E1E4E" w:rsidP="001A7481">
          <w:pPr>
            <w:spacing w:after="1080"/>
            <w:sectPr w:rsidR="00F00721" w:rsidSect="001A7481">
              <w:footerReference w:type="default" r:id="rId9"/>
              <w:pgSz w:w="11906" w:h="16838"/>
              <w:pgMar w:top="1440" w:right="1440" w:bottom="964" w:left="1440" w:header="709" w:footer="709" w:gutter="0"/>
              <w:pgNumType w:start="1"/>
              <w:cols w:space="708"/>
              <w:titlePg/>
              <w:docGrid w:linePitch="360"/>
            </w:sectPr>
          </w:pPr>
          <w:r>
            <w:rPr>
              <w:noProof/>
              <w:lang w:eastAsia="en-AU"/>
            </w:rPr>
            <w:drawing>
              <wp:anchor distT="0" distB="0" distL="114300" distR="114300" simplePos="0" relativeHeight="251664384" behindDoc="0" locked="1" layoutInCell="1" allowOverlap="1" wp14:anchorId="53BB913A" wp14:editId="5DBF38E2">
                <wp:simplePos x="0" y="0"/>
                <wp:positionH relativeFrom="page">
                  <wp:posOffset>5406390</wp:posOffset>
                </wp:positionH>
                <wp:positionV relativeFrom="margin">
                  <wp:posOffset>8888730</wp:posOffset>
                </wp:positionV>
                <wp:extent cx="2507615" cy="1111250"/>
                <wp:effectExtent l="0" t="0" r="0" b="0"/>
                <wp:wrapNone/>
                <wp:docPr id="9" name="Picture 9" descr="TEQSA wordmark." title="TEQS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0" cstate="print">
                          <a:extLst>
                            <a:ext uri="{28A0092B-C50C-407E-A947-70E740481C1C}">
                              <a14:useLocalDpi xmlns:a14="http://schemas.microsoft.com/office/drawing/2010/main" val="0"/>
                            </a:ext>
                          </a:extLst>
                        </a:blip>
                        <a:srcRect l="1" r="-39508" b="-136574"/>
                        <a:stretch/>
                      </pic:blipFill>
                      <pic:spPr bwMode="auto">
                        <a:xfrm>
                          <a:off x="0" y="0"/>
                          <a:ext cx="2507615" cy="111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157">
            <w:rPr>
              <w:noProof/>
              <w:lang w:eastAsia="en-AU"/>
            </w:rPr>
            <mc:AlternateContent>
              <mc:Choice Requires="wps">
                <w:drawing>
                  <wp:anchor distT="45720" distB="45720" distL="114300" distR="114300" simplePos="0" relativeHeight="251662336" behindDoc="0" locked="0" layoutInCell="1" allowOverlap="1" wp14:anchorId="0BF615A3" wp14:editId="7AA8D864">
                    <wp:simplePos x="0" y="0"/>
                    <wp:positionH relativeFrom="column">
                      <wp:posOffset>206375</wp:posOffset>
                    </wp:positionH>
                    <wp:positionV relativeFrom="paragraph">
                      <wp:posOffset>528320</wp:posOffset>
                    </wp:positionV>
                    <wp:extent cx="4491990" cy="1256030"/>
                    <wp:effectExtent l="0" t="0" r="0" b="1270"/>
                    <wp:wrapSquare wrapText="bothSides"/>
                    <wp:docPr id="217" name="Text Box 2" descr="Assessment Insights - September 2018" title="Assessment Ins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990" cy="1256030"/>
                            </a:xfrm>
                            <a:prstGeom prst="rect">
                              <a:avLst/>
                            </a:prstGeom>
                            <a:noFill/>
                            <a:ln w="9525">
                              <a:noFill/>
                              <a:miter lim="800000"/>
                              <a:headEnd/>
                              <a:tailEnd/>
                            </a:ln>
                          </wps:spPr>
                          <wps:txbx>
                            <w:txbxContent>
                              <w:p w:rsidR="00736157" w:rsidRPr="00736157" w:rsidRDefault="00736157" w:rsidP="00736157">
                                <w:pPr>
                                  <w:pStyle w:val="Title"/>
                                  <w:rPr>
                                    <w:color w:val="00A398"/>
                                  </w:rPr>
                                </w:pPr>
                                <w:r w:rsidRPr="00736157">
                                  <w:rPr>
                                    <w:color w:val="00A398"/>
                                  </w:rPr>
                                  <w:t>Assessment insights</w:t>
                                </w:r>
                              </w:p>
                              <w:p w:rsidR="00736157" w:rsidRPr="00736157" w:rsidRDefault="000D7555" w:rsidP="00736157">
                                <w:pPr>
                                  <w:rPr>
                                    <w:color w:val="00A398"/>
                                  </w:rPr>
                                </w:pPr>
                                <w:r>
                                  <w:rPr>
                                    <w:color w:val="00A398"/>
                                  </w:rPr>
                                  <w:t>September</w:t>
                                </w:r>
                                <w:r w:rsidR="00736157" w:rsidRPr="00736157">
                                  <w:rPr>
                                    <w:color w:val="00A398"/>
                                  </w:rPr>
                                  <w:t xml:space="preserve"> 2018</w:t>
                                </w:r>
                              </w:p>
                              <w:p w:rsidR="00736157" w:rsidRDefault="007361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02A97" id="_x0000_t202" coordsize="21600,21600" o:spt="202" path="m,l,21600r21600,l21600,xe">
                    <v:stroke joinstyle="miter"/>
                    <v:path gradientshapeok="t" o:connecttype="rect"/>
                  </v:shapetype>
                  <v:shape id="Text Box 2" o:spid="_x0000_s1026" type="#_x0000_t202" alt="Title: Assessment Insights - Description: Assessment Insights - September 2018" style="position:absolute;margin-left:16.25pt;margin-top:41.6pt;width:353.7pt;height:9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" filled="f" stroked="f">
                    <v:textbox>
                      <w:txbxContent>
                        <w:p w:rsidR="00736157" w:rsidRPr="00736157" w:rsidRDefault="00736157" w:rsidP="00736157">
                          <w:pPr>
                            <w:pStyle w:val="Title"/>
                            <w:rPr>
                              <w:color w:val="00A398"/>
                            </w:rPr>
                          </w:pPr>
                          <w:r w:rsidRPr="00736157">
                            <w:rPr>
                              <w:color w:val="00A398"/>
                            </w:rPr>
                            <w:t>Assessment insights</w:t>
                          </w:r>
                        </w:p>
                        <w:p w:rsidR="00736157" w:rsidRPr="00736157" w:rsidRDefault="000D7555" w:rsidP="00736157">
                          <w:pPr>
                            <w:rPr>
                              <w:color w:val="00A398"/>
                            </w:rPr>
                          </w:pPr>
                          <w:r>
                            <w:rPr>
                              <w:color w:val="00A398"/>
                            </w:rPr>
                            <w:t>September</w:t>
                          </w:r>
                          <w:r w:rsidR="00736157" w:rsidRPr="00736157">
                            <w:rPr>
                              <w:color w:val="00A398"/>
                            </w:rPr>
                            <w:t xml:space="preserve"> 2018</w:t>
                          </w:r>
                        </w:p>
                        <w:p w:rsidR="00736157" w:rsidRDefault="00736157"/>
                      </w:txbxContent>
                    </v:textbox>
                    <w10:wrap type="square"/>
                  </v:shape>
                </w:pict>
              </mc:Fallback>
            </mc:AlternateContent>
          </w:r>
          <w:r w:rsidR="00736157">
            <w:rPr>
              <w:noProof/>
              <w:lang w:eastAsia="en-AU"/>
            </w:rPr>
            <mc:AlternateContent>
              <mc:Choice Requires="wps">
                <w:drawing>
                  <wp:anchor distT="0" distB="0" distL="114300" distR="114300" simplePos="0" relativeHeight="251660288" behindDoc="0" locked="0" layoutInCell="1" allowOverlap="1" wp14:anchorId="3A826DCA" wp14:editId="38BAA2CB">
                    <wp:simplePos x="0" y="0"/>
                    <wp:positionH relativeFrom="page">
                      <wp:posOffset>1653870</wp:posOffset>
                    </wp:positionH>
                    <wp:positionV relativeFrom="paragraph">
                      <wp:posOffset>2079321</wp:posOffset>
                    </wp:positionV>
                    <wp:extent cx="14906819" cy="6991664"/>
                    <wp:effectExtent l="0" t="0" r="9525" b="0"/>
                    <wp:wrapNone/>
                    <wp:docPr id="5" name="Isosceles Triangle 5"/>
                    <wp:cNvGraphicFramePr/>
                    <a:graphic xmlns:a="http://schemas.openxmlformats.org/drawingml/2006/main">
                      <a:graphicData uri="http://schemas.microsoft.com/office/word/2010/wordprocessingShape">
                        <wps:wsp>
                          <wps:cNvSpPr/>
                          <wps:spPr>
                            <a:xfrm>
                              <a:off x="0" y="0"/>
                              <a:ext cx="14906819" cy="6991664"/>
                            </a:xfrm>
                            <a:prstGeom prst="triangle">
                              <a:avLst/>
                            </a:prstGeom>
                            <a:solidFill>
                              <a:srgbClr val="97D5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885E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30.25pt;margin-top:163.75pt;width:1173.75pt;height:550.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" fillcolor="#97d5c9" stroked="f" strokeweight="1pt">
                    <w10:wrap anchorx="page"/>
                  </v:shape>
                </w:pict>
              </mc:Fallback>
            </mc:AlternateContent>
          </w:r>
        </w:p>
        <w:p w:rsidR="001A7481" w:rsidRPr="001A7481" w:rsidRDefault="001A7481" w:rsidP="001A7481">
          <w:pPr>
            <w:spacing w:after="1080"/>
            <w:rPr>
              <w:rStyle w:val="Heading2Char"/>
            </w:rPr>
          </w:pPr>
          <w:r w:rsidRPr="001A7481">
            <w:rPr>
              <w:rStyle w:val="Heading2Char"/>
            </w:rPr>
            <w:lastRenderedPageBreak/>
            <w:t>Contents</w:t>
          </w:r>
        </w:p>
        <w:p w:rsidR="001A7481" w:rsidRDefault="001A7481">
          <w:pPr>
            <w:pStyle w:val="TOC2"/>
            <w:tabs>
              <w:tab w:val="right" w:leader="dot" w:pos="9016"/>
            </w:tabs>
            <w:rPr>
              <w:noProof/>
            </w:rPr>
          </w:pPr>
          <w:r>
            <w:fldChar w:fldCharType="begin"/>
          </w:r>
          <w:r>
            <w:instrText xml:space="preserve"> TOC \o "1-3" \h \z \u </w:instrText>
          </w:r>
          <w:r>
            <w:fldChar w:fldCharType="separate"/>
          </w:r>
          <w:hyperlink w:anchor="_Toc524011824" w:history="1">
            <w:r w:rsidRPr="001B0B8E">
              <w:rPr>
                <w:rStyle w:val="Hyperlink"/>
                <w:noProof/>
              </w:rPr>
              <w:t>Introduction</w:t>
            </w:r>
            <w:r>
              <w:rPr>
                <w:noProof/>
                <w:webHidden/>
              </w:rPr>
              <w:tab/>
            </w:r>
            <w:r>
              <w:rPr>
                <w:noProof/>
                <w:webHidden/>
              </w:rPr>
              <w:fldChar w:fldCharType="begin"/>
            </w:r>
            <w:r>
              <w:rPr>
                <w:noProof/>
                <w:webHidden/>
              </w:rPr>
              <w:instrText xml:space="preserve"> PAGEREF _Toc524011824 \h </w:instrText>
            </w:r>
            <w:r>
              <w:rPr>
                <w:noProof/>
                <w:webHidden/>
              </w:rPr>
            </w:r>
            <w:r>
              <w:rPr>
                <w:noProof/>
                <w:webHidden/>
              </w:rPr>
              <w:fldChar w:fldCharType="separate"/>
            </w:r>
            <w:r w:rsidR="00745984">
              <w:rPr>
                <w:noProof/>
                <w:webHidden/>
              </w:rPr>
              <w:t>1</w:t>
            </w:r>
            <w:r>
              <w:rPr>
                <w:noProof/>
                <w:webHidden/>
              </w:rPr>
              <w:fldChar w:fldCharType="end"/>
            </w:r>
          </w:hyperlink>
        </w:p>
        <w:p w:rsidR="001A7481" w:rsidRDefault="00EF0394">
          <w:pPr>
            <w:pStyle w:val="TOC2"/>
            <w:tabs>
              <w:tab w:val="right" w:leader="dot" w:pos="9016"/>
            </w:tabs>
            <w:rPr>
              <w:noProof/>
            </w:rPr>
          </w:pPr>
          <w:hyperlink w:anchor="_Toc524011825" w:history="1">
            <w:r w:rsidR="001A7481" w:rsidRPr="001B0B8E">
              <w:rPr>
                <w:rStyle w:val="Hyperlink"/>
                <w:noProof/>
              </w:rPr>
              <w:t>Methodology</w:t>
            </w:r>
            <w:r w:rsidR="001A7481">
              <w:rPr>
                <w:noProof/>
                <w:webHidden/>
              </w:rPr>
              <w:tab/>
            </w:r>
            <w:r w:rsidR="001A7481">
              <w:rPr>
                <w:noProof/>
                <w:webHidden/>
              </w:rPr>
              <w:fldChar w:fldCharType="begin"/>
            </w:r>
            <w:r w:rsidR="001A7481">
              <w:rPr>
                <w:noProof/>
                <w:webHidden/>
              </w:rPr>
              <w:instrText xml:space="preserve"> PAGEREF _Toc524011825 \h </w:instrText>
            </w:r>
            <w:r w:rsidR="001A7481">
              <w:rPr>
                <w:noProof/>
                <w:webHidden/>
              </w:rPr>
            </w:r>
            <w:r w:rsidR="001A7481">
              <w:rPr>
                <w:noProof/>
                <w:webHidden/>
              </w:rPr>
              <w:fldChar w:fldCharType="separate"/>
            </w:r>
            <w:r w:rsidR="00745984">
              <w:rPr>
                <w:noProof/>
                <w:webHidden/>
              </w:rPr>
              <w:t>2</w:t>
            </w:r>
            <w:r w:rsidR="001A7481">
              <w:rPr>
                <w:noProof/>
                <w:webHidden/>
              </w:rPr>
              <w:fldChar w:fldCharType="end"/>
            </w:r>
          </w:hyperlink>
        </w:p>
        <w:p w:rsidR="001A7481" w:rsidRDefault="00EF0394">
          <w:pPr>
            <w:pStyle w:val="TOC2"/>
            <w:tabs>
              <w:tab w:val="right" w:leader="dot" w:pos="9016"/>
            </w:tabs>
            <w:rPr>
              <w:noProof/>
            </w:rPr>
          </w:pPr>
          <w:hyperlink w:anchor="_Toc524011826" w:history="1">
            <w:r w:rsidR="001A7481" w:rsidRPr="001B0B8E">
              <w:rPr>
                <w:rStyle w:val="Hyperlink"/>
                <w:noProof/>
              </w:rPr>
              <w:t>Findings and discussion</w:t>
            </w:r>
            <w:r w:rsidR="001A7481">
              <w:rPr>
                <w:noProof/>
                <w:webHidden/>
              </w:rPr>
              <w:tab/>
            </w:r>
            <w:r w:rsidR="001A7481">
              <w:rPr>
                <w:noProof/>
                <w:webHidden/>
              </w:rPr>
              <w:fldChar w:fldCharType="begin"/>
            </w:r>
            <w:r w:rsidR="001A7481">
              <w:rPr>
                <w:noProof/>
                <w:webHidden/>
              </w:rPr>
              <w:instrText xml:space="preserve"> PAGEREF _Toc524011826 \h </w:instrText>
            </w:r>
            <w:r w:rsidR="001A7481">
              <w:rPr>
                <w:noProof/>
                <w:webHidden/>
              </w:rPr>
            </w:r>
            <w:r w:rsidR="001A7481">
              <w:rPr>
                <w:noProof/>
                <w:webHidden/>
              </w:rPr>
              <w:fldChar w:fldCharType="separate"/>
            </w:r>
            <w:r w:rsidR="00745984">
              <w:rPr>
                <w:noProof/>
                <w:webHidden/>
              </w:rPr>
              <w:t>3</w:t>
            </w:r>
            <w:r w:rsidR="001A7481">
              <w:rPr>
                <w:noProof/>
                <w:webHidden/>
              </w:rPr>
              <w:fldChar w:fldCharType="end"/>
            </w:r>
          </w:hyperlink>
        </w:p>
        <w:p w:rsidR="001A7481" w:rsidRDefault="00EF0394">
          <w:pPr>
            <w:pStyle w:val="TOC3"/>
            <w:tabs>
              <w:tab w:val="right" w:leader="dot" w:pos="9016"/>
            </w:tabs>
            <w:rPr>
              <w:noProof/>
            </w:rPr>
          </w:pPr>
          <w:hyperlink w:anchor="_Toc524011827" w:history="1">
            <w:r w:rsidR="001A7481" w:rsidRPr="001B0B8E">
              <w:rPr>
                <w:rStyle w:val="Hyperlink"/>
                <w:noProof/>
              </w:rPr>
              <w:t>Overview</w:t>
            </w:r>
            <w:r w:rsidR="001A7481">
              <w:rPr>
                <w:noProof/>
                <w:webHidden/>
              </w:rPr>
              <w:tab/>
            </w:r>
            <w:r w:rsidR="001A7481">
              <w:rPr>
                <w:noProof/>
                <w:webHidden/>
              </w:rPr>
              <w:fldChar w:fldCharType="begin"/>
            </w:r>
            <w:r w:rsidR="001A7481">
              <w:rPr>
                <w:noProof/>
                <w:webHidden/>
              </w:rPr>
              <w:instrText xml:space="preserve"> PAGEREF _Toc524011827 \h </w:instrText>
            </w:r>
            <w:r w:rsidR="001A7481">
              <w:rPr>
                <w:noProof/>
                <w:webHidden/>
              </w:rPr>
            </w:r>
            <w:r w:rsidR="001A7481">
              <w:rPr>
                <w:noProof/>
                <w:webHidden/>
              </w:rPr>
              <w:fldChar w:fldCharType="separate"/>
            </w:r>
            <w:r w:rsidR="00745984">
              <w:rPr>
                <w:noProof/>
                <w:webHidden/>
              </w:rPr>
              <w:t>3</w:t>
            </w:r>
            <w:r w:rsidR="001A7481">
              <w:rPr>
                <w:noProof/>
                <w:webHidden/>
              </w:rPr>
              <w:fldChar w:fldCharType="end"/>
            </w:r>
          </w:hyperlink>
        </w:p>
        <w:p w:rsidR="001A7481" w:rsidRDefault="00EF0394">
          <w:pPr>
            <w:pStyle w:val="TOC3"/>
            <w:tabs>
              <w:tab w:val="right" w:leader="dot" w:pos="9016"/>
            </w:tabs>
            <w:rPr>
              <w:noProof/>
            </w:rPr>
          </w:pPr>
          <w:hyperlink w:anchor="_Toc524011828" w:history="1">
            <w:r w:rsidR="001A7481" w:rsidRPr="001B0B8E">
              <w:rPr>
                <w:rStyle w:val="Hyperlink"/>
                <w:noProof/>
              </w:rPr>
              <w:t>Assessments by year</w:t>
            </w:r>
            <w:r w:rsidR="001A7481">
              <w:rPr>
                <w:noProof/>
                <w:webHidden/>
              </w:rPr>
              <w:tab/>
            </w:r>
            <w:r w:rsidR="001A7481">
              <w:rPr>
                <w:noProof/>
                <w:webHidden/>
              </w:rPr>
              <w:fldChar w:fldCharType="begin"/>
            </w:r>
            <w:r w:rsidR="001A7481">
              <w:rPr>
                <w:noProof/>
                <w:webHidden/>
              </w:rPr>
              <w:instrText xml:space="preserve"> PAGEREF _Toc524011828 \h </w:instrText>
            </w:r>
            <w:r w:rsidR="001A7481">
              <w:rPr>
                <w:noProof/>
                <w:webHidden/>
              </w:rPr>
            </w:r>
            <w:r w:rsidR="001A7481">
              <w:rPr>
                <w:noProof/>
                <w:webHidden/>
              </w:rPr>
              <w:fldChar w:fldCharType="separate"/>
            </w:r>
            <w:r w:rsidR="00745984">
              <w:rPr>
                <w:noProof/>
                <w:webHidden/>
              </w:rPr>
              <w:t>5</w:t>
            </w:r>
            <w:r w:rsidR="001A7481">
              <w:rPr>
                <w:noProof/>
                <w:webHidden/>
              </w:rPr>
              <w:fldChar w:fldCharType="end"/>
            </w:r>
          </w:hyperlink>
        </w:p>
        <w:p w:rsidR="001A7481" w:rsidRDefault="00EF0394">
          <w:pPr>
            <w:pStyle w:val="TOC3"/>
            <w:tabs>
              <w:tab w:val="right" w:leader="dot" w:pos="9016"/>
            </w:tabs>
            <w:rPr>
              <w:noProof/>
            </w:rPr>
          </w:pPr>
          <w:hyperlink w:anchor="_Toc524011829" w:history="1">
            <w:r w:rsidR="001A7481" w:rsidRPr="001B0B8E">
              <w:rPr>
                <w:rStyle w:val="Hyperlink"/>
                <w:noProof/>
              </w:rPr>
              <w:t>Prevalence of issues</w:t>
            </w:r>
            <w:r w:rsidR="001A7481">
              <w:rPr>
                <w:noProof/>
                <w:webHidden/>
              </w:rPr>
              <w:tab/>
            </w:r>
            <w:r w:rsidR="001A7481">
              <w:rPr>
                <w:noProof/>
                <w:webHidden/>
              </w:rPr>
              <w:fldChar w:fldCharType="begin"/>
            </w:r>
            <w:r w:rsidR="001A7481">
              <w:rPr>
                <w:noProof/>
                <w:webHidden/>
              </w:rPr>
              <w:instrText xml:space="preserve"> PAGEREF _Toc524011829 \h </w:instrText>
            </w:r>
            <w:r w:rsidR="001A7481">
              <w:rPr>
                <w:noProof/>
                <w:webHidden/>
              </w:rPr>
            </w:r>
            <w:r w:rsidR="001A7481">
              <w:rPr>
                <w:noProof/>
                <w:webHidden/>
              </w:rPr>
              <w:fldChar w:fldCharType="separate"/>
            </w:r>
            <w:r w:rsidR="00745984">
              <w:rPr>
                <w:noProof/>
                <w:webHidden/>
              </w:rPr>
              <w:t>8</w:t>
            </w:r>
            <w:r w:rsidR="001A7481">
              <w:rPr>
                <w:noProof/>
                <w:webHidden/>
              </w:rPr>
              <w:fldChar w:fldCharType="end"/>
            </w:r>
          </w:hyperlink>
        </w:p>
        <w:p w:rsidR="001A7481" w:rsidRDefault="00EF0394">
          <w:pPr>
            <w:pStyle w:val="TOC3"/>
            <w:tabs>
              <w:tab w:val="right" w:leader="dot" w:pos="9016"/>
            </w:tabs>
            <w:rPr>
              <w:noProof/>
            </w:rPr>
          </w:pPr>
          <w:hyperlink w:anchor="_Toc524011830" w:history="1">
            <w:r w:rsidR="001A7481" w:rsidRPr="001B0B8E">
              <w:rPr>
                <w:rStyle w:val="Hyperlink"/>
                <w:noProof/>
              </w:rPr>
              <w:t>Assessment outcomes and provider types</w:t>
            </w:r>
            <w:r w:rsidR="001A7481">
              <w:rPr>
                <w:noProof/>
                <w:webHidden/>
              </w:rPr>
              <w:tab/>
            </w:r>
            <w:r w:rsidR="001A7481">
              <w:rPr>
                <w:noProof/>
                <w:webHidden/>
              </w:rPr>
              <w:fldChar w:fldCharType="begin"/>
            </w:r>
            <w:r w:rsidR="001A7481">
              <w:rPr>
                <w:noProof/>
                <w:webHidden/>
              </w:rPr>
              <w:instrText xml:space="preserve"> PAGEREF _Toc524011830 \h </w:instrText>
            </w:r>
            <w:r w:rsidR="001A7481">
              <w:rPr>
                <w:noProof/>
                <w:webHidden/>
              </w:rPr>
            </w:r>
            <w:r w:rsidR="001A7481">
              <w:rPr>
                <w:noProof/>
                <w:webHidden/>
              </w:rPr>
              <w:fldChar w:fldCharType="separate"/>
            </w:r>
            <w:r w:rsidR="00745984">
              <w:rPr>
                <w:noProof/>
                <w:webHidden/>
              </w:rPr>
              <w:t>10</w:t>
            </w:r>
            <w:r w:rsidR="001A7481">
              <w:rPr>
                <w:noProof/>
                <w:webHidden/>
              </w:rPr>
              <w:fldChar w:fldCharType="end"/>
            </w:r>
          </w:hyperlink>
        </w:p>
        <w:p w:rsidR="001A7481" w:rsidRDefault="00EF0394">
          <w:pPr>
            <w:pStyle w:val="TOC3"/>
            <w:tabs>
              <w:tab w:val="right" w:leader="dot" w:pos="9016"/>
            </w:tabs>
            <w:rPr>
              <w:noProof/>
            </w:rPr>
          </w:pPr>
          <w:hyperlink w:anchor="_Toc524011831" w:history="1">
            <w:r w:rsidR="001A7481" w:rsidRPr="001B0B8E">
              <w:rPr>
                <w:rStyle w:val="Hyperlink"/>
                <w:noProof/>
              </w:rPr>
              <w:t>Time to completion by outcome and provider type</w:t>
            </w:r>
            <w:r w:rsidR="001A7481">
              <w:rPr>
                <w:noProof/>
                <w:webHidden/>
              </w:rPr>
              <w:tab/>
            </w:r>
            <w:r w:rsidR="001A7481">
              <w:rPr>
                <w:noProof/>
                <w:webHidden/>
              </w:rPr>
              <w:fldChar w:fldCharType="begin"/>
            </w:r>
            <w:r w:rsidR="001A7481">
              <w:rPr>
                <w:noProof/>
                <w:webHidden/>
              </w:rPr>
              <w:instrText xml:space="preserve"> PAGEREF _Toc524011831 \h </w:instrText>
            </w:r>
            <w:r w:rsidR="001A7481">
              <w:rPr>
                <w:noProof/>
                <w:webHidden/>
              </w:rPr>
            </w:r>
            <w:r w:rsidR="001A7481">
              <w:rPr>
                <w:noProof/>
                <w:webHidden/>
              </w:rPr>
              <w:fldChar w:fldCharType="separate"/>
            </w:r>
            <w:r w:rsidR="00745984">
              <w:rPr>
                <w:noProof/>
                <w:webHidden/>
              </w:rPr>
              <w:t>12</w:t>
            </w:r>
            <w:r w:rsidR="001A7481">
              <w:rPr>
                <w:noProof/>
                <w:webHidden/>
              </w:rPr>
              <w:fldChar w:fldCharType="end"/>
            </w:r>
          </w:hyperlink>
        </w:p>
        <w:p w:rsidR="001A7481" w:rsidRDefault="00EF0394">
          <w:pPr>
            <w:pStyle w:val="TOC3"/>
            <w:tabs>
              <w:tab w:val="right" w:leader="dot" w:pos="9016"/>
            </w:tabs>
            <w:rPr>
              <w:noProof/>
            </w:rPr>
          </w:pPr>
          <w:hyperlink w:anchor="_Toc524011832" w:history="1">
            <w:r w:rsidR="001A7481" w:rsidRPr="001B0B8E">
              <w:rPr>
                <w:rStyle w:val="Hyperlink"/>
                <w:noProof/>
              </w:rPr>
              <w:t>Assessment outcomes and risk ratings</w:t>
            </w:r>
            <w:r w:rsidR="001A7481">
              <w:rPr>
                <w:noProof/>
                <w:webHidden/>
              </w:rPr>
              <w:tab/>
            </w:r>
            <w:r w:rsidR="001A7481">
              <w:rPr>
                <w:noProof/>
                <w:webHidden/>
              </w:rPr>
              <w:fldChar w:fldCharType="begin"/>
            </w:r>
            <w:r w:rsidR="001A7481">
              <w:rPr>
                <w:noProof/>
                <w:webHidden/>
              </w:rPr>
              <w:instrText xml:space="preserve"> PAGEREF _Toc524011832 \h </w:instrText>
            </w:r>
            <w:r w:rsidR="001A7481">
              <w:rPr>
                <w:noProof/>
                <w:webHidden/>
              </w:rPr>
            </w:r>
            <w:r w:rsidR="001A7481">
              <w:rPr>
                <w:noProof/>
                <w:webHidden/>
              </w:rPr>
              <w:fldChar w:fldCharType="separate"/>
            </w:r>
            <w:r w:rsidR="00745984">
              <w:rPr>
                <w:noProof/>
                <w:webHidden/>
              </w:rPr>
              <w:t>14</w:t>
            </w:r>
            <w:r w:rsidR="001A7481">
              <w:rPr>
                <w:noProof/>
                <w:webHidden/>
              </w:rPr>
              <w:fldChar w:fldCharType="end"/>
            </w:r>
          </w:hyperlink>
        </w:p>
        <w:p w:rsidR="001A7481" w:rsidRDefault="00EF0394">
          <w:pPr>
            <w:pStyle w:val="TOC2"/>
            <w:tabs>
              <w:tab w:val="right" w:leader="dot" w:pos="9016"/>
            </w:tabs>
            <w:rPr>
              <w:noProof/>
            </w:rPr>
          </w:pPr>
          <w:hyperlink w:anchor="_Toc524011833" w:history="1">
            <w:r w:rsidR="001A7481" w:rsidRPr="001B0B8E">
              <w:rPr>
                <w:rStyle w:val="Hyperlink"/>
                <w:noProof/>
              </w:rPr>
              <w:t>Conclusion</w:t>
            </w:r>
            <w:r w:rsidR="001A7481">
              <w:rPr>
                <w:noProof/>
                <w:webHidden/>
              </w:rPr>
              <w:tab/>
            </w:r>
            <w:r w:rsidR="001A7481">
              <w:rPr>
                <w:noProof/>
                <w:webHidden/>
              </w:rPr>
              <w:fldChar w:fldCharType="begin"/>
            </w:r>
            <w:r w:rsidR="001A7481">
              <w:rPr>
                <w:noProof/>
                <w:webHidden/>
              </w:rPr>
              <w:instrText xml:space="preserve"> PAGEREF _Toc524011833 \h </w:instrText>
            </w:r>
            <w:r w:rsidR="001A7481">
              <w:rPr>
                <w:noProof/>
                <w:webHidden/>
              </w:rPr>
            </w:r>
            <w:r w:rsidR="001A7481">
              <w:rPr>
                <w:noProof/>
                <w:webHidden/>
              </w:rPr>
              <w:fldChar w:fldCharType="separate"/>
            </w:r>
            <w:r w:rsidR="00745984">
              <w:rPr>
                <w:noProof/>
                <w:webHidden/>
              </w:rPr>
              <w:t>16</w:t>
            </w:r>
            <w:r w:rsidR="001A7481">
              <w:rPr>
                <w:noProof/>
                <w:webHidden/>
              </w:rPr>
              <w:fldChar w:fldCharType="end"/>
            </w:r>
          </w:hyperlink>
        </w:p>
        <w:p w:rsidR="001A7481" w:rsidRDefault="00EF0394">
          <w:pPr>
            <w:pStyle w:val="TOC2"/>
            <w:tabs>
              <w:tab w:val="right" w:leader="dot" w:pos="9016"/>
            </w:tabs>
            <w:rPr>
              <w:noProof/>
            </w:rPr>
          </w:pPr>
          <w:hyperlink w:anchor="_Toc524011834" w:history="1">
            <w:r w:rsidR="001A7481" w:rsidRPr="001B0B8E">
              <w:rPr>
                <w:rStyle w:val="Hyperlink"/>
                <w:noProof/>
              </w:rPr>
              <w:t>Further information</w:t>
            </w:r>
            <w:r w:rsidR="001A7481">
              <w:rPr>
                <w:noProof/>
                <w:webHidden/>
              </w:rPr>
              <w:tab/>
            </w:r>
            <w:r w:rsidR="001A7481">
              <w:rPr>
                <w:noProof/>
                <w:webHidden/>
              </w:rPr>
              <w:fldChar w:fldCharType="begin"/>
            </w:r>
            <w:r w:rsidR="001A7481">
              <w:rPr>
                <w:noProof/>
                <w:webHidden/>
              </w:rPr>
              <w:instrText xml:space="preserve"> PAGEREF _Toc524011834 \h </w:instrText>
            </w:r>
            <w:r w:rsidR="001A7481">
              <w:rPr>
                <w:noProof/>
                <w:webHidden/>
              </w:rPr>
            </w:r>
            <w:r w:rsidR="001A7481">
              <w:rPr>
                <w:noProof/>
                <w:webHidden/>
              </w:rPr>
              <w:fldChar w:fldCharType="separate"/>
            </w:r>
            <w:r w:rsidR="00745984">
              <w:rPr>
                <w:noProof/>
                <w:webHidden/>
              </w:rPr>
              <w:t>17</w:t>
            </w:r>
            <w:r w:rsidR="001A7481">
              <w:rPr>
                <w:noProof/>
                <w:webHidden/>
              </w:rPr>
              <w:fldChar w:fldCharType="end"/>
            </w:r>
          </w:hyperlink>
        </w:p>
        <w:p w:rsidR="001A7481" w:rsidRDefault="001A7481">
          <w:r>
            <w:rPr>
              <w:b/>
              <w:bCs/>
              <w:noProof/>
            </w:rPr>
            <w:fldChar w:fldCharType="end"/>
          </w:r>
        </w:p>
      </w:sdtContent>
    </w:sdt>
    <w:p w:rsidR="001A7481" w:rsidRDefault="001A7481">
      <w:pPr>
        <w:rPr>
          <w:rFonts w:asciiTheme="majorHAnsi" w:eastAsiaTheme="majorEastAsia" w:hAnsiTheme="majorHAnsi" w:cstheme="majorBidi"/>
          <w:color w:val="00847E" w:themeColor="accent1"/>
          <w:sz w:val="44"/>
          <w:szCs w:val="26"/>
        </w:rPr>
      </w:pPr>
    </w:p>
    <w:p w:rsidR="001A7481" w:rsidRDefault="001A7481" w:rsidP="00EB6960">
      <w:pPr>
        <w:pStyle w:val="Heading2"/>
        <w:sectPr w:rsidR="001A7481" w:rsidSect="001A7481">
          <w:footerReference w:type="first" r:id="rId11"/>
          <w:pgSz w:w="11906" w:h="16838"/>
          <w:pgMar w:top="1440" w:right="1440" w:bottom="964" w:left="1440" w:header="709" w:footer="709" w:gutter="0"/>
          <w:pgNumType w:start="1"/>
          <w:cols w:space="708"/>
          <w:titlePg/>
          <w:docGrid w:linePitch="360"/>
        </w:sectPr>
      </w:pPr>
      <w:bookmarkStart w:id="0" w:name="_Toc524011824"/>
    </w:p>
    <w:p w:rsidR="00EB6960" w:rsidRPr="009B6040" w:rsidRDefault="00EB6960" w:rsidP="00EB6960">
      <w:pPr>
        <w:pStyle w:val="Heading2"/>
      </w:pPr>
      <w:r w:rsidRPr="009B6040">
        <w:lastRenderedPageBreak/>
        <w:t>Introduction</w:t>
      </w:r>
      <w:bookmarkEnd w:id="0"/>
    </w:p>
    <w:p w:rsidR="009874EB" w:rsidRPr="009B6040" w:rsidRDefault="009874EB" w:rsidP="004D590A">
      <w:r w:rsidRPr="009B6040">
        <w:t xml:space="preserve">In July 2016, TEQSA released a consultation paper </w:t>
      </w:r>
      <w:r w:rsidR="0092610F" w:rsidRPr="009B6040">
        <w:t>on proposed extensions to</w:t>
      </w:r>
      <w:r w:rsidRPr="009B6040">
        <w:t xml:space="preserve"> TEQSA’s external reporting program, seeking submissions in relation to</w:t>
      </w:r>
      <w:r w:rsidR="004D590A" w:rsidRPr="009B6040">
        <w:t xml:space="preserve"> proposals for future reporting, particularly in relation to assessment outcomes and compliance with the Higher Education Standards Framework (the Standards)</w:t>
      </w:r>
      <w:r w:rsidR="00B010DD" w:rsidRPr="009B6040">
        <w:t>.</w:t>
      </w:r>
    </w:p>
    <w:p w:rsidR="00013968" w:rsidRPr="009B6040" w:rsidRDefault="00B010DD" w:rsidP="00013968">
      <w:r w:rsidRPr="009B6040">
        <w:t xml:space="preserve">Submissions were broadly supportive of high level analysis of </w:t>
      </w:r>
      <w:r w:rsidR="00013968" w:rsidRPr="009B6040">
        <w:t xml:space="preserve">areas of the Standards in relation to which issues were regularly encountered and of risk assessment outcomes and their relationship to the outcomes of assessments. In its summary report on the consultation process, TEQSA indicated it would subsequently publish a report on assessment outcomes. It is now timely, given the </w:t>
      </w:r>
      <w:r w:rsidR="00C259CA" w:rsidRPr="009B6040">
        <w:t>change to the 2015</w:t>
      </w:r>
      <w:r w:rsidR="00013968" w:rsidRPr="009B6040">
        <w:t xml:space="preserve"> Threshold Standards </w:t>
      </w:r>
      <w:r w:rsidR="00C259CA" w:rsidRPr="009B6040">
        <w:t>for applications submitted from 1 January 2017</w:t>
      </w:r>
      <w:r w:rsidR="00013968" w:rsidRPr="009B6040">
        <w:t>, to reflect on outcomes of applications submitted up to 31</w:t>
      </w:r>
      <w:r w:rsidR="00C03CA6" w:rsidRPr="009B6040">
        <w:t> </w:t>
      </w:r>
      <w:r w:rsidR="00013968" w:rsidRPr="009B6040">
        <w:t>December 2016.</w:t>
      </w:r>
    </w:p>
    <w:p w:rsidR="008A00EF" w:rsidRPr="009B6040" w:rsidRDefault="00C259CA" w:rsidP="00B22AEB">
      <w:r w:rsidRPr="009B6040">
        <w:t>This report provide</w:t>
      </w:r>
      <w:r w:rsidR="005D1AFD">
        <w:t>s</w:t>
      </w:r>
      <w:r w:rsidRPr="009B6040">
        <w:t xml:space="preserve"> an overview of </w:t>
      </w:r>
      <w:r w:rsidR="00F91122" w:rsidRPr="009B6040">
        <w:t>assessment out</w:t>
      </w:r>
      <w:r w:rsidR="00B22AEB" w:rsidRPr="009B6040">
        <w:t xml:space="preserve">comes, organised by five themes: </w:t>
      </w:r>
    </w:p>
    <w:p w:rsidR="008A00EF" w:rsidRPr="009B6040" w:rsidRDefault="00F91122" w:rsidP="00466132">
      <w:pPr>
        <w:pStyle w:val="ListParagraph"/>
        <w:numPr>
          <w:ilvl w:val="0"/>
          <w:numId w:val="25"/>
        </w:numPr>
      </w:pPr>
      <w:r w:rsidRPr="009B6040">
        <w:t>assessment outcomes by year and application type</w:t>
      </w:r>
    </w:p>
    <w:p w:rsidR="008A00EF" w:rsidRPr="009B6040" w:rsidRDefault="00B22AEB" w:rsidP="00466132">
      <w:pPr>
        <w:pStyle w:val="ListParagraph"/>
        <w:numPr>
          <w:ilvl w:val="0"/>
          <w:numId w:val="25"/>
        </w:numPr>
      </w:pPr>
      <w:r w:rsidRPr="009B6040">
        <w:t>prevalence of particular sets of issues leading to adverse assessments</w:t>
      </w:r>
    </w:p>
    <w:p w:rsidR="008A00EF" w:rsidRPr="009B6040" w:rsidRDefault="00B22AEB" w:rsidP="00466132">
      <w:pPr>
        <w:pStyle w:val="ListParagraph"/>
        <w:numPr>
          <w:ilvl w:val="0"/>
          <w:numId w:val="25"/>
        </w:numPr>
      </w:pPr>
      <w:r w:rsidRPr="009B6040">
        <w:t>differences in assessment outcomes by provider type</w:t>
      </w:r>
    </w:p>
    <w:p w:rsidR="008A00EF" w:rsidRPr="009B6040" w:rsidRDefault="00B22AEB" w:rsidP="00466132">
      <w:pPr>
        <w:pStyle w:val="ListParagraph"/>
        <w:numPr>
          <w:ilvl w:val="0"/>
          <w:numId w:val="25"/>
        </w:numPr>
      </w:pPr>
      <w:r w:rsidRPr="009B6040">
        <w:t xml:space="preserve">the time TEQSA takes to complete assessments </w:t>
      </w:r>
    </w:p>
    <w:p w:rsidR="008A00EF" w:rsidRPr="009B6040" w:rsidRDefault="00B22AEB" w:rsidP="00466132">
      <w:pPr>
        <w:pStyle w:val="ListParagraph"/>
        <w:numPr>
          <w:ilvl w:val="0"/>
          <w:numId w:val="25"/>
        </w:numPr>
      </w:pPr>
      <w:r w:rsidRPr="009B6040">
        <w:t xml:space="preserve">the relationship between risk assessments and regulatory outcomes. </w:t>
      </w:r>
    </w:p>
    <w:p w:rsidR="00F91122" w:rsidRPr="009B6040" w:rsidRDefault="00B22AEB">
      <w:r w:rsidRPr="009B6040">
        <w:t>The provider categories used in the analysis are, as proposed in the consultation paper</w:t>
      </w:r>
      <w:r w:rsidRPr="009B6040">
        <w:rPr>
          <w:rStyle w:val="FootnoteReference"/>
        </w:rPr>
        <w:footnoteReference w:id="2"/>
      </w:r>
      <w:r w:rsidRPr="009B6040">
        <w:t>:</w:t>
      </w:r>
    </w:p>
    <w:p w:rsidR="00F91122" w:rsidRPr="009B6040" w:rsidRDefault="00F91122" w:rsidP="00B22AEB">
      <w:pPr>
        <w:pStyle w:val="ListParagraph"/>
        <w:numPr>
          <w:ilvl w:val="0"/>
          <w:numId w:val="25"/>
        </w:numPr>
      </w:pPr>
      <w:r w:rsidRPr="009B6040">
        <w:t>universities</w:t>
      </w:r>
    </w:p>
    <w:p w:rsidR="00F91122" w:rsidRPr="009B6040" w:rsidRDefault="00F91122" w:rsidP="00B22AEB">
      <w:pPr>
        <w:pStyle w:val="ListParagraph"/>
        <w:numPr>
          <w:ilvl w:val="0"/>
          <w:numId w:val="25"/>
        </w:numPr>
      </w:pPr>
      <w:r w:rsidRPr="009B6040">
        <w:t>higher education providers</w:t>
      </w:r>
      <w:r w:rsidR="000D48CC" w:rsidRPr="009B6040">
        <w:t>—</w:t>
      </w:r>
      <w:r w:rsidRPr="009B6040">
        <w:t>for-profit</w:t>
      </w:r>
    </w:p>
    <w:p w:rsidR="00D824BA" w:rsidRPr="009B6040" w:rsidRDefault="00F91122" w:rsidP="00E45CB1">
      <w:pPr>
        <w:pStyle w:val="ListParagraph"/>
        <w:numPr>
          <w:ilvl w:val="0"/>
          <w:numId w:val="25"/>
        </w:numPr>
      </w:pPr>
      <w:r w:rsidRPr="009B6040">
        <w:t>higher education providers</w:t>
      </w:r>
      <w:r w:rsidR="000D48CC" w:rsidRPr="009B6040">
        <w:t>—</w:t>
      </w:r>
      <w:r w:rsidRPr="009B6040">
        <w:t>not-for-profit (divided by TAFE, faith-based and ‘other’ providers)</w:t>
      </w:r>
      <w:r w:rsidR="008A00EF" w:rsidRPr="009B6040">
        <w:t>.</w:t>
      </w:r>
    </w:p>
    <w:p w:rsidR="00510EFC" w:rsidRPr="009B6040" w:rsidRDefault="00124503" w:rsidP="00381D7C">
      <w:r w:rsidRPr="009B6040">
        <w:t>A</w:t>
      </w:r>
      <w:r w:rsidR="00510EFC" w:rsidRPr="009B6040">
        <w:t xml:space="preserve"> range of regulatory outcomes </w:t>
      </w:r>
      <w:r w:rsidR="005D1AFD">
        <w:t>are</w:t>
      </w:r>
      <w:r w:rsidR="005D1AFD" w:rsidRPr="009B6040">
        <w:t xml:space="preserve"> </w:t>
      </w:r>
      <w:r w:rsidR="00510EFC" w:rsidRPr="009B6040">
        <w:t>characterised as ‘adverse’ in this paper</w:t>
      </w:r>
      <w:r w:rsidRPr="009B6040">
        <w:t xml:space="preserve">. Around </w:t>
      </w:r>
      <w:r w:rsidR="00BD15FD" w:rsidRPr="009B6040">
        <w:t>25</w:t>
      </w:r>
      <w:r w:rsidRPr="009B6040">
        <w:t> per cent</w:t>
      </w:r>
      <w:r w:rsidR="00BD15FD" w:rsidRPr="009B6040">
        <w:t xml:space="preserve"> </w:t>
      </w:r>
      <w:r w:rsidRPr="009B6040">
        <w:t xml:space="preserve">of adverse decisions </w:t>
      </w:r>
      <w:r w:rsidR="00510EFC" w:rsidRPr="009B6040">
        <w:t>are outright rejections of an application</w:t>
      </w:r>
      <w:r w:rsidRPr="009B6040">
        <w:t>—the remainder involve some combination of conditions and reduced period of provider registration or course accreditation</w:t>
      </w:r>
      <w:r w:rsidR="00BD15FD" w:rsidRPr="009B6040">
        <w:t>.</w:t>
      </w:r>
      <w:r w:rsidRPr="009B6040">
        <w:t xml:space="preserve"> </w:t>
      </w:r>
      <w:r w:rsidR="008A00EF" w:rsidRPr="009B6040">
        <w:t>This means that</w:t>
      </w:r>
      <w:r w:rsidRPr="009B6040">
        <w:t>, in around 75 per cent of adverse cases, TEQSA has approved the application with some form of sanction</w:t>
      </w:r>
      <w:r w:rsidR="008A00EF" w:rsidRPr="009B6040">
        <w:t>. T</w:t>
      </w:r>
      <w:r w:rsidRPr="009B6040">
        <w:t>his</w:t>
      </w:r>
      <w:r w:rsidR="008A00EF" w:rsidRPr="009B6040">
        <w:t xml:space="preserve"> approach</w:t>
      </w:r>
      <w:r w:rsidRPr="009B6040">
        <w:t xml:space="preserve"> gives providers notice that TEQSA considers some form of improvement to be necessary, while allowing</w:t>
      </w:r>
      <w:r w:rsidR="00B34D5C" w:rsidRPr="009B6040">
        <w:t xml:space="preserve"> reasonable</w:t>
      </w:r>
      <w:r w:rsidRPr="009B6040">
        <w:t xml:space="preserve"> opportunit</w:t>
      </w:r>
      <w:r w:rsidR="00B34D5C" w:rsidRPr="009B6040">
        <w:t>y</w:t>
      </w:r>
      <w:r w:rsidRPr="009B6040">
        <w:t xml:space="preserve"> for providers to make improvements.</w:t>
      </w:r>
    </w:p>
    <w:p w:rsidR="00F568C9" w:rsidRPr="009B6040" w:rsidRDefault="00F568C9">
      <w:pPr>
        <w:rPr>
          <w:rFonts w:asciiTheme="majorHAnsi" w:eastAsiaTheme="majorEastAsia" w:hAnsiTheme="majorHAnsi" w:cstheme="majorBidi"/>
          <w:color w:val="00847E" w:themeColor="accent1"/>
          <w:sz w:val="44"/>
          <w:szCs w:val="26"/>
        </w:rPr>
      </w:pPr>
      <w:r w:rsidRPr="009B6040">
        <w:br w:type="page"/>
      </w:r>
    </w:p>
    <w:p w:rsidR="007539A6" w:rsidRPr="009B6040" w:rsidRDefault="000B04BC" w:rsidP="007539A6">
      <w:pPr>
        <w:pStyle w:val="Heading2"/>
      </w:pPr>
      <w:bookmarkStart w:id="1" w:name="_Toc524011825"/>
      <w:r w:rsidRPr="009B6040">
        <w:lastRenderedPageBreak/>
        <w:t>Methodology</w:t>
      </w:r>
      <w:bookmarkEnd w:id="1"/>
    </w:p>
    <w:p w:rsidR="00F123FC" w:rsidRPr="009B6040" w:rsidRDefault="00A4580D" w:rsidP="000B04BC">
      <w:r w:rsidRPr="009B6040">
        <w:t>Assessments included in this report include all course accreditation, course re-accreditation, provider registration and provider renewal of registration assessments that led to final decision being made in the years 2013 to 2017. Where an assessment is referenced in relation to a year, that year is the year of decision. Throughout the report, a ‘provider assessment’ refers to a provider registration or renewal of registration assessment and a ‘course assessment’ refers to a course accreditation or renewal of accreditation assessment.</w:t>
      </w:r>
    </w:p>
    <w:p w:rsidR="00330F53" w:rsidRPr="009B6040" w:rsidRDefault="00330F53" w:rsidP="000B04BC">
      <w:r w:rsidRPr="009B6040">
        <w:t>All of the assessments described in this report were conducted in relation to the 2011 Threshold Standards which, although not applied to</w:t>
      </w:r>
      <w:r w:rsidR="00F123FC" w:rsidRPr="009B6040">
        <w:t xml:space="preserve"> new assessments from January 1 </w:t>
      </w:r>
      <w:r w:rsidRPr="009B6040">
        <w:t xml:space="preserve">2017, remained applicable to any assessments conducted on applications received prior to </w:t>
      </w:r>
      <w:r w:rsidR="00A4580D" w:rsidRPr="009B6040">
        <w:t xml:space="preserve">that </w:t>
      </w:r>
      <w:r w:rsidRPr="009B6040">
        <w:t>date</w:t>
      </w:r>
      <w:r w:rsidR="00004704" w:rsidRPr="009B6040">
        <w:t>, including those finalised in 2017.</w:t>
      </w:r>
    </w:p>
    <w:p w:rsidR="00647780" w:rsidRPr="009B6040" w:rsidRDefault="00A4580D" w:rsidP="000B04BC">
      <w:r w:rsidRPr="009B6040">
        <w:t>The analysis</w:t>
      </w:r>
      <w:r w:rsidR="00647780" w:rsidRPr="009B6040">
        <w:t xml:space="preserve"> </w:t>
      </w:r>
      <w:r w:rsidR="00CE1394" w:rsidRPr="009B6040">
        <w:t xml:space="preserve">provides </w:t>
      </w:r>
      <w:r w:rsidR="00647780" w:rsidRPr="009B6040">
        <w:t xml:space="preserve">an account of past assessment outcomes </w:t>
      </w:r>
      <w:r w:rsidR="005D1AFD">
        <w:t>completed</w:t>
      </w:r>
      <w:r w:rsidR="00647780" w:rsidRPr="009B6040">
        <w:t xml:space="preserve"> under the Higher Education Standards Framework</w:t>
      </w:r>
      <w:r w:rsidR="00891116" w:rsidRPr="009B6040">
        <w:t xml:space="preserve"> 2011</w:t>
      </w:r>
      <w:r w:rsidR="00647780" w:rsidRPr="009B6040">
        <w:t>, in accordance with TEQSA assessment practices current at the time each assessment was made.</w:t>
      </w:r>
    </w:p>
    <w:p w:rsidR="00B71B5A" w:rsidRPr="009B6040" w:rsidRDefault="000B04BC" w:rsidP="000B04BC">
      <w:r w:rsidRPr="009B6040">
        <w:t>Throughout the paper, a reference to an ‘adverse’ decision, unless otherwise specified, means a decision to reject an application, to approve an application for less than seven years, or to approve an application with conditions.</w:t>
      </w:r>
      <w:r w:rsidR="00330F53" w:rsidRPr="009B6040">
        <w:t xml:space="preserve"> </w:t>
      </w:r>
      <w:r w:rsidR="00033FE9" w:rsidRPr="009B6040">
        <w:t>Consequently, the meaning of ‘adverse’ encompasses a range of severity</w:t>
      </w:r>
      <w:r w:rsidR="005D1AFD">
        <w:t xml:space="preserve"> or sanctions</w:t>
      </w:r>
      <w:r w:rsidR="00033FE9" w:rsidRPr="009B6040">
        <w:t xml:space="preserve">, and so should not be understood as indicating that a provider was found </w:t>
      </w:r>
      <w:r w:rsidR="00891116" w:rsidRPr="009B6040">
        <w:t xml:space="preserve">actually </w:t>
      </w:r>
      <w:r w:rsidR="00033FE9" w:rsidRPr="009B6040">
        <w:t>non-compliant</w:t>
      </w:r>
      <w:r w:rsidR="00891116" w:rsidRPr="009B6040">
        <w:t>. A</w:t>
      </w:r>
      <w:r w:rsidR="00033FE9" w:rsidRPr="009B6040">
        <w:t xml:space="preserve">pplication of a condition or a shortened period of registration or accreditation has in general </w:t>
      </w:r>
      <w:r w:rsidR="00891116" w:rsidRPr="009B6040">
        <w:t>occurred</w:t>
      </w:r>
      <w:r w:rsidR="00033FE9" w:rsidRPr="009B6040">
        <w:t xml:space="preserve"> where a provider has been found compliant but with a substantial risk of non-compliance.</w:t>
      </w:r>
    </w:p>
    <w:p w:rsidR="00510EFC" w:rsidRPr="009B6040" w:rsidRDefault="00B71B5A" w:rsidP="000B04BC">
      <w:r w:rsidRPr="009B6040">
        <w:t xml:space="preserve">The data underpinning analysis include regulatory assessment outcomes from 2013 to 2017, and risk assessments from 2014 to 2017. </w:t>
      </w:r>
      <w:r w:rsidR="00891116" w:rsidRPr="009B6040">
        <w:t>I</w:t>
      </w:r>
      <w:r w:rsidR="00510EFC" w:rsidRPr="009B6040">
        <w:t>n this paper</w:t>
      </w:r>
      <w:r w:rsidR="00891116" w:rsidRPr="009B6040">
        <w:t>,</w:t>
      </w:r>
      <w:r w:rsidR="00510EFC" w:rsidRPr="009B6040">
        <w:t xml:space="preserve"> reference to risk rating means the rating of a provider in terms of </w:t>
      </w:r>
      <w:r w:rsidR="00891116" w:rsidRPr="009B6040">
        <w:t xml:space="preserve">overall </w:t>
      </w:r>
      <w:r w:rsidR="00510EFC" w:rsidRPr="009B6040">
        <w:t>risk to students</w:t>
      </w:r>
      <w:r w:rsidR="00891116" w:rsidRPr="009B6040">
        <w:t xml:space="preserve"> (</w:t>
      </w:r>
      <w:r w:rsidR="00510EFC" w:rsidRPr="009B6040">
        <w:t>i.e. not taking into account financial risk.</w:t>
      </w:r>
      <w:r w:rsidR="00891116" w:rsidRPr="009B6040">
        <w:t>)</w:t>
      </w:r>
    </w:p>
    <w:p w:rsidR="000B04BC" w:rsidRPr="009B6040" w:rsidRDefault="00B71B5A" w:rsidP="000B04BC">
      <w:r w:rsidRPr="009B6040">
        <w:t xml:space="preserve">Assessment decision times are calculated from the substantive assessment start date </w:t>
      </w:r>
      <w:r w:rsidR="00764F57" w:rsidRPr="009B6040">
        <w:t xml:space="preserve">(complete application submitted and fee paid) </w:t>
      </w:r>
      <w:r w:rsidR="005E4F27" w:rsidRPr="009B6040">
        <w:t xml:space="preserve">where available, or otherwise from the application received date, </w:t>
      </w:r>
      <w:r w:rsidRPr="009B6040">
        <w:t>to the date of first decision</w:t>
      </w:r>
      <w:r w:rsidR="008B682D" w:rsidRPr="009B6040">
        <w:t xml:space="preserve"> by the TEQSA Commission or its delegate</w:t>
      </w:r>
      <w:r w:rsidR="00891116" w:rsidRPr="009B6040">
        <w:t>. D</w:t>
      </w:r>
      <w:r w:rsidRPr="009B6040">
        <w:t>ecision times associated with any subsequent internal or external reviews are not included.</w:t>
      </w:r>
    </w:p>
    <w:p w:rsidR="000F7D92" w:rsidRPr="009B6040" w:rsidRDefault="000F7D92" w:rsidP="000B04BC">
      <w:r w:rsidRPr="009B6040">
        <w:t xml:space="preserve">In general, comparisons </w:t>
      </w:r>
      <w:r w:rsidR="008B682D" w:rsidRPr="009B6040">
        <w:t>are</w:t>
      </w:r>
      <w:r w:rsidRPr="009B6040">
        <w:t xml:space="preserve"> made in terms of proportions rather than counts, as the differences</w:t>
      </w:r>
      <w:r w:rsidR="001F2543" w:rsidRPr="009B6040">
        <w:t xml:space="preserve"> in numbers of providers of each</w:t>
      </w:r>
      <w:r w:rsidRPr="009B6040">
        <w:t xml:space="preserve"> type and risk category means comparisons of counts c</w:t>
      </w:r>
      <w:r w:rsidR="00152617" w:rsidRPr="009B6040">
        <w:t>an be misleading</w:t>
      </w:r>
      <w:r w:rsidR="008B682D" w:rsidRPr="009B6040">
        <w:t>. C</w:t>
      </w:r>
      <w:r w:rsidR="00152617" w:rsidRPr="009B6040">
        <w:t>oun</w:t>
      </w:r>
      <w:r w:rsidR="00453844" w:rsidRPr="009B6040">
        <w:t xml:space="preserve">ts </w:t>
      </w:r>
      <w:r w:rsidR="008B682D" w:rsidRPr="009B6040">
        <w:t>are</w:t>
      </w:r>
      <w:r w:rsidR="00453844" w:rsidRPr="009B6040">
        <w:t xml:space="preserve"> provided where this may assist interpretation.</w:t>
      </w:r>
    </w:p>
    <w:p w:rsidR="0080406D" w:rsidRPr="009B6040" w:rsidRDefault="00BC7C12" w:rsidP="00466132">
      <w:r w:rsidRPr="009B6040">
        <w:t xml:space="preserve">In some sections, specific groupings of assessments or providers </w:t>
      </w:r>
      <w:r w:rsidR="005D1AFD">
        <w:t>are</w:t>
      </w:r>
      <w:r w:rsidRPr="009B6040">
        <w:t xml:space="preserve"> excluded from analysis.</w:t>
      </w:r>
      <w:r w:rsidR="0022136B" w:rsidRPr="009B6040">
        <w:t xml:space="preserve"> For example, </w:t>
      </w:r>
      <w:r w:rsidRPr="009B6040">
        <w:t xml:space="preserve">where </w:t>
      </w:r>
      <w:r w:rsidR="00410A4F" w:rsidRPr="009B6040">
        <w:t xml:space="preserve">analysis relates to risk assessments, only assessments decided from 2014 </w:t>
      </w:r>
      <w:r w:rsidR="005D1AFD">
        <w:t>are</w:t>
      </w:r>
      <w:r w:rsidR="00410A4F" w:rsidRPr="009B6040">
        <w:t xml:space="preserve"> included, as 2014 was the first year of TEQSA’s current risk framework.</w:t>
      </w:r>
      <w:r w:rsidR="0022136B" w:rsidRPr="009B6040">
        <w:t xml:space="preserve"> Any other exclusions</w:t>
      </w:r>
      <w:r w:rsidRPr="009B6040">
        <w:t xml:space="preserve"> will be noted</w:t>
      </w:r>
      <w:r w:rsidR="0022136B" w:rsidRPr="009B6040">
        <w:t xml:space="preserve"> explicitly</w:t>
      </w:r>
      <w:r w:rsidRPr="009B6040">
        <w:t>—otherwise, all providers and all assessments are included</w:t>
      </w:r>
      <w:r w:rsidR="0022136B" w:rsidRPr="009B6040">
        <w:t xml:space="preserve"> in each analysis</w:t>
      </w:r>
      <w:r w:rsidRPr="009B6040">
        <w:t>.</w:t>
      </w:r>
    </w:p>
    <w:p w:rsidR="00A647F5" w:rsidRPr="009B6040" w:rsidRDefault="00A647F5">
      <w:pPr>
        <w:rPr>
          <w:rFonts w:asciiTheme="majorHAnsi" w:eastAsiaTheme="majorEastAsia" w:hAnsiTheme="majorHAnsi" w:cstheme="majorBidi"/>
          <w:color w:val="00847E" w:themeColor="accent1"/>
          <w:sz w:val="44"/>
          <w:szCs w:val="26"/>
        </w:rPr>
      </w:pPr>
      <w:r w:rsidRPr="009B6040">
        <w:br w:type="page"/>
      </w:r>
    </w:p>
    <w:p w:rsidR="0067481C" w:rsidRPr="009B6040" w:rsidRDefault="00EA461D" w:rsidP="0067481C">
      <w:pPr>
        <w:pStyle w:val="Heading2"/>
      </w:pPr>
      <w:bookmarkStart w:id="2" w:name="_Toc524011826"/>
      <w:r w:rsidRPr="009B6040">
        <w:lastRenderedPageBreak/>
        <w:t>Findings and discussion</w:t>
      </w:r>
      <w:bookmarkEnd w:id="2"/>
    </w:p>
    <w:tbl>
      <w:tblPr>
        <w:tblStyle w:val="TableGrid"/>
        <w:tblW w:w="0" w:type="auto"/>
        <w:tblLook w:val="04A0" w:firstRow="1" w:lastRow="0" w:firstColumn="1" w:lastColumn="0" w:noHBand="0" w:noVBand="1"/>
      </w:tblPr>
      <w:tblGrid>
        <w:gridCol w:w="9016"/>
      </w:tblGrid>
      <w:tr w:rsidR="00A647F5" w:rsidRPr="009B6040" w:rsidTr="00A647F5">
        <w:tc>
          <w:tcPr>
            <w:tcW w:w="9016" w:type="dxa"/>
          </w:tcPr>
          <w:p w:rsidR="00A647F5" w:rsidRPr="009B6040" w:rsidRDefault="00A647F5" w:rsidP="00466132">
            <w:pPr>
              <w:pStyle w:val="Heading3"/>
              <w:outlineLvl w:val="2"/>
            </w:pPr>
            <w:bookmarkStart w:id="3" w:name="_Toc524011827"/>
            <w:r w:rsidRPr="009B6040">
              <w:t>Overview</w:t>
            </w:r>
            <w:bookmarkEnd w:id="3"/>
          </w:p>
          <w:p w:rsidR="00A647F5" w:rsidRPr="009B6040" w:rsidRDefault="00A647F5" w:rsidP="00A647F5">
            <w:pPr>
              <w:pStyle w:val="ListParagraph"/>
              <w:numPr>
                <w:ilvl w:val="0"/>
                <w:numId w:val="28"/>
              </w:numPr>
              <w:contextualSpacing w:val="0"/>
            </w:pPr>
            <w:r w:rsidRPr="009B6040">
              <w:t>There was a major increase in the number of initial registration applications received by TEQSA in 2016 and 2017</w:t>
            </w:r>
            <w:r w:rsidR="000545E7" w:rsidRPr="009B6040">
              <w:t>. However, in</w:t>
            </w:r>
            <w:r w:rsidRPr="009B6040">
              <w:t xml:space="preserve"> spite of </w:t>
            </w:r>
            <w:r w:rsidR="006F3EE8" w:rsidRPr="009B6040">
              <w:t>the</w:t>
            </w:r>
            <w:r w:rsidRPr="009B6040">
              <w:t xml:space="preserve"> increase in applications, the number of approvals in 2017 remained consistent with yearly approval numbers since TEQSA’s inception.</w:t>
            </w:r>
          </w:p>
          <w:p w:rsidR="00A647F5" w:rsidRPr="009B6040" w:rsidRDefault="00A647F5" w:rsidP="00A647F5">
            <w:pPr>
              <w:pStyle w:val="ListParagraph"/>
              <w:numPr>
                <w:ilvl w:val="0"/>
                <w:numId w:val="28"/>
              </w:numPr>
              <w:contextualSpacing w:val="0"/>
            </w:pPr>
            <w:r w:rsidRPr="009B6040">
              <w:t xml:space="preserve">Issues referenced as the reasons for adverse decisions were focused, in registrations and re-registrations, on corporate and academic governance and on human resources and management. In course accreditations and re-accreditations, adverse decisions were focused on assessment, course design and teaching and learning. TEQSA has published guidance notes relevant to each of these areas (guidance notes can be found at </w:t>
            </w:r>
            <w:hyperlink r:id="rId12" w:history="1">
              <w:r w:rsidRPr="009B6040">
                <w:rPr>
                  <w:rStyle w:val="Hyperlink"/>
                </w:rPr>
                <w:t>https://www.teqsa.gov.au/guidance-notes</w:t>
              </w:r>
            </w:hyperlink>
            <w:r w:rsidRPr="009B6040">
              <w:t>).</w:t>
            </w:r>
          </w:p>
          <w:p w:rsidR="00A647F5" w:rsidRPr="009B6040" w:rsidRDefault="00A647F5" w:rsidP="00A647F5">
            <w:pPr>
              <w:pStyle w:val="ListParagraph"/>
              <w:numPr>
                <w:ilvl w:val="0"/>
                <w:numId w:val="28"/>
              </w:numPr>
              <w:contextualSpacing w:val="0"/>
            </w:pPr>
            <w:r w:rsidRPr="009B6040">
              <w:t xml:space="preserve">Up to the end of 2017, no university had been subject to an adverse TEQSA decision. Of the remaining provider groups, for-profit providers were most likely to be subject to adverse </w:t>
            </w:r>
            <w:r w:rsidR="005D1AFD">
              <w:t>decisions</w:t>
            </w:r>
            <w:r w:rsidRPr="009B6040">
              <w:t>, followed by TAFE and not-for-profit faith based, with providers in the not-for-profit (other) category least likely to be subject to an adverse decision. Differences were more clear in relation to registrations and renewals of registrations than accreditations and renewals of accreditation.</w:t>
            </w:r>
          </w:p>
          <w:p w:rsidR="00A647F5" w:rsidRPr="009B6040" w:rsidRDefault="00A647F5" w:rsidP="00A647F5">
            <w:pPr>
              <w:pStyle w:val="ListParagraph"/>
              <w:numPr>
                <w:ilvl w:val="0"/>
                <w:numId w:val="28"/>
              </w:numPr>
              <w:contextualSpacing w:val="0"/>
            </w:pPr>
            <w:r w:rsidRPr="009B6040">
              <w:t>The time that TEQSA takes to reach a decision is associated with the outcome of an assessment—adverse decisions take longer to make.</w:t>
            </w:r>
          </w:p>
          <w:p w:rsidR="00A647F5" w:rsidRPr="009B6040" w:rsidRDefault="00A647F5" w:rsidP="00466132">
            <w:pPr>
              <w:pStyle w:val="ListParagraph"/>
              <w:numPr>
                <w:ilvl w:val="0"/>
                <w:numId w:val="28"/>
              </w:numPr>
              <w:contextualSpacing w:val="0"/>
            </w:pPr>
            <w:r w:rsidRPr="009B6040">
              <w:t xml:space="preserve">While there is a close association between risk ratings and regulatory outcomes, the relationship is not determinative—providers assessed </w:t>
            </w:r>
            <w:r w:rsidR="00797CBE" w:rsidRPr="009B6040">
              <w:t xml:space="preserve">as </w:t>
            </w:r>
            <w:r w:rsidRPr="009B6040">
              <w:t xml:space="preserve">‘high risk’ will not necessarily be subject to adverse decisions, and providers assessed </w:t>
            </w:r>
            <w:r w:rsidR="00797CBE" w:rsidRPr="009B6040">
              <w:t xml:space="preserve">as </w:t>
            </w:r>
            <w:r w:rsidRPr="009B6040">
              <w:t xml:space="preserve">‘low risk’ will receive adverse decisions on applications where evidence indicates non-compliance or a </w:t>
            </w:r>
            <w:r w:rsidR="005D1AFD">
              <w:t xml:space="preserve">substantial </w:t>
            </w:r>
            <w:r w:rsidRPr="009B6040">
              <w:t>risk of non-compliance.</w:t>
            </w:r>
            <w:r w:rsidRPr="009B6040">
              <w:br w:type="page"/>
            </w:r>
          </w:p>
          <w:p w:rsidR="00A647F5" w:rsidRPr="009B6040" w:rsidRDefault="00A647F5" w:rsidP="00466132"/>
        </w:tc>
      </w:tr>
    </w:tbl>
    <w:p w:rsidR="00A647F5" w:rsidRPr="009B6040" w:rsidRDefault="00A647F5" w:rsidP="0067481C">
      <w:pPr>
        <w:pStyle w:val="Heading3"/>
      </w:pPr>
    </w:p>
    <w:p w:rsidR="00A647F5" w:rsidRPr="009B6040" w:rsidRDefault="00A647F5">
      <w:pPr>
        <w:rPr>
          <w:rFonts w:asciiTheme="majorHAnsi" w:eastAsiaTheme="majorEastAsia" w:hAnsiTheme="majorHAnsi" w:cstheme="majorBidi"/>
          <w:color w:val="00847E" w:themeColor="accent1"/>
          <w:sz w:val="32"/>
          <w:szCs w:val="24"/>
        </w:rPr>
      </w:pPr>
      <w:r w:rsidRPr="009B6040">
        <w:br w:type="page"/>
      </w:r>
    </w:p>
    <w:p w:rsidR="00745984" w:rsidRDefault="00B44293">
      <w:bookmarkStart w:id="4" w:name="_Toc524011828"/>
      <w:r>
        <w:rPr>
          <w:noProof/>
          <w:lang w:eastAsia="en-AU"/>
        </w:rPr>
        <w:lastRenderedPageBreak/>
        <w:drawing>
          <wp:inline distT="0" distB="0" distL="0" distR="0" wp14:anchorId="6B04195D" wp14:editId="174DF9E7">
            <wp:extent cx="5731510" cy="810704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ssment-insights-2018-infographic.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r w:rsidR="00745984">
        <w:br w:type="page"/>
      </w:r>
    </w:p>
    <w:p w:rsidR="00B44293" w:rsidRDefault="00B44293">
      <w:pPr>
        <w:rPr>
          <w:rFonts w:asciiTheme="majorHAnsi" w:eastAsiaTheme="majorEastAsia" w:hAnsiTheme="majorHAnsi" w:cstheme="majorBidi"/>
          <w:color w:val="00847E" w:themeColor="accent1"/>
          <w:sz w:val="32"/>
          <w:szCs w:val="24"/>
        </w:rPr>
      </w:pPr>
    </w:p>
    <w:p w:rsidR="00FD63E3" w:rsidRPr="009B6040" w:rsidRDefault="00A647F5" w:rsidP="0067481C">
      <w:pPr>
        <w:pStyle w:val="Heading3"/>
      </w:pPr>
      <w:r w:rsidRPr="009B6040">
        <w:t>A</w:t>
      </w:r>
      <w:r w:rsidR="00FD63E3" w:rsidRPr="009B6040">
        <w:t>ssessments by year</w:t>
      </w:r>
      <w:bookmarkEnd w:id="4"/>
    </w:p>
    <w:p w:rsidR="00F94252" w:rsidRPr="009B6040" w:rsidRDefault="00F94252" w:rsidP="0067481C">
      <w:pPr>
        <w:pStyle w:val="Heading4"/>
      </w:pPr>
      <w:r w:rsidRPr="009B6040">
        <w:t>Existing providers</w:t>
      </w:r>
    </w:p>
    <w:p w:rsidR="00C40CE0" w:rsidRPr="009B6040" w:rsidRDefault="00AF6C21" w:rsidP="00C40CE0">
      <w:r w:rsidRPr="009B6040">
        <w:t>The proportion of TEQSA’s assessment</w:t>
      </w:r>
      <w:r w:rsidR="00137BC5" w:rsidRPr="009B6040">
        <w:t>s of existing providers that le</w:t>
      </w:r>
      <w:r w:rsidRPr="009B6040">
        <w:t xml:space="preserve">d to an adverse decision </w:t>
      </w:r>
      <w:r w:rsidR="00137BC5" w:rsidRPr="009B6040">
        <w:t>was</w:t>
      </w:r>
      <w:r w:rsidRPr="009B6040">
        <w:t xml:space="preserve"> closely related to the extent to which these assessments </w:t>
      </w:r>
      <w:r w:rsidR="00137BC5" w:rsidRPr="009B6040">
        <w:t>we</w:t>
      </w:r>
      <w:r w:rsidRPr="009B6040">
        <w:t xml:space="preserve">re of </w:t>
      </w:r>
      <w:r w:rsidR="006367E5" w:rsidRPr="009B6040">
        <w:t xml:space="preserve">providers with a </w:t>
      </w:r>
      <w:r w:rsidRPr="009B6040">
        <w:t xml:space="preserve">high or low risk </w:t>
      </w:r>
      <w:r w:rsidR="006367E5" w:rsidRPr="009B6040">
        <w:t>rating</w:t>
      </w:r>
      <w:r w:rsidRPr="009B6040">
        <w:t xml:space="preserve">. </w:t>
      </w:r>
      <w:r w:rsidR="00DD1D84" w:rsidRPr="009B6040">
        <w:t xml:space="preserve">However, because the proportions of assessments relating to high or low risk </w:t>
      </w:r>
      <w:r w:rsidR="006367E5" w:rsidRPr="009B6040">
        <w:t xml:space="preserve">rated </w:t>
      </w:r>
      <w:r w:rsidR="00DD1D84" w:rsidRPr="009B6040">
        <w:t xml:space="preserve">providers </w:t>
      </w:r>
      <w:r w:rsidR="005D48DF" w:rsidRPr="009B6040">
        <w:t xml:space="preserve">has </w:t>
      </w:r>
      <w:r w:rsidR="00DD1D84" w:rsidRPr="009B6040">
        <w:t>varie</w:t>
      </w:r>
      <w:r w:rsidR="005D48DF" w:rsidRPr="009B6040">
        <w:t>d</w:t>
      </w:r>
      <w:r w:rsidR="00DD1D84" w:rsidRPr="009B6040">
        <w:t xml:space="preserve"> over time, this relationship c</w:t>
      </w:r>
      <w:r w:rsidR="00137BC5" w:rsidRPr="009B6040">
        <w:t>ould</w:t>
      </w:r>
      <w:r w:rsidR="00DD1D84" w:rsidRPr="009B6040">
        <w:t xml:space="preserve"> lead to the</w:t>
      </w:r>
      <w:r w:rsidR="005D48DF" w:rsidRPr="009B6040">
        <w:t xml:space="preserve"> incorrect</w:t>
      </w:r>
      <w:r w:rsidR="00DD1D84" w:rsidRPr="009B6040">
        <w:t xml:space="preserve"> </w:t>
      </w:r>
      <w:r w:rsidR="00137BC5" w:rsidRPr="009B6040">
        <w:t>interpretation</w:t>
      </w:r>
      <w:r w:rsidR="00DD1D84" w:rsidRPr="009B6040">
        <w:t xml:space="preserve"> of trends, or otherwise of volatility, in relation to TEQSA’s decision making considered</w:t>
      </w:r>
      <w:r w:rsidR="00144081" w:rsidRPr="009B6040">
        <w:t xml:space="preserve"> over time.</w:t>
      </w:r>
      <w:r w:rsidR="0039504C" w:rsidRPr="009B6040">
        <w:t xml:space="preserve"> It should be noted that TEQSA does not make regulatory decisions on the basis of a risk rating. </w:t>
      </w:r>
      <w:r w:rsidR="00482E3C" w:rsidRPr="009B6040">
        <w:t>While a provider’s risk rating does inform TEQSA’s initial scoping of an assessment, and may inform the level of attention TEQSA gives a provider, decisions on applications submitted by providers are made on the basis of evidence that providers do or do not meet the Standards.</w:t>
      </w:r>
    </w:p>
    <w:p w:rsidR="008E1637" w:rsidRPr="009B6040" w:rsidRDefault="008E1637" w:rsidP="008E1637">
      <w:pPr>
        <w:pStyle w:val="Heading5"/>
      </w:pPr>
      <w:r w:rsidRPr="009B6040">
        <w:t>Risk balance</w:t>
      </w:r>
    </w:p>
    <w:p w:rsidR="00DD1D84" w:rsidRPr="009B6040" w:rsidRDefault="00F80C93" w:rsidP="00C40CE0">
      <w:r w:rsidRPr="009B6040">
        <w:rPr>
          <w:b/>
        </w:rPr>
        <w:t>Figure 1</w:t>
      </w:r>
      <w:r w:rsidRPr="009B6040">
        <w:t xml:space="preserve"> shows </w:t>
      </w:r>
      <w:r w:rsidR="00031595" w:rsidRPr="009B6040">
        <w:t xml:space="preserve">the </w:t>
      </w:r>
      <w:r w:rsidR="00C40CE0" w:rsidRPr="009B6040">
        <w:t>proportion</w:t>
      </w:r>
      <w:r w:rsidR="00031595" w:rsidRPr="009B6040">
        <w:t xml:space="preserve"> of adverse </w:t>
      </w:r>
      <w:r w:rsidR="00EA461D" w:rsidRPr="009B6040">
        <w:t>(</w:t>
      </w:r>
      <w:r w:rsidR="00031595" w:rsidRPr="009B6040">
        <w:t>re-registration, accreditation and re-accreditation</w:t>
      </w:r>
      <w:r w:rsidR="00EA461D" w:rsidRPr="009B6040">
        <w:t>)</w:t>
      </w:r>
      <w:r w:rsidR="00031595" w:rsidRPr="009B6040">
        <w:t xml:space="preserve"> decisions on applications by existing providers in half-yearly periods from 2014 th</w:t>
      </w:r>
      <w:r w:rsidR="00F9325D" w:rsidRPr="009B6040">
        <w:t>r</w:t>
      </w:r>
      <w:r w:rsidR="00031595" w:rsidRPr="009B6040">
        <w:t>ough 2017</w:t>
      </w:r>
      <w:r w:rsidR="00137BC5" w:rsidRPr="009B6040">
        <w:t>,</w:t>
      </w:r>
      <w:r w:rsidR="00C40CE0" w:rsidRPr="009B6040">
        <w:t xml:space="preserve"> along with a proportional measure we have termed ‘risk balance</w:t>
      </w:r>
      <w:r w:rsidR="001E0D8D" w:rsidRPr="009B6040">
        <w:t>’</w:t>
      </w:r>
      <w:r w:rsidR="00947C8B" w:rsidRPr="009B6040">
        <w:t>.</w:t>
      </w:r>
      <w:r w:rsidR="00C40CE0" w:rsidRPr="009B6040">
        <w:t xml:space="preserve"> We giv</w:t>
      </w:r>
      <w:r w:rsidR="001E0D8D" w:rsidRPr="009B6040">
        <w:t>e the name risk balance</w:t>
      </w:r>
      <w:r w:rsidR="00C40CE0" w:rsidRPr="009B6040">
        <w:t xml:space="preserve"> to a measure of the extent to which the assessments in a given period </w:t>
      </w:r>
      <w:r w:rsidR="00BF00FE" w:rsidRPr="009B6040">
        <w:t>are concentrated on</w:t>
      </w:r>
      <w:r w:rsidR="006367E5" w:rsidRPr="009B6040">
        <w:t xml:space="preserve"> </w:t>
      </w:r>
      <w:r w:rsidR="00C40CE0" w:rsidRPr="009B6040">
        <w:t>high risk or low risk</w:t>
      </w:r>
      <w:r w:rsidR="006367E5" w:rsidRPr="009B6040">
        <w:t xml:space="preserve"> rated</w:t>
      </w:r>
      <w:r w:rsidR="00C40CE0" w:rsidRPr="009B6040">
        <w:t xml:space="preserve"> providers.</w:t>
      </w:r>
      <w:r w:rsidR="00EA461D" w:rsidRPr="009B6040">
        <w:t xml:space="preserve"> </w:t>
      </w:r>
      <w:r w:rsidR="00C40CE0" w:rsidRPr="009B6040">
        <w:t xml:space="preserve">The risk balance measure can take a value between zero and one and is calculated by dividing the number of assessments of high risk providers by the </w:t>
      </w:r>
      <w:r w:rsidR="008E1637" w:rsidRPr="009B6040">
        <w:t>sum</w:t>
      </w:r>
      <w:r w:rsidR="00C40CE0" w:rsidRPr="009B6040">
        <w:t xml:space="preserve"> of assessment</w:t>
      </w:r>
      <w:r w:rsidR="00904380" w:rsidRPr="009B6040">
        <w:t>s</w:t>
      </w:r>
      <w:r w:rsidR="00C40CE0" w:rsidRPr="009B6040">
        <w:t xml:space="preserve"> of low and high risk providers</w:t>
      </w:r>
      <w:r w:rsidR="00904380" w:rsidRPr="009B6040">
        <w:t>. Because the extent of moderate risk assessments is excluded from the calculation, risk balance can be understood as the extent to which high or low risk dominates at the extremes</w:t>
      </w:r>
      <w:r w:rsidR="00E139DC" w:rsidRPr="009B6040">
        <w:t xml:space="preserve"> of risk</w:t>
      </w:r>
      <w:r w:rsidR="00904380" w:rsidRPr="009B6040">
        <w:t>. A</w:t>
      </w:r>
      <w:r w:rsidR="00C40CE0" w:rsidRPr="009B6040">
        <w:t xml:space="preserve"> value of zero would mean that </w:t>
      </w:r>
      <w:r w:rsidR="00FF1617" w:rsidRPr="009B6040">
        <w:t>no</w:t>
      </w:r>
      <w:r w:rsidR="00C40CE0" w:rsidRPr="009B6040">
        <w:t xml:space="preserve"> assessments </w:t>
      </w:r>
      <w:r w:rsidR="00FF1617" w:rsidRPr="009B6040">
        <w:t xml:space="preserve">in a period </w:t>
      </w:r>
      <w:r w:rsidR="00C40CE0" w:rsidRPr="009B6040">
        <w:t xml:space="preserve">were of </w:t>
      </w:r>
      <w:r w:rsidR="00FF1617" w:rsidRPr="009B6040">
        <w:t xml:space="preserve">high </w:t>
      </w:r>
      <w:r w:rsidR="00C40CE0" w:rsidRPr="009B6040">
        <w:t xml:space="preserve">risk providers and a value of one would mean that </w:t>
      </w:r>
      <w:r w:rsidR="00FF1617" w:rsidRPr="009B6040">
        <w:t xml:space="preserve">no </w:t>
      </w:r>
      <w:r w:rsidR="00C40CE0" w:rsidRPr="009B6040">
        <w:t xml:space="preserve">assessments in a period were of </w:t>
      </w:r>
      <w:r w:rsidR="00FF1617" w:rsidRPr="009B6040">
        <w:t>low</w:t>
      </w:r>
      <w:r w:rsidR="00C40CE0" w:rsidRPr="009B6040">
        <w:t xml:space="preserve"> risk providers.</w:t>
      </w:r>
      <w:r w:rsidR="00E90158" w:rsidRPr="009B6040">
        <w:t xml:space="preserve"> </w:t>
      </w:r>
    </w:p>
    <w:p w:rsidR="00C40CE0" w:rsidRPr="009B6040" w:rsidRDefault="00C40CE0" w:rsidP="00C40CE0">
      <w:r w:rsidRPr="009B6040">
        <w:rPr>
          <w:b/>
        </w:rPr>
        <w:t>Figure 1</w:t>
      </w:r>
      <w:r w:rsidRPr="009B6040">
        <w:t xml:space="preserve"> </w:t>
      </w:r>
      <w:r w:rsidR="00904380" w:rsidRPr="009B6040">
        <w:t xml:space="preserve">shows </w:t>
      </w:r>
      <w:r w:rsidRPr="009B6040">
        <w:t xml:space="preserve">that assessment risk balance and the proportion of adverse assessments in a given </w:t>
      </w:r>
      <w:r w:rsidR="00456CBC" w:rsidRPr="009B6040">
        <w:t xml:space="preserve">half-year </w:t>
      </w:r>
      <w:r w:rsidRPr="009B6040">
        <w:t>period are closely related</w:t>
      </w:r>
      <w:r w:rsidR="00904380" w:rsidRPr="009B6040">
        <w:t>. I</w:t>
      </w:r>
      <w:r w:rsidR="004E21EC" w:rsidRPr="009B6040">
        <w:t xml:space="preserve">t also indicates that </w:t>
      </w:r>
      <w:r w:rsidR="00C15837" w:rsidRPr="009B6040">
        <w:t xml:space="preserve">an </w:t>
      </w:r>
      <w:r w:rsidR="004E21EC" w:rsidRPr="009B6040">
        <w:t xml:space="preserve">analysis of assessment outcomes over time that does not account for risk may </w:t>
      </w:r>
      <w:r w:rsidR="001F63E8" w:rsidRPr="009B6040">
        <w:t>lead to significant misinterpretation.</w:t>
      </w:r>
    </w:p>
    <w:p w:rsidR="00B845B4" w:rsidRPr="009B6040" w:rsidRDefault="00577554" w:rsidP="008858CF">
      <w:r w:rsidRPr="009B6040">
        <w:rPr>
          <w:noProof/>
          <w:lang w:eastAsia="en-AU"/>
        </w:rPr>
        <w:lastRenderedPageBreak/>
        <w:drawing>
          <wp:inline distT="0" distB="0" distL="0" distR="0" wp14:anchorId="2578C2CD" wp14:editId="24D5E893">
            <wp:extent cx="5495925" cy="27432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21EC" w:rsidRPr="009B6040" w:rsidRDefault="00092473" w:rsidP="00E5592E">
      <w:pPr>
        <w:pStyle w:val="FigureTitle"/>
      </w:pPr>
      <w:r w:rsidRPr="009B6040">
        <w:t>Risk balance proportion and adverse proportion by half-yearly period</w:t>
      </w:r>
    </w:p>
    <w:p w:rsidR="00AF6C21" w:rsidRPr="009B6040" w:rsidRDefault="00DD1D84" w:rsidP="00B47C29">
      <w:r w:rsidRPr="009B6040">
        <w:t>The</w:t>
      </w:r>
      <w:r w:rsidR="00727B19" w:rsidRPr="009B6040">
        <w:t xml:space="preserve"> </w:t>
      </w:r>
      <w:r w:rsidR="001E0D8D" w:rsidRPr="009B6040">
        <w:t xml:space="preserve">close </w:t>
      </w:r>
      <w:r w:rsidR="00727B19" w:rsidRPr="009B6040">
        <w:t>relationship</w:t>
      </w:r>
      <w:r w:rsidRPr="009B6040">
        <w:t xml:space="preserve"> between</w:t>
      </w:r>
      <w:r w:rsidR="00727B19" w:rsidRPr="009B6040">
        <w:t xml:space="preserve"> </w:t>
      </w:r>
      <w:r w:rsidR="00B47C29" w:rsidRPr="009B6040">
        <w:t xml:space="preserve">risk </w:t>
      </w:r>
      <w:r w:rsidR="008F0553" w:rsidRPr="009B6040">
        <w:t>balance</w:t>
      </w:r>
      <w:r w:rsidR="00F80C93" w:rsidRPr="009B6040">
        <w:t xml:space="preserve"> </w:t>
      </w:r>
      <w:r w:rsidR="00B47C29" w:rsidRPr="009B6040">
        <w:t xml:space="preserve">and outcome </w:t>
      </w:r>
      <w:r w:rsidR="00FB66D1" w:rsidRPr="009B6040">
        <w:t xml:space="preserve">over 2014 to 2017 </w:t>
      </w:r>
      <w:r w:rsidR="00693789" w:rsidRPr="009B6040">
        <w:t>is</w:t>
      </w:r>
      <w:r w:rsidR="00727B19" w:rsidRPr="009B6040">
        <w:t xml:space="preserve"> </w:t>
      </w:r>
      <w:r w:rsidR="00693789" w:rsidRPr="009B6040">
        <w:t xml:space="preserve">demonstrated </w:t>
      </w:r>
      <w:r w:rsidR="00C40CE0" w:rsidRPr="009B6040">
        <w:t xml:space="preserve">more clearly </w:t>
      </w:r>
      <w:r w:rsidR="00560CC6" w:rsidRPr="009B6040">
        <w:t xml:space="preserve">in </w:t>
      </w:r>
      <w:r w:rsidR="008F0553" w:rsidRPr="009B6040">
        <w:rPr>
          <w:b/>
        </w:rPr>
        <w:t>Figure </w:t>
      </w:r>
      <w:r w:rsidR="00F80C93" w:rsidRPr="009B6040">
        <w:rPr>
          <w:b/>
        </w:rPr>
        <w:t>2</w:t>
      </w:r>
      <w:r w:rsidR="00560CC6" w:rsidRPr="009B6040">
        <w:t xml:space="preserve">, which is </w:t>
      </w:r>
      <w:r w:rsidR="009A1864" w:rsidRPr="009B6040">
        <w:t xml:space="preserve">a scatterplot showing the </w:t>
      </w:r>
      <w:r w:rsidR="00C40CE0" w:rsidRPr="009B6040">
        <w:t>proportion</w:t>
      </w:r>
      <w:r w:rsidR="009A1864" w:rsidRPr="009B6040">
        <w:t xml:space="preserve"> of</w:t>
      </w:r>
      <w:r w:rsidR="004C1F71" w:rsidRPr="009B6040">
        <w:t xml:space="preserve"> adverse</w:t>
      </w:r>
      <w:r w:rsidR="009A1864" w:rsidRPr="009B6040">
        <w:t xml:space="preserve"> assessment</w:t>
      </w:r>
      <w:r w:rsidR="004C1F71" w:rsidRPr="009B6040">
        <w:t>s</w:t>
      </w:r>
      <w:r w:rsidR="009A1864" w:rsidRPr="009B6040">
        <w:t xml:space="preserve"> deci</w:t>
      </w:r>
      <w:r w:rsidR="004C1F71" w:rsidRPr="009B6040">
        <w:t>ded</w:t>
      </w:r>
      <w:r w:rsidR="009A1864" w:rsidRPr="009B6040">
        <w:t xml:space="preserve"> in each half-year</w:t>
      </w:r>
      <w:r w:rsidR="004C1F71" w:rsidRPr="009B6040">
        <w:t xml:space="preserve"> against the </w:t>
      </w:r>
      <w:r w:rsidR="008F0553" w:rsidRPr="009B6040">
        <w:t>risk balance in that same period</w:t>
      </w:r>
      <w:r w:rsidR="00C40CE0" w:rsidRPr="009B6040">
        <w:t xml:space="preserve">, along with </w:t>
      </w:r>
      <w:r w:rsidR="00707AB4" w:rsidRPr="009B6040">
        <w:t xml:space="preserve">a </w:t>
      </w:r>
      <w:r w:rsidR="00C40CE0" w:rsidRPr="009B6040">
        <w:t>simple linear regression trend line</w:t>
      </w:r>
      <w:r w:rsidR="004C1F71" w:rsidRPr="009B6040">
        <w:t>.</w:t>
      </w:r>
      <w:r w:rsidR="00B47C29" w:rsidRPr="009B6040">
        <w:t xml:space="preserve"> </w:t>
      </w:r>
      <w:r w:rsidR="008F0553" w:rsidRPr="009B6040">
        <w:t xml:space="preserve">This shows a very close relationship between </w:t>
      </w:r>
      <w:r w:rsidR="004B315D" w:rsidRPr="009B6040">
        <w:t xml:space="preserve">assessment </w:t>
      </w:r>
      <w:r w:rsidR="008F0553" w:rsidRPr="009B6040">
        <w:t>risk balance and adverse assessment proportion</w:t>
      </w:r>
      <w:r w:rsidR="00C40CE0" w:rsidRPr="009B6040">
        <w:t>, as</w:t>
      </w:r>
      <w:r w:rsidR="004B315D" w:rsidRPr="009B6040">
        <w:t xml:space="preserve"> risk balance alone accounts for 9</w:t>
      </w:r>
      <w:r w:rsidR="00C833AB" w:rsidRPr="009B6040">
        <w:t>4</w:t>
      </w:r>
      <w:r w:rsidR="004B315D" w:rsidRPr="009B6040">
        <w:t xml:space="preserve"> per cent of variation in adverse assessment proportion.</w:t>
      </w:r>
      <w:r w:rsidR="00E90158" w:rsidRPr="009B6040">
        <w:t xml:space="preserve"> </w:t>
      </w:r>
    </w:p>
    <w:p w:rsidR="00144081" w:rsidRPr="009B6040" w:rsidRDefault="004E21EC" w:rsidP="00B47C29">
      <w:r w:rsidRPr="009B6040">
        <w:rPr>
          <w:noProof/>
          <w:lang w:eastAsia="en-AU"/>
        </w:rPr>
        <w:drawing>
          <wp:inline distT="0" distB="0" distL="0" distR="0" wp14:anchorId="3D48086C" wp14:editId="0F77F9D8">
            <wp:extent cx="54483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40DC" w:rsidRPr="009B6040" w:rsidRDefault="00C833AB" w:rsidP="00E5592E">
      <w:pPr>
        <w:pStyle w:val="FigureTitle"/>
      </w:pPr>
      <w:r w:rsidRPr="009B6040">
        <w:lastRenderedPageBreak/>
        <w:t>P</w:t>
      </w:r>
      <w:r w:rsidR="00E5592E" w:rsidRPr="009B6040">
        <w:t>roportion</w:t>
      </w:r>
      <w:r w:rsidRPr="009B6040">
        <w:t xml:space="preserve"> of adverse decisions on existing provider applications by risk balance</w:t>
      </w:r>
    </w:p>
    <w:p w:rsidR="00C02F46" w:rsidRDefault="00B81D52" w:rsidP="00B81D52">
      <w:r w:rsidRPr="009B6040">
        <w:t xml:space="preserve">In </w:t>
      </w:r>
      <w:r w:rsidR="001E0D8D" w:rsidRPr="009B6040">
        <w:t>general</w:t>
      </w:r>
      <w:r w:rsidRPr="009B6040">
        <w:t>, since the introduction of TEQSA’s current risk framework in 2014, the proportion of TEQSA assessments leading to adverse decisions in a given half-yearly period has tracked very closely to the balance of risk relating to</w:t>
      </w:r>
      <w:r w:rsidR="00767E42" w:rsidRPr="009B6040">
        <w:t xml:space="preserve"> those</w:t>
      </w:r>
      <w:r w:rsidRPr="009B6040">
        <w:t xml:space="preserve"> assessments over the same period. This means that, having accounted for risk, </w:t>
      </w:r>
      <w:r w:rsidR="004B72B4" w:rsidRPr="009B6040">
        <w:t xml:space="preserve">the </w:t>
      </w:r>
      <w:r w:rsidR="00B01DE6" w:rsidRPr="009B6040">
        <w:t xml:space="preserve">proportion of </w:t>
      </w:r>
      <w:r w:rsidR="004B72B4" w:rsidRPr="009B6040">
        <w:t>TEQSA’s</w:t>
      </w:r>
      <w:r w:rsidRPr="009B6040">
        <w:t xml:space="preserve"> </w:t>
      </w:r>
      <w:r w:rsidR="002C5B80" w:rsidRPr="009B6040">
        <w:t xml:space="preserve">adverse </w:t>
      </w:r>
      <w:r w:rsidRPr="009B6040">
        <w:t>decision</w:t>
      </w:r>
      <w:r w:rsidR="00B01DE6" w:rsidRPr="009B6040">
        <w:t xml:space="preserve">s </w:t>
      </w:r>
      <w:r w:rsidR="0065603D" w:rsidRPr="009B6040">
        <w:t>relating</w:t>
      </w:r>
      <w:r w:rsidR="002C5B80" w:rsidRPr="009B6040">
        <w:t xml:space="preserve"> to existing providers</w:t>
      </w:r>
      <w:r w:rsidR="004B72B4" w:rsidRPr="009B6040">
        <w:t xml:space="preserve"> has remained largely constant over the period 2014 to 2017.</w:t>
      </w:r>
    </w:p>
    <w:p w:rsidR="005D1AFD" w:rsidRPr="009B6040" w:rsidRDefault="005D1AFD" w:rsidP="005D1AFD">
      <w:r w:rsidRPr="009B6040">
        <w:t>Approvals of new provider registrations have remained roughly consistent in number, at between four and seven per year, over 2014 to 2017</w:t>
      </w:r>
      <w:r w:rsidRPr="009B6040">
        <w:rPr>
          <w:rStyle w:val="FootnoteReference"/>
        </w:rPr>
        <w:footnoteReference w:id="3"/>
      </w:r>
      <w:r w:rsidRPr="009B6040">
        <w:t xml:space="preserve">. However, a major increase in applications in 2016 means that the proportion of finalised applications that were not approved substantially increased in 2017. For example, while four of the five initial registration </w:t>
      </w:r>
      <w:bookmarkStart w:id="5" w:name="_GoBack"/>
      <w:bookmarkEnd w:id="5"/>
      <w:r w:rsidRPr="009B6040">
        <w:t xml:space="preserve">assessments that concluded in 2014 (80 per cent), five of seven in 2015 (71 per cent), and seven of nine in 2016 (78 per cent) resulted in a new provider being registered, in 2017 only </w:t>
      </w:r>
      <w:r w:rsidRPr="00EF0394">
        <w:rPr>
          <w:color w:val="auto"/>
        </w:rPr>
        <w:t>f</w:t>
      </w:r>
      <w:r w:rsidR="002E75B4" w:rsidRPr="00EF0394">
        <w:rPr>
          <w:color w:val="auto"/>
        </w:rPr>
        <w:t>our of 28</w:t>
      </w:r>
      <w:r w:rsidRPr="00EF0394">
        <w:rPr>
          <w:color w:val="auto"/>
        </w:rPr>
        <w:t xml:space="preserve"> </w:t>
      </w:r>
      <w:r w:rsidRPr="009B6040">
        <w:t>finalised initial registration</w:t>
      </w:r>
      <w:r>
        <w:t xml:space="preserve"> assessments</w:t>
      </w:r>
      <w:r w:rsidRPr="009B6040">
        <w:t xml:space="preserve"> (17 per cent) were approved</w:t>
      </w:r>
      <w:r w:rsidRPr="009B6040">
        <w:rPr>
          <w:rStyle w:val="FootnoteReference"/>
        </w:rPr>
        <w:footnoteReference w:id="4"/>
      </w:r>
      <w:r w:rsidRPr="009B6040">
        <w:t xml:space="preserve">. </w:t>
      </w:r>
      <w:r w:rsidRPr="009B6040">
        <w:rPr>
          <w:b/>
        </w:rPr>
        <w:t>Figure 3</w:t>
      </w:r>
      <w:r w:rsidRPr="009B6040">
        <w:t xml:space="preserve"> plots the number of applications that reached substantive assessment stage that were finalised with or without approval over the years 2014 to 2017. It shows that while the number of applications finalised increased substantially in 2017, there was no increase in approved registrations.</w:t>
      </w:r>
    </w:p>
    <w:p w:rsidR="005D1AFD" w:rsidRDefault="005D1AFD">
      <w:r>
        <w:br w:type="page"/>
      </w:r>
    </w:p>
    <w:p w:rsidR="005D1AFD" w:rsidRPr="009B6040" w:rsidRDefault="005D1AFD" w:rsidP="00B81D52"/>
    <w:p w:rsidR="004E21EC" w:rsidRPr="009B6040" w:rsidRDefault="004E21EC" w:rsidP="0067481C">
      <w:pPr>
        <w:pStyle w:val="Heading4"/>
      </w:pPr>
      <w:r w:rsidRPr="009B6040">
        <w:t>Prospective providers</w:t>
      </w:r>
    </w:p>
    <w:p w:rsidR="008752C9" w:rsidRPr="009B6040" w:rsidRDefault="008752C9" w:rsidP="008752C9">
      <w:r w:rsidRPr="009B6040">
        <w:rPr>
          <w:noProof/>
          <w:lang w:eastAsia="en-AU"/>
        </w:rPr>
        <w:drawing>
          <wp:inline distT="0" distB="0" distL="0" distR="0" wp14:anchorId="0295C13F" wp14:editId="46233167">
            <wp:extent cx="5524500" cy="2700670"/>
            <wp:effectExtent l="0" t="0" r="0" b="44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20D5" w:rsidRPr="009B6040" w:rsidRDefault="00C520D5" w:rsidP="002335EB">
      <w:pPr>
        <w:pStyle w:val="FigureTitle"/>
      </w:pPr>
      <w:r w:rsidRPr="009B6040">
        <w:t>Number of substantive initial registration assessments approved and not approved</w:t>
      </w:r>
      <w:r w:rsidR="0039504C" w:rsidRPr="009B6040">
        <w:t>/withdrawn</w:t>
      </w:r>
    </w:p>
    <w:p w:rsidR="00BD1682" w:rsidRPr="009B6040" w:rsidRDefault="00BD1682" w:rsidP="002335EB"/>
    <w:p w:rsidR="00BD1682" w:rsidRPr="009B6040" w:rsidRDefault="00BD1682" w:rsidP="002335EB"/>
    <w:p w:rsidR="004F2074" w:rsidRPr="009B6040" w:rsidRDefault="004F2074" w:rsidP="004F2074">
      <w:r w:rsidRPr="009B6040">
        <w:t>The issues that have predominated in</w:t>
      </w:r>
      <w:r w:rsidR="00EB295A" w:rsidRPr="009B6040">
        <w:t xml:space="preserve"> the more recent suite of</w:t>
      </w:r>
      <w:r w:rsidRPr="009B6040">
        <w:t xml:space="preserve"> initial provider registration applications include:</w:t>
      </w:r>
    </w:p>
    <w:p w:rsidR="004F2074" w:rsidRPr="009B6040" w:rsidRDefault="009A11C4" w:rsidP="004F2074">
      <w:pPr>
        <w:pStyle w:val="ListParagraph"/>
        <w:numPr>
          <w:ilvl w:val="0"/>
          <w:numId w:val="31"/>
        </w:numPr>
      </w:pPr>
      <w:r w:rsidRPr="009B6040">
        <w:t>p</w:t>
      </w:r>
      <w:r w:rsidR="004F2074" w:rsidRPr="009B6040">
        <w:t>oorly designed corporate and academic governance structures</w:t>
      </w:r>
      <w:r w:rsidRPr="009B6040">
        <w:t>,</w:t>
      </w:r>
      <w:r w:rsidR="004F2074" w:rsidRPr="009B6040">
        <w:t xml:space="preserve"> and governing body members with</w:t>
      </w:r>
      <w:r w:rsidRPr="009B6040">
        <w:t>out</w:t>
      </w:r>
      <w:r w:rsidR="004F2074" w:rsidRPr="009B6040">
        <w:t xml:space="preserve"> experience in higher education </w:t>
      </w:r>
      <w:r w:rsidRPr="009B6040">
        <w:t>governance</w:t>
      </w:r>
    </w:p>
    <w:p w:rsidR="004F2074" w:rsidRPr="009B6040" w:rsidRDefault="004F2074" w:rsidP="004F2074">
      <w:pPr>
        <w:pStyle w:val="ListParagraph"/>
        <w:numPr>
          <w:ilvl w:val="0"/>
          <w:numId w:val="31"/>
        </w:numPr>
      </w:pPr>
      <w:r w:rsidRPr="009B6040">
        <w:t xml:space="preserve">weaknesses in financial evidence—for example, </w:t>
      </w:r>
      <w:r w:rsidR="009A11C4" w:rsidRPr="009B6040">
        <w:t>unrealistic student projections</w:t>
      </w:r>
      <w:r w:rsidRPr="009B6040">
        <w:t xml:space="preserve"> and expectations of ready receipt of government funding</w:t>
      </w:r>
    </w:p>
    <w:p w:rsidR="004F2074" w:rsidRPr="009B6040" w:rsidRDefault="009A11C4" w:rsidP="004F2074">
      <w:pPr>
        <w:pStyle w:val="ListParagraph"/>
        <w:numPr>
          <w:ilvl w:val="0"/>
          <w:numId w:val="31"/>
        </w:numPr>
      </w:pPr>
      <w:r w:rsidRPr="009B6040">
        <w:t>p</w:t>
      </w:r>
      <w:r w:rsidR="004F2074" w:rsidRPr="009B6040">
        <w:t>lagiarism identified in course outlines</w:t>
      </w:r>
    </w:p>
    <w:p w:rsidR="009A11C4" w:rsidRPr="009B6040" w:rsidRDefault="009A11C4" w:rsidP="004F2074">
      <w:pPr>
        <w:pStyle w:val="ListParagraph"/>
        <w:numPr>
          <w:ilvl w:val="0"/>
          <w:numId w:val="31"/>
        </w:numPr>
      </w:pPr>
      <w:r w:rsidRPr="009B6040">
        <w:t>little evidence</w:t>
      </w:r>
      <w:r w:rsidR="004F2074" w:rsidRPr="009B6040">
        <w:t xml:space="preserve"> of </w:t>
      </w:r>
      <w:r w:rsidR="00EB7072" w:rsidRPr="009B6040">
        <w:t>capability in development or implementation</w:t>
      </w:r>
      <w:r w:rsidR="004F2074" w:rsidRPr="009B6040">
        <w:t xml:space="preserve"> of higher education quality assurance frameworks</w:t>
      </w:r>
    </w:p>
    <w:p w:rsidR="004F2074" w:rsidRPr="009B6040" w:rsidRDefault="009A11C4" w:rsidP="004F2074">
      <w:pPr>
        <w:pStyle w:val="ListParagraph"/>
        <w:numPr>
          <w:ilvl w:val="0"/>
          <w:numId w:val="31"/>
        </w:numPr>
      </w:pPr>
      <w:r w:rsidRPr="009B6040">
        <w:t xml:space="preserve">little evidence of </w:t>
      </w:r>
      <w:r w:rsidR="00EB7072" w:rsidRPr="009B6040">
        <w:t>capability in</w:t>
      </w:r>
      <w:r w:rsidR="004F2074" w:rsidRPr="009B6040">
        <w:t xml:space="preserve"> risk management, strategic planning, scholarship and scholarly activities in a higher education context</w:t>
      </w:r>
    </w:p>
    <w:p w:rsidR="004F2074" w:rsidRPr="009B6040" w:rsidRDefault="00EB295A" w:rsidP="008E123B">
      <w:pPr>
        <w:pStyle w:val="ListParagraph"/>
        <w:numPr>
          <w:ilvl w:val="0"/>
          <w:numId w:val="31"/>
        </w:numPr>
      </w:pPr>
      <w:r w:rsidRPr="009B6040">
        <w:t>a l</w:t>
      </w:r>
      <w:r w:rsidR="004F2074" w:rsidRPr="009B6040">
        <w:t>ack of academic leadership</w:t>
      </w:r>
      <w:r w:rsidRPr="009B6040">
        <w:t>, and p</w:t>
      </w:r>
      <w:r w:rsidR="004F2074" w:rsidRPr="009B6040">
        <w:t>roposed staff with inadequate higher education teaching experience</w:t>
      </w:r>
      <w:r w:rsidR="008929C5" w:rsidRPr="009B6040">
        <w:t>.</w:t>
      </w:r>
    </w:p>
    <w:p w:rsidR="00FF4859" w:rsidRDefault="00255CC4" w:rsidP="00466132">
      <w:r w:rsidRPr="009B6040">
        <w:t>While t</w:t>
      </w:r>
      <w:r w:rsidR="00BE48A5" w:rsidRPr="009B6040">
        <w:t xml:space="preserve">his suite of issues </w:t>
      </w:r>
      <w:r w:rsidRPr="009B6040">
        <w:t xml:space="preserve">led to compliance failures of </w:t>
      </w:r>
      <w:r w:rsidR="009A7C3F" w:rsidRPr="009B6040">
        <w:t>prospective entrants</w:t>
      </w:r>
      <w:r w:rsidRPr="009B6040">
        <w:t xml:space="preserve"> across a broad range of </w:t>
      </w:r>
      <w:r w:rsidR="00CE2399" w:rsidRPr="009B6040">
        <w:t>S</w:t>
      </w:r>
      <w:r w:rsidRPr="009B6040">
        <w:t xml:space="preserve">tandards, it is notable that all </w:t>
      </w:r>
      <w:r w:rsidR="009A7C3F" w:rsidRPr="009B6040">
        <w:t xml:space="preserve">applicants </w:t>
      </w:r>
      <w:r w:rsidR="00C15837" w:rsidRPr="009B6040">
        <w:t xml:space="preserve">formally </w:t>
      </w:r>
      <w:r w:rsidRPr="009B6040">
        <w:t xml:space="preserve">rejected for initial registration </w:t>
      </w:r>
      <w:r w:rsidR="00E65267" w:rsidRPr="009B6040">
        <w:t>were found not to comply with at least one, but usually more than one, standard relating to corporate and academic governance. After governance, the most common issues related to financial sustainability and viability and to academic leadership and staffing.</w:t>
      </w:r>
    </w:p>
    <w:p w:rsidR="00F77CAF" w:rsidRPr="009B6040" w:rsidRDefault="00FF4859" w:rsidP="00466132">
      <w:r>
        <w:lastRenderedPageBreak/>
        <w:t xml:space="preserve">It is important to note that TEQSA publishes a range of guidance notes </w:t>
      </w:r>
      <w:r w:rsidRPr="00455799">
        <w:t>to provide greater clarity for providers in the interpretation and application of standards</w:t>
      </w:r>
      <w:r>
        <w:t xml:space="preserve">. Separate guidance notes covering academic and corporate governance, course design, financial assessment, scholarship and staffing, learning resources and education support are available from </w:t>
      </w:r>
      <w:hyperlink r:id="rId17" w:history="1">
        <w:r w:rsidRPr="007158B9">
          <w:rPr>
            <w:rStyle w:val="Hyperlink"/>
          </w:rPr>
          <w:t>https://www.teqsa.gov.au/guidance-notes</w:t>
        </w:r>
      </w:hyperlink>
      <w:r>
        <w:t xml:space="preserve"> and are particularly relevant in relation to the issues identified in this report.</w:t>
      </w:r>
      <w:r w:rsidR="00F77CAF" w:rsidRPr="009B6040">
        <w:br w:type="page"/>
      </w:r>
    </w:p>
    <w:p w:rsidR="008A2B9F" w:rsidRPr="009B6040" w:rsidRDefault="00FD63E3" w:rsidP="00B33065">
      <w:pPr>
        <w:pStyle w:val="Heading3"/>
      </w:pPr>
      <w:bookmarkStart w:id="6" w:name="_Toc524011829"/>
      <w:r w:rsidRPr="009B6040">
        <w:lastRenderedPageBreak/>
        <w:t>Prevalence of issues</w:t>
      </w:r>
      <w:bookmarkEnd w:id="6"/>
    </w:p>
    <w:p w:rsidR="00E80323" w:rsidRPr="009B6040" w:rsidRDefault="00AF73E4" w:rsidP="009B72E8">
      <w:r w:rsidRPr="009B6040">
        <w:t xml:space="preserve">TEQSA has categorised its adverse </w:t>
      </w:r>
      <w:r w:rsidR="00C76901" w:rsidRPr="009B6040">
        <w:t xml:space="preserve">assessment </w:t>
      </w:r>
      <w:r w:rsidRPr="009B6040">
        <w:t xml:space="preserve">decisions in relation to the Standards that </w:t>
      </w:r>
      <w:r w:rsidR="00456CBC" w:rsidRPr="009B6040">
        <w:t>were</w:t>
      </w:r>
      <w:r w:rsidRPr="009B6040">
        <w:t xml:space="preserve"> found not to have been met, or at risk of not being met, and that led to </w:t>
      </w:r>
      <w:r w:rsidR="00D824BA" w:rsidRPr="009B6040">
        <w:t>an adverse outcome</w:t>
      </w:r>
      <w:r w:rsidR="00D152CD" w:rsidRPr="009B6040">
        <w:t xml:space="preserve">, </w:t>
      </w:r>
      <w:r w:rsidRPr="009B6040">
        <w:t>whether outright rejection of an application, approval of an application for a period shorter than seven year</w:t>
      </w:r>
      <w:r w:rsidR="00D824BA" w:rsidRPr="009B6040">
        <w:t>s, or approved with conditions.</w:t>
      </w:r>
    </w:p>
    <w:p w:rsidR="00860DAA" w:rsidRPr="009B6040" w:rsidRDefault="00CF1CF4" w:rsidP="009B72E8">
      <w:r w:rsidRPr="009B6040">
        <w:rPr>
          <w:b/>
        </w:rPr>
        <w:t xml:space="preserve">Figure </w:t>
      </w:r>
      <w:r w:rsidR="00312425" w:rsidRPr="009B6040">
        <w:rPr>
          <w:b/>
        </w:rPr>
        <w:t>4</w:t>
      </w:r>
      <w:r w:rsidRPr="009B6040">
        <w:t xml:space="preserve"> shows the proportion of </w:t>
      </w:r>
      <w:r w:rsidR="001B2C0B">
        <w:t xml:space="preserve">adverse </w:t>
      </w:r>
      <w:r w:rsidRPr="009B6040">
        <w:t xml:space="preserve">registration and renewal of registration assessments </w:t>
      </w:r>
      <w:r w:rsidR="00C76901" w:rsidRPr="009B6040">
        <w:t>that led</w:t>
      </w:r>
      <w:r w:rsidRPr="009B6040">
        <w:t xml:space="preserve"> to sanctions relating to each of the seven </w:t>
      </w:r>
      <w:r w:rsidR="00F20FA4" w:rsidRPr="009B6040">
        <w:t xml:space="preserve">2011 </w:t>
      </w:r>
      <w:r w:rsidRPr="009B6040">
        <w:t>Provider Registration Standar</w:t>
      </w:r>
      <w:r w:rsidR="00F20FA4" w:rsidRPr="009B6040">
        <w:t>ds</w:t>
      </w:r>
      <w:r w:rsidR="00D824BA" w:rsidRPr="009B6040">
        <w:t xml:space="preserve"> </w:t>
      </w:r>
      <w:r w:rsidR="00EC5975" w:rsidRPr="009B6040">
        <w:t xml:space="preserve">(PRS) </w:t>
      </w:r>
      <w:r w:rsidRPr="009B6040">
        <w:t>sections.</w:t>
      </w:r>
      <w:r w:rsidR="00F77CAF" w:rsidRPr="009B6040">
        <w:t xml:space="preserve"> It shows very cle</w:t>
      </w:r>
      <w:r w:rsidR="003E69CE" w:rsidRPr="009B6040">
        <w:t>arly that when TEQSA reache</w:t>
      </w:r>
      <w:r w:rsidR="00C76901" w:rsidRPr="009B6040">
        <w:t>d</w:t>
      </w:r>
      <w:r w:rsidR="003E69CE" w:rsidRPr="009B6040">
        <w:t xml:space="preserve"> </w:t>
      </w:r>
      <w:r w:rsidR="00F77CAF" w:rsidRPr="009B6040">
        <w:t>adverse finding</w:t>
      </w:r>
      <w:r w:rsidR="003E69CE" w:rsidRPr="009B6040">
        <w:t>s</w:t>
      </w:r>
      <w:r w:rsidR="00F77CAF" w:rsidRPr="009B6040">
        <w:t xml:space="preserve"> on assessment</w:t>
      </w:r>
      <w:r w:rsidR="003E69CE" w:rsidRPr="009B6040">
        <w:t>s</w:t>
      </w:r>
      <w:r w:rsidR="00F77CAF" w:rsidRPr="009B6040">
        <w:t xml:space="preserve">, </w:t>
      </w:r>
      <w:r w:rsidR="003E69CE" w:rsidRPr="009B6040">
        <w:t>these tend</w:t>
      </w:r>
      <w:r w:rsidR="00C76901" w:rsidRPr="009B6040">
        <w:t>ed</w:t>
      </w:r>
      <w:r w:rsidR="003E69CE" w:rsidRPr="009B6040">
        <w:t xml:space="preserve"> to be in relation to </w:t>
      </w:r>
      <w:r w:rsidR="00702E33" w:rsidRPr="009B6040">
        <w:t>particular kinds</w:t>
      </w:r>
      <w:r w:rsidR="003E69CE" w:rsidRPr="009B6040">
        <w:t xml:space="preserve"> of issue</w:t>
      </w:r>
      <w:r w:rsidR="00702E33" w:rsidRPr="009B6040">
        <w:t>s</w:t>
      </w:r>
      <w:r w:rsidR="003E69CE" w:rsidRPr="009B6040">
        <w:t>—corporate and academic governance</w:t>
      </w:r>
      <w:r w:rsidR="00EC5975" w:rsidRPr="009B6040">
        <w:t xml:space="preserve"> (PRS 3)</w:t>
      </w:r>
      <w:r w:rsidR="003E69CE" w:rsidRPr="009B6040">
        <w:t>, and management and human resources</w:t>
      </w:r>
      <w:r w:rsidR="00EC5975" w:rsidRPr="009B6040">
        <w:t xml:space="preserve"> (PRS 5)</w:t>
      </w:r>
      <w:r w:rsidR="003E69CE" w:rsidRPr="009B6040">
        <w:t>.</w:t>
      </w:r>
      <w:r w:rsidR="00E63FB3" w:rsidRPr="009B6040">
        <w:t xml:space="preserve"> Note that an adverse decision may relate to a number of PRS sections, and each standard referenced has been included in the data informing </w:t>
      </w:r>
      <w:r w:rsidR="00E63FB3" w:rsidRPr="009B6040">
        <w:rPr>
          <w:b/>
        </w:rPr>
        <w:t>Figure 4</w:t>
      </w:r>
      <w:r w:rsidR="00E63FB3" w:rsidRPr="009B6040">
        <w:t>.</w:t>
      </w:r>
    </w:p>
    <w:p w:rsidR="00CF1CF4" w:rsidRPr="009B6040" w:rsidRDefault="00CF1CF4" w:rsidP="009B72E8"/>
    <w:p w:rsidR="00C02F46" w:rsidRPr="009B6040" w:rsidRDefault="00CF1CF4" w:rsidP="00C02F46">
      <w:pPr>
        <w:keepNext/>
      </w:pPr>
      <w:r w:rsidRPr="009B6040">
        <w:rPr>
          <w:noProof/>
          <w:lang w:eastAsia="en-AU"/>
        </w:rPr>
        <w:drawing>
          <wp:inline distT="0" distB="0" distL="0" distR="0" wp14:anchorId="4F2B1A01" wp14:editId="4391842F">
            <wp:extent cx="5695950" cy="28098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1CF4" w:rsidRPr="009B6040" w:rsidRDefault="00C02F46" w:rsidP="00E5592E">
      <w:pPr>
        <w:pStyle w:val="FigureTitle"/>
      </w:pPr>
      <w:r w:rsidRPr="009B6040">
        <w:t>P</w:t>
      </w:r>
      <w:r w:rsidR="00410A4F" w:rsidRPr="009B6040">
        <w:t>roportion</w:t>
      </w:r>
      <w:r w:rsidRPr="009B6040">
        <w:t xml:space="preserve"> of adverse re/registration decisions referencing registration standard sections as a reason for an adverse finding (2013-2017)</w:t>
      </w:r>
    </w:p>
    <w:p w:rsidR="00860DAA" w:rsidRPr="009B6040" w:rsidRDefault="00860DAA" w:rsidP="003A13B4">
      <w:r w:rsidRPr="009B6040">
        <w:t>PRS 3 comprise</w:t>
      </w:r>
      <w:r w:rsidR="00456CBC" w:rsidRPr="009B6040">
        <w:t>s</w:t>
      </w:r>
      <w:r w:rsidRPr="009B6040">
        <w:t xml:space="preserve"> eight standards relating to a range of governance-related requirements, including board responsibilit</w:t>
      </w:r>
      <w:r w:rsidR="0022136B" w:rsidRPr="009B6040">
        <w:t>ies</w:t>
      </w:r>
      <w:r w:rsidR="00456CBC" w:rsidRPr="009B6040">
        <w:t xml:space="preserve"> and </w:t>
      </w:r>
      <w:r w:rsidRPr="009B6040">
        <w:t xml:space="preserve">composition, risk management, delegations and quality assurance, among other things. However, the issues identified within providers were not spread evenly across the range of standards under PRS 3. For example, of the registration assessments resulting in sanctions related to PRS 3, more than 80 per cent of these </w:t>
      </w:r>
      <w:r w:rsidR="0054692E" w:rsidRPr="009B6040">
        <w:t>included a reference</w:t>
      </w:r>
      <w:r w:rsidRPr="009B6040">
        <w:t xml:space="preserve"> to PRS 3.8, a standard that relates primarily to a provider’s ability to quality assure itself through its corporate and academic governance arrangements. The next most prevalent governance-related standard was PRS 3.4, relating to risk management, with around 30 per cent of governance-related sanctions referencing this standard.</w:t>
      </w:r>
      <w:r w:rsidR="0022136B" w:rsidRPr="009B6040">
        <w:t xml:space="preserve"> Standards under PRS 5 are more closely related to each other and the spread of issues under PRS 5 </w:t>
      </w:r>
      <w:r w:rsidR="001078F9" w:rsidRPr="009B6040">
        <w:t>wa</w:t>
      </w:r>
      <w:r w:rsidR="0022136B" w:rsidRPr="009B6040">
        <w:t>s more evenly distributed across its six standards, with a general focus on academic staffing and workforce planning issues.</w:t>
      </w:r>
    </w:p>
    <w:p w:rsidR="00B10762" w:rsidRPr="009B6040" w:rsidRDefault="00E63FB3" w:rsidP="003A13B4">
      <w:r w:rsidRPr="009B6040">
        <w:lastRenderedPageBreak/>
        <w:t>One reason why corporate and academic governance, and management and human resources, tended to dominate issues found in re/registration assessments is that these have been areas of focus for TEQSA—forming part of the core of TEQSA’s ‘Core +’ approach to assessments</w:t>
      </w:r>
      <w:r w:rsidR="00B10762" w:rsidRPr="009B6040">
        <w:rPr>
          <w:rStyle w:val="FootnoteReference"/>
        </w:rPr>
        <w:footnoteReference w:id="5"/>
      </w:r>
      <w:r w:rsidRPr="009B6040">
        <w:t>—and as a result have determined the kinds of evidence requested of providers and the direction of attention in assessments.</w:t>
      </w:r>
    </w:p>
    <w:p w:rsidR="00215743" w:rsidRPr="009B6040" w:rsidRDefault="00B10762" w:rsidP="003A13B4">
      <w:r w:rsidRPr="009B6040">
        <w:t>Academic governance, and management and human resources</w:t>
      </w:r>
      <w:r w:rsidR="00184873" w:rsidRPr="009B6040">
        <w:t>,</w:t>
      </w:r>
      <w:r w:rsidRPr="009B6040">
        <w:t xml:space="preserve"> are particularly important for the effective functioning of a higher education provider, </w:t>
      </w:r>
      <w:r w:rsidR="003A13B4" w:rsidRPr="009B6040">
        <w:t>as</w:t>
      </w:r>
      <w:r w:rsidR="00215743" w:rsidRPr="009B6040">
        <w:t xml:space="preserve"> issues </w:t>
      </w:r>
      <w:r w:rsidR="00C20BEE" w:rsidRPr="009B6040">
        <w:t xml:space="preserve">in </w:t>
      </w:r>
      <w:r w:rsidRPr="009B6040">
        <w:t>these areas</w:t>
      </w:r>
      <w:r w:rsidR="00215743" w:rsidRPr="009B6040">
        <w:t xml:space="preserve"> tend to </w:t>
      </w:r>
      <w:r w:rsidR="00C20BEE" w:rsidRPr="009B6040">
        <w:t>lead to</w:t>
      </w:r>
      <w:r w:rsidR="00215743" w:rsidRPr="009B6040">
        <w:t xml:space="preserve"> issues in other areas</w:t>
      </w:r>
      <w:r w:rsidR="003A13B4" w:rsidRPr="009B6040">
        <w:t xml:space="preserve">. </w:t>
      </w:r>
      <w:r w:rsidR="00215743" w:rsidRPr="009B6040">
        <w:t>When providers have effective governance and management, and high quality staff, issues in relation to the other standards categories may still arise</w:t>
      </w:r>
      <w:r w:rsidR="005D1AFD">
        <w:t>. H</w:t>
      </w:r>
      <w:r w:rsidR="00215743" w:rsidRPr="009B6040">
        <w:t xml:space="preserve">owever, internal quality assurance arrangements are more likely to capture these issues and </w:t>
      </w:r>
      <w:r w:rsidRPr="009B6040">
        <w:t>lead to</w:t>
      </w:r>
      <w:r w:rsidR="00215743" w:rsidRPr="009B6040">
        <w:t xml:space="preserve"> rem</w:t>
      </w:r>
      <w:r w:rsidRPr="009B6040">
        <w:t>ediation without TEQSA’s input.</w:t>
      </w:r>
    </w:p>
    <w:p w:rsidR="000C2204" w:rsidRPr="009B6040" w:rsidRDefault="000C2204" w:rsidP="009B72E8">
      <w:r w:rsidRPr="009B6040">
        <w:rPr>
          <w:b/>
        </w:rPr>
        <w:t xml:space="preserve">Figure </w:t>
      </w:r>
      <w:r w:rsidR="00A605C5" w:rsidRPr="009B6040">
        <w:rPr>
          <w:b/>
        </w:rPr>
        <w:t xml:space="preserve">5 </w:t>
      </w:r>
      <w:r w:rsidR="001078F9" w:rsidRPr="009B6040">
        <w:t>shows</w:t>
      </w:r>
      <w:r w:rsidR="001078F9" w:rsidRPr="009B6040">
        <w:rPr>
          <w:b/>
        </w:rPr>
        <w:t xml:space="preserve"> </w:t>
      </w:r>
      <w:r w:rsidR="001078F9" w:rsidRPr="009B6040">
        <w:t xml:space="preserve">the proportion of </w:t>
      </w:r>
      <w:r w:rsidR="001B2C0B">
        <w:t xml:space="preserve">adverse </w:t>
      </w:r>
      <w:r w:rsidR="001078F9" w:rsidRPr="009B6040">
        <w:t>course accreditation and renewal of accreditation assessments that led to sanctions relating to each of the six 2011 Provider Course Accreditation Standards (PCAS) sections</w:t>
      </w:r>
      <w:r w:rsidRPr="009B6040">
        <w:t>.</w:t>
      </w:r>
      <w:r w:rsidR="00215743" w:rsidRPr="009B6040">
        <w:t xml:space="preserve"> It shows</w:t>
      </w:r>
      <w:r w:rsidR="00AC7AAB" w:rsidRPr="009B6040">
        <w:t xml:space="preserve"> a concentration of issues around </w:t>
      </w:r>
      <w:r w:rsidR="00F91122" w:rsidRPr="009B6040">
        <w:t>assessment</w:t>
      </w:r>
      <w:r w:rsidR="00AC7AAB" w:rsidRPr="009B6040">
        <w:t xml:space="preserve">, </w:t>
      </w:r>
      <w:r w:rsidR="00F91122" w:rsidRPr="009B6040">
        <w:t>course design,</w:t>
      </w:r>
      <w:r w:rsidR="00AC7AAB" w:rsidRPr="009B6040">
        <w:t xml:space="preserve"> and </w:t>
      </w:r>
      <w:r w:rsidR="003B6340" w:rsidRPr="009B6040">
        <w:t>teaching and learning</w:t>
      </w:r>
      <w:r w:rsidR="00F91122" w:rsidRPr="009B6040">
        <w:t xml:space="preserve"> (</w:t>
      </w:r>
      <w:r w:rsidR="00BE18EE" w:rsidRPr="009B6040">
        <w:t xml:space="preserve">i.e. </w:t>
      </w:r>
      <w:r w:rsidR="00F91122" w:rsidRPr="009B6040">
        <w:t>academic staffing)</w:t>
      </w:r>
      <w:r w:rsidR="00AC7AAB" w:rsidRPr="009B6040">
        <w:t>.</w:t>
      </w:r>
    </w:p>
    <w:p w:rsidR="00C02F46" w:rsidRPr="009B6040" w:rsidRDefault="0024310B" w:rsidP="00C02F46">
      <w:pPr>
        <w:keepNext/>
      </w:pPr>
      <w:r w:rsidRPr="009B6040">
        <w:rPr>
          <w:noProof/>
          <w:lang w:eastAsia="en-AU"/>
        </w:rPr>
        <w:drawing>
          <wp:inline distT="0" distB="0" distL="0" distR="0" wp14:anchorId="4088E786" wp14:editId="5F26E176">
            <wp:extent cx="5734050" cy="2819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5743" w:rsidRPr="009B6040" w:rsidRDefault="00C02F46" w:rsidP="00E5592E">
      <w:pPr>
        <w:pStyle w:val="FigureTitle"/>
      </w:pPr>
      <w:r w:rsidRPr="009B6040">
        <w:t>P</w:t>
      </w:r>
      <w:r w:rsidR="003F734E" w:rsidRPr="009B6040">
        <w:t>roportion</w:t>
      </w:r>
      <w:r w:rsidRPr="009B6040">
        <w:t xml:space="preserve"> of adverse re/accreditation decisions referencing accreditation standard sections as a reason for an adverse finding (2013-2017)</w:t>
      </w:r>
    </w:p>
    <w:p w:rsidR="003B6340" w:rsidRPr="009B6040" w:rsidRDefault="006C4CA9" w:rsidP="00B10762">
      <w:r w:rsidRPr="009B6040">
        <w:t xml:space="preserve">The design of a course, who teaches the course and how students’ work is assessed are clearly </w:t>
      </w:r>
      <w:r w:rsidR="00091DA2" w:rsidRPr="009B6040">
        <w:t xml:space="preserve">matters central to successful course delivery, so it ought not to be surprising that issues relating to these areas </w:t>
      </w:r>
      <w:r w:rsidR="001078F9" w:rsidRPr="009B6040">
        <w:t>we</w:t>
      </w:r>
      <w:r w:rsidR="00091DA2" w:rsidRPr="009B6040">
        <w:t>re the major causes of sanctions being ap</w:t>
      </w:r>
      <w:r w:rsidR="00B10762" w:rsidRPr="009B6040">
        <w:t>plied to course accreditations.</w:t>
      </w:r>
    </w:p>
    <w:p w:rsidR="005D1538" w:rsidRPr="009B6040" w:rsidRDefault="005D1538" w:rsidP="005D1538">
      <w:r w:rsidRPr="009B6040">
        <w:t>TEQSA has publishe</w:t>
      </w:r>
      <w:r w:rsidR="007F57AD" w:rsidRPr="009B6040">
        <w:t xml:space="preserve">d </w:t>
      </w:r>
      <w:hyperlink r:id="rId20" w:history="1">
        <w:r w:rsidR="007F57AD" w:rsidRPr="009B6040">
          <w:rPr>
            <w:rStyle w:val="Hyperlink"/>
          </w:rPr>
          <w:t>guidance notes</w:t>
        </w:r>
      </w:hyperlink>
      <w:r w:rsidR="007F57AD" w:rsidRPr="009B6040">
        <w:t xml:space="preserve"> focused on </w:t>
      </w:r>
      <w:r w:rsidR="00B10762" w:rsidRPr="009B6040">
        <w:t xml:space="preserve">matters that have commonly led </w:t>
      </w:r>
      <w:r w:rsidR="003857C9" w:rsidRPr="009B6040">
        <w:t>to adverse decisions on applications</w:t>
      </w:r>
      <w:r w:rsidR="001618D2" w:rsidRPr="009B6040">
        <w:t xml:space="preserve">, including, though not limited to: </w:t>
      </w:r>
      <w:hyperlink r:id="rId21" w:history="1">
        <w:r w:rsidR="001618D2" w:rsidRPr="009B6040">
          <w:rPr>
            <w:rStyle w:val="Hyperlink"/>
          </w:rPr>
          <w:t>academic governance</w:t>
        </w:r>
      </w:hyperlink>
      <w:r w:rsidR="001618D2" w:rsidRPr="009B6040">
        <w:t xml:space="preserve">; </w:t>
      </w:r>
      <w:hyperlink r:id="rId22" w:history="1">
        <w:r w:rsidR="001618D2" w:rsidRPr="009B6040">
          <w:rPr>
            <w:rStyle w:val="Hyperlink"/>
          </w:rPr>
          <w:t>corporate governance</w:t>
        </w:r>
      </w:hyperlink>
      <w:r w:rsidR="001618D2" w:rsidRPr="009B6040">
        <w:t xml:space="preserve">; </w:t>
      </w:r>
      <w:hyperlink r:id="rId23" w:history="1">
        <w:r w:rsidR="001618D2" w:rsidRPr="009B6040">
          <w:rPr>
            <w:rStyle w:val="Hyperlink"/>
          </w:rPr>
          <w:t>staffing, learning resources and educational support</w:t>
        </w:r>
      </w:hyperlink>
      <w:r w:rsidR="001618D2" w:rsidRPr="009B6040">
        <w:t xml:space="preserve">; </w:t>
      </w:r>
      <w:hyperlink r:id="rId24" w:history="1">
        <w:r w:rsidR="001618D2" w:rsidRPr="009B6040">
          <w:rPr>
            <w:rStyle w:val="Hyperlink"/>
          </w:rPr>
          <w:t>academic integrity</w:t>
        </w:r>
      </w:hyperlink>
      <w:r w:rsidR="001618D2" w:rsidRPr="009B6040">
        <w:t xml:space="preserve">; and </w:t>
      </w:r>
      <w:hyperlink r:id="rId25" w:history="1">
        <w:r w:rsidR="001618D2" w:rsidRPr="009B6040">
          <w:rPr>
            <w:rStyle w:val="Hyperlink"/>
          </w:rPr>
          <w:t>course design</w:t>
        </w:r>
      </w:hyperlink>
      <w:r w:rsidR="001618D2" w:rsidRPr="009B6040">
        <w:t xml:space="preserve">. These guidance notes </w:t>
      </w:r>
      <w:r w:rsidR="009818B2" w:rsidRPr="009B6040">
        <w:t xml:space="preserve">are intended to provide advice and greater clarity </w:t>
      </w:r>
      <w:r w:rsidR="009818B2" w:rsidRPr="009B6040">
        <w:lastRenderedPageBreak/>
        <w:t xml:space="preserve">when interpreting and applying selected areas of the </w:t>
      </w:r>
      <w:r w:rsidR="00673187" w:rsidRPr="009B6040">
        <w:t xml:space="preserve">Standards. While they should not be read as sets of instructions, providers familiar with the content of the guidance notes </w:t>
      </w:r>
      <w:r w:rsidR="00AB5E6F" w:rsidRPr="009B6040">
        <w:t>will have a better understanding of how TEQSA views a range of matters central to compliance with the Standards.</w:t>
      </w:r>
    </w:p>
    <w:p w:rsidR="00525400" w:rsidRPr="009B6040" w:rsidRDefault="00525400">
      <w:pPr>
        <w:rPr>
          <w:rFonts w:eastAsiaTheme="majorEastAsia" w:cstheme="majorBidi"/>
          <w:b/>
          <w:iCs/>
          <w:color w:val="auto"/>
          <w:sz w:val="24"/>
        </w:rPr>
      </w:pPr>
      <w:r w:rsidRPr="009B6040">
        <w:br w:type="page"/>
      </w:r>
    </w:p>
    <w:p w:rsidR="004735E0" w:rsidRPr="009B6040" w:rsidRDefault="00FD63E3" w:rsidP="00B33065">
      <w:pPr>
        <w:pStyle w:val="Heading3"/>
      </w:pPr>
      <w:bookmarkStart w:id="7" w:name="_Toc524011830"/>
      <w:r w:rsidRPr="009B6040">
        <w:lastRenderedPageBreak/>
        <w:t>Assessment outcomes and provider types</w:t>
      </w:r>
      <w:bookmarkEnd w:id="7"/>
    </w:p>
    <w:p w:rsidR="003C654E" w:rsidRPr="009B6040" w:rsidRDefault="00A13399" w:rsidP="00EC43CF">
      <w:r w:rsidRPr="009B6040">
        <w:t xml:space="preserve">One way to compare assessment outcomes for different provider categories is to compare the </w:t>
      </w:r>
      <w:r w:rsidR="00E5592E" w:rsidRPr="009B6040">
        <w:t xml:space="preserve">numbers and </w:t>
      </w:r>
      <w:r w:rsidRPr="009B6040">
        <w:t>proportion</w:t>
      </w:r>
      <w:r w:rsidR="00E5592E" w:rsidRPr="009B6040">
        <w:t>s</w:t>
      </w:r>
      <w:r w:rsidRPr="009B6040">
        <w:t xml:space="preserve"> of assessments leading to adverse findings for each category of provider.</w:t>
      </w:r>
      <w:r w:rsidR="00170974" w:rsidRPr="009B6040">
        <w:t xml:space="preserve"> </w:t>
      </w:r>
      <w:r w:rsidR="00E5592E" w:rsidRPr="009B6040">
        <w:rPr>
          <w:b/>
        </w:rPr>
        <w:t>Table 1</w:t>
      </w:r>
      <w:r w:rsidR="00E5592E" w:rsidRPr="009B6040">
        <w:t xml:space="preserve"> shows counts of </w:t>
      </w:r>
      <w:r w:rsidR="00A97CB5" w:rsidRPr="009B6040">
        <w:t>registration/re-registration assessments and for course accreditation/re-accreditation assessments</w:t>
      </w:r>
      <w:r w:rsidR="00E5592E" w:rsidRPr="009B6040">
        <w:t xml:space="preserve">, and </w:t>
      </w:r>
      <w:r w:rsidR="00170974" w:rsidRPr="009B6040">
        <w:rPr>
          <w:b/>
        </w:rPr>
        <w:t xml:space="preserve">Figure </w:t>
      </w:r>
      <w:r w:rsidR="00DB324F" w:rsidRPr="009B6040">
        <w:rPr>
          <w:b/>
        </w:rPr>
        <w:t>6</w:t>
      </w:r>
      <w:r w:rsidR="008B16E9" w:rsidRPr="009B6040">
        <w:t xml:space="preserve"> </w:t>
      </w:r>
      <w:r w:rsidR="00A97CB5" w:rsidRPr="009B6040">
        <w:t>shows</w:t>
      </w:r>
      <w:r w:rsidR="008B16E9" w:rsidRPr="009B6040">
        <w:t xml:space="preserve"> these</w:t>
      </w:r>
      <w:r w:rsidR="00A97CB5" w:rsidRPr="009B6040">
        <w:t xml:space="preserve"> as</w:t>
      </w:r>
      <w:r w:rsidR="008B16E9" w:rsidRPr="009B6040">
        <w:t xml:space="preserve"> proportions</w:t>
      </w:r>
      <w:r w:rsidR="00170974" w:rsidRPr="009B6040">
        <w:t>.</w:t>
      </w:r>
    </w:p>
    <w:p w:rsidR="00E5592E" w:rsidRPr="009B6040" w:rsidRDefault="00E5592E" w:rsidP="00E5592E">
      <w:pPr>
        <w:pStyle w:val="TableTitle"/>
      </w:pPr>
      <w:r w:rsidRPr="009B6040">
        <w:t>Number of assessments resulting in adverse, by provider type (2013-2017)</w:t>
      </w:r>
    </w:p>
    <w:tbl>
      <w:tblPr>
        <w:tblStyle w:val="PlainTable4"/>
        <w:tblW w:w="5000" w:type="pct"/>
        <w:tblLook w:val="04A0" w:firstRow="1" w:lastRow="0" w:firstColumn="1" w:lastColumn="0" w:noHBand="0" w:noVBand="1"/>
      </w:tblPr>
      <w:tblGrid>
        <w:gridCol w:w="2890"/>
        <w:gridCol w:w="1706"/>
        <w:gridCol w:w="1706"/>
        <w:gridCol w:w="1362"/>
        <w:gridCol w:w="1362"/>
      </w:tblGrid>
      <w:tr w:rsidR="00B2137C" w:rsidRPr="009B6040" w:rsidTr="00E55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B2137C" w:rsidP="009005EB">
            <w:pPr>
              <w:rPr>
                <w:sz w:val="20"/>
                <w:szCs w:val="20"/>
              </w:rPr>
            </w:pPr>
          </w:p>
        </w:tc>
        <w:tc>
          <w:tcPr>
            <w:tcW w:w="945" w:type="pct"/>
          </w:tcPr>
          <w:p w:rsidR="00B2137C" w:rsidRPr="009B6040" w:rsidRDefault="00B2137C" w:rsidP="00B2137C">
            <w:pPr>
              <w:cnfStyle w:val="100000000000" w:firstRow="1" w:lastRow="0" w:firstColumn="0" w:lastColumn="0" w:oddVBand="0" w:evenVBand="0" w:oddHBand="0" w:evenHBand="0" w:firstRowFirstColumn="0" w:firstRowLastColumn="0" w:lastRowFirstColumn="0" w:lastRowLastColumn="0"/>
              <w:rPr>
                <w:sz w:val="20"/>
                <w:szCs w:val="20"/>
              </w:rPr>
            </w:pPr>
            <w:r w:rsidRPr="009B6040">
              <w:rPr>
                <w:sz w:val="20"/>
                <w:szCs w:val="20"/>
              </w:rPr>
              <w:t>Re</w:t>
            </w:r>
            <w:r w:rsidR="00D152CD" w:rsidRPr="009B6040">
              <w:rPr>
                <w:sz w:val="20"/>
                <w:szCs w:val="20"/>
              </w:rPr>
              <w:t>gistration and re-</w:t>
            </w:r>
            <w:r w:rsidRPr="009B6040">
              <w:rPr>
                <w:sz w:val="20"/>
                <w:szCs w:val="20"/>
              </w:rPr>
              <w:t>registration total</w:t>
            </w:r>
          </w:p>
        </w:tc>
        <w:tc>
          <w:tcPr>
            <w:tcW w:w="945" w:type="pct"/>
          </w:tcPr>
          <w:p w:rsidR="00B2137C" w:rsidRPr="009B6040" w:rsidRDefault="00D152CD" w:rsidP="009005EB">
            <w:pPr>
              <w:cnfStyle w:val="100000000000" w:firstRow="1" w:lastRow="0" w:firstColumn="0" w:lastColumn="0" w:oddVBand="0" w:evenVBand="0" w:oddHBand="0" w:evenHBand="0" w:firstRowFirstColumn="0" w:firstRowLastColumn="0" w:lastRowFirstColumn="0" w:lastRowLastColumn="0"/>
              <w:rPr>
                <w:sz w:val="20"/>
                <w:szCs w:val="20"/>
              </w:rPr>
            </w:pPr>
            <w:r w:rsidRPr="009B6040">
              <w:rPr>
                <w:sz w:val="20"/>
                <w:szCs w:val="20"/>
              </w:rPr>
              <w:t xml:space="preserve">Registration and re-registration </w:t>
            </w:r>
            <w:r w:rsidR="00B2137C" w:rsidRPr="009B6040">
              <w:rPr>
                <w:sz w:val="20"/>
                <w:szCs w:val="20"/>
              </w:rPr>
              <w:t>adverse</w:t>
            </w:r>
          </w:p>
        </w:tc>
        <w:tc>
          <w:tcPr>
            <w:tcW w:w="754" w:type="pct"/>
          </w:tcPr>
          <w:p w:rsidR="00B2137C" w:rsidRPr="009B6040" w:rsidRDefault="00B2137C" w:rsidP="009005EB">
            <w:pPr>
              <w:cnfStyle w:val="100000000000" w:firstRow="1" w:lastRow="0" w:firstColumn="0" w:lastColumn="0" w:oddVBand="0" w:evenVBand="0" w:oddHBand="0" w:evenHBand="0" w:firstRowFirstColumn="0" w:firstRowLastColumn="0" w:lastRowFirstColumn="0" w:lastRowLastColumn="0"/>
              <w:rPr>
                <w:sz w:val="20"/>
                <w:szCs w:val="20"/>
              </w:rPr>
            </w:pPr>
            <w:r w:rsidRPr="009B6040">
              <w:rPr>
                <w:sz w:val="20"/>
                <w:szCs w:val="20"/>
              </w:rPr>
              <w:t>Course assessment total</w:t>
            </w:r>
          </w:p>
        </w:tc>
        <w:tc>
          <w:tcPr>
            <w:tcW w:w="754" w:type="pct"/>
          </w:tcPr>
          <w:p w:rsidR="00B2137C" w:rsidRPr="009B6040" w:rsidRDefault="00B2137C" w:rsidP="009005EB">
            <w:pPr>
              <w:cnfStyle w:val="100000000000" w:firstRow="1" w:lastRow="0" w:firstColumn="0" w:lastColumn="0" w:oddVBand="0" w:evenVBand="0" w:oddHBand="0" w:evenHBand="0" w:firstRowFirstColumn="0" w:firstRowLastColumn="0" w:lastRowFirstColumn="0" w:lastRowLastColumn="0"/>
              <w:rPr>
                <w:sz w:val="20"/>
                <w:szCs w:val="20"/>
              </w:rPr>
            </w:pPr>
            <w:r w:rsidRPr="009B6040">
              <w:rPr>
                <w:sz w:val="20"/>
                <w:szCs w:val="20"/>
              </w:rPr>
              <w:t>Course assessment adverse</w:t>
            </w:r>
          </w:p>
        </w:tc>
      </w:tr>
      <w:tr w:rsidR="00B2137C" w:rsidRPr="009B6040" w:rsidTr="00E55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D91575" w:rsidP="009005EB">
            <w:pPr>
              <w:rPr>
                <w:sz w:val="20"/>
                <w:szCs w:val="20"/>
              </w:rPr>
            </w:pPr>
            <w:r w:rsidRPr="009B6040">
              <w:rPr>
                <w:sz w:val="20"/>
                <w:szCs w:val="20"/>
              </w:rPr>
              <w:t>F</w:t>
            </w:r>
            <w:r w:rsidR="00B2137C" w:rsidRPr="009B6040">
              <w:rPr>
                <w:sz w:val="20"/>
                <w:szCs w:val="20"/>
              </w:rPr>
              <w:t>or-profit</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86</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58</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669</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257</w:t>
            </w:r>
          </w:p>
        </w:tc>
      </w:tr>
      <w:tr w:rsidR="00B2137C" w:rsidRPr="009B6040" w:rsidTr="00E5592E">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B2137C" w:rsidP="009005EB">
            <w:pPr>
              <w:rPr>
                <w:sz w:val="20"/>
                <w:szCs w:val="20"/>
              </w:rPr>
            </w:pPr>
            <w:r w:rsidRPr="009B6040">
              <w:rPr>
                <w:sz w:val="20"/>
                <w:szCs w:val="20"/>
              </w:rPr>
              <w:t>TAFE</w:t>
            </w:r>
          </w:p>
        </w:tc>
        <w:tc>
          <w:tcPr>
            <w:tcW w:w="945"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15</w:t>
            </w:r>
          </w:p>
        </w:tc>
        <w:tc>
          <w:tcPr>
            <w:tcW w:w="945"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6</w:t>
            </w:r>
          </w:p>
        </w:tc>
        <w:tc>
          <w:tcPr>
            <w:tcW w:w="754"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195</w:t>
            </w:r>
          </w:p>
        </w:tc>
        <w:tc>
          <w:tcPr>
            <w:tcW w:w="754"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52</w:t>
            </w:r>
          </w:p>
        </w:tc>
      </w:tr>
      <w:tr w:rsidR="00B2137C" w:rsidRPr="009B6040" w:rsidTr="00E55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D91575" w:rsidP="009005EB">
            <w:pPr>
              <w:rPr>
                <w:sz w:val="20"/>
                <w:szCs w:val="20"/>
              </w:rPr>
            </w:pPr>
            <w:r w:rsidRPr="009B6040">
              <w:rPr>
                <w:sz w:val="20"/>
                <w:szCs w:val="20"/>
              </w:rPr>
              <w:t>N</w:t>
            </w:r>
            <w:r w:rsidR="00B2137C" w:rsidRPr="009B6040">
              <w:rPr>
                <w:sz w:val="20"/>
                <w:szCs w:val="20"/>
              </w:rPr>
              <w:t>ot-for-profit (faith-based)</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21</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6</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269</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56</w:t>
            </w:r>
          </w:p>
        </w:tc>
      </w:tr>
      <w:tr w:rsidR="00B2137C" w:rsidRPr="009B6040" w:rsidTr="00E5592E">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D91575" w:rsidP="009005EB">
            <w:pPr>
              <w:rPr>
                <w:sz w:val="20"/>
                <w:szCs w:val="20"/>
              </w:rPr>
            </w:pPr>
            <w:r w:rsidRPr="009B6040">
              <w:rPr>
                <w:sz w:val="20"/>
                <w:szCs w:val="20"/>
              </w:rPr>
              <w:t>N</w:t>
            </w:r>
            <w:r w:rsidR="00B2137C" w:rsidRPr="009B6040">
              <w:rPr>
                <w:sz w:val="20"/>
                <w:szCs w:val="20"/>
              </w:rPr>
              <w:t>ot-for-profit (other)</w:t>
            </w:r>
          </w:p>
        </w:tc>
        <w:tc>
          <w:tcPr>
            <w:tcW w:w="945"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33</w:t>
            </w:r>
          </w:p>
        </w:tc>
        <w:tc>
          <w:tcPr>
            <w:tcW w:w="945"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8</w:t>
            </w:r>
          </w:p>
        </w:tc>
        <w:tc>
          <w:tcPr>
            <w:tcW w:w="754"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129</w:t>
            </w:r>
          </w:p>
        </w:tc>
        <w:tc>
          <w:tcPr>
            <w:tcW w:w="754" w:type="pct"/>
          </w:tcPr>
          <w:p w:rsidR="00B2137C" w:rsidRPr="009B6040" w:rsidRDefault="00B2137C" w:rsidP="009005EB">
            <w:pPr>
              <w:cnfStyle w:val="000000000000" w:firstRow="0" w:lastRow="0" w:firstColumn="0" w:lastColumn="0" w:oddVBand="0" w:evenVBand="0" w:oddHBand="0" w:evenHBand="0" w:firstRowFirstColumn="0" w:firstRowLastColumn="0" w:lastRowFirstColumn="0" w:lastRowLastColumn="0"/>
              <w:rPr>
                <w:sz w:val="20"/>
                <w:szCs w:val="20"/>
              </w:rPr>
            </w:pPr>
            <w:r w:rsidRPr="009B6040">
              <w:rPr>
                <w:sz w:val="20"/>
                <w:szCs w:val="20"/>
              </w:rPr>
              <w:t>22</w:t>
            </w:r>
          </w:p>
        </w:tc>
      </w:tr>
      <w:tr w:rsidR="00B2137C" w:rsidRPr="009B6040" w:rsidTr="00E55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rsidR="00B2137C" w:rsidRPr="009B6040" w:rsidRDefault="00D91575" w:rsidP="009005EB">
            <w:pPr>
              <w:rPr>
                <w:sz w:val="20"/>
                <w:szCs w:val="20"/>
              </w:rPr>
            </w:pPr>
            <w:r w:rsidRPr="009B6040">
              <w:rPr>
                <w:sz w:val="20"/>
                <w:szCs w:val="20"/>
              </w:rPr>
              <w:t>U</w:t>
            </w:r>
            <w:r w:rsidR="00B2137C" w:rsidRPr="009B6040">
              <w:rPr>
                <w:sz w:val="20"/>
                <w:szCs w:val="20"/>
              </w:rPr>
              <w:t>niversity</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29</w:t>
            </w:r>
          </w:p>
        </w:tc>
        <w:tc>
          <w:tcPr>
            <w:tcW w:w="945"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0</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0</w:t>
            </w:r>
          </w:p>
        </w:tc>
        <w:tc>
          <w:tcPr>
            <w:tcW w:w="754" w:type="pct"/>
          </w:tcPr>
          <w:p w:rsidR="00B2137C" w:rsidRPr="009B6040" w:rsidRDefault="00B2137C" w:rsidP="009005EB">
            <w:pPr>
              <w:cnfStyle w:val="000000100000" w:firstRow="0" w:lastRow="0" w:firstColumn="0" w:lastColumn="0" w:oddVBand="0" w:evenVBand="0" w:oddHBand="1" w:evenHBand="0" w:firstRowFirstColumn="0" w:firstRowLastColumn="0" w:lastRowFirstColumn="0" w:lastRowLastColumn="0"/>
              <w:rPr>
                <w:sz w:val="20"/>
                <w:szCs w:val="20"/>
              </w:rPr>
            </w:pPr>
            <w:r w:rsidRPr="009B6040">
              <w:rPr>
                <w:sz w:val="20"/>
                <w:szCs w:val="20"/>
              </w:rPr>
              <w:t>0</w:t>
            </w:r>
          </w:p>
        </w:tc>
      </w:tr>
    </w:tbl>
    <w:p w:rsidR="00B2137C" w:rsidRPr="009B6040" w:rsidRDefault="00B2137C" w:rsidP="00EC43CF"/>
    <w:p w:rsidR="00C02F46" w:rsidRPr="009B6040" w:rsidRDefault="00A97C6B" w:rsidP="00C02F46">
      <w:pPr>
        <w:keepNext/>
      </w:pPr>
      <w:r w:rsidRPr="009B6040">
        <w:rPr>
          <w:noProof/>
          <w:lang w:eastAsia="en-AU"/>
        </w:rPr>
        <w:drawing>
          <wp:inline distT="0" distB="0" distL="0" distR="0" wp14:anchorId="71A44747" wp14:editId="464F5FB6">
            <wp:extent cx="5419725" cy="27432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70974" w:rsidRPr="009B6040" w:rsidRDefault="00B2137C" w:rsidP="00B2137C">
      <w:pPr>
        <w:pStyle w:val="FigureTitle"/>
      </w:pPr>
      <w:r w:rsidRPr="009B6040">
        <w:t xml:space="preserve">Proportion of </w:t>
      </w:r>
      <w:r w:rsidR="00C02F46" w:rsidRPr="009B6040">
        <w:t>assessments resulting in adverse, by provider type (2013-2017)</w:t>
      </w:r>
    </w:p>
    <w:p w:rsidR="00DC4EEC" w:rsidRPr="009B6040" w:rsidRDefault="00DC4EEC" w:rsidP="00EC43CF">
      <w:r w:rsidRPr="009B6040">
        <w:rPr>
          <w:b/>
        </w:rPr>
        <w:t>Figure 6</w:t>
      </w:r>
      <w:r w:rsidRPr="009B6040">
        <w:t xml:space="preserve"> shows </w:t>
      </w:r>
      <w:r w:rsidR="008C7265" w:rsidRPr="009B6040">
        <w:t xml:space="preserve">most clearly </w:t>
      </w:r>
      <w:r w:rsidRPr="009B6040">
        <w:t>that</w:t>
      </w:r>
      <w:r w:rsidR="009818B2" w:rsidRPr="009B6040">
        <w:t xml:space="preserve"> for the period 2013-17</w:t>
      </w:r>
      <w:r w:rsidRPr="009B6040">
        <w:t xml:space="preserve">: 1) for-profit providers have had a </w:t>
      </w:r>
      <w:r w:rsidR="005D1AFD">
        <w:t xml:space="preserve">substantially </w:t>
      </w:r>
      <w:r w:rsidRPr="009B6040">
        <w:t xml:space="preserve">higher proportion of adverse findings compared to other provider types, particularly in relation to </w:t>
      </w:r>
      <w:r w:rsidR="009818B2" w:rsidRPr="009B6040">
        <w:t xml:space="preserve">new </w:t>
      </w:r>
      <w:r w:rsidRPr="009B6040">
        <w:t>registrations and renewals of registration, and 2)</w:t>
      </w:r>
      <w:r w:rsidR="008C7265" w:rsidRPr="009B6040">
        <w:t xml:space="preserve"> universities have had no adverse assessments.</w:t>
      </w:r>
    </w:p>
    <w:p w:rsidR="00B336E1" w:rsidRPr="009B6040" w:rsidRDefault="00E11627" w:rsidP="00A53FB5">
      <w:r w:rsidRPr="009B6040">
        <w:lastRenderedPageBreak/>
        <w:t xml:space="preserve">The higher proportion of for-profit providers with adverse assessments </w:t>
      </w:r>
      <w:r w:rsidR="00A51173" w:rsidRPr="009B6040">
        <w:t>i</w:t>
      </w:r>
      <w:r w:rsidRPr="009B6040">
        <w:t xml:space="preserve">s likely to </w:t>
      </w:r>
      <w:r w:rsidR="00EB7072" w:rsidRPr="009B6040">
        <w:t xml:space="preserve">have </w:t>
      </w:r>
      <w:r w:rsidRPr="009B6040">
        <w:t>be</w:t>
      </w:r>
      <w:r w:rsidR="00EB7072" w:rsidRPr="009B6040">
        <w:t>en</w:t>
      </w:r>
      <w:r w:rsidRPr="009B6040">
        <w:t xml:space="preserve"> associated with the risk profile of that group</w:t>
      </w:r>
      <w:r w:rsidR="00A51173" w:rsidRPr="009B6040">
        <w:rPr>
          <w:rStyle w:val="FootnoteReference"/>
        </w:rPr>
        <w:footnoteReference w:id="6"/>
      </w:r>
      <w:r w:rsidR="00A53FB5" w:rsidRPr="009B6040">
        <w:t xml:space="preserve">. </w:t>
      </w:r>
      <w:r w:rsidRPr="009B6040">
        <w:t xml:space="preserve">For example, in 2017 only 13 per cent of for-profit providers were classified as presenting a low risk to students while 54 per cent were classified as high risk. In contrast, 40 per cent of not-for-profit </w:t>
      </w:r>
      <w:r w:rsidR="00CC4FB2" w:rsidRPr="009B6040">
        <w:t xml:space="preserve">higher education </w:t>
      </w:r>
      <w:r w:rsidRPr="009B6040">
        <w:t>providers were classified as a low risk to students in the same year, and 11 per cent were classified as high risk</w:t>
      </w:r>
      <w:r w:rsidR="00A53FB5" w:rsidRPr="009B6040">
        <w:t>. Notably, only one adverse assessment of a for-profit provider was of a provider classified as presenting a low risk to students. The final section of this paper considers the relationship between risk to students and assessment outcomes.</w:t>
      </w:r>
    </w:p>
    <w:p w:rsidR="00F26DBD" w:rsidRPr="009B6040" w:rsidRDefault="00BE18EE" w:rsidP="00466132">
      <w:r w:rsidRPr="009B6040">
        <w:t>For</w:t>
      </w:r>
      <w:r w:rsidR="00B340A7" w:rsidRPr="009B6040">
        <w:t xml:space="preserve"> universities, it is necessarily the case that they have</w:t>
      </w:r>
      <w:r w:rsidRPr="009B6040">
        <w:t xml:space="preserve"> no adverse course assessments—b</w:t>
      </w:r>
      <w:r w:rsidR="00EB49F0" w:rsidRPr="009B6040">
        <w:t xml:space="preserve">ecause </w:t>
      </w:r>
      <w:r w:rsidR="0018712F" w:rsidRPr="009B6040">
        <w:t xml:space="preserve">all </w:t>
      </w:r>
      <w:r w:rsidR="00EB49F0" w:rsidRPr="009B6040">
        <w:t xml:space="preserve">universities have self-accrediting authority, TEQSA does not assess university courses for accreditation. However, TEQSA </w:t>
      </w:r>
      <w:r w:rsidR="009818B2" w:rsidRPr="009B6040">
        <w:t xml:space="preserve">has </w:t>
      </w:r>
      <w:r w:rsidR="00EB7072" w:rsidRPr="009B6040">
        <w:t>assessed</w:t>
      </w:r>
      <w:r w:rsidR="00EB49F0" w:rsidRPr="009B6040">
        <w:t xml:space="preserve"> universities for re-registration, and </w:t>
      </w:r>
      <w:r w:rsidR="00B340A7" w:rsidRPr="009B6040">
        <w:t>over the period considered in this analysis</w:t>
      </w:r>
      <w:r w:rsidR="009818B2" w:rsidRPr="009B6040">
        <w:t>,</w:t>
      </w:r>
      <w:r w:rsidR="00B340A7" w:rsidRPr="009B6040">
        <w:t xml:space="preserve"> </w:t>
      </w:r>
      <w:r w:rsidR="00EB49F0" w:rsidRPr="009B6040">
        <w:t xml:space="preserve">these assessments </w:t>
      </w:r>
      <w:r w:rsidR="00EB7072" w:rsidRPr="009B6040">
        <w:t>did</w:t>
      </w:r>
      <w:r w:rsidR="00EB49F0" w:rsidRPr="009B6040">
        <w:t xml:space="preserve"> no</w:t>
      </w:r>
      <w:r w:rsidR="00485242" w:rsidRPr="009B6040">
        <w:t>t le</w:t>
      </w:r>
      <w:r w:rsidR="00EB7072" w:rsidRPr="009B6040">
        <w:t>a</w:t>
      </w:r>
      <w:r w:rsidR="00485242" w:rsidRPr="009B6040">
        <w:t>d to any adverse decisions.</w:t>
      </w:r>
      <w:r w:rsidR="00EB49F0" w:rsidRPr="009B6040">
        <w:t xml:space="preserve"> </w:t>
      </w:r>
      <w:r w:rsidR="00485242" w:rsidRPr="009B6040">
        <w:t xml:space="preserve">Although there is variation within the group, on quantitative measures universities </w:t>
      </w:r>
      <w:r w:rsidR="0069102B" w:rsidRPr="009B6040">
        <w:t>we</w:t>
      </w:r>
      <w:r w:rsidR="00485242" w:rsidRPr="009B6040">
        <w:t>re as a whole the lowest risk category of providers</w:t>
      </w:r>
      <w:r w:rsidRPr="009B6040">
        <w:t xml:space="preserve"> in Australian higher education, and t</w:t>
      </w:r>
      <w:r w:rsidR="00485242" w:rsidRPr="009B6040">
        <w:t xml:space="preserve">his </w:t>
      </w:r>
      <w:r w:rsidR="0069102B" w:rsidRPr="009B6040">
        <w:t>wa</w:t>
      </w:r>
      <w:r w:rsidR="00485242" w:rsidRPr="009B6040">
        <w:t>s reflected in the outcomes of TEQSA’s assessments of universities</w:t>
      </w:r>
      <w:r w:rsidR="009818B2" w:rsidRPr="009B6040">
        <w:t xml:space="preserve"> during the period</w:t>
      </w:r>
      <w:r w:rsidR="00EB7072" w:rsidRPr="009B6040">
        <w:t>.</w:t>
      </w:r>
      <w:r w:rsidR="00F26DBD" w:rsidRPr="009B6040">
        <w:br w:type="page"/>
      </w:r>
    </w:p>
    <w:p w:rsidR="00E9567C" w:rsidRPr="009B6040" w:rsidRDefault="00CD4178" w:rsidP="00B33065">
      <w:pPr>
        <w:pStyle w:val="Heading3"/>
      </w:pPr>
      <w:bookmarkStart w:id="8" w:name="_Toc524011831"/>
      <w:r w:rsidRPr="009B6040">
        <w:lastRenderedPageBreak/>
        <w:t xml:space="preserve">Time to completion </w:t>
      </w:r>
      <w:r w:rsidR="00FD63E3" w:rsidRPr="009B6040">
        <w:t>by outcome and provider type</w:t>
      </w:r>
      <w:bookmarkEnd w:id="8"/>
    </w:p>
    <w:p w:rsidR="00DB264B" w:rsidRPr="009B6040" w:rsidRDefault="00AC59BE">
      <w:r w:rsidRPr="009B6040">
        <w:t>Assessments that lead to adverse decisions tend</w:t>
      </w:r>
      <w:r w:rsidR="009818B2" w:rsidRPr="009B6040">
        <w:t>ed</w:t>
      </w:r>
      <w:r w:rsidRPr="009B6040">
        <w:t>, for a range of reasons, to require more work</w:t>
      </w:r>
      <w:r w:rsidR="00AE183E" w:rsidRPr="009B6040">
        <w:t xml:space="preserve"> and deliberation</w:t>
      </w:r>
      <w:r w:rsidRPr="009B6040">
        <w:t>, from a greater number of people, to complete. As a result, t</w:t>
      </w:r>
      <w:r w:rsidR="008B4045" w:rsidRPr="009B6040">
        <w:t xml:space="preserve">he time TEQSA </w:t>
      </w:r>
      <w:r w:rsidR="008F634E" w:rsidRPr="009B6040">
        <w:t>has taken</w:t>
      </w:r>
      <w:r w:rsidR="008B4045" w:rsidRPr="009B6040">
        <w:t xml:space="preserve"> to make a decision on an application </w:t>
      </w:r>
      <w:r w:rsidR="008F634E" w:rsidRPr="009B6040">
        <w:t xml:space="preserve">has </w:t>
      </w:r>
      <w:r w:rsidR="008B4045" w:rsidRPr="009B6040">
        <w:t>differ</w:t>
      </w:r>
      <w:r w:rsidR="008F634E" w:rsidRPr="009B6040">
        <w:t>ed</w:t>
      </w:r>
      <w:r w:rsidR="008B4045" w:rsidRPr="009B6040">
        <w:t xml:space="preserve"> substantially depending upon the </w:t>
      </w:r>
      <w:r w:rsidR="00003FFC" w:rsidRPr="009B6040">
        <w:t xml:space="preserve">assessment outcome. </w:t>
      </w:r>
      <w:r w:rsidR="00487B56" w:rsidRPr="009B6040">
        <w:rPr>
          <w:b/>
        </w:rPr>
        <w:t>Table 2</w:t>
      </w:r>
      <w:r w:rsidR="00487B56" w:rsidRPr="009B6040">
        <w:t xml:space="preserve"> provides </w:t>
      </w:r>
      <w:r w:rsidR="00AB5FF2" w:rsidRPr="009B6040">
        <w:t>summary statistics</w:t>
      </w:r>
      <w:r w:rsidR="001D699E" w:rsidRPr="009B6040">
        <w:t xml:space="preserve"> (median, first quartile and third quartile)</w:t>
      </w:r>
      <w:r w:rsidR="00487B56" w:rsidRPr="009B6040">
        <w:t xml:space="preserve"> of decision time for each category of assessment, while</w:t>
      </w:r>
      <w:r w:rsidR="008B4045" w:rsidRPr="009B6040">
        <w:t xml:space="preserve"> </w:t>
      </w:r>
      <w:r w:rsidR="00681505" w:rsidRPr="009B6040">
        <w:rPr>
          <w:b/>
        </w:rPr>
        <w:t>F</w:t>
      </w:r>
      <w:r w:rsidR="00F26DBD" w:rsidRPr="009B6040">
        <w:rPr>
          <w:b/>
        </w:rPr>
        <w:t xml:space="preserve">igure </w:t>
      </w:r>
      <w:r w:rsidR="005A01A1" w:rsidRPr="009B6040">
        <w:rPr>
          <w:b/>
        </w:rPr>
        <w:t>7</w:t>
      </w:r>
      <w:r w:rsidR="00F26DBD" w:rsidRPr="009B6040">
        <w:t xml:space="preserve"> shows </w:t>
      </w:r>
      <w:r w:rsidR="00DB4894" w:rsidRPr="009B6040">
        <w:t xml:space="preserve">the </w:t>
      </w:r>
      <w:r w:rsidR="00196A39" w:rsidRPr="009B6040">
        <w:t>median</w:t>
      </w:r>
      <w:r w:rsidR="00F26DBD" w:rsidRPr="009B6040">
        <w:t xml:space="preserve"> time </w:t>
      </w:r>
      <w:r w:rsidR="007860D7" w:rsidRPr="009B6040">
        <w:t xml:space="preserve">in days </w:t>
      </w:r>
      <w:r w:rsidR="00F26DBD" w:rsidRPr="009B6040">
        <w:t xml:space="preserve">to decision </w:t>
      </w:r>
      <w:r w:rsidR="00DB264B" w:rsidRPr="009B6040">
        <w:t>(not including any subsequent external reviews o</w:t>
      </w:r>
      <w:r w:rsidR="005D1AFD">
        <w:t>f</w:t>
      </w:r>
      <w:r w:rsidR="00DB264B" w:rsidRPr="009B6040">
        <w:t xml:space="preserve"> adverse decisions) </w:t>
      </w:r>
      <w:r w:rsidR="00F26DBD" w:rsidRPr="009B6040">
        <w:t xml:space="preserve">for </w:t>
      </w:r>
      <w:r w:rsidR="00C3412C" w:rsidRPr="009B6040">
        <w:t>assessment of providers (registration and re-registration) and for assessment of courses (accreditation and re-accreditation)</w:t>
      </w:r>
      <w:r w:rsidR="00F76168" w:rsidRPr="009B6040">
        <w:rPr>
          <w:rStyle w:val="FootnoteReference"/>
        </w:rPr>
        <w:footnoteReference w:id="7"/>
      </w:r>
      <w:r w:rsidR="00487B56" w:rsidRPr="009B6040">
        <w:t>.</w:t>
      </w:r>
    </w:p>
    <w:p w:rsidR="00487B56" w:rsidRPr="009B6040" w:rsidRDefault="001D699E" w:rsidP="00487B56">
      <w:pPr>
        <w:pStyle w:val="TableTitle"/>
      </w:pPr>
      <w:r w:rsidRPr="009B6040">
        <w:t>Summary statistics—</w:t>
      </w:r>
      <w:r w:rsidR="0099000D" w:rsidRPr="009B6040">
        <w:t>days to decision by assessment type and assessment outcome</w:t>
      </w:r>
    </w:p>
    <w:tbl>
      <w:tblPr>
        <w:tblStyle w:val="PlainTable4"/>
        <w:tblW w:w="4999" w:type="pct"/>
        <w:tblLook w:val="04A0" w:firstRow="1" w:lastRow="0" w:firstColumn="1" w:lastColumn="0" w:noHBand="0" w:noVBand="1"/>
      </w:tblPr>
      <w:tblGrid>
        <w:gridCol w:w="2614"/>
        <w:gridCol w:w="2288"/>
        <w:gridCol w:w="1375"/>
        <w:gridCol w:w="1375"/>
        <w:gridCol w:w="1372"/>
      </w:tblGrid>
      <w:tr w:rsidR="00B778F3" w:rsidRPr="009B6040" w:rsidTr="00B77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pct"/>
          </w:tcPr>
          <w:p w:rsidR="00B778F3" w:rsidRPr="009B6040" w:rsidRDefault="00B778F3" w:rsidP="00BD1682">
            <w:pPr>
              <w:rPr>
                <w:sz w:val="20"/>
                <w:szCs w:val="20"/>
              </w:rPr>
            </w:pPr>
          </w:p>
        </w:tc>
        <w:tc>
          <w:tcPr>
            <w:tcW w:w="1268" w:type="pct"/>
          </w:tcPr>
          <w:p w:rsidR="00B778F3" w:rsidRPr="009B6040" w:rsidRDefault="00B778F3" w:rsidP="00BD1682">
            <w:pPr>
              <w:cnfStyle w:val="100000000000" w:firstRow="1" w:lastRow="0" w:firstColumn="0" w:lastColumn="0" w:oddVBand="0" w:evenVBand="0" w:oddHBand="0" w:evenHBand="0" w:firstRowFirstColumn="0" w:firstRowLastColumn="0" w:lastRowFirstColumn="0" w:lastRowLastColumn="0"/>
              <w:rPr>
                <w:sz w:val="20"/>
                <w:szCs w:val="20"/>
              </w:rPr>
            </w:pPr>
          </w:p>
        </w:tc>
        <w:tc>
          <w:tcPr>
            <w:tcW w:w="2284" w:type="pct"/>
            <w:gridSpan w:val="3"/>
          </w:tcPr>
          <w:p w:rsidR="00B778F3" w:rsidRPr="009B6040" w:rsidRDefault="00B778F3" w:rsidP="00B778F3">
            <w:pPr>
              <w:cnfStyle w:val="100000000000" w:firstRow="1" w:lastRow="0" w:firstColumn="0" w:lastColumn="0" w:oddVBand="0" w:evenVBand="0" w:oddHBand="0" w:evenHBand="0" w:firstRowFirstColumn="0" w:firstRowLastColumn="0" w:lastRowFirstColumn="0" w:lastRowLastColumn="0"/>
              <w:rPr>
                <w:sz w:val="20"/>
                <w:szCs w:val="20"/>
              </w:rPr>
            </w:pPr>
            <w:r w:rsidRPr="009B6040">
              <w:rPr>
                <w:sz w:val="20"/>
                <w:szCs w:val="20"/>
              </w:rPr>
              <w:t>Days to decision</w:t>
            </w:r>
          </w:p>
        </w:tc>
      </w:tr>
      <w:tr w:rsidR="00BD1682" w:rsidRPr="009B6040" w:rsidTr="00BD1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pct"/>
          </w:tcPr>
          <w:p w:rsidR="00BD1682" w:rsidRPr="009B6040" w:rsidRDefault="00BD1682" w:rsidP="00BD1682">
            <w:pPr>
              <w:rPr>
                <w:sz w:val="20"/>
                <w:szCs w:val="20"/>
              </w:rPr>
            </w:pPr>
            <w:r w:rsidRPr="009B6040">
              <w:rPr>
                <w:sz w:val="20"/>
                <w:szCs w:val="20"/>
              </w:rPr>
              <w:t>Assessment type</w:t>
            </w:r>
          </w:p>
        </w:tc>
        <w:tc>
          <w:tcPr>
            <w:tcW w:w="1268" w:type="pct"/>
          </w:tcPr>
          <w:p w:rsidR="00BD1682" w:rsidRPr="009B6040" w:rsidRDefault="00BD1682" w:rsidP="00BD1682">
            <w:pPr>
              <w:cnfStyle w:val="000000100000" w:firstRow="0" w:lastRow="0" w:firstColumn="0" w:lastColumn="0" w:oddVBand="0" w:evenVBand="0" w:oddHBand="1" w:evenHBand="0" w:firstRowFirstColumn="0" w:firstRowLastColumn="0" w:lastRowFirstColumn="0" w:lastRowLastColumn="0"/>
              <w:rPr>
                <w:b/>
                <w:sz w:val="20"/>
                <w:szCs w:val="20"/>
              </w:rPr>
            </w:pPr>
            <w:r w:rsidRPr="009B6040">
              <w:rPr>
                <w:b/>
                <w:sz w:val="20"/>
                <w:szCs w:val="20"/>
              </w:rPr>
              <w:t>Outcome</w:t>
            </w:r>
          </w:p>
        </w:tc>
        <w:tc>
          <w:tcPr>
            <w:tcW w:w="762" w:type="pct"/>
          </w:tcPr>
          <w:p w:rsidR="00BD1682" w:rsidRPr="009B6040" w:rsidRDefault="00BD1682" w:rsidP="00BD1682">
            <w:pPr>
              <w:cnfStyle w:val="000000100000" w:firstRow="0" w:lastRow="0" w:firstColumn="0" w:lastColumn="0" w:oddVBand="0" w:evenVBand="0" w:oddHBand="1" w:evenHBand="0" w:firstRowFirstColumn="0" w:firstRowLastColumn="0" w:lastRowFirstColumn="0" w:lastRowLastColumn="0"/>
              <w:rPr>
                <w:b/>
                <w:sz w:val="20"/>
                <w:szCs w:val="20"/>
              </w:rPr>
            </w:pPr>
            <w:r w:rsidRPr="009B6040">
              <w:rPr>
                <w:b/>
                <w:sz w:val="20"/>
                <w:szCs w:val="20"/>
              </w:rPr>
              <w:t>Quartile 1</w:t>
            </w:r>
          </w:p>
        </w:tc>
        <w:tc>
          <w:tcPr>
            <w:tcW w:w="762" w:type="pct"/>
          </w:tcPr>
          <w:p w:rsidR="00BD1682" w:rsidRPr="009B6040" w:rsidRDefault="00BD1682" w:rsidP="00BD1682">
            <w:pPr>
              <w:cnfStyle w:val="000000100000" w:firstRow="0" w:lastRow="0" w:firstColumn="0" w:lastColumn="0" w:oddVBand="0" w:evenVBand="0" w:oddHBand="1" w:evenHBand="0" w:firstRowFirstColumn="0" w:firstRowLastColumn="0" w:lastRowFirstColumn="0" w:lastRowLastColumn="0"/>
              <w:rPr>
                <w:b/>
                <w:sz w:val="20"/>
                <w:szCs w:val="20"/>
              </w:rPr>
            </w:pPr>
            <w:r w:rsidRPr="009B6040">
              <w:rPr>
                <w:b/>
                <w:sz w:val="20"/>
                <w:szCs w:val="20"/>
              </w:rPr>
              <w:t>Median</w:t>
            </w:r>
          </w:p>
        </w:tc>
        <w:tc>
          <w:tcPr>
            <w:tcW w:w="760" w:type="pct"/>
          </w:tcPr>
          <w:p w:rsidR="00BD1682" w:rsidRPr="009B6040" w:rsidRDefault="00BD1682" w:rsidP="00BD1682">
            <w:pPr>
              <w:cnfStyle w:val="000000100000" w:firstRow="0" w:lastRow="0" w:firstColumn="0" w:lastColumn="0" w:oddVBand="0" w:evenVBand="0" w:oddHBand="1" w:evenHBand="0" w:firstRowFirstColumn="0" w:firstRowLastColumn="0" w:lastRowFirstColumn="0" w:lastRowLastColumn="0"/>
              <w:rPr>
                <w:b/>
                <w:sz w:val="20"/>
                <w:szCs w:val="20"/>
              </w:rPr>
            </w:pPr>
            <w:r w:rsidRPr="009B6040">
              <w:rPr>
                <w:b/>
                <w:sz w:val="20"/>
                <w:szCs w:val="20"/>
              </w:rPr>
              <w:t>Quartile 3</w:t>
            </w:r>
          </w:p>
        </w:tc>
      </w:tr>
      <w:tr w:rsidR="00BD1682" w:rsidRPr="009B6040" w:rsidTr="00BD1682">
        <w:tc>
          <w:tcPr>
            <w:cnfStyle w:val="001000000000" w:firstRow="0" w:lastRow="0" w:firstColumn="1" w:lastColumn="0" w:oddVBand="0" w:evenVBand="0" w:oddHBand="0" w:evenHBand="0" w:firstRowFirstColumn="0" w:firstRowLastColumn="0" w:lastRowFirstColumn="0" w:lastRowLastColumn="0"/>
            <w:tcW w:w="1448" w:type="pct"/>
            <w:vMerge w:val="restart"/>
          </w:tcPr>
          <w:p w:rsidR="00BD1682" w:rsidRPr="001B2C0B" w:rsidRDefault="00BD1682" w:rsidP="00BD1682">
            <w:pPr>
              <w:rPr>
                <w:b w:val="0"/>
                <w:sz w:val="20"/>
                <w:szCs w:val="20"/>
              </w:rPr>
            </w:pPr>
            <w:r w:rsidRPr="001B2C0B">
              <w:rPr>
                <w:b w:val="0"/>
                <w:sz w:val="20"/>
                <w:szCs w:val="20"/>
              </w:rPr>
              <w:t>Course accreditation and re-accreditation</w:t>
            </w:r>
          </w:p>
        </w:tc>
        <w:tc>
          <w:tcPr>
            <w:tcW w:w="1268"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Approved</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132</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210</w:t>
            </w:r>
          </w:p>
        </w:tc>
        <w:tc>
          <w:tcPr>
            <w:tcW w:w="760"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286</w:t>
            </w:r>
          </w:p>
        </w:tc>
      </w:tr>
      <w:tr w:rsidR="00BD1682" w:rsidRPr="009B6040" w:rsidTr="00BD1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pct"/>
            <w:vMerge/>
          </w:tcPr>
          <w:p w:rsidR="00BD1682" w:rsidRPr="001B2C0B" w:rsidRDefault="00BD1682" w:rsidP="00BD1682">
            <w:pPr>
              <w:rPr>
                <w:b w:val="0"/>
                <w:sz w:val="20"/>
                <w:szCs w:val="20"/>
              </w:rPr>
            </w:pPr>
          </w:p>
        </w:tc>
        <w:tc>
          <w:tcPr>
            <w:tcW w:w="1268"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Approved (adverse)</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260</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274</w:t>
            </w:r>
          </w:p>
        </w:tc>
        <w:tc>
          <w:tcPr>
            <w:tcW w:w="760"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458</w:t>
            </w:r>
          </w:p>
        </w:tc>
      </w:tr>
      <w:tr w:rsidR="00BD1682" w:rsidRPr="009B6040" w:rsidTr="00BD1682">
        <w:tc>
          <w:tcPr>
            <w:cnfStyle w:val="001000000000" w:firstRow="0" w:lastRow="0" w:firstColumn="1" w:lastColumn="0" w:oddVBand="0" w:evenVBand="0" w:oddHBand="0" w:evenHBand="0" w:firstRowFirstColumn="0" w:firstRowLastColumn="0" w:lastRowFirstColumn="0" w:lastRowLastColumn="0"/>
            <w:tcW w:w="1448" w:type="pct"/>
            <w:vMerge/>
          </w:tcPr>
          <w:p w:rsidR="00BD1682" w:rsidRPr="001B2C0B" w:rsidRDefault="00BD1682" w:rsidP="00BD1682">
            <w:pPr>
              <w:rPr>
                <w:b w:val="0"/>
                <w:sz w:val="20"/>
                <w:szCs w:val="20"/>
              </w:rPr>
            </w:pPr>
          </w:p>
        </w:tc>
        <w:tc>
          <w:tcPr>
            <w:tcW w:w="1268"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Not approved</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274</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352</w:t>
            </w:r>
          </w:p>
        </w:tc>
        <w:tc>
          <w:tcPr>
            <w:tcW w:w="760"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498</w:t>
            </w:r>
          </w:p>
        </w:tc>
      </w:tr>
      <w:tr w:rsidR="00BD1682" w:rsidRPr="009B6040" w:rsidTr="00BD1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pct"/>
            <w:vMerge w:val="restart"/>
          </w:tcPr>
          <w:p w:rsidR="00BD1682" w:rsidRPr="001B2C0B" w:rsidRDefault="00BD1682" w:rsidP="00BD1682">
            <w:pPr>
              <w:rPr>
                <w:b w:val="0"/>
                <w:sz w:val="20"/>
                <w:szCs w:val="20"/>
              </w:rPr>
            </w:pPr>
            <w:r w:rsidRPr="001B2C0B">
              <w:rPr>
                <w:b w:val="0"/>
                <w:sz w:val="20"/>
                <w:szCs w:val="20"/>
              </w:rPr>
              <w:t>Provider registration and re-registration</w:t>
            </w:r>
          </w:p>
        </w:tc>
        <w:tc>
          <w:tcPr>
            <w:tcW w:w="1268"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Approved</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157</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217</w:t>
            </w:r>
          </w:p>
        </w:tc>
        <w:tc>
          <w:tcPr>
            <w:tcW w:w="760"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295</w:t>
            </w:r>
          </w:p>
        </w:tc>
      </w:tr>
      <w:tr w:rsidR="00BD1682" w:rsidRPr="009B6040" w:rsidTr="00BD1682">
        <w:tc>
          <w:tcPr>
            <w:cnfStyle w:val="001000000000" w:firstRow="0" w:lastRow="0" w:firstColumn="1" w:lastColumn="0" w:oddVBand="0" w:evenVBand="0" w:oddHBand="0" w:evenHBand="0" w:firstRowFirstColumn="0" w:firstRowLastColumn="0" w:lastRowFirstColumn="0" w:lastRowLastColumn="0"/>
            <w:tcW w:w="1448" w:type="pct"/>
            <w:vMerge/>
          </w:tcPr>
          <w:p w:rsidR="00BD1682" w:rsidRPr="001B2C0B" w:rsidRDefault="00BD1682" w:rsidP="00BD1682">
            <w:pPr>
              <w:rPr>
                <w:sz w:val="20"/>
                <w:szCs w:val="20"/>
              </w:rPr>
            </w:pPr>
          </w:p>
        </w:tc>
        <w:tc>
          <w:tcPr>
            <w:tcW w:w="1268"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Approved (adverse)</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269</w:t>
            </w:r>
          </w:p>
        </w:tc>
        <w:tc>
          <w:tcPr>
            <w:tcW w:w="762"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344</w:t>
            </w:r>
          </w:p>
        </w:tc>
        <w:tc>
          <w:tcPr>
            <w:tcW w:w="760" w:type="pct"/>
          </w:tcPr>
          <w:p w:rsidR="00BD1682" w:rsidRPr="001B2C0B" w:rsidRDefault="00BD1682" w:rsidP="00BD1682">
            <w:pPr>
              <w:cnfStyle w:val="000000000000" w:firstRow="0" w:lastRow="0" w:firstColumn="0" w:lastColumn="0" w:oddVBand="0" w:evenVBand="0" w:oddHBand="0" w:evenHBand="0" w:firstRowFirstColumn="0" w:firstRowLastColumn="0" w:lastRowFirstColumn="0" w:lastRowLastColumn="0"/>
              <w:rPr>
                <w:sz w:val="20"/>
                <w:szCs w:val="20"/>
              </w:rPr>
            </w:pPr>
            <w:r w:rsidRPr="001B2C0B">
              <w:rPr>
                <w:sz w:val="20"/>
                <w:szCs w:val="20"/>
              </w:rPr>
              <w:t>437</w:t>
            </w:r>
          </w:p>
        </w:tc>
      </w:tr>
      <w:tr w:rsidR="00BD1682" w:rsidRPr="009B6040" w:rsidTr="00BD1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pct"/>
            <w:vMerge/>
          </w:tcPr>
          <w:p w:rsidR="00BD1682" w:rsidRPr="001B2C0B" w:rsidRDefault="00BD1682" w:rsidP="00BD1682">
            <w:pPr>
              <w:rPr>
                <w:sz w:val="20"/>
                <w:szCs w:val="20"/>
              </w:rPr>
            </w:pPr>
          </w:p>
        </w:tc>
        <w:tc>
          <w:tcPr>
            <w:tcW w:w="1268"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Not approved</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337</w:t>
            </w:r>
          </w:p>
        </w:tc>
        <w:tc>
          <w:tcPr>
            <w:tcW w:w="762"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417</w:t>
            </w:r>
          </w:p>
        </w:tc>
        <w:tc>
          <w:tcPr>
            <w:tcW w:w="760" w:type="pct"/>
          </w:tcPr>
          <w:p w:rsidR="00BD1682" w:rsidRPr="001B2C0B" w:rsidRDefault="00BD1682" w:rsidP="00BD1682">
            <w:pPr>
              <w:cnfStyle w:val="000000100000" w:firstRow="0" w:lastRow="0" w:firstColumn="0" w:lastColumn="0" w:oddVBand="0" w:evenVBand="0" w:oddHBand="1" w:evenHBand="0" w:firstRowFirstColumn="0" w:firstRowLastColumn="0" w:lastRowFirstColumn="0" w:lastRowLastColumn="0"/>
              <w:rPr>
                <w:sz w:val="20"/>
                <w:szCs w:val="20"/>
              </w:rPr>
            </w:pPr>
            <w:r w:rsidRPr="001B2C0B">
              <w:rPr>
                <w:sz w:val="20"/>
                <w:szCs w:val="20"/>
              </w:rPr>
              <w:t>488</w:t>
            </w:r>
          </w:p>
        </w:tc>
      </w:tr>
    </w:tbl>
    <w:p w:rsidR="00C02F46" w:rsidRPr="009B6040" w:rsidRDefault="009623F5" w:rsidP="00C02F46">
      <w:pPr>
        <w:keepNext/>
      </w:pPr>
      <w:r w:rsidRPr="009B6040">
        <w:rPr>
          <w:lang w:eastAsia="en-AU"/>
        </w:rPr>
        <w:lastRenderedPageBreak/>
        <w:t xml:space="preserve"> </w:t>
      </w:r>
      <w:r w:rsidR="00DB2F12" w:rsidRPr="009B6040">
        <w:rPr>
          <w:noProof/>
          <w:lang w:eastAsia="en-AU"/>
        </w:rPr>
        <w:drawing>
          <wp:inline distT="0" distB="0" distL="0" distR="0" wp14:anchorId="6E1798C3" wp14:editId="1A4C7444">
            <wp:extent cx="5676900" cy="3444949"/>
            <wp:effectExtent l="0" t="0" r="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02F46" w:rsidRPr="009B6040" w:rsidRDefault="00DB2F12" w:rsidP="00250BDD">
      <w:pPr>
        <w:pStyle w:val="FigureTitle"/>
      </w:pPr>
      <w:r w:rsidRPr="009B6040">
        <w:t>Median</w:t>
      </w:r>
      <w:r w:rsidR="00C02F46" w:rsidRPr="009B6040">
        <w:t xml:space="preserve"> </w:t>
      </w:r>
      <w:r w:rsidRPr="009B6040">
        <w:t>number of</w:t>
      </w:r>
      <w:r w:rsidR="00C02F46" w:rsidRPr="009B6040">
        <w:t xml:space="preserve"> days to decision by assessment type and outcome (2013-2017)</w:t>
      </w:r>
    </w:p>
    <w:p w:rsidR="00B778F3" w:rsidRPr="009B6040" w:rsidRDefault="00B778F3"/>
    <w:p w:rsidR="00A40147" w:rsidRPr="009B6040" w:rsidRDefault="00AA1039">
      <w:r w:rsidRPr="009B6040">
        <w:t xml:space="preserve">While overall assessment times were </w:t>
      </w:r>
      <w:r w:rsidR="00E65139" w:rsidRPr="009B6040">
        <w:t xml:space="preserve">at least </w:t>
      </w:r>
      <w:r w:rsidRPr="009B6040">
        <w:t>in part</w:t>
      </w:r>
      <w:r w:rsidR="00E65139" w:rsidRPr="009B6040">
        <w:t xml:space="preserve"> likely to be</w:t>
      </w:r>
      <w:r w:rsidRPr="009B6040">
        <w:t xml:space="preserve"> a function of resourcing, a key differentiator between shorter and longer assessment</w:t>
      </w:r>
      <w:r w:rsidR="005D1AFD">
        <w:t xml:space="preserve"> times</w:t>
      </w:r>
      <w:r w:rsidRPr="009B6040">
        <w:t xml:space="preserve">, given a particular resourcing profile, </w:t>
      </w:r>
      <w:r w:rsidR="00933C89" w:rsidRPr="009B6040">
        <w:t>was</w:t>
      </w:r>
      <w:r w:rsidRPr="009B6040">
        <w:t xml:space="preserve"> the eventual outcome of the application. </w:t>
      </w:r>
      <w:r w:rsidR="00DB264B" w:rsidRPr="009B6040">
        <w:rPr>
          <w:b/>
        </w:rPr>
        <w:t xml:space="preserve">Figure </w:t>
      </w:r>
      <w:r w:rsidR="005A01A1" w:rsidRPr="009B6040">
        <w:rPr>
          <w:b/>
        </w:rPr>
        <w:t>7</w:t>
      </w:r>
      <w:r w:rsidR="00DB264B" w:rsidRPr="009B6040">
        <w:t xml:space="preserve"> shows </w:t>
      </w:r>
      <w:r w:rsidR="00A40147" w:rsidRPr="009B6040">
        <w:t>clear</w:t>
      </w:r>
      <w:r w:rsidR="00A36441" w:rsidRPr="009B6040">
        <w:t xml:space="preserve">ly </w:t>
      </w:r>
      <w:r w:rsidR="00474960" w:rsidRPr="009B6040">
        <w:t>TEQSA’s</w:t>
      </w:r>
      <w:r w:rsidR="00A36441" w:rsidRPr="009B6040">
        <w:t xml:space="preserve"> longer</w:t>
      </w:r>
      <w:r w:rsidR="00DB264B" w:rsidRPr="009B6040">
        <w:t xml:space="preserve"> </w:t>
      </w:r>
      <w:r w:rsidR="00196A39" w:rsidRPr="009B6040">
        <w:t>median</w:t>
      </w:r>
      <w:r w:rsidR="00DB264B" w:rsidRPr="009B6040">
        <w:t xml:space="preserve"> decision </w:t>
      </w:r>
      <w:r w:rsidR="00A36441" w:rsidRPr="009B6040">
        <w:t xml:space="preserve">times </w:t>
      </w:r>
      <w:r w:rsidR="00A40147" w:rsidRPr="009B6040">
        <w:t xml:space="preserve">for assessments </w:t>
      </w:r>
      <w:r w:rsidR="008F634E" w:rsidRPr="009B6040">
        <w:t>that led</w:t>
      </w:r>
      <w:r w:rsidR="00A40147" w:rsidRPr="009B6040">
        <w:t xml:space="preserve"> to adverse decisions for </w:t>
      </w:r>
      <w:r w:rsidR="002F6099" w:rsidRPr="009B6040">
        <w:t>both assessments of providers and assessments of courses</w:t>
      </w:r>
      <w:r w:rsidR="00474960" w:rsidRPr="009B6040">
        <w:t>.</w:t>
      </w:r>
    </w:p>
    <w:p w:rsidR="00AA1039" w:rsidRPr="009B6040" w:rsidRDefault="00C83637">
      <w:r w:rsidRPr="009B6040">
        <w:t>M</w:t>
      </w:r>
      <w:r w:rsidR="00D62C84" w:rsidRPr="009B6040">
        <w:t xml:space="preserve">uch of the difference in assessment times between </w:t>
      </w:r>
      <w:r w:rsidR="00C06980" w:rsidRPr="009B6040">
        <w:t>a</w:t>
      </w:r>
      <w:r w:rsidR="00B4330F" w:rsidRPr="009B6040">
        <w:t xml:space="preserve">dverse and non-adverse </w:t>
      </w:r>
      <w:r w:rsidR="00C06980" w:rsidRPr="009B6040">
        <w:t xml:space="preserve">assessments </w:t>
      </w:r>
      <w:r w:rsidR="00933C89" w:rsidRPr="009B6040">
        <w:t xml:space="preserve">was </w:t>
      </w:r>
      <w:r w:rsidR="00C06980" w:rsidRPr="009B6040">
        <w:t xml:space="preserve">associated with the period after case teams completed their initial assessment and where, in the case of proposed adverse assessments, providers </w:t>
      </w:r>
      <w:r w:rsidR="00933C89" w:rsidRPr="009B6040">
        <w:t xml:space="preserve">were </w:t>
      </w:r>
      <w:r w:rsidR="00C06980" w:rsidRPr="009B6040">
        <w:t>afforded an opportunity to respond to the draft recommendation</w:t>
      </w:r>
      <w:r w:rsidRPr="009B6040">
        <w:t xml:space="preserve"> before a final decision is made</w:t>
      </w:r>
      <w:r w:rsidR="00B17D48">
        <w:rPr>
          <w:rStyle w:val="FootnoteReference"/>
        </w:rPr>
        <w:footnoteReference w:id="8"/>
      </w:r>
      <w:r w:rsidR="00C06980" w:rsidRPr="009B6040">
        <w:t xml:space="preserve">. </w:t>
      </w:r>
      <w:r w:rsidRPr="009B6040">
        <w:t>T</w:t>
      </w:r>
      <w:r w:rsidR="0069102B" w:rsidRPr="009B6040">
        <w:t xml:space="preserve">his </w:t>
      </w:r>
      <w:r w:rsidR="00D6347F" w:rsidRPr="009B6040">
        <w:t>was</w:t>
      </w:r>
      <w:r w:rsidR="0069102B" w:rsidRPr="009B6040">
        <w:t xml:space="preserve"> because t</w:t>
      </w:r>
      <w:r w:rsidRPr="009B6040">
        <w:t>he time that elapse</w:t>
      </w:r>
      <w:r w:rsidR="00D6347F" w:rsidRPr="009B6040">
        <w:t>d</w:t>
      </w:r>
      <w:r w:rsidRPr="009B6040">
        <w:t xml:space="preserve"> between when TEQSA sen</w:t>
      </w:r>
      <w:r w:rsidR="00D6347F" w:rsidRPr="009B6040">
        <w:t>t</w:t>
      </w:r>
      <w:r w:rsidRPr="009B6040">
        <w:t xml:space="preserve"> a draft decision to a provider and when TEQSA ma</w:t>
      </w:r>
      <w:r w:rsidR="00D6347F" w:rsidRPr="009B6040">
        <w:t>de</w:t>
      </w:r>
      <w:r w:rsidRPr="009B6040">
        <w:t xml:space="preserve"> a final decision include</w:t>
      </w:r>
      <w:r w:rsidR="00D6347F" w:rsidRPr="009B6040">
        <w:t>d</w:t>
      </w:r>
      <w:r w:rsidRPr="009B6040">
        <w:t xml:space="preserve"> an allocation of time for the applicant to formulate a response, as well as the time taken by TEQSA to analyse any new material submitted by the applicant in response</w:t>
      </w:r>
      <w:r w:rsidR="002356F0" w:rsidRPr="009B6040">
        <w:t>, and subsequently to finalise the recommendation</w:t>
      </w:r>
      <w:r w:rsidRPr="009B6040">
        <w:t>.</w:t>
      </w:r>
      <w:r w:rsidR="00307E91" w:rsidRPr="009B6040">
        <w:t xml:space="preserve"> </w:t>
      </w:r>
    </w:p>
    <w:p w:rsidR="001B02FE" w:rsidRPr="009B6040" w:rsidRDefault="00AD2AA9">
      <w:r w:rsidRPr="009B6040">
        <w:t>In addition to time added to an assessment that is associated with an adverse outcome</w:t>
      </w:r>
      <w:r w:rsidR="006C0547" w:rsidRPr="009B6040">
        <w:t xml:space="preserve">, </w:t>
      </w:r>
      <w:r w:rsidR="0059740B" w:rsidRPr="009B6040">
        <w:t xml:space="preserve">evidence from TEQSA’s case managers suggests </w:t>
      </w:r>
      <w:r w:rsidR="00AA18AF" w:rsidRPr="009B6040">
        <w:t>that application presentation, coherence, relevance and parsimony</w:t>
      </w:r>
      <w:r w:rsidR="008F634E" w:rsidRPr="009B6040">
        <w:t xml:space="preserve"> </w:t>
      </w:r>
      <w:r w:rsidR="00AA18AF" w:rsidRPr="009B6040">
        <w:t>also contribute</w:t>
      </w:r>
      <w:r w:rsidR="008F634E" w:rsidRPr="009B6040">
        <w:t>d</w:t>
      </w:r>
      <w:r w:rsidR="00AA18AF" w:rsidRPr="009B6040">
        <w:t xml:space="preserve"> to shorter assessment times</w:t>
      </w:r>
      <w:r w:rsidR="00AA1039" w:rsidRPr="009B6040">
        <w:t xml:space="preserve">, as </w:t>
      </w:r>
      <w:r w:rsidR="00933C89" w:rsidRPr="009B6040">
        <w:t xml:space="preserve">did </w:t>
      </w:r>
      <w:r w:rsidR="00AA1039" w:rsidRPr="009B6040">
        <w:t xml:space="preserve">prompt responses </w:t>
      </w:r>
      <w:r w:rsidR="00AD2FE4" w:rsidRPr="009B6040">
        <w:t>by providers to requests for additional information</w:t>
      </w:r>
      <w:r w:rsidR="00AA18AF" w:rsidRPr="009B6040">
        <w:t>.</w:t>
      </w:r>
    </w:p>
    <w:p w:rsidR="00525400" w:rsidRPr="009B6040" w:rsidRDefault="00525400">
      <w:pPr>
        <w:rPr>
          <w:rFonts w:eastAsiaTheme="majorEastAsia" w:cstheme="majorBidi"/>
          <w:b/>
          <w:iCs/>
          <w:color w:val="auto"/>
          <w:sz w:val="24"/>
        </w:rPr>
      </w:pPr>
      <w:r w:rsidRPr="009B6040">
        <w:br w:type="page"/>
      </w:r>
    </w:p>
    <w:p w:rsidR="00B832C0" w:rsidRPr="009B6040" w:rsidRDefault="00B832C0" w:rsidP="00CD4178">
      <w:pPr>
        <w:pStyle w:val="Heading3"/>
      </w:pPr>
      <w:bookmarkStart w:id="9" w:name="_Toc524011832"/>
      <w:r w:rsidRPr="009B6040">
        <w:lastRenderedPageBreak/>
        <w:t>Assessment outcomes and risk ratings</w:t>
      </w:r>
      <w:bookmarkEnd w:id="9"/>
    </w:p>
    <w:p w:rsidR="0011528E" w:rsidRPr="009B6040" w:rsidRDefault="0053614B" w:rsidP="00B832C0">
      <w:r w:rsidRPr="009B6040">
        <w:t>Provider r</w:t>
      </w:r>
      <w:r w:rsidR="0011528E" w:rsidRPr="009B6040">
        <w:t>isk ratings</w:t>
      </w:r>
      <w:r w:rsidR="00E00E8A" w:rsidRPr="009B6040">
        <w:t xml:space="preserve"> have</w:t>
      </w:r>
      <w:r w:rsidR="0011528E" w:rsidRPr="009B6040">
        <w:t xml:space="preserve"> influence</w:t>
      </w:r>
      <w:r w:rsidR="00E00E8A" w:rsidRPr="009B6040">
        <w:t>d</w:t>
      </w:r>
      <w:r w:rsidR="0011528E" w:rsidRPr="009B6040">
        <w:t xml:space="preserve"> assessments in a number of ways—in particular, they </w:t>
      </w:r>
      <w:r w:rsidR="00E00E8A" w:rsidRPr="009B6040">
        <w:t xml:space="preserve">have </w:t>
      </w:r>
      <w:r w:rsidR="0011528E" w:rsidRPr="009B6040">
        <w:t>help</w:t>
      </w:r>
      <w:r w:rsidR="00E00E8A" w:rsidRPr="009B6040">
        <w:t>ed</w:t>
      </w:r>
      <w:r w:rsidR="0011528E" w:rsidRPr="009B6040">
        <w:t xml:space="preserve"> </w:t>
      </w:r>
      <w:r w:rsidR="00933C89" w:rsidRPr="009B6040">
        <w:t xml:space="preserve">guide </w:t>
      </w:r>
      <w:r w:rsidR="0011528E" w:rsidRPr="009B6040">
        <w:t xml:space="preserve">the </w:t>
      </w:r>
      <w:r w:rsidR="007C030A" w:rsidRPr="009B6040">
        <w:t xml:space="preserve">initial </w:t>
      </w:r>
      <w:r w:rsidR="0011528E" w:rsidRPr="009B6040">
        <w:t>scope of standards against which assessment</w:t>
      </w:r>
      <w:r w:rsidR="00E00E8A" w:rsidRPr="009B6040">
        <w:t>s</w:t>
      </w:r>
      <w:r w:rsidR="0011528E" w:rsidRPr="009B6040">
        <w:t xml:space="preserve"> </w:t>
      </w:r>
      <w:r w:rsidR="00E00E8A" w:rsidRPr="009B6040">
        <w:t xml:space="preserve">have been </w:t>
      </w:r>
      <w:r w:rsidR="0011528E" w:rsidRPr="009B6040">
        <w:t xml:space="preserve">conducted, and </w:t>
      </w:r>
      <w:r w:rsidR="00E00E8A" w:rsidRPr="009B6040">
        <w:t xml:space="preserve">helped </w:t>
      </w:r>
      <w:r w:rsidR="00933C89" w:rsidRPr="009B6040">
        <w:t xml:space="preserve">establish </w:t>
      </w:r>
      <w:r w:rsidR="0011528E" w:rsidRPr="009B6040">
        <w:t xml:space="preserve">the depth of evidence that </w:t>
      </w:r>
      <w:r w:rsidR="00D6347F" w:rsidRPr="009B6040">
        <w:t>was</w:t>
      </w:r>
      <w:r w:rsidR="0011528E" w:rsidRPr="009B6040">
        <w:t xml:space="preserve"> </w:t>
      </w:r>
      <w:r w:rsidR="00933C89" w:rsidRPr="009B6040">
        <w:t xml:space="preserve">required </w:t>
      </w:r>
      <w:r w:rsidR="0011528E" w:rsidRPr="009B6040">
        <w:t>in relation to th</w:t>
      </w:r>
      <w:r w:rsidR="00F57873" w:rsidRPr="009B6040">
        <w:t>o</w:t>
      </w:r>
      <w:r w:rsidR="0011528E" w:rsidRPr="009B6040">
        <w:t>se standards.</w:t>
      </w:r>
      <w:r w:rsidR="000D3750" w:rsidRPr="009B6040">
        <w:t xml:space="preserve"> </w:t>
      </w:r>
      <w:r w:rsidR="007C030A" w:rsidRPr="009B6040">
        <w:t>This mean</w:t>
      </w:r>
      <w:r w:rsidR="00E00E8A" w:rsidRPr="009B6040">
        <w:t>t</w:t>
      </w:r>
      <w:r w:rsidR="007C030A" w:rsidRPr="009B6040">
        <w:t xml:space="preserve"> that providers with higher risk ratings </w:t>
      </w:r>
      <w:r w:rsidR="00933C89" w:rsidRPr="009B6040">
        <w:t>were</w:t>
      </w:r>
      <w:r w:rsidR="007C030A" w:rsidRPr="009B6040">
        <w:t xml:space="preserve"> more likely to be subject to more comprehensive assessments, conducted on the basis of larger set</w:t>
      </w:r>
      <w:r w:rsidR="00E00E8A" w:rsidRPr="009B6040">
        <w:t>s</w:t>
      </w:r>
      <w:r w:rsidR="007C030A" w:rsidRPr="009B6040">
        <w:t xml:space="preserve"> of evidence.</w:t>
      </w:r>
    </w:p>
    <w:p w:rsidR="007C030A" w:rsidRPr="009B6040" w:rsidRDefault="0053614B" w:rsidP="00B832C0">
      <w:r w:rsidRPr="009B6040">
        <w:t xml:space="preserve">The closer attention that TEQSA </w:t>
      </w:r>
      <w:r w:rsidR="00E00E8A" w:rsidRPr="009B6040">
        <w:t>paid</w:t>
      </w:r>
      <w:r w:rsidRPr="009B6040">
        <w:t xml:space="preserve"> to high risk providers mean</w:t>
      </w:r>
      <w:r w:rsidR="00E00E8A" w:rsidRPr="009B6040">
        <w:t>t</w:t>
      </w:r>
      <w:r w:rsidRPr="009B6040">
        <w:t xml:space="preserve"> that, where there </w:t>
      </w:r>
      <w:r w:rsidR="00E00E8A" w:rsidRPr="009B6040">
        <w:t>wa</w:t>
      </w:r>
      <w:r w:rsidRPr="009B6040">
        <w:t>s a compliance issue</w:t>
      </w:r>
      <w:r w:rsidR="00856DAD" w:rsidRPr="009B6040">
        <w:t>,</w:t>
      </w:r>
      <w:r w:rsidRPr="009B6040">
        <w:t xml:space="preserve"> it </w:t>
      </w:r>
      <w:r w:rsidR="00E00E8A" w:rsidRPr="009B6040">
        <w:t>was</w:t>
      </w:r>
      <w:r w:rsidRPr="009B6040">
        <w:t xml:space="preserve"> more likely to be found. However, TEQSA </w:t>
      </w:r>
      <w:r w:rsidR="00933C89" w:rsidRPr="009B6040">
        <w:t>d</w:t>
      </w:r>
      <w:r w:rsidR="003C1B44" w:rsidRPr="009B6040">
        <w:t>oes</w:t>
      </w:r>
      <w:r w:rsidR="00933C89" w:rsidRPr="009B6040">
        <w:t xml:space="preserve"> </w:t>
      </w:r>
      <w:r w:rsidRPr="009B6040">
        <w:t xml:space="preserve">not make assessment decisions on the basis of risk—adverse decisions of any kind </w:t>
      </w:r>
      <w:r w:rsidR="003C1B44" w:rsidRPr="009B6040">
        <w:t>a</w:t>
      </w:r>
      <w:r w:rsidR="00933C89" w:rsidRPr="009B6040">
        <w:t xml:space="preserve">re </w:t>
      </w:r>
      <w:r w:rsidRPr="009B6040">
        <w:t xml:space="preserve">made on the basis of evidence of a provider not meeting, or of being at </w:t>
      </w:r>
      <w:r w:rsidR="00B17D48">
        <w:t xml:space="preserve">substantial </w:t>
      </w:r>
      <w:r w:rsidRPr="009B6040">
        <w:t xml:space="preserve">risk </w:t>
      </w:r>
      <w:r w:rsidR="00587A97" w:rsidRPr="009B6040">
        <w:t xml:space="preserve">in the future </w:t>
      </w:r>
      <w:r w:rsidRPr="009B6040">
        <w:t>of not me</w:t>
      </w:r>
      <w:r w:rsidR="00587A97" w:rsidRPr="009B6040">
        <w:t>eting, the Standards.</w:t>
      </w:r>
    </w:p>
    <w:p w:rsidR="00983041" w:rsidRPr="009B6040" w:rsidRDefault="00983041" w:rsidP="00CD4178">
      <w:pPr>
        <w:pStyle w:val="Heading4"/>
      </w:pPr>
      <w:r w:rsidRPr="009B6040">
        <w:t>Individual assessments</w:t>
      </w:r>
      <w:r w:rsidR="00533382" w:rsidRPr="009B6040">
        <w:t xml:space="preserve"> and risk ratings</w:t>
      </w:r>
    </w:p>
    <w:p w:rsidR="001333AB" w:rsidRPr="009B6040" w:rsidRDefault="00F26DBD" w:rsidP="00B832C0">
      <w:r w:rsidRPr="009B6040">
        <w:rPr>
          <w:b/>
        </w:rPr>
        <w:t>F</w:t>
      </w:r>
      <w:r w:rsidR="00CC5AF0" w:rsidRPr="009B6040">
        <w:rPr>
          <w:b/>
        </w:rPr>
        <w:t xml:space="preserve">igure </w:t>
      </w:r>
      <w:r w:rsidR="005A01A1" w:rsidRPr="009B6040">
        <w:rPr>
          <w:b/>
        </w:rPr>
        <w:t xml:space="preserve">8 </w:t>
      </w:r>
      <w:r w:rsidR="00F55167" w:rsidRPr="009B6040">
        <w:t xml:space="preserve">shows the proportion of assessments </w:t>
      </w:r>
      <w:r w:rsidR="00E00E8A" w:rsidRPr="009B6040">
        <w:t>that led</w:t>
      </w:r>
      <w:r w:rsidR="00F55167" w:rsidRPr="009B6040">
        <w:t xml:space="preserve"> to adverse </w:t>
      </w:r>
      <w:r w:rsidR="00820254" w:rsidRPr="009B6040">
        <w:t xml:space="preserve">re-registrations and accreditation/re-accreditation </w:t>
      </w:r>
      <w:r w:rsidR="00F55167" w:rsidRPr="009B6040">
        <w:t>decisions</w:t>
      </w:r>
      <w:r w:rsidR="00820254" w:rsidRPr="009B6040">
        <w:rPr>
          <w:rStyle w:val="FootnoteReference"/>
        </w:rPr>
        <w:footnoteReference w:id="9"/>
      </w:r>
      <w:r w:rsidR="00BC67A0" w:rsidRPr="009B6040">
        <w:t>, separated by</w:t>
      </w:r>
      <w:r w:rsidR="00735798" w:rsidRPr="009B6040">
        <w:t xml:space="preserve"> overall</w:t>
      </w:r>
      <w:r w:rsidR="00BC67A0" w:rsidRPr="009B6040">
        <w:t xml:space="preserve"> risk to students </w:t>
      </w:r>
      <w:r w:rsidR="00856DAD" w:rsidRPr="009B6040">
        <w:t xml:space="preserve">as </w:t>
      </w:r>
      <w:r w:rsidR="00BC67A0" w:rsidRPr="009B6040">
        <w:t xml:space="preserve">assessed for that provider for the year the decision was made. The chart excludes universities because, as </w:t>
      </w:r>
      <w:r w:rsidR="00856DAD" w:rsidRPr="009B6040">
        <w:t>no</w:t>
      </w:r>
      <w:r w:rsidR="00BC67A0" w:rsidRPr="009B6040">
        <w:t xml:space="preserve"> university received an adverse finding</w:t>
      </w:r>
      <w:r w:rsidR="00F74E2C" w:rsidRPr="009B6040">
        <w:t xml:space="preserve"> in the period analysed</w:t>
      </w:r>
      <w:r w:rsidR="00BC67A0" w:rsidRPr="009B6040">
        <w:t xml:space="preserve">, </w:t>
      </w:r>
      <w:r w:rsidR="004F4B59" w:rsidRPr="009B6040">
        <w:t>the</w:t>
      </w:r>
      <w:r w:rsidR="00BC67A0" w:rsidRPr="009B6040">
        <w:t xml:space="preserve"> inclusion </w:t>
      </w:r>
      <w:r w:rsidR="004F4B59" w:rsidRPr="009B6040">
        <w:t xml:space="preserve">of universities </w:t>
      </w:r>
      <w:r w:rsidR="00F74E2C" w:rsidRPr="009B6040">
        <w:t>would tend</w:t>
      </w:r>
      <w:r w:rsidR="00BC67A0" w:rsidRPr="009B6040">
        <w:t xml:space="preserve"> to </w:t>
      </w:r>
      <w:r w:rsidR="00780DEA" w:rsidRPr="009B6040">
        <w:t>de-emphasise</w:t>
      </w:r>
      <w:r w:rsidR="00BC67A0" w:rsidRPr="009B6040">
        <w:t xml:space="preserve"> </w:t>
      </w:r>
      <w:r w:rsidR="004F4B59" w:rsidRPr="009B6040">
        <w:t>adverse decisions for</w:t>
      </w:r>
      <w:r w:rsidR="00BC67A0" w:rsidRPr="009B6040">
        <w:t xml:space="preserve"> </w:t>
      </w:r>
      <w:r w:rsidR="00CC4FB2" w:rsidRPr="009B6040">
        <w:t xml:space="preserve">other </w:t>
      </w:r>
      <w:r w:rsidR="00BC67A0" w:rsidRPr="009B6040">
        <w:t>low-risk providers</w:t>
      </w:r>
      <w:r w:rsidR="004F4B59" w:rsidRPr="009B6040">
        <w:t>.</w:t>
      </w:r>
      <w:r w:rsidR="002D48B8" w:rsidRPr="009B6040">
        <w:t xml:space="preserve"> </w:t>
      </w:r>
      <w:r w:rsidR="00E86CA3" w:rsidRPr="009B6040">
        <w:t>Providers for which TEQSA had no confidence in</w:t>
      </w:r>
      <w:r w:rsidR="00434D58" w:rsidRPr="009B6040">
        <w:t xml:space="preserve"> data (NCID) and providers that were unrated for other reasons are grouped together. </w:t>
      </w:r>
      <w:r w:rsidR="002D48B8" w:rsidRPr="009B6040">
        <w:t xml:space="preserve">The chart makes clear that </w:t>
      </w:r>
      <w:r w:rsidR="00B01AC3" w:rsidRPr="009B6040">
        <w:t xml:space="preserve">providers </w:t>
      </w:r>
      <w:r w:rsidR="00E00E8A" w:rsidRPr="009B6040">
        <w:t xml:space="preserve">that were </w:t>
      </w:r>
      <w:r w:rsidR="00B17D48">
        <w:t>assessed</w:t>
      </w:r>
      <w:r w:rsidR="00B17D48" w:rsidRPr="009B6040">
        <w:t xml:space="preserve"> </w:t>
      </w:r>
      <w:r w:rsidR="00B01AC3" w:rsidRPr="009B6040">
        <w:t xml:space="preserve">as presenting a high risk to students </w:t>
      </w:r>
      <w:r w:rsidR="00933C89" w:rsidRPr="009B6040">
        <w:t xml:space="preserve">were </w:t>
      </w:r>
      <w:r w:rsidR="00763F90" w:rsidRPr="009B6040">
        <w:t xml:space="preserve">more frequently subject to adverse decisions than </w:t>
      </w:r>
      <w:r w:rsidR="0069102B" w:rsidRPr="009B6040">
        <w:t xml:space="preserve">were </w:t>
      </w:r>
      <w:r w:rsidR="00763F90" w:rsidRPr="009B6040">
        <w:t>m</w:t>
      </w:r>
      <w:r w:rsidR="00376B80" w:rsidRPr="009B6040">
        <w:t xml:space="preserve">oderate and low risk </w:t>
      </w:r>
      <w:r w:rsidR="00933C89" w:rsidRPr="009B6040">
        <w:t xml:space="preserve">rated </w:t>
      </w:r>
      <w:r w:rsidR="00376B80" w:rsidRPr="009B6040">
        <w:t>providers.</w:t>
      </w:r>
    </w:p>
    <w:p w:rsidR="00C02F46" w:rsidRPr="009B6040" w:rsidRDefault="00A46A76" w:rsidP="00C02F46">
      <w:pPr>
        <w:keepNext/>
      </w:pPr>
      <w:r w:rsidRPr="009B6040">
        <w:rPr>
          <w:noProof/>
          <w:lang w:eastAsia="en-AU"/>
        </w:rPr>
        <w:lastRenderedPageBreak/>
        <w:drawing>
          <wp:inline distT="0" distB="0" distL="0" distR="0" wp14:anchorId="02151F43" wp14:editId="7F5CF68C">
            <wp:extent cx="5731510" cy="2465705"/>
            <wp:effectExtent l="0" t="0" r="254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1528E" w:rsidRPr="009B6040" w:rsidRDefault="00C02F46" w:rsidP="00250BDD">
      <w:pPr>
        <w:pStyle w:val="FigureTitle"/>
      </w:pPr>
      <w:r w:rsidRPr="009B6040">
        <w:t>Proportion of adverse decisions by ‘risk to students’ rating (excl. universities) (2014-2017)</w:t>
      </w:r>
    </w:p>
    <w:p w:rsidR="00376B80" w:rsidRPr="009B6040" w:rsidRDefault="00376B80" w:rsidP="00376B80">
      <w:r w:rsidRPr="009B6040">
        <w:t xml:space="preserve">Additionally, </w:t>
      </w:r>
      <w:r w:rsidR="00681505" w:rsidRPr="009B6040">
        <w:rPr>
          <w:b/>
        </w:rPr>
        <w:t>F</w:t>
      </w:r>
      <w:r w:rsidRPr="009B6040">
        <w:rPr>
          <w:b/>
        </w:rPr>
        <w:t xml:space="preserve">igure </w:t>
      </w:r>
      <w:r w:rsidR="005A01A1" w:rsidRPr="009B6040">
        <w:rPr>
          <w:b/>
        </w:rPr>
        <w:t>8</w:t>
      </w:r>
      <w:r w:rsidRPr="009B6040">
        <w:t xml:space="preserve"> shows that providers for which TEQSA ha</w:t>
      </w:r>
      <w:r w:rsidR="000D1943" w:rsidRPr="009B6040">
        <w:t>d</w:t>
      </w:r>
      <w:r w:rsidRPr="009B6040">
        <w:t xml:space="preserve"> no confidence in data </w:t>
      </w:r>
      <w:r w:rsidR="005E091C" w:rsidRPr="009B6040">
        <w:t xml:space="preserve">or were unrated </w:t>
      </w:r>
      <w:r w:rsidR="000D1943" w:rsidRPr="009B6040">
        <w:t>were</w:t>
      </w:r>
      <w:r w:rsidRPr="009B6040">
        <w:t xml:space="preserve"> roughly as likely as high risk providers to be subject to an adverse decision. </w:t>
      </w:r>
      <w:r w:rsidR="00856DAD" w:rsidRPr="009B6040">
        <w:t xml:space="preserve">Being unable </w:t>
      </w:r>
      <w:r w:rsidRPr="009B6040">
        <w:t>to submit quality data</w:t>
      </w:r>
      <w:r w:rsidR="00AA4BDE" w:rsidRPr="009B6040">
        <w:t xml:space="preserve"> can reflect </w:t>
      </w:r>
      <w:r w:rsidR="000D1943" w:rsidRPr="009B6040">
        <w:t>issues relating to</w:t>
      </w:r>
      <w:r w:rsidR="00AA4BDE" w:rsidRPr="009B6040">
        <w:t xml:space="preserve"> governance and management in a provider. As mature governance and management practices contribute substantially to overall quality assurance within a provider, it is </w:t>
      </w:r>
      <w:r w:rsidR="00E66754" w:rsidRPr="009B6040">
        <w:t xml:space="preserve">not </w:t>
      </w:r>
      <w:r w:rsidR="00AA4BDE" w:rsidRPr="009B6040">
        <w:t xml:space="preserve">surprising that providers submitting unreliable data are more likely to be subject to </w:t>
      </w:r>
      <w:r w:rsidR="00E66754" w:rsidRPr="009B6040">
        <w:t>adverse decisions.</w:t>
      </w:r>
      <w:r w:rsidR="00856DAD" w:rsidRPr="009B6040">
        <w:t xml:space="preserve"> Given this association between poor data and poor assessment outcomes, and to encourage </w:t>
      </w:r>
      <w:r w:rsidR="00285B77" w:rsidRPr="009B6040">
        <w:t xml:space="preserve">improvement in data quality over time, </w:t>
      </w:r>
      <w:r w:rsidR="00933C89" w:rsidRPr="009B6040">
        <w:t xml:space="preserve">in 2017 </w:t>
      </w:r>
      <w:r w:rsidR="00285B77" w:rsidRPr="009B6040">
        <w:t>TEQSA adopted a policy that where TEQSA is unable to determine a risk rating for a provider due to the poor quality of data submitted, TEQSA will by default rat</w:t>
      </w:r>
      <w:r w:rsidR="00673937" w:rsidRPr="009B6040">
        <w:t>e that provider as ‘high risk’.</w:t>
      </w:r>
    </w:p>
    <w:p w:rsidR="00681505" w:rsidRPr="009B6040" w:rsidRDefault="00681505" w:rsidP="00CD4178">
      <w:pPr>
        <w:pStyle w:val="Heading4"/>
      </w:pPr>
      <w:r w:rsidRPr="009B6040">
        <w:t>Individual providers and risk ratings</w:t>
      </w:r>
      <w:r w:rsidR="005A39BB" w:rsidRPr="009B6040">
        <w:t xml:space="preserve"> </w:t>
      </w:r>
    </w:p>
    <w:p w:rsidR="00481D54" w:rsidRPr="009B6040" w:rsidRDefault="00481D54" w:rsidP="00681505">
      <w:r w:rsidRPr="009B6040">
        <w:t xml:space="preserve">Whereas </w:t>
      </w:r>
      <w:r w:rsidRPr="009B6040">
        <w:rPr>
          <w:b/>
        </w:rPr>
        <w:t xml:space="preserve">Figure </w:t>
      </w:r>
      <w:r w:rsidR="0067481C" w:rsidRPr="009B6040">
        <w:rPr>
          <w:b/>
        </w:rPr>
        <w:t>8</w:t>
      </w:r>
      <w:r w:rsidRPr="009B6040">
        <w:t xml:space="preserve"> showed percentages of all </w:t>
      </w:r>
      <w:r w:rsidRPr="009B6040">
        <w:rPr>
          <w:i/>
        </w:rPr>
        <w:t>assessments</w:t>
      </w:r>
      <w:r w:rsidRPr="009B6040">
        <w:t xml:space="preserve"> leading to adverse decisions, </w:t>
      </w:r>
      <w:r w:rsidRPr="009B6040">
        <w:rPr>
          <w:b/>
        </w:rPr>
        <w:t xml:space="preserve">Table </w:t>
      </w:r>
      <w:r w:rsidR="002903C0" w:rsidRPr="009B6040">
        <w:rPr>
          <w:b/>
        </w:rPr>
        <w:t>3</w:t>
      </w:r>
      <w:r w:rsidRPr="009B6040">
        <w:t xml:space="preserve"> shows the percentage of </w:t>
      </w:r>
      <w:r w:rsidRPr="009B6040">
        <w:rPr>
          <w:i/>
        </w:rPr>
        <w:t>providers</w:t>
      </w:r>
      <w:r w:rsidRPr="009B6040">
        <w:t xml:space="preserve"> </w:t>
      </w:r>
      <w:r w:rsidR="005E091C" w:rsidRPr="009B6040">
        <w:t xml:space="preserve">with a given risk to students rating </w:t>
      </w:r>
      <w:r w:rsidRPr="009B6040">
        <w:t>wit</w:t>
      </w:r>
      <w:r w:rsidR="005E091C" w:rsidRPr="009B6040">
        <w:t>h at least one adverse decision over the period 2014 to 2017</w:t>
      </w:r>
      <w:r w:rsidR="00C23980" w:rsidRPr="009B6040">
        <w:t>, again excluding universities</w:t>
      </w:r>
      <w:r w:rsidRPr="009B6040">
        <w:t>. Considering assessments by provider</w:t>
      </w:r>
      <w:r w:rsidR="00E00E8A" w:rsidRPr="009B6040">
        <w:t xml:space="preserve"> in this way</w:t>
      </w:r>
      <w:r w:rsidRPr="009B6040">
        <w:t xml:space="preserve"> corrects for the situation where a small number of providers submit a large number of course-related assessments, disproportionately influencing an</w:t>
      </w:r>
      <w:r w:rsidR="000074B1" w:rsidRPr="009B6040">
        <w:t>alysis at the assessment level.</w:t>
      </w:r>
    </w:p>
    <w:p w:rsidR="005E091C" w:rsidRPr="009B6040" w:rsidRDefault="005E091C" w:rsidP="00681505">
      <w:r w:rsidRPr="009B6040">
        <w:t xml:space="preserve">Because providers’ overall risk to students ratings sometimes changed over the period of analysis, some providers are counted multiple times in </w:t>
      </w:r>
      <w:r w:rsidRPr="009B6040">
        <w:rPr>
          <w:b/>
        </w:rPr>
        <w:t>Table 3</w:t>
      </w:r>
      <w:r w:rsidRPr="009B6040">
        <w:t>. For example, if a provider was assessed for a renewal of registration twice within the period, and their risk rating changed in between assessments, that provider would be counted twice—once for each risk rating. However, if the provider was assessed for re-registration twice during the period but their risk rating did not change, then the provider would be counted once. The same goes for course assessments.</w:t>
      </w:r>
    </w:p>
    <w:p w:rsidR="00F40C7B" w:rsidRPr="009B6040" w:rsidRDefault="00481D54" w:rsidP="00681505">
      <w:pPr>
        <w:rPr>
          <w:i/>
        </w:rPr>
      </w:pPr>
      <w:r w:rsidRPr="009B6040">
        <w:t xml:space="preserve">It is clear from </w:t>
      </w:r>
      <w:r w:rsidRPr="009B6040">
        <w:rPr>
          <w:b/>
        </w:rPr>
        <w:t xml:space="preserve">Table </w:t>
      </w:r>
      <w:r w:rsidR="00D6722C" w:rsidRPr="009B6040">
        <w:rPr>
          <w:b/>
        </w:rPr>
        <w:t>3</w:t>
      </w:r>
      <w:r w:rsidRPr="009B6040">
        <w:t xml:space="preserve"> that the association between risk to students and regulatory outcome remains when the focus shifts</w:t>
      </w:r>
      <w:r w:rsidR="00D6722C" w:rsidRPr="009B6040">
        <w:t xml:space="preserve"> from assessments to providers.</w:t>
      </w:r>
    </w:p>
    <w:p w:rsidR="00EC7A5F" w:rsidRPr="009B6040" w:rsidRDefault="00802638" w:rsidP="00376B80">
      <w:pPr>
        <w:pStyle w:val="TableTitle"/>
        <w:rPr>
          <w:sz w:val="20"/>
          <w:szCs w:val="20"/>
        </w:rPr>
      </w:pPr>
      <w:r w:rsidRPr="009B6040">
        <w:rPr>
          <w:sz w:val="20"/>
          <w:szCs w:val="20"/>
        </w:rPr>
        <w:lastRenderedPageBreak/>
        <w:t>Percentage of p</w:t>
      </w:r>
      <w:r w:rsidR="00EC7A5F" w:rsidRPr="009B6040">
        <w:rPr>
          <w:sz w:val="20"/>
          <w:szCs w:val="20"/>
        </w:rPr>
        <w:t>roviders</w:t>
      </w:r>
      <w:r w:rsidR="00D6722C" w:rsidRPr="009B6040">
        <w:rPr>
          <w:sz w:val="20"/>
          <w:szCs w:val="20"/>
        </w:rPr>
        <w:t xml:space="preserve"> </w:t>
      </w:r>
      <w:r w:rsidR="00ED0B30" w:rsidRPr="009B6040">
        <w:rPr>
          <w:sz w:val="20"/>
          <w:szCs w:val="20"/>
        </w:rPr>
        <w:t xml:space="preserve">assessed for </w:t>
      </w:r>
      <w:r w:rsidR="00481D54" w:rsidRPr="009B6040">
        <w:rPr>
          <w:sz w:val="20"/>
          <w:szCs w:val="20"/>
        </w:rPr>
        <w:t>an application type</w:t>
      </w:r>
      <w:r w:rsidR="00EC7A5F" w:rsidRPr="009B6040">
        <w:rPr>
          <w:sz w:val="20"/>
          <w:szCs w:val="20"/>
        </w:rPr>
        <w:t xml:space="preserve"> receiving at least one </w:t>
      </w:r>
      <w:r w:rsidR="00ED0B30" w:rsidRPr="009B6040">
        <w:rPr>
          <w:sz w:val="20"/>
          <w:szCs w:val="20"/>
        </w:rPr>
        <w:t xml:space="preserve">associated </w:t>
      </w:r>
      <w:r w:rsidR="00EC7A5F" w:rsidRPr="009B6040">
        <w:rPr>
          <w:sz w:val="20"/>
          <w:szCs w:val="20"/>
        </w:rPr>
        <w:t>adverse</w:t>
      </w:r>
      <w:r w:rsidR="00ED0B30" w:rsidRPr="009B6040">
        <w:rPr>
          <w:sz w:val="20"/>
          <w:szCs w:val="20"/>
        </w:rPr>
        <w:t xml:space="preserve"> </w:t>
      </w:r>
      <w:r w:rsidR="00EC7A5F" w:rsidRPr="009B6040">
        <w:rPr>
          <w:sz w:val="20"/>
          <w:szCs w:val="20"/>
        </w:rPr>
        <w:t xml:space="preserve">decision </w:t>
      </w:r>
      <w:r w:rsidR="008A5A0A" w:rsidRPr="009B6040">
        <w:rPr>
          <w:sz w:val="20"/>
          <w:szCs w:val="20"/>
        </w:rPr>
        <w:t>from 2014 to 2017</w:t>
      </w:r>
      <w:r w:rsidR="00EC7A5F" w:rsidRPr="009B6040">
        <w:rPr>
          <w:sz w:val="20"/>
          <w:szCs w:val="20"/>
        </w:rPr>
        <w:t xml:space="preserve">, by risk </w:t>
      </w:r>
      <w:r w:rsidRPr="009B6040">
        <w:rPr>
          <w:sz w:val="20"/>
          <w:szCs w:val="20"/>
        </w:rPr>
        <w:t xml:space="preserve">to students </w:t>
      </w:r>
      <w:r w:rsidR="00481D54" w:rsidRPr="009B6040">
        <w:rPr>
          <w:sz w:val="20"/>
          <w:szCs w:val="20"/>
        </w:rPr>
        <w:t>rating</w:t>
      </w:r>
    </w:p>
    <w:tbl>
      <w:tblPr>
        <w:tblStyle w:val="PlainTable4"/>
        <w:tblW w:w="5000" w:type="pct"/>
        <w:tblLook w:val="04A0" w:firstRow="1" w:lastRow="0" w:firstColumn="1" w:lastColumn="0" w:noHBand="0" w:noVBand="1"/>
      </w:tblPr>
      <w:tblGrid>
        <w:gridCol w:w="3032"/>
        <w:gridCol w:w="1499"/>
        <w:gridCol w:w="1499"/>
        <w:gridCol w:w="1498"/>
        <w:gridCol w:w="1498"/>
      </w:tblGrid>
      <w:tr w:rsidR="003436EA" w:rsidRPr="009B6040" w:rsidTr="00712A0E">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79" w:type="pct"/>
            <w:hideMark/>
          </w:tcPr>
          <w:p w:rsidR="003436EA" w:rsidRPr="009B6040" w:rsidRDefault="003436EA" w:rsidP="00AB6904">
            <w:pPr>
              <w:spacing w:before="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Assessment type</w:t>
            </w:r>
          </w:p>
        </w:tc>
        <w:tc>
          <w:tcPr>
            <w:tcW w:w="830" w:type="pct"/>
          </w:tcPr>
          <w:p w:rsidR="003436EA" w:rsidRPr="009B6040" w:rsidRDefault="003436EA" w:rsidP="00AB6904">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High risk</w:t>
            </w:r>
          </w:p>
        </w:tc>
        <w:tc>
          <w:tcPr>
            <w:tcW w:w="830" w:type="pct"/>
          </w:tcPr>
          <w:p w:rsidR="003436EA" w:rsidRPr="009B6040" w:rsidRDefault="003436EA" w:rsidP="00AB6904">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Moderate risk</w:t>
            </w:r>
          </w:p>
        </w:tc>
        <w:tc>
          <w:tcPr>
            <w:tcW w:w="830" w:type="pct"/>
          </w:tcPr>
          <w:p w:rsidR="003436EA" w:rsidRPr="009B6040" w:rsidRDefault="003436EA" w:rsidP="00AB6904">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Low risk</w:t>
            </w:r>
          </w:p>
        </w:tc>
        <w:tc>
          <w:tcPr>
            <w:tcW w:w="830" w:type="pct"/>
          </w:tcPr>
          <w:p w:rsidR="003436EA" w:rsidRPr="009B6040" w:rsidRDefault="000D4970" w:rsidP="00AB6904">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NCID or u</w:t>
            </w:r>
            <w:r w:rsidR="003436EA" w:rsidRPr="009B6040">
              <w:rPr>
                <w:rFonts w:ascii="Arial" w:eastAsia="Times New Roman" w:hAnsi="Arial" w:cs="Arial"/>
                <w:color w:val="auto"/>
                <w:sz w:val="18"/>
                <w:szCs w:val="18"/>
                <w:lang w:eastAsia="en-AU"/>
              </w:rPr>
              <w:t>nrated</w:t>
            </w:r>
          </w:p>
        </w:tc>
      </w:tr>
      <w:tr w:rsidR="003436EA" w:rsidRPr="009B6040" w:rsidTr="00712A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79" w:type="pct"/>
            <w:hideMark/>
          </w:tcPr>
          <w:p w:rsidR="003436EA" w:rsidRPr="009B6040" w:rsidRDefault="003436EA" w:rsidP="00C47530">
            <w:pPr>
              <w:spacing w:before="0"/>
              <w:rPr>
                <w:rFonts w:ascii="Arial" w:eastAsia="Times New Roman" w:hAnsi="Arial" w:cs="Arial"/>
                <w:b w:val="0"/>
                <w:color w:val="auto"/>
                <w:sz w:val="18"/>
                <w:szCs w:val="18"/>
                <w:lang w:eastAsia="en-AU"/>
              </w:rPr>
            </w:pPr>
            <w:r w:rsidRPr="009B6040">
              <w:rPr>
                <w:rFonts w:ascii="Arial" w:eastAsia="Times New Roman" w:hAnsi="Arial" w:cs="Arial"/>
                <w:b w:val="0"/>
                <w:color w:val="auto"/>
                <w:sz w:val="18"/>
                <w:szCs w:val="18"/>
                <w:lang w:eastAsia="en-AU"/>
              </w:rPr>
              <w:t>Provider renewal of registration</w:t>
            </w:r>
          </w:p>
        </w:tc>
        <w:tc>
          <w:tcPr>
            <w:tcW w:w="830" w:type="pct"/>
          </w:tcPr>
          <w:p w:rsidR="003436EA" w:rsidRPr="009B6040" w:rsidRDefault="00DA3E43" w:rsidP="00C47530">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83% (19/23)</w:t>
            </w:r>
          </w:p>
        </w:tc>
        <w:tc>
          <w:tcPr>
            <w:tcW w:w="830" w:type="pct"/>
          </w:tcPr>
          <w:p w:rsidR="003436EA" w:rsidRPr="009B6040" w:rsidRDefault="00DD1536" w:rsidP="00C47530">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62% (13/21)</w:t>
            </w:r>
          </w:p>
        </w:tc>
        <w:tc>
          <w:tcPr>
            <w:tcW w:w="830" w:type="pct"/>
          </w:tcPr>
          <w:p w:rsidR="003436EA" w:rsidRPr="009B6040" w:rsidRDefault="009755BC" w:rsidP="00C47530">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11% (4/36)</w:t>
            </w:r>
          </w:p>
        </w:tc>
        <w:tc>
          <w:tcPr>
            <w:tcW w:w="830" w:type="pct"/>
          </w:tcPr>
          <w:p w:rsidR="003436EA" w:rsidRPr="009B6040" w:rsidRDefault="009755BC" w:rsidP="00C47530">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91% (10/11)</w:t>
            </w:r>
          </w:p>
        </w:tc>
      </w:tr>
      <w:tr w:rsidR="003436EA" w:rsidRPr="009B6040" w:rsidTr="00712A0E">
        <w:trPr>
          <w:trHeight w:val="375"/>
        </w:trPr>
        <w:tc>
          <w:tcPr>
            <w:cnfStyle w:val="001000000000" w:firstRow="0" w:lastRow="0" w:firstColumn="1" w:lastColumn="0" w:oddVBand="0" w:evenVBand="0" w:oddHBand="0" w:evenHBand="0" w:firstRowFirstColumn="0" w:firstRowLastColumn="0" w:lastRowFirstColumn="0" w:lastRowLastColumn="0"/>
            <w:tcW w:w="1679" w:type="pct"/>
            <w:hideMark/>
          </w:tcPr>
          <w:p w:rsidR="003436EA" w:rsidRPr="009B6040" w:rsidRDefault="003436EA" w:rsidP="00C47530">
            <w:pPr>
              <w:spacing w:before="0"/>
              <w:rPr>
                <w:rFonts w:ascii="Arial" w:eastAsia="Times New Roman" w:hAnsi="Arial" w:cs="Arial"/>
                <w:b w:val="0"/>
                <w:color w:val="auto"/>
                <w:sz w:val="18"/>
                <w:szCs w:val="18"/>
                <w:lang w:eastAsia="en-AU"/>
              </w:rPr>
            </w:pPr>
            <w:r w:rsidRPr="009B6040">
              <w:rPr>
                <w:rFonts w:ascii="Arial" w:eastAsia="Times New Roman" w:hAnsi="Arial" w:cs="Arial"/>
                <w:b w:val="0"/>
                <w:color w:val="auto"/>
                <w:sz w:val="18"/>
                <w:szCs w:val="18"/>
                <w:lang w:eastAsia="en-AU"/>
              </w:rPr>
              <w:t>Course accreditation and renewal of accreditation</w:t>
            </w:r>
          </w:p>
        </w:tc>
        <w:tc>
          <w:tcPr>
            <w:tcW w:w="830" w:type="pct"/>
          </w:tcPr>
          <w:p w:rsidR="003436EA" w:rsidRPr="009B6040" w:rsidRDefault="00774F67" w:rsidP="007B1FC6">
            <w:pPr>
              <w:spacing w:befor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 xml:space="preserve">81% </w:t>
            </w:r>
            <w:r w:rsidR="000D4970" w:rsidRPr="009B6040">
              <w:rPr>
                <w:rFonts w:ascii="Arial" w:eastAsia="Times New Roman" w:hAnsi="Arial" w:cs="Arial"/>
                <w:color w:val="auto"/>
                <w:sz w:val="18"/>
                <w:szCs w:val="18"/>
                <w:lang w:eastAsia="en-AU"/>
              </w:rPr>
              <w:t>(25/31)</w:t>
            </w:r>
          </w:p>
        </w:tc>
        <w:tc>
          <w:tcPr>
            <w:tcW w:w="830" w:type="pct"/>
          </w:tcPr>
          <w:p w:rsidR="003436EA" w:rsidRPr="009B6040" w:rsidRDefault="00774F67" w:rsidP="007B1FC6">
            <w:pPr>
              <w:spacing w:befor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41% (19/46)</w:t>
            </w:r>
          </w:p>
        </w:tc>
        <w:tc>
          <w:tcPr>
            <w:tcW w:w="830" w:type="pct"/>
          </w:tcPr>
          <w:p w:rsidR="003436EA" w:rsidRPr="009B6040" w:rsidRDefault="00774F67" w:rsidP="007B1FC6">
            <w:pPr>
              <w:spacing w:befor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16% (7/44)</w:t>
            </w:r>
          </w:p>
        </w:tc>
        <w:tc>
          <w:tcPr>
            <w:tcW w:w="830" w:type="pct"/>
          </w:tcPr>
          <w:p w:rsidR="003436EA" w:rsidRPr="009B6040" w:rsidRDefault="00774F67" w:rsidP="00C47530">
            <w:pPr>
              <w:spacing w:befor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9B6040">
              <w:rPr>
                <w:rFonts w:ascii="Arial" w:eastAsia="Times New Roman" w:hAnsi="Arial" w:cs="Arial"/>
                <w:color w:val="auto"/>
                <w:sz w:val="18"/>
                <w:szCs w:val="18"/>
                <w:lang w:eastAsia="en-AU"/>
              </w:rPr>
              <w:t>70% (37/53)</w:t>
            </w:r>
          </w:p>
        </w:tc>
      </w:tr>
    </w:tbl>
    <w:p w:rsidR="00A647F5" w:rsidRPr="009B6040" w:rsidRDefault="00E01A62" w:rsidP="005A01A1">
      <w:r w:rsidRPr="009B6040">
        <w:t>While</w:t>
      </w:r>
      <w:r w:rsidR="00920C52" w:rsidRPr="009B6040">
        <w:t xml:space="preserve"> a provider’s risk to student</w:t>
      </w:r>
      <w:r w:rsidRPr="009B6040">
        <w:t>s</w:t>
      </w:r>
      <w:r w:rsidR="00920C52" w:rsidRPr="009B6040">
        <w:t xml:space="preserve"> rating and its assessment outcomes </w:t>
      </w:r>
      <w:r w:rsidR="00033538" w:rsidRPr="009B6040">
        <w:t xml:space="preserve">were </w:t>
      </w:r>
      <w:r w:rsidR="00920C52" w:rsidRPr="009B6040">
        <w:t>closely associat</w:t>
      </w:r>
      <w:r w:rsidRPr="009B6040">
        <w:t>ed</w:t>
      </w:r>
      <w:r w:rsidR="00920C52" w:rsidRPr="009B6040">
        <w:t xml:space="preserve">, this association </w:t>
      </w:r>
      <w:r w:rsidR="00033538" w:rsidRPr="009B6040">
        <w:t xml:space="preserve">was </w:t>
      </w:r>
      <w:r w:rsidR="00920C52" w:rsidRPr="009B6040">
        <w:t>not deterministic—</w:t>
      </w:r>
      <w:r w:rsidR="005E091C" w:rsidRPr="009B6040">
        <w:t>19 per cent of</w:t>
      </w:r>
      <w:r w:rsidR="00920C52" w:rsidRPr="009B6040">
        <w:t xml:space="preserve"> high risk providers </w:t>
      </w:r>
      <w:r w:rsidR="00BF34C3" w:rsidRPr="009B6040">
        <w:t xml:space="preserve">with </w:t>
      </w:r>
      <w:r w:rsidR="00331FC4" w:rsidRPr="009B6040">
        <w:t xml:space="preserve">course assessments </w:t>
      </w:r>
      <w:r w:rsidR="00920C52" w:rsidRPr="009B6040">
        <w:t xml:space="preserve">over 2014-2017 </w:t>
      </w:r>
      <w:r w:rsidR="00331FC4" w:rsidRPr="009B6040">
        <w:t xml:space="preserve">received no sanctions in relation to </w:t>
      </w:r>
      <w:r w:rsidR="0082047F" w:rsidRPr="009B6040">
        <w:t xml:space="preserve">any of </w:t>
      </w:r>
      <w:r w:rsidR="00331FC4" w:rsidRPr="009B6040">
        <w:t xml:space="preserve">those assessments, and similarly for </w:t>
      </w:r>
      <w:r w:rsidR="005E091C" w:rsidRPr="009B6040">
        <w:t>17</w:t>
      </w:r>
      <w:r w:rsidRPr="009B6040">
        <w:t xml:space="preserve"> per cent</w:t>
      </w:r>
      <w:r w:rsidR="00331FC4" w:rsidRPr="009B6040">
        <w:t xml:space="preserve"> of high risk providers in relation to re-registration</w:t>
      </w:r>
      <w:r w:rsidRPr="009B6040">
        <w:t>. P</w:t>
      </w:r>
      <w:r w:rsidR="00331FC4" w:rsidRPr="009B6040">
        <w:t xml:space="preserve">roviders that </w:t>
      </w:r>
      <w:r w:rsidR="00A647F5" w:rsidRPr="009B6040">
        <w:t>appear</w:t>
      </w:r>
      <w:r w:rsidR="00033538" w:rsidRPr="009B6040">
        <w:t>ed</w:t>
      </w:r>
      <w:r w:rsidR="00A647F5" w:rsidRPr="009B6040">
        <w:t xml:space="preserve"> problematic</w:t>
      </w:r>
      <w:r w:rsidR="00331FC4" w:rsidRPr="009B6040">
        <w:t xml:space="preserve">, based purely on risk assessments, </w:t>
      </w:r>
      <w:r w:rsidR="00E00E8A" w:rsidRPr="009B6040">
        <w:t>were</w:t>
      </w:r>
      <w:r w:rsidR="00331FC4" w:rsidRPr="009B6040">
        <w:t xml:space="preserve"> assessed with no adverse findings where evidence suggest</w:t>
      </w:r>
      <w:r w:rsidR="00E00E8A" w:rsidRPr="009B6040">
        <w:t>ed</w:t>
      </w:r>
      <w:r w:rsidR="00331FC4" w:rsidRPr="009B6040">
        <w:t xml:space="preserve"> this </w:t>
      </w:r>
      <w:r w:rsidR="00E00E8A" w:rsidRPr="009B6040">
        <w:t>wa</w:t>
      </w:r>
      <w:r w:rsidR="00331FC4" w:rsidRPr="009B6040">
        <w:t xml:space="preserve">s appropriate. Similarly, providers with low risk ratings </w:t>
      </w:r>
      <w:r w:rsidR="00033538" w:rsidRPr="009B6040">
        <w:t>were</w:t>
      </w:r>
      <w:r w:rsidR="00331FC4" w:rsidRPr="009B6040">
        <w:t xml:space="preserve"> subject to adverse findings whe</w:t>
      </w:r>
      <w:r w:rsidR="00E00E8A" w:rsidRPr="009B6040">
        <w:t>re</w:t>
      </w:r>
      <w:r w:rsidR="00331FC4" w:rsidRPr="009B6040">
        <w:t xml:space="preserve"> a close assessment reveal</w:t>
      </w:r>
      <w:r w:rsidR="00E00E8A" w:rsidRPr="009B6040">
        <w:t>ed</w:t>
      </w:r>
      <w:r w:rsidR="00331FC4" w:rsidRPr="009B6040">
        <w:t xml:space="preserve"> deeper issues, or issues th</w:t>
      </w:r>
      <w:r w:rsidRPr="009B6040">
        <w:t xml:space="preserve">at </w:t>
      </w:r>
      <w:r w:rsidR="00E00E8A" w:rsidRPr="009B6040">
        <w:t>were</w:t>
      </w:r>
      <w:r w:rsidRPr="009B6040">
        <w:t xml:space="preserve"> not reflected in TEQSA’s standard data collection</w:t>
      </w:r>
      <w:r w:rsidR="00331FC4" w:rsidRPr="009B6040">
        <w:t>.</w:t>
      </w:r>
    </w:p>
    <w:p w:rsidR="00A647F5" w:rsidRPr="009B6040" w:rsidRDefault="00A647F5">
      <w:r w:rsidRPr="009B6040">
        <w:br w:type="page"/>
      </w:r>
    </w:p>
    <w:p w:rsidR="00F4297A" w:rsidRPr="009B6040" w:rsidRDefault="00A647F5" w:rsidP="00466132">
      <w:pPr>
        <w:pStyle w:val="Heading2"/>
      </w:pPr>
      <w:bookmarkStart w:id="10" w:name="_Toc524011833"/>
      <w:r w:rsidRPr="009B6040">
        <w:lastRenderedPageBreak/>
        <w:t>Conclusion</w:t>
      </w:r>
      <w:bookmarkEnd w:id="10"/>
    </w:p>
    <w:p w:rsidR="00491B1A" w:rsidRPr="009B6040" w:rsidRDefault="00994C2D" w:rsidP="00994C2D">
      <w:r w:rsidRPr="009B6040">
        <w:t>This report includes a range of information that might help existing and prospective providers better und</w:t>
      </w:r>
      <w:r w:rsidR="00AD0FDD" w:rsidRPr="009B6040">
        <w:t>erstand how they might improve the results of their applications to TEQSA.</w:t>
      </w:r>
    </w:p>
    <w:p w:rsidR="00673937" w:rsidRPr="009B6040" w:rsidRDefault="00E34259" w:rsidP="00381D7C">
      <w:r w:rsidRPr="009B6040">
        <w:t>For prospective providers, it should be clear that</w:t>
      </w:r>
      <w:r w:rsidR="005058DB" w:rsidRPr="009B6040">
        <w:t>, while</w:t>
      </w:r>
      <w:r w:rsidRPr="009B6040">
        <w:t xml:space="preserve"> entry to the higher education sector is not easily gained</w:t>
      </w:r>
      <w:r w:rsidR="00FB26C9" w:rsidRPr="009B6040">
        <w:t>, many prospective providers</w:t>
      </w:r>
      <w:r w:rsidR="005058DB" w:rsidRPr="009B6040">
        <w:t xml:space="preserve"> </w:t>
      </w:r>
      <w:r w:rsidR="00FB26C9" w:rsidRPr="009B6040">
        <w:t>would have been in a much better position had they attended more carefully to some of the more basic requirements for entry. For example, p</w:t>
      </w:r>
      <w:r w:rsidR="00EE75F2" w:rsidRPr="009B6040">
        <w:t>rospective providers</w:t>
      </w:r>
      <w:r w:rsidR="00FB26C9" w:rsidRPr="009B6040">
        <w:t xml:space="preserve"> increased the likelihood of success when they</w:t>
      </w:r>
      <w:r w:rsidR="00EE75F2" w:rsidRPr="009B6040">
        <w:t xml:space="preserve"> ensure</w:t>
      </w:r>
      <w:r w:rsidR="00FB26C9" w:rsidRPr="009B6040">
        <w:t>d</w:t>
      </w:r>
      <w:r w:rsidR="00EE75F2" w:rsidRPr="009B6040">
        <w:t xml:space="preserve"> that they </w:t>
      </w:r>
      <w:r w:rsidR="00033538" w:rsidRPr="009B6040">
        <w:t>ha</w:t>
      </w:r>
      <w:r w:rsidR="00FB26C9" w:rsidRPr="009B6040">
        <w:t>d</w:t>
      </w:r>
      <w:r w:rsidR="00033538" w:rsidRPr="009B6040">
        <w:t xml:space="preserve"> </w:t>
      </w:r>
      <w:r w:rsidR="00EE75F2" w:rsidRPr="009B6040">
        <w:t xml:space="preserve">appropriate governance structures </w:t>
      </w:r>
      <w:r w:rsidR="00033538" w:rsidRPr="009B6040">
        <w:t xml:space="preserve">in place </w:t>
      </w:r>
      <w:r w:rsidR="00EE75F2" w:rsidRPr="009B6040">
        <w:t xml:space="preserve">prior to application, </w:t>
      </w:r>
      <w:r w:rsidR="00FB26C9" w:rsidRPr="009B6040">
        <w:t>avoided</w:t>
      </w:r>
      <w:r w:rsidR="00EE75F2" w:rsidRPr="009B6040">
        <w:t xml:space="preserve"> overly optimistic accounts of expected financial performance, source</w:t>
      </w:r>
      <w:r w:rsidR="00FB26C9" w:rsidRPr="009B6040">
        <w:t>d</w:t>
      </w:r>
      <w:r w:rsidR="00EE75F2" w:rsidRPr="009B6040">
        <w:t xml:space="preserve"> people with the necessary level</w:t>
      </w:r>
      <w:r w:rsidR="00FB26C9" w:rsidRPr="009B6040">
        <w:t>s</w:t>
      </w:r>
      <w:r w:rsidR="00EE75F2" w:rsidRPr="009B6040">
        <w:t xml:space="preserve"> of expertise to set up a new provider</w:t>
      </w:r>
      <w:r w:rsidR="00FB26C9" w:rsidRPr="009B6040">
        <w:t>, and</w:t>
      </w:r>
      <w:r w:rsidR="00EE75F2" w:rsidRPr="009B6040">
        <w:t xml:space="preserve"> propose</w:t>
      </w:r>
      <w:r w:rsidR="00FB26C9" w:rsidRPr="009B6040">
        <w:t>d</w:t>
      </w:r>
      <w:r w:rsidR="00EE75F2" w:rsidRPr="009B6040">
        <w:t xml:space="preserve"> a future staff mix suitable to its operation. </w:t>
      </w:r>
      <w:r w:rsidR="00AE7A69" w:rsidRPr="009B6040">
        <w:t>In general, unsuccessful prospective providers appear</w:t>
      </w:r>
      <w:r w:rsidR="00033538" w:rsidRPr="009B6040">
        <w:t>ed</w:t>
      </w:r>
      <w:r w:rsidR="00AE7A69" w:rsidRPr="009B6040">
        <w:t xml:space="preserve"> not to have appreciated the level of preparation necessary to apply successfully for entry </w:t>
      </w:r>
      <w:r w:rsidR="00C23980" w:rsidRPr="009B6040">
        <w:t>to the higher education sector.</w:t>
      </w:r>
    </w:p>
    <w:p w:rsidR="00FE6384" w:rsidRPr="009B6040" w:rsidRDefault="00104CA9" w:rsidP="00381D7C">
      <w:r w:rsidRPr="009B6040">
        <w:t xml:space="preserve">For existing providers, this report should make clear that focusing on strengthening </w:t>
      </w:r>
      <w:r w:rsidR="00092D5D" w:rsidRPr="009B6040">
        <w:t xml:space="preserve">foundational provider attributes (such as governance and staffing) and course attributes (such as course design and assessment), </w:t>
      </w:r>
      <w:r w:rsidR="00F960AF" w:rsidRPr="009B6040">
        <w:t>should help to improve their application outcomes as well as the assessment times associated with those applications.</w:t>
      </w:r>
      <w:r w:rsidR="00C43A1E" w:rsidRPr="009B6040">
        <w:t xml:space="preserve"> In making these improvements, providers may also find that their risk ratings improve over time.</w:t>
      </w:r>
    </w:p>
    <w:p w:rsidR="00F4297A" w:rsidRPr="009B6040" w:rsidRDefault="00645520" w:rsidP="00381D7C">
      <w:r w:rsidRPr="009B6040">
        <w:t xml:space="preserve">TEQSA endeavours to </w:t>
      </w:r>
      <w:r w:rsidR="00033538" w:rsidRPr="009B6040">
        <w:t>provide advice and greater clarity when interpreting and applying selected</w:t>
      </w:r>
      <w:r w:rsidRPr="009B6040">
        <w:t xml:space="preserve"> Standards through its publication of guidance notes, </w:t>
      </w:r>
      <w:r w:rsidR="00FE6384" w:rsidRPr="009B6040">
        <w:t>and publishes</w:t>
      </w:r>
      <w:r w:rsidRPr="009B6040">
        <w:t xml:space="preserve"> a range of other material to help providers understand </w:t>
      </w:r>
      <w:r w:rsidR="001A484A" w:rsidRPr="009B6040">
        <w:t xml:space="preserve">TEQSA’s processes and </w:t>
      </w:r>
      <w:r w:rsidR="00FE6384" w:rsidRPr="009B6040">
        <w:t xml:space="preserve">its </w:t>
      </w:r>
      <w:r w:rsidR="001A484A" w:rsidRPr="009B6040">
        <w:t>approach to regulation.</w:t>
      </w:r>
      <w:r w:rsidR="00FE6384" w:rsidRPr="009B6040">
        <w:t xml:space="preserve"> </w:t>
      </w:r>
      <w:r w:rsidR="00B17D48">
        <w:t>Existing and prospective providers</w:t>
      </w:r>
      <w:r w:rsidR="00FE6384" w:rsidRPr="009B6040">
        <w:t xml:space="preserve"> </w:t>
      </w:r>
      <w:r w:rsidR="00AB541F">
        <w:t>are encouraged</w:t>
      </w:r>
      <w:r w:rsidR="00B17D48">
        <w:t xml:space="preserve"> to </w:t>
      </w:r>
      <w:r w:rsidR="00FE6384" w:rsidRPr="009B6040">
        <w:t>make use of this information</w:t>
      </w:r>
      <w:r w:rsidR="00AB541F">
        <w:t xml:space="preserve"> and the findings presented in this report</w:t>
      </w:r>
      <w:r w:rsidR="00FE6384" w:rsidRPr="009B6040">
        <w:t xml:space="preserve"> to </w:t>
      </w:r>
      <w:r w:rsidR="00AB541F">
        <w:t>assist them when preparing for a registration or accreditation application</w:t>
      </w:r>
      <w:r w:rsidR="00FE6384" w:rsidRPr="009B6040">
        <w:t>.</w:t>
      </w:r>
      <w:r w:rsidR="00F4297A" w:rsidRPr="009B6040">
        <w:br w:type="page"/>
      </w:r>
    </w:p>
    <w:p w:rsidR="005D1538" w:rsidRPr="009B6040" w:rsidRDefault="00F4297A" w:rsidP="00381D7C">
      <w:pPr>
        <w:pStyle w:val="Heading2"/>
      </w:pPr>
      <w:bookmarkStart w:id="11" w:name="_Toc524011834"/>
      <w:r w:rsidRPr="009B6040">
        <w:lastRenderedPageBreak/>
        <w:t>Further information</w:t>
      </w:r>
      <w:bookmarkEnd w:id="11"/>
    </w:p>
    <w:p w:rsidR="00F4297A" w:rsidRPr="009B6040" w:rsidRDefault="0028145C" w:rsidP="00381D7C">
      <w:r w:rsidRPr="009B6040">
        <w:t>A range of information is available on TEQSA’s website about how TEQSA conducts assessments and develops provider risk ratings.</w:t>
      </w:r>
      <w:r w:rsidR="003F7B49" w:rsidRPr="009B6040">
        <w:t xml:space="preserve"> For example:</w:t>
      </w:r>
    </w:p>
    <w:p w:rsidR="004C4B3B" w:rsidRPr="009B6040" w:rsidRDefault="004C4B3B" w:rsidP="00A647F5">
      <w:pPr>
        <w:pStyle w:val="ListParagraph"/>
        <w:numPr>
          <w:ilvl w:val="0"/>
          <w:numId w:val="30"/>
        </w:numPr>
      </w:pPr>
      <w:r w:rsidRPr="009B6040">
        <w:t xml:space="preserve">Information about TEQSA’s approach to regulation is available at </w:t>
      </w:r>
      <w:hyperlink r:id="rId29" w:history="1">
        <w:r w:rsidR="00A647F5" w:rsidRPr="009B6040">
          <w:rPr>
            <w:rStyle w:val="Hyperlink"/>
          </w:rPr>
          <w:t>www.teqsa.gov.au/our-approach-quality-assurance-and-regulation</w:t>
        </w:r>
      </w:hyperlink>
      <w:r w:rsidR="00A647F5" w:rsidRPr="009B6040">
        <w:t xml:space="preserve"> </w:t>
      </w:r>
    </w:p>
    <w:p w:rsidR="0069102B" w:rsidRPr="009B6040" w:rsidRDefault="00C43A1E" w:rsidP="00C43A1E">
      <w:pPr>
        <w:pStyle w:val="ListParagraph"/>
        <w:numPr>
          <w:ilvl w:val="0"/>
          <w:numId w:val="30"/>
        </w:numPr>
      </w:pPr>
      <w:r w:rsidRPr="009B6040">
        <w:t xml:space="preserve">Most recent key financial metrics on Australia’s higher education sector is available at </w:t>
      </w:r>
      <w:hyperlink r:id="rId30" w:history="1">
        <w:r w:rsidRPr="009B6040">
          <w:rPr>
            <w:rStyle w:val="Hyperlink"/>
          </w:rPr>
          <w:t>https://www.teqsa.gov.au/for-providers/resources/key-financial-metrics-australias-higher-education-sector-3rd-edition</w:t>
        </w:r>
      </w:hyperlink>
      <w:r w:rsidRPr="009B6040">
        <w:t xml:space="preserve"> </w:t>
      </w:r>
    </w:p>
    <w:p w:rsidR="00E012FA" w:rsidRPr="009B6040" w:rsidRDefault="00E012FA" w:rsidP="00E012FA">
      <w:pPr>
        <w:pStyle w:val="ListParagraph"/>
        <w:numPr>
          <w:ilvl w:val="0"/>
          <w:numId w:val="30"/>
        </w:numPr>
      </w:pPr>
      <w:r w:rsidRPr="009B6040">
        <w:t>TEQSA’s suite of regulatory policies is available at</w:t>
      </w:r>
    </w:p>
    <w:p w:rsidR="00E012FA" w:rsidRPr="009B6040" w:rsidRDefault="00EF0394" w:rsidP="00E012FA">
      <w:pPr>
        <w:pStyle w:val="ListParagraph"/>
      </w:pPr>
      <w:hyperlink r:id="rId31" w:history="1">
        <w:r w:rsidR="00E012FA" w:rsidRPr="009B6040">
          <w:rPr>
            <w:rStyle w:val="Hyperlink"/>
          </w:rPr>
          <w:t>https://www.teqsa.gov.au/our-policies</w:t>
        </w:r>
      </w:hyperlink>
      <w:r w:rsidR="00E012FA" w:rsidRPr="009B6040">
        <w:t xml:space="preserve"> </w:t>
      </w:r>
    </w:p>
    <w:p w:rsidR="003F7B49" w:rsidRPr="009B6040" w:rsidRDefault="00684883" w:rsidP="00381D7C">
      <w:pPr>
        <w:pStyle w:val="ListParagraph"/>
        <w:numPr>
          <w:ilvl w:val="0"/>
          <w:numId w:val="30"/>
        </w:numPr>
      </w:pPr>
      <w:r w:rsidRPr="009B6040">
        <w:t xml:space="preserve">Information about provider registration </w:t>
      </w:r>
      <w:r w:rsidR="004C4B3B" w:rsidRPr="009B6040">
        <w:t>and renewal</w:t>
      </w:r>
      <w:r w:rsidRPr="009B6040">
        <w:t xml:space="preserve"> of registration is available at </w:t>
      </w:r>
      <w:hyperlink r:id="rId32" w:history="1">
        <w:r w:rsidRPr="009B6040">
          <w:rPr>
            <w:rStyle w:val="Hyperlink"/>
          </w:rPr>
          <w:t>https://www.teqsa.gov.au/provider-registration</w:t>
        </w:r>
      </w:hyperlink>
    </w:p>
    <w:p w:rsidR="00684883" w:rsidRPr="009B6040" w:rsidRDefault="004C4B3B" w:rsidP="00381D7C">
      <w:pPr>
        <w:pStyle w:val="ListParagraph"/>
        <w:numPr>
          <w:ilvl w:val="0"/>
          <w:numId w:val="30"/>
        </w:numPr>
      </w:pPr>
      <w:r w:rsidRPr="009B6040">
        <w:t xml:space="preserve">Information about course accreditation and renewal of accreditation is available at </w:t>
      </w:r>
      <w:hyperlink r:id="rId33" w:history="1">
        <w:r w:rsidRPr="009B6040">
          <w:rPr>
            <w:rStyle w:val="Hyperlink"/>
          </w:rPr>
          <w:t>https://www.teqsa.gov.au/course-accreditationrenewal</w:t>
        </w:r>
      </w:hyperlink>
    </w:p>
    <w:p w:rsidR="004C4B3B" w:rsidRPr="009B6040" w:rsidRDefault="004C4B3B" w:rsidP="00381D7C">
      <w:pPr>
        <w:pStyle w:val="ListParagraph"/>
        <w:numPr>
          <w:ilvl w:val="0"/>
          <w:numId w:val="30"/>
        </w:numPr>
      </w:pPr>
      <w:r w:rsidRPr="009B6040">
        <w:t xml:space="preserve">Application guides and support, including guidance notes and application forms, are available at </w:t>
      </w:r>
      <w:hyperlink r:id="rId34" w:history="1">
        <w:r w:rsidRPr="009B6040">
          <w:rPr>
            <w:rStyle w:val="Hyperlink"/>
          </w:rPr>
          <w:t>https://www.teqsa.gov.au/application-guides-and-support</w:t>
        </w:r>
      </w:hyperlink>
    </w:p>
    <w:p w:rsidR="004C4B3B" w:rsidRPr="009B6040" w:rsidRDefault="004C4B3B" w:rsidP="008A00EF">
      <w:pPr>
        <w:pStyle w:val="ListParagraph"/>
        <w:numPr>
          <w:ilvl w:val="0"/>
          <w:numId w:val="30"/>
        </w:numPr>
        <w:rPr>
          <w:rStyle w:val="Hyperlink"/>
          <w:color w:val="000000" w:themeColor="text1"/>
          <w:u w:val="none"/>
        </w:rPr>
      </w:pPr>
      <w:r w:rsidRPr="009B6040">
        <w:t xml:space="preserve">TEQSA’s current Risk Assessment Framework can be accessed at </w:t>
      </w:r>
      <w:hyperlink r:id="rId35" w:history="1">
        <w:r w:rsidRPr="009B6040">
          <w:rPr>
            <w:rStyle w:val="Hyperlink"/>
          </w:rPr>
          <w:t>https://www.teqsa.gov.au/risk-assessment-framework</w:t>
        </w:r>
      </w:hyperlink>
    </w:p>
    <w:p w:rsidR="005C4708" w:rsidRPr="009B6040" w:rsidRDefault="005C4708" w:rsidP="005C4708">
      <w:pPr>
        <w:pStyle w:val="ListParagraph"/>
        <w:numPr>
          <w:ilvl w:val="0"/>
          <w:numId w:val="30"/>
        </w:numPr>
      </w:pPr>
      <w:r w:rsidRPr="009B6040">
        <w:t xml:space="preserve">TEQSA’s most recent annual report is available at </w:t>
      </w:r>
      <w:hyperlink r:id="rId36" w:history="1">
        <w:r w:rsidRPr="009B6040">
          <w:rPr>
            <w:rStyle w:val="Hyperlink"/>
          </w:rPr>
          <w:t>https://www.teqsa.gov.au/for-providers/resources/teqsa-annual-report-2016-17</w:t>
        </w:r>
      </w:hyperlink>
      <w:r w:rsidRPr="009B6040">
        <w:t xml:space="preserve"> </w:t>
      </w:r>
    </w:p>
    <w:sectPr w:rsidR="005C4708" w:rsidRPr="009B6040" w:rsidSect="001A7481">
      <w:footerReference w:type="first" r:id="rId37"/>
      <w:pgSz w:w="11906" w:h="16838"/>
      <w:pgMar w:top="1440" w:right="1440" w:bottom="96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B8" w:rsidRDefault="002C4CB8" w:rsidP="00820254">
      <w:pPr>
        <w:spacing w:before="0" w:after="0"/>
      </w:pPr>
      <w:r>
        <w:separator/>
      </w:r>
    </w:p>
  </w:endnote>
  <w:endnote w:type="continuationSeparator" w:id="0">
    <w:p w:rsidR="002C4CB8" w:rsidRDefault="002C4CB8" w:rsidP="00820254">
      <w:pPr>
        <w:spacing w:before="0" w:after="0"/>
      </w:pPr>
      <w:r>
        <w:continuationSeparator/>
      </w:r>
    </w:p>
  </w:endnote>
  <w:endnote w:type="continuationNotice" w:id="1">
    <w:p w:rsidR="002C4CB8" w:rsidRDefault="002C4C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70505"/>
      <w:docPartObj>
        <w:docPartGallery w:val="Page Numbers (Bottom of Page)"/>
        <w:docPartUnique/>
      </w:docPartObj>
    </w:sdtPr>
    <w:sdtEndPr>
      <w:rPr>
        <w:noProof/>
      </w:rPr>
    </w:sdtEndPr>
    <w:sdtContent>
      <w:p w:rsidR="00E84562" w:rsidRDefault="00E84562">
        <w:pPr>
          <w:pStyle w:val="Footer"/>
          <w:jc w:val="right"/>
        </w:pPr>
        <w:r>
          <w:fldChar w:fldCharType="begin"/>
        </w:r>
        <w:r>
          <w:instrText xml:space="preserve"> PAGE   \* MERGEFORMAT </w:instrText>
        </w:r>
        <w:r>
          <w:fldChar w:fldCharType="separate"/>
        </w:r>
        <w:r w:rsidR="00EF0394">
          <w:rPr>
            <w:noProof/>
          </w:rPr>
          <w:t>7</w:t>
        </w:r>
        <w:r>
          <w:rPr>
            <w:noProof/>
          </w:rPr>
          <w:fldChar w:fldCharType="end"/>
        </w:r>
      </w:p>
    </w:sdtContent>
  </w:sdt>
  <w:p w:rsidR="00710815" w:rsidRDefault="007108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21" w:rsidRDefault="00F007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542813"/>
      <w:docPartObj>
        <w:docPartGallery w:val="Page Numbers (Bottom of Page)"/>
        <w:docPartUnique/>
      </w:docPartObj>
    </w:sdtPr>
    <w:sdtEndPr>
      <w:rPr>
        <w:noProof/>
      </w:rPr>
    </w:sdtEndPr>
    <w:sdtContent>
      <w:p w:rsidR="00745984" w:rsidRDefault="00745984">
        <w:pPr>
          <w:pStyle w:val="Footer"/>
          <w:jc w:val="right"/>
        </w:pPr>
        <w:r>
          <w:fldChar w:fldCharType="begin"/>
        </w:r>
        <w:r>
          <w:instrText xml:space="preserve"> PAGE   \* MERGEFORMAT </w:instrText>
        </w:r>
        <w:r>
          <w:fldChar w:fldCharType="separate"/>
        </w:r>
        <w:r w:rsidR="00EF0394">
          <w:rPr>
            <w:noProof/>
          </w:rPr>
          <w:t>1</w:t>
        </w:r>
        <w:r>
          <w:rPr>
            <w:noProof/>
          </w:rPr>
          <w:fldChar w:fldCharType="end"/>
        </w:r>
      </w:p>
    </w:sdtContent>
  </w:sdt>
  <w:p w:rsidR="00745984" w:rsidRDefault="007459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B8" w:rsidRDefault="002C4CB8" w:rsidP="00820254">
      <w:pPr>
        <w:spacing w:before="0" w:after="0"/>
      </w:pPr>
      <w:r>
        <w:separator/>
      </w:r>
    </w:p>
  </w:footnote>
  <w:footnote w:type="continuationSeparator" w:id="0">
    <w:p w:rsidR="002C4CB8" w:rsidRDefault="002C4CB8" w:rsidP="00820254">
      <w:pPr>
        <w:spacing w:before="0" w:after="0"/>
      </w:pPr>
      <w:r>
        <w:continuationSeparator/>
      </w:r>
    </w:p>
  </w:footnote>
  <w:footnote w:type="continuationNotice" w:id="1">
    <w:p w:rsidR="002C4CB8" w:rsidRDefault="002C4CB8">
      <w:pPr>
        <w:spacing w:before="0" w:after="0"/>
      </w:pPr>
    </w:p>
  </w:footnote>
  <w:footnote w:id="2">
    <w:p w:rsidR="00B22AEB" w:rsidRDefault="00B22AEB">
      <w:pPr>
        <w:pStyle w:val="FootnoteText"/>
      </w:pPr>
      <w:r>
        <w:rPr>
          <w:rStyle w:val="FootnoteReference"/>
        </w:rPr>
        <w:footnoteRef/>
      </w:r>
      <w:r>
        <w:t xml:space="preserve"> </w:t>
      </w:r>
      <w:r w:rsidRPr="00B22AEB">
        <w:t>Although some submissions to TEQSA proposed additional analysis in relation to provider size, TEQSA was unable to identify a consistent association (universities excluded on account of the difference in scale swamping analysis) between student EFTSL and assessment outcomes or between student EFTSL and risk assessment outcomes.</w:t>
      </w:r>
    </w:p>
  </w:footnote>
  <w:footnote w:id="3">
    <w:p w:rsidR="005D1AFD" w:rsidRDefault="005D1AFD" w:rsidP="005D1AFD">
      <w:pPr>
        <w:pStyle w:val="FootnoteText"/>
      </w:pPr>
      <w:r>
        <w:rPr>
          <w:rStyle w:val="FootnoteReference"/>
        </w:rPr>
        <w:footnoteRef/>
      </w:r>
      <w:r>
        <w:t xml:space="preserve"> It should be noted that some of these registrations were related to changes to existing providers that meant that they were required to register as a new entity</w:t>
      </w:r>
      <w:r w:rsidR="002E75B4">
        <w:t>, and that the numbers reported exclude assessments finalised through an Administrative Appeals Tribunal process</w:t>
      </w:r>
      <w:r>
        <w:t>.</w:t>
      </w:r>
    </w:p>
  </w:footnote>
  <w:footnote w:id="4">
    <w:p w:rsidR="005D1AFD" w:rsidRDefault="005D1AFD" w:rsidP="005D1AFD">
      <w:pPr>
        <w:pStyle w:val="FootnoteText"/>
      </w:pPr>
      <w:r>
        <w:rPr>
          <w:rStyle w:val="FootnoteReference"/>
        </w:rPr>
        <w:footnoteRef/>
      </w:r>
      <w:r>
        <w:t xml:space="preserve"> Note that applications not approved includes applications withdrawn by the provider before decision, as with very few exceptions these withdrawals are in response to TEQSA advice that the assessment is leading towards a recommendation to reject the application for registration.</w:t>
      </w:r>
    </w:p>
  </w:footnote>
  <w:footnote w:id="5">
    <w:p w:rsidR="00B10762" w:rsidRDefault="00B10762">
      <w:pPr>
        <w:pStyle w:val="FootnoteText"/>
      </w:pPr>
      <w:r>
        <w:rPr>
          <w:rStyle w:val="FootnoteReference"/>
        </w:rPr>
        <w:footnoteRef/>
      </w:r>
      <w:r>
        <w:t xml:space="preserve"> For more information on TEQSA’s regulatory approach, see </w:t>
      </w:r>
      <w:hyperlink r:id="rId1" w:history="1">
        <w:r w:rsidRPr="006C1700">
          <w:rPr>
            <w:rStyle w:val="Hyperlink"/>
          </w:rPr>
          <w:t>www.teqsa.gov.au/our-approach-quality-assurance-and-regulation</w:t>
        </w:r>
      </w:hyperlink>
      <w:r>
        <w:t xml:space="preserve"> </w:t>
      </w:r>
    </w:p>
  </w:footnote>
  <w:footnote w:id="6">
    <w:p w:rsidR="00A51173" w:rsidRDefault="00A51173">
      <w:pPr>
        <w:pStyle w:val="FootnoteText"/>
      </w:pPr>
      <w:r>
        <w:rPr>
          <w:rStyle w:val="FootnoteReference"/>
        </w:rPr>
        <w:footnoteRef/>
      </w:r>
      <w:r>
        <w:t xml:space="preserve"> It should be noted that provider type is not a consideration in determination of risk rating—in particular, for-profit or not-for-profit status does not affect TEQSA’s assessment of a provider’s risk to students rating. In 2017, for example, the risk indicators most closely linked to an overall risk to students rating were student-to-staff ratio, the casualization rate of academic staff, and student progress and first year attrition rates.</w:t>
      </w:r>
    </w:p>
  </w:footnote>
  <w:footnote w:id="7">
    <w:p w:rsidR="00F76168" w:rsidRDefault="00F76168">
      <w:pPr>
        <w:pStyle w:val="FootnoteText"/>
      </w:pPr>
      <w:r>
        <w:rPr>
          <w:rStyle w:val="FootnoteReference"/>
        </w:rPr>
        <w:footnoteRef/>
      </w:r>
      <w:r>
        <w:t xml:space="preserve"> Decision times are calculated from the date substantive assessment began (where available—or otherwise from the date the application was received) to the date a decision was made by the Commission or a delegate.</w:t>
      </w:r>
    </w:p>
  </w:footnote>
  <w:footnote w:id="8">
    <w:p w:rsidR="00B17D48" w:rsidRDefault="00B17D48">
      <w:pPr>
        <w:pStyle w:val="FootnoteText"/>
      </w:pPr>
      <w:r>
        <w:rPr>
          <w:rStyle w:val="FootnoteReference"/>
        </w:rPr>
        <w:footnoteRef/>
      </w:r>
      <w:r>
        <w:t xml:space="preserve"> Providers will normally be afforded 28 days to respond to a draft recommendation</w:t>
      </w:r>
    </w:p>
  </w:footnote>
  <w:footnote w:id="9">
    <w:p w:rsidR="00710815" w:rsidRDefault="00710815">
      <w:pPr>
        <w:pStyle w:val="FootnoteText"/>
      </w:pPr>
      <w:r>
        <w:rPr>
          <w:rStyle w:val="FootnoteReference"/>
        </w:rPr>
        <w:footnoteRef/>
      </w:r>
      <w:r>
        <w:t xml:space="preserve"> </w:t>
      </w:r>
      <w:r w:rsidRPr="00820254">
        <w:t xml:space="preserve">i.e. </w:t>
      </w:r>
      <w:r w:rsidR="00013968">
        <w:t>rejected</w:t>
      </w:r>
      <w:r w:rsidRPr="00820254">
        <w:t>, approved for less than seven years and/or approved with conditions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3BB91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in;height:36pt" o:bullet="t">
        <v:imagedata r:id="rId1" o:title="Teal-Triangles"/>
      </v:shape>
    </w:pict>
  </w:numPicBullet>
  <w:numPicBullet w:numPicBulletId="1">
    <w:pict>
      <v:shape w14:anchorId="0BF615A3" id="_x0000_i1120" type="#_x0000_t75" style="width:1in;height:36pt" o:bullet="t">
        <v:imagedata r:id="rId2" o:title="Pink-Triangles"/>
      </v:shape>
    </w:pict>
  </w:numPicBullet>
  <w:numPicBullet w:numPicBulletId="2">
    <w:pict>
      <v:shape w14:anchorId="3A826DCA" id="_x0000_i1121" type="#_x0000_t75" style="width:1in;height:36pt" o:bullet="t">
        <v:imagedata r:id="rId3" o:title="Yellow-Triangles"/>
      </v:shape>
    </w:pict>
  </w:numPicBullet>
  <w:abstractNum w:abstractNumId="0" w15:restartNumberingAfterBreak="0">
    <w:nsid w:val="041F5401"/>
    <w:multiLevelType w:val="hybridMultilevel"/>
    <w:tmpl w:val="E42C2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46F37"/>
    <w:multiLevelType w:val="hybridMultilevel"/>
    <w:tmpl w:val="DA44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82820"/>
    <w:multiLevelType w:val="hybridMultilevel"/>
    <w:tmpl w:val="403E0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40A4A"/>
    <w:multiLevelType w:val="hybridMultilevel"/>
    <w:tmpl w:val="D3B42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A7DDA"/>
    <w:multiLevelType w:val="hybridMultilevel"/>
    <w:tmpl w:val="D2EC5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55905"/>
    <w:multiLevelType w:val="hybridMultilevel"/>
    <w:tmpl w:val="9586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4550C2"/>
    <w:multiLevelType w:val="hybridMultilevel"/>
    <w:tmpl w:val="D2709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F759F"/>
    <w:multiLevelType w:val="hybridMultilevel"/>
    <w:tmpl w:val="872C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9B21638"/>
    <w:multiLevelType w:val="hybridMultilevel"/>
    <w:tmpl w:val="1316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D1EF6"/>
    <w:multiLevelType w:val="hybridMultilevel"/>
    <w:tmpl w:val="64A6A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97C64"/>
    <w:multiLevelType w:val="hybridMultilevel"/>
    <w:tmpl w:val="CB447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359E0"/>
    <w:multiLevelType w:val="hybridMultilevel"/>
    <w:tmpl w:val="9E68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8FA26AC"/>
    <w:multiLevelType w:val="hybridMultilevel"/>
    <w:tmpl w:val="9E72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065DD"/>
    <w:multiLevelType w:val="hybridMultilevel"/>
    <w:tmpl w:val="3BD6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217670"/>
    <w:multiLevelType w:val="hybridMultilevel"/>
    <w:tmpl w:val="FD705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D31C3"/>
    <w:multiLevelType w:val="hybridMultilevel"/>
    <w:tmpl w:val="6036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7D02EE"/>
    <w:multiLevelType w:val="hybridMultilevel"/>
    <w:tmpl w:val="00CAAC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455859"/>
    <w:multiLevelType w:val="hybridMultilevel"/>
    <w:tmpl w:val="50DC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B57A9"/>
    <w:multiLevelType w:val="hybridMultilevel"/>
    <w:tmpl w:val="759C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798B0EB9"/>
    <w:multiLevelType w:val="hybridMultilevel"/>
    <w:tmpl w:val="1D0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EE5F31"/>
    <w:multiLevelType w:val="hybridMultilevel"/>
    <w:tmpl w:val="50843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1D4CD8"/>
    <w:multiLevelType w:val="hybridMultilevel"/>
    <w:tmpl w:val="324C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DF5D56"/>
    <w:multiLevelType w:val="hybridMultilevel"/>
    <w:tmpl w:val="F836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28"/>
  </w:num>
  <w:num w:numId="3">
    <w:abstractNumId w:val="11"/>
  </w:num>
  <w:num w:numId="4">
    <w:abstractNumId w:val="22"/>
  </w:num>
  <w:num w:numId="5">
    <w:abstractNumId w:val="21"/>
  </w:num>
  <w:num w:numId="6">
    <w:abstractNumId w:val="17"/>
  </w:num>
  <w:num w:numId="7">
    <w:abstractNumId w:val="6"/>
  </w:num>
  <w:num w:numId="8">
    <w:abstractNumId w:val="7"/>
  </w:num>
  <w:num w:numId="9">
    <w:abstractNumId w:val="8"/>
  </w:num>
  <w:num w:numId="10">
    <w:abstractNumId w:val="19"/>
  </w:num>
  <w:num w:numId="11">
    <w:abstractNumId w:val="13"/>
  </w:num>
  <w:num w:numId="12">
    <w:abstractNumId w:val="2"/>
  </w:num>
  <w:num w:numId="13">
    <w:abstractNumId w:val="23"/>
  </w:num>
  <w:num w:numId="14">
    <w:abstractNumId w:val="16"/>
  </w:num>
  <w:num w:numId="15">
    <w:abstractNumId w:val="14"/>
  </w:num>
  <w:num w:numId="16">
    <w:abstractNumId w:val="26"/>
  </w:num>
  <w:num w:numId="17">
    <w:abstractNumId w:val="18"/>
  </w:num>
  <w:num w:numId="18">
    <w:abstractNumId w:val="5"/>
  </w:num>
  <w:num w:numId="19">
    <w:abstractNumId w:val="4"/>
  </w:num>
  <w:num w:numId="20">
    <w:abstractNumId w:val="31"/>
  </w:num>
  <w:num w:numId="21">
    <w:abstractNumId w:val="9"/>
  </w:num>
  <w:num w:numId="22">
    <w:abstractNumId w:val="12"/>
  </w:num>
  <w:num w:numId="23">
    <w:abstractNumId w:val="0"/>
  </w:num>
  <w:num w:numId="24">
    <w:abstractNumId w:val="15"/>
  </w:num>
  <w:num w:numId="25">
    <w:abstractNumId w:val="3"/>
  </w:num>
  <w:num w:numId="26">
    <w:abstractNumId w:val="27"/>
  </w:num>
  <w:num w:numId="27">
    <w:abstractNumId w:val="25"/>
  </w:num>
  <w:num w:numId="28">
    <w:abstractNumId w:val="1"/>
  </w:num>
  <w:num w:numId="29">
    <w:abstractNumId w:val="32"/>
  </w:num>
  <w:num w:numId="30">
    <w:abstractNumId w:val="29"/>
  </w:num>
  <w:num w:numId="31">
    <w:abstractNumId w:val="10"/>
  </w:num>
  <w:num w:numId="32">
    <w:abstractNumId w:val="30"/>
  </w:num>
  <w:num w:numId="33">
    <w:abstractNumId w:val="20"/>
  </w:num>
  <w:num w:numId="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77"/>
    <w:rsid w:val="00003FFC"/>
    <w:rsid w:val="00004704"/>
    <w:rsid w:val="00005C6F"/>
    <w:rsid w:val="00007064"/>
    <w:rsid w:val="000074B1"/>
    <w:rsid w:val="00013968"/>
    <w:rsid w:val="00013B5F"/>
    <w:rsid w:val="000172A2"/>
    <w:rsid w:val="00031595"/>
    <w:rsid w:val="00033538"/>
    <w:rsid w:val="00033FE9"/>
    <w:rsid w:val="00042F7F"/>
    <w:rsid w:val="00043756"/>
    <w:rsid w:val="000442C1"/>
    <w:rsid w:val="00050F9C"/>
    <w:rsid w:val="000545E7"/>
    <w:rsid w:val="00066670"/>
    <w:rsid w:val="00067428"/>
    <w:rsid w:val="00070C2C"/>
    <w:rsid w:val="00072D97"/>
    <w:rsid w:val="00072FA0"/>
    <w:rsid w:val="000748FB"/>
    <w:rsid w:val="0008685C"/>
    <w:rsid w:val="00091694"/>
    <w:rsid w:val="00091DA2"/>
    <w:rsid w:val="00092473"/>
    <w:rsid w:val="00092D5D"/>
    <w:rsid w:val="000A1499"/>
    <w:rsid w:val="000A1EEE"/>
    <w:rsid w:val="000A4EAC"/>
    <w:rsid w:val="000B04BC"/>
    <w:rsid w:val="000C2204"/>
    <w:rsid w:val="000C2DBD"/>
    <w:rsid w:val="000C5A33"/>
    <w:rsid w:val="000C5DD7"/>
    <w:rsid w:val="000D1943"/>
    <w:rsid w:val="000D1F74"/>
    <w:rsid w:val="000D3750"/>
    <w:rsid w:val="000D45A9"/>
    <w:rsid w:val="000D48CC"/>
    <w:rsid w:val="000D4970"/>
    <w:rsid w:val="000D6062"/>
    <w:rsid w:val="000D7555"/>
    <w:rsid w:val="000D76D6"/>
    <w:rsid w:val="000E0989"/>
    <w:rsid w:val="000E1E4E"/>
    <w:rsid w:val="000E2CD8"/>
    <w:rsid w:val="000E3741"/>
    <w:rsid w:val="000F1FD7"/>
    <w:rsid w:val="000F2030"/>
    <w:rsid w:val="000F7D92"/>
    <w:rsid w:val="0010325F"/>
    <w:rsid w:val="00104CA9"/>
    <w:rsid w:val="001050A4"/>
    <w:rsid w:val="0010547A"/>
    <w:rsid w:val="001078F9"/>
    <w:rsid w:val="00112B19"/>
    <w:rsid w:val="0011528E"/>
    <w:rsid w:val="001152E6"/>
    <w:rsid w:val="0011639B"/>
    <w:rsid w:val="00124503"/>
    <w:rsid w:val="00125D55"/>
    <w:rsid w:val="001333AB"/>
    <w:rsid w:val="001361E2"/>
    <w:rsid w:val="00137BC5"/>
    <w:rsid w:val="00144081"/>
    <w:rsid w:val="0014412D"/>
    <w:rsid w:val="00144A4A"/>
    <w:rsid w:val="00151C9C"/>
    <w:rsid w:val="00152617"/>
    <w:rsid w:val="00152B36"/>
    <w:rsid w:val="00160EC0"/>
    <w:rsid w:val="001618D2"/>
    <w:rsid w:val="00165A80"/>
    <w:rsid w:val="00170974"/>
    <w:rsid w:val="00171483"/>
    <w:rsid w:val="00171966"/>
    <w:rsid w:val="00175B1E"/>
    <w:rsid w:val="00180339"/>
    <w:rsid w:val="0018053F"/>
    <w:rsid w:val="00184873"/>
    <w:rsid w:val="001856CA"/>
    <w:rsid w:val="0018712F"/>
    <w:rsid w:val="001875F5"/>
    <w:rsid w:val="00190680"/>
    <w:rsid w:val="00192BB3"/>
    <w:rsid w:val="00194D7E"/>
    <w:rsid w:val="00196A39"/>
    <w:rsid w:val="001A484A"/>
    <w:rsid w:val="001A7481"/>
    <w:rsid w:val="001B02FE"/>
    <w:rsid w:val="001B0FA5"/>
    <w:rsid w:val="001B2C0B"/>
    <w:rsid w:val="001B5DD0"/>
    <w:rsid w:val="001B659B"/>
    <w:rsid w:val="001C0985"/>
    <w:rsid w:val="001C548C"/>
    <w:rsid w:val="001D11D6"/>
    <w:rsid w:val="001D699E"/>
    <w:rsid w:val="001E0D8D"/>
    <w:rsid w:val="001E3D12"/>
    <w:rsid w:val="001F1CEC"/>
    <w:rsid w:val="001F2543"/>
    <w:rsid w:val="001F4867"/>
    <w:rsid w:val="001F63E8"/>
    <w:rsid w:val="0020455C"/>
    <w:rsid w:val="00206CE8"/>
    <w:rsid w:val="0021317D"/>
    <w:rsid w:val="00213AD2"/>
    <w:rsid w:val="00215743"/>
    <w:rsid w:val="0021610F"/>
    <w:rsid w:val="00217112"/>
    <w:rsid w:val="00220B3E"/>
    <w:rsid w:val="0022136B"/>
    <w:rsid w:val="00221CE3"/>
    <w:rsid w:val="00222A41"/>
    <w:rsid w:val="0022340E"/>
    <w:rsid w:val="00232677"/>
    <w:rsid w:val="002335EB"/>
    <w:rsid w:val="002356F0"/>
    <w:rsid w:val="00241132"/>
    <w:rsid w:val="00241C29"/>
    <w:rsid w:val="0024310B"/>
    <w:rsid w:val="00250BDD"/>
    <w:rsid w:val="00255CC4"/>
    <w:rsid w:val="00256F8D"/>
    <w:rsid w:val="00261698"/>
    <w:rsid w:val="00262FA4"/>
    <w:rsid w:val="00274776"/>
    <w:rsid w:val="00275811"/>
    <w:rsid w:val="00276CE0"/>
    <w:rsid w:val="0028145C"/>
    <w:rsid w:val="00282420"/>
    <w:rsid w:val="0028338F"/>
    <w:rsid w:val="00285B77"/>
    <w:rsid w:val="002903C0"/>
    <w:rsid w:val="002B1A8F"/>
    <w:rsid w:val="002B220A"/>
    <w:rsid w:val="002B35B6"/>
    <w:rsid w:val="002C4CB8"/>
    <w:rsid w:val="002C58B6"/>
    <w:rsid w:val="002C5B80"/>
    <w:rsid w:val="002D48B8"/>
    <w:rsid w:val="002D61AB"/>
    <w:rsid w:val="002D734E"/>
    <w:rsid w:val="002E510E"/>
    <w:rsid w:val="002E75B4"/>
    <w:rsid w:val="002F1F27"/>
    <w:rsid w:val="002F6099"/>
    <w:rsid w:val="00301CEE"/>
    <w:rsid w:val="00305004"/>
    <w:rsid w:val="00307E91"/>
    <w:rsid w:val="00312425"/>
    <w:rsid w:val="00313957"/>
    <w:rsid w:val="003156F1"/>
    <w:rsid w:val="003167E6"/>
    <w:rsid w:val="00317E63"/>
    <w:rsid w:val="003273C9"/>
    <w:rsid w:val="00330F53"/>
    <w:rsid w:val="00331FC4"/>
    <w:rsid w:val="0033590E"/>
    <w:rsid w:val="003364A9"/>
    <w:rsid w:val="00336C57"/>
    <w:rsid w:val="003436EA"/>
    <w:rsid w:val="00352B74"/>
    <w:rsid w:val="00354C89"/>
    <w:rsid w:val="00357BBD"/>
    <w:rsid w:val="003637E1"/>
    <w:rsid w:val="003719A7"/>
    <w:rsid w:val="00372FCE"/>
    <w:rsid w:val="00376B80"/>
    <w:rsid w:val="00381D7C"/>
    <w:rsid w:val="00383A82"/>
    <w:rsid w:val="003857C9"/>
    <w:rsid w:val="00387F85"/>
    <w:rsid w:val="00391FD1"/>
    <w:rsid w:val="00392E86"/>
    <w:rsid w:val="0039411E"/>
    <w:rsid w:val="003942CD"/>
    <w:rsid w:val="0039504C"/>
    <w:rsid w:val="003972B0"/>
    <w:rsid w:val="003A13B4"/>
    <w:rsid w:val="003B1519"/>
    <w:rsid w:val="003B6340"/>
    <w:rsid w:val="003B73E8"/>
    <w:rsid w:val="003C1B44"/>
    <w:rsid w:val="003C2252"/>
    <w:rsid w:val="003C53CE"/>
    <w:rsid w:val="003C5F5C"/>
    <w:rsid w:val="003C654E"/>
    <w:rsid w:val="003D02F6"/>
    <w:rsid w:val="003D0EFA"/>
    <w:rsid w:val="003E5284"/>
    <w:rsid w:val="003E653F"/>
    <w:rsid w:val="003E65A1"/>
    <w:rsid w:val="003E676B"/>
    <w:rsid w:val="003E69CE"/>
    <w:rsid w:val="003F63B9"/>
    <w:rsid w:val="003F734E"/>
    <w:rsid w:val="003F7B39"/>
    <w:rsid w:val="003F7B49"/>
    <w:rsid w:val="00404399"/>
    <w:rsid w:val="004059EF"/>
    <w:rsid w:val="004102EA"/>
    <w:rsid w:val="00410A4F"/>
    <w:rsid w:val="00410AE2"/>
    <w:rsid w:val="0041106E"/>
    <w:rsid w:val="00411651"/>
    <w:rsid w:val="00413517"/>
    <w:rsid w:val="00420B50"/>
    <w:rsid w:val="00422267"/>
    <w:rsid w:val="0043092A"/>
    <w:rsid w:val="00434D58"/>
    <w:rsid w:val="00444C63"/>
    <w:rsid w:val="00453844"/>
    <w:rsid w:val="00453D44"/>
    <w:rsid w:val="00455799"/>
    <w:rsid w:val="0045584F"/>
    <w:rsid w:val="004568FF"/>
    <w:rsid w:val="00456CBC"/>
    <w:rsid w:val="00460278"/>
    <w:rsid w:val="00460B6D"/>
    <w:rsid w:val="00462AB8"/>
    <w:rsid w:val="0046310C"/>
    <w:rsid w:val="00466132"/>
    <w:rsid w:val="00472662"/>
    <w:rsid w:val="004735E0"/>
    <w:rsid w:val="00473C5C"/>
    <w:rsid w:val="00474960"/>
    <w:rsid w:val="00481D54"/>
    <w:rsid w:val="00482E3C"/>
    <w:rsid w:val="00485242"/>
    <w:rsid w:val="00487196"/>
    <w:rsid w:val="00487B56"/>
    <w:rsid w:val="004900CB"/>
    <w:rsid w:val="00491A3D"/>
    <w:rsid w:val="00491B1A"/>
    <w:rsid w:val="004934EB"/>
    <w:rsid w:val="004937C9"/>
    <w:rsid w:val="00497F15"/>
    <w:rsid w:val="004A277B"/>
    <w:rsid w:val="004A5B53"/>
    <w:rsid w:val="004A61CE"/>
    <w:rsid w:val="004B20A4"/>
    <w:rsid w:val="004B315D"/>
    <w:rsid w:val="004B3A26"/>
    <w:rsid w:val="004B40DC"/>
    <w:rsid w:val="004B6CEB"/>
    <w:rsid w:val="004B72B4"/>
    <w:rsid w:val="004B7D5A"/>
    <w:rsid w:val="004C1F71"/>
    <w:rsid w:val="004C3712"/>
    <w:rsid w:val="004C48CC"/>
    <w:rsid w:val="004C4B3B"/>
    <w:rsid w:val="004C7112"/>
    <w:rsid w:val="004C7279"/>
    <w:rsid w:val="004C7BF0"/>
    <w:rsid w:val="004D590A"/>
    <w:rsid w:val="004D641E"/>
    <w:rsid w:val="004E21EC"/>
    <w:rsid w:val="004E2D4E"/>
    <w:rsid w:val="004E798C"/>
    <w:rsid w:val="004F2074"/>
    <w:rsid w:val="004F4B59"/>
    <w:rsid w:val="0050000F"/>
    <w:rsid w:val="005058DB"/>
    <w:rsid w:val="00510EFC"/>
    <w:rsid w:val="005118AE"/>
    <w:rsid w:val="00513EB0"/>
    <w:rsid w:val="00514142"/>
    <w:rsid w:val="00517F93"/>
    <w:rsid w:val="005217AF"/>
    <w:rsid w:val="00521A39"/>
    <w:rsid w:val="0052239D"/>
    <w:rsid w:val="00525400"/>
    <w:rsid w:val="00531679"/>
    <w:rsid w:val="005331DB"/>
    <w:rsid w:val="00533382"/>
    <w:rsid w:val="0053614B"/>
    <w:rsid w:val="0054692E"/>
    <w:rsid w:val="00546CB7"/>
    <w:rsid w:val="0055276A"/>
    <w:rsid w:val="005558BE"/>
    <w:rsid w:val="00560CC6"/>
    <w:rsid w:val="005639BF"/>
    <w:rsid w:val="00572D1A"/>
    <w:rsid w:val="005730EE"/>
    <w:rsid w:val="00577160"/>
    <w:rsid w:val="00577554"/>
    <w:rsid w:val="0058078E"/>
    <w:rsid w:val="00587A97"/>
    <w:rsid w:val="00595554"/>
    <w:rsid w:val="0059740B"/>
    <w:rsid w:val="00597459"/>
    <w:rsid w:val="005A01A1"/>
    <w:rsid w:val="005A02A9"/>
    <w:rsid w:val="005A39BB"/>
    <w:rsid w:val="005A3DAB"/>
    <w:rsid w:val="005C4708"/>
    <w:rsid w:val="005C55E8"/>
    <w:rsid w:val="005C5CFD"/>
    <w:rsid w:val="005D1538"/>
    <w:rsid w:val="005D1AFD"/>
    <w:rsid w:val="005D34E7"/>
    <w:rsid w:val="005D48DF"/>
    <w:rsid w:val="005D7CED"/>
    <w:rsid w:val="005E091C"/>
    <w:rsid w:val="005E4F27"/>
    <w:rsid w:val="005E6E1B"/>
    <w:rsid w:val="005F089B"/>
    <w:rsid w:val="005F094B"/>
    <w:rsid w:val="0060170A"/>
    <w:rsid w:val="00610288"/>
    <w:rsid w:val="00611BA5"/>
    <w:rsid w:val="00615CCE"/>
    <w:rsid w:val="006212CD"/>
    <w:rsid w:val="00622B51"/>
    <w:rsid w:val="006264A7"/>
    <w:rsid w:val="00626C8D"/>
    <w:rsid w:val="006367E5"/>
    <w:rsid w:val="00640DFD"/>
    <w:rsid w:val="00645520"/>
    <w:rsid w:val="00647780"/>
    <w:rsid w:val="00653D48"/>
    <w:rsid w:val="0065603D"/>
    <w:rsid w:val="00665AAC"/>
    <w:rsid w:val="00673187"/>
    <w:rsid w:val="00673937"/>
    <w:rsid w:val="0067405C"/>
    <w:rsid w:val="0067481C"/>
    <w:rsid w:val="00676C62"/>
    <w:rsid w:val="00681505"/>
    <w:rsid w:val="00684883"/>
    <w:rsid w:val="0069102B"/>
    <w:rsid w:val="00693789"/>
    <w:rsid w:val="00694946"/>
    <w:rsid w:val="006A13C7"/>
    <w:rsid w:val="006A315E"/>
    <w:rsid w:val="006A3E85"/>
    <w:rsid w:val="006B1376"/>
    <w:rsid w:val="006B52AE"/>
    <w:rsid w:val="006B5BA8"/>
    <w:rsid w:val="006C024C"/>
    <w:rsid w:val="006C0547"/>
    <w:rsid w:val="006C1C87"/>
    <w:rsid w:val="006C4CA9"/>
    <w:rsid w:val="006D4F57"/>
    <w:rsid w:val="006D65F1"/>
    <w:rsid w:val="006D66E5"/>
    <w:rsid w:val="006E555A"/>
    <w:rsid w:val="006E62F4"/>
    <w:rsid w:val="006F26FF"/>
    <w:rsid w:val="006F3EE8"/>
    <w:rsid w:val="006F4B51"/>
    <w:rsid w:val="007025AE"/>
    <w:rsid w:val="00702E33"/>
    <w:rsid w:val="00704CF8"/>
    <w:rsid w:val="007073FB"/>
    <w:rsid w:val="00707AB4"/>
    <w:rsid w:val="00710815"/>
    <w:rsid w:val="00712A0E"/>
    <w:rsid w:val="0071460C"/>
    <w:rsid w:val="00726E65"/>
    <w:rsid w:val="00727B19"/>
    <w:rsid w:val="00727C77"/>
    <w:rsid w:val="00731B06"/>
    <w:rsid w:val="00732C9F"/>
    <w:rsid w:val="00733666"/>
    <w:rsid w:val="00735798"/>
    <w:rsid w:val="00736157"/>
    <w:rsid w:val="0073774E"/>
    <w:rsid w:val="00741F6A"/>
    <w:rsid w:val="007422F5"/>
    <w:rsid w:val="00743460"/>
    <w:rsid w:val="0074349C"/>
    <w:rsid w:val="007448F2"/>
    <w:rsid w:val="00745984"/>
    <w:rsid w:val="00745B59"/>
    <w:rsid w:val="0074606B"/>
    <w:rsid w:val="0074659C"/>
    <w:rsid w:val="00747C60"/>
    <w:rsid w:val="007502F7"/>
    <w:rsid w:val="007539A6"/>
    <w:rsid w:val="007638FE"/>
    <w:rsid w:val="00763F90"/>
    <w:rsid w:val="00764F57"/>
    <w:rsid w:val="0076714B"/>
    <w:rsid w:val="00767E42"/>
    <w:rsid w:val="007739CE"/>
    <w:rsid w:val="007749B9"/>
    <w:rsid w:val="00774F67"/>
    <w:rsid w:val="007770F8"/>
    <w:rsid w:val="00780DEA"/>
    <w:rsid w:val="00781C11"/>
    <w:rsid w:val="007860D7"/>
    <w:rsid w:val="0078637C"/>
    <w:rsid w:val="00786A07"/>
    <w:rsid w:val="007912EA"/>
    <w:rsid w:val="007954F2"/>
    <w:rsid w:val="0079706C"/>
    <w:rsid w:val="00797CBE"/>
    <w:rsid w:val="007A794C"/>
    <w:rsid w:val="007B1FC6"/>
    <w:rsid w:val="007B1FEB"/>
    <w:rsid w:val="007B2961"/>
    <w:rsid w:val="007B6E4B"/>
    <w:rsid w:val="007C030A"/>
    <w:rsid w:val="007C1549"/>
    <w:rsid w:val="007C63F8"/>
    <w:rsid w:val="007C6E9F"/>
    <w:rsid w:val="007D0FF5"/>
    <w:rsid w:val="007D3F8C"/>
    <w:rsid w:val="007D4073"/>
    <w:rsid w:val="007D6563"/>
    <w:rsid w:val="007F2303"/>
    <w:rsid w:val="007F2E21"/>
    <w:rsid w:val="007F57AD"/>
    <w:rsid w:val="00802638"/>
    <w:rsid w:val="0080280B"/>
    <w:rsid w:val="0080406D"/>
    <w:rsid w:val="0080548E"/>
    <w:rsid w:val="00810755"/>
    <w:rsid w:val="008156E6"/>
    <w:rsid w:val="00816EF1"/>
    <w:rsid w:val="00820254"/>
    <w:rsid w:val="0082047F"/>
    <w:rsid w:val="00820EC2"/>
    <w:rsid w:val="00822D1C"/>
    <w:rsid w:val="00823AA8"/>
    <w:rsid w:val="00826684"/>
    <w:rsid w:val="0082777A"/>
    <w:rsid w:val="0083394C"/>
    <w:rsid w:val="0083794A"/>
    <w:rsid w:val="00850873"/>
    <w:rsid w:val="00851FCD"/>
    <w:rsid w:val="00855E7A"/>
    <w:rsid w:val="00855EDE"/>
    <w:rsid w:val="0085615D"/>
    <w:rsid w:val="00856DAD"/>
    <w:rsid w:val="00860DAA"/>
    <w:rsid w:val="008611DA"/>
    <w:rsid w:val="008611F3"/>
    <w:rsid w:val="00861533"/>
    <w:rsid w:val="008752C9"/>
    <w:rsid w:val="00875F3F"/>
    <w:rsid w:val="008858CF"/>
    <w:rsid w:val="00891116"/>
    <w:rsid w:val="008929C5"/>
    <w:rsid w:val="008940E7"/>
    <w:rsid w:val="00894115"/>
    <w:rsid w:val="00896808"/>
    <w:rsid w:val="008A00EF"/>
    <w:rsid w:val="008A2B9F"/>
    <w:rsid w:val="008A5A0A"/>
    <w:rsid w:val="008A7B9A"/>
    <w:rsid w:val="008B16E9"/>
    <w:rsid w:val="008B4045"/>
    <w:rsid w:val="008B50D7"/>
    <w:rsid w:val="008B63E2"/>
    <w:rsid w:val="008B682D"/>
    <w:rsid w:val="008C7265"/>
    <w:rsid w:val="008D09EB"/>
    <w:rsid w:val="008D3019"/>
    <w:rsid w:val="008D4782"/>
    <w:rsid w:val="008D542B"/>
    <w:rsid w:val="008D5733"/>
    <w:rsid w:val="008E1637"/>
    <w:rsid w:val="008E2865"/>
    <w:rsid w:val="008E2FE4"/>
    <w:rsid w:val="008E6402"/>
    <w:rsid w:val="008F0553"/>
    <w:rsid w:val="008F18BF"/>
    <w:rsid w:val="008F1CF1"/>
    <w:rsid w:val="008F2D5F"/>
    <w:rsid w:val="008F634E"/>
    <w:rsid w:val="00904380"/>
    <w:rsid w:val="00906761"/>
    <w:rsid w:val="00906C2B"/>
    <w:rsid w:val="00913C46"/>
    <w:rsid w:val="00913CF6"/>
    <w:rsid w:val="00914477"/>
    <w:rsid w:val="00920279"/>
    <w:rsid w:val="00920C52"/>
    <w:rsid w:val="0092610F"/>
    <w:rsid w:val="00926898"/>
    <w:rsid w:val="00933C89"/>
    <w:rsid w:val="00934167"/>
    <w:rsid w:val="009416FB"/>
    <w:rsid w:val="00942449"/>
    <w:rsid w:val="00947C8B"/>
    <w:rsid w:val="00952CE2"/>
    <w:rsid w:val="00953303"/>
    <w:rsid w:val="009623F5"/>
    <w:rsid w:val="0096468F"/>
    <w:rsid w:val="00970DDA"/>
    <w:rsid w:val="009711EE"/>
    <w:rsid w:val="009755BC"/>
    <w:rsid w:val="00976D53"/>
    <w:rsid w:val="00980CD3"/>
    <w:rsid w:val="009818B2"/>
    <w:rsid w:val="00983041"/>
    <w:rsid w:val="0098546A"/>
    <w:rsid w:val="0098550C"/>
    <w:rsid w:val="009874EB"/>
    <w:rsid w:val="00987A41"/>
    <w:rsid w:val="0099000D"/>
    <w:rsid w:val="00993BB3"/>
    <w:rsid w:val="00994C2D"/>
    <w:rsid w:val="00996169"/>
    <w:rsid w:val="009A11C4"/>
    <w:rsid w:val="009A1864"/>
    <w:rsid w:val="009A1D07"/>
    <w:rsid w:val="009A33D3"/>
    <w:rsid w:val="009A43FA"/>
    <w:rsid w:val="009A6C26"/>
    <w:rsid w:val="009A7C3F"/>
    <w:rsid w:val="009B145A"/>
    <w:rsid w:val="009B344C"/>
    <w:rsid w:val="009B6040"/>
    <w:rsid w:val="009B72E8"/>
    <w:rsid w:val="009C03F7"/>
    <w:rsid w:val="009C6C46"/>
    <w:rsid w:val="009E5200"/>
    <w:rsid w:val="009E569F"/>
    <w:rsid w:val="009E5AE7"/>
    <w:rsid w:val="009F0417"/>
    <w:rsid w:val="009F09CA"/>
    <w:rsid w:val="009F5C26"/>
    <w:rsid w:val="00A036F6"/>
    <w:rsid w:val="00A07B4A"/>
    <w:rsid w:val="00A10FFF"/>
    <w:rsid w:val="00A13399"/>
    <w:rsid w:val="00A13D68"/>
    <w:rsid w:val="00A14A4A"/>
    <w:rsid w:val="00A23804"/>
    <w:rsid w:val="00A25885"/>
    <w:rsid w:val="00A27CB3"/>
    <w:rsid w:val="00A36441"/>
    <w:rsid w:val="00A40147"/>
    <w:rsid w:val="00A4580D"/>
    <w:rsid w:val="00A464B7"/>
    <w:rsid w:val="00A46A76"/>
    <w:rsid w:val="00A47097"/>
    <w:rsid w:val="00A51173"/>
    <w:rsid w:val="00A53FB5"/>
    <w:rsid w:val="00A605C5"/>
    <w:rsid w:val="00A60CDE"/>
    <w:rsid w:val="00A60F07"/>
    <w:rsid w:val="00A64011"/>
    <w:rsid w:val="00A642A5"/>
    <w:rsid w:val="00A647F5"/>
    <w:rsid w:val="00A706A6"/>
    <w:rsid w:val="00A74DE6"/>
    <w:rsid w:val="00A75316"/>
    <w:rsid w:val="00A83BC3"/>
    <w:rsid w:val="00A93209"/>
    <w:rsid w:val="00A96AF7"/>
    <w:rsid w:val="00A97C6B"/>
    <w:rsid w:val="00A97CB5"/>
    <w:rsid w:val="00AA0D4E"/>
    <w:rsid w:val="00AA1039"/>
    <w:rsid w:val="00AA18AF"/>
    <w:rsid w:val="00AA3203"/>
    <w:rsid w:val="00AA4BDE"/>
    <w:rsid w:val="00AA6743"/>
    <w:rsid w:val="00AB1928"/>
    <w:rsid w:val="00AB1F20"/>
    <w:rsid w:val="00AB541F"/>
    <w:rsid w:val="00AB5E6F"/>
    <w:rsid w:val="00AB5FF2"/>
    <w:rsid w:val="00AB6904"/>
    <w:rsid w:val="00AB7EE5"/>
    <w:rsid w:val="00AC0031"/>
    <w:rsid w:val="00AC59BE"/>
    <w:rsid w:val="00AC7AAB"/>
    <w:rsid w:val="00AD0FDD"/>
    <w:rsid w:val="00AD2AA9"/>
    <w:rsid w:val="00AD2ACA"/>
    <w:rsid w:val="00AD2FE4"/>
    <w:rsid w:val="00AE183E"/>
    <w:rsid w:val="00AE3111"/>
    <w:rsid w:val="00AE7A69"/>
    <w:rsid w:val="00AF6C21"/>
    <w:rsid w:val="00AF73E4"/>
    <w:rsid w:val="00B010DD"/>
    <w:rsid w:val="00B01AC3"/>
    <w:rsid w:val="00B01DE6"/>
    <w:rsid w:val="00B05079"/>
    <w:rsid w:val="00B05D0C"/>
    <w:rsid w:val="00B10762"/>
    <w:rsid w:val="00B17D48"/>
    <w:rsid w:val="00B2137C"/>
    <w:rsid w:val="00B221B5"/>
    <w:rsid w:val="00B22AEB"/>
    <w:rsid w:val="00B26017"/>
    <w:rsid w:val="00B33065"/>
    <w:rsid w:val="00B336E1"/>
    <w:rsid w:val="00B340A7"/>
    <w:rsid w:val="00B34D5C"/>
    <w:rsid w:val="00B4330F"/>
    <w:rsid w:val="00B44293"/>
    <w:rsid w:val="00B47C29"/>
    <w:rsid w:val="00B55F3D"/>
    <w:rsid w:val="00B60162"/>
    <w:rsid w:val="00B60C80"/>
    <w:rsid w:val="00B6651B"/>
    <w:rsid w:val="00B678D4"/>
    <w:rsid w:val="00B70AC7"/>
    <w:rsid w:val="00B71B5A"/>
    <w:rsid w:val="00B72CD5"/>
    <w:rsid w:val="00B74DCC"/>
    <w:rsid w:val="00B76AFE"/>
    <w:rsid w:val="00B778F3"/>
    <w:rsid w:val="00B81D52"/>
    <w:rsid w:val="00B832C0"/>
    <w:rsid w:val="00B845B4"/>
    <w:rsid w:val="00B879C1"/>
    <w:rsid w:val="00B90F43"/>
    <w:rsid w:val="00B9329A"/>
    <w:rsid w:val="00BA1B46"/>
    <w:rsid w:val="00BA3BC1"/>
    <w:rsid w:val="00BA5508"/>
    <w:rsid w:val="00BA59C6"/>
    <w:rsid w:val="00BB251C"/>
    <w:rsid w:val="00BB4358"/>
    <w:rsid w:val="00BC12B0"/>
    <w:rsid w:val="00BC4FB8"/>
    <w:rsid w:val="00BC67A0"/>
    <w:rsid w:val="00BC7907"/>
    <w:rsid w:val="00BC7C12"/>
    <w:rsid w:val="00BC7E57"/>
    <w:rsid w:val="00BD15FD"/>
    <w:rsid w:val="00BD1682"/>
    <w:rsid w:val="00BD476B"/>
    <w:rsid w:val="00BD6E91"/>
    <w:rsid w:val="00BD7B8E"/>
    <w:rsid w:val="00BE18EE"/>
    <w:rsid w:val="00BE48A5"/>
    <w:rsid w:val="00BE7A81"/>
    <w:rsid w:val="00BF00FE"/>
    <w:rsid w:val="00BF34C3"/>
    <w:rsid w:val="00C02F46"/>
    <w:rsid w:val="00C03CA6"/>
    <w:rsid w:val="00C06980"/>
    <w:rsid w:val="00C1011A"/>
    <w:rsid w:val="00C15837"/>
    <w:rsid w:val="00C20BEE"/>
    <w:rsid w:val="00C23980"/>
    <w:rsid w:val="00C259CA"/>
    <w:rsid w:val="00C3412C"/>
    <w:rsid w:val="00C34920"/>
    <w:rsid w:val="00C36C1A"/>
    <w:rsid w:val="00C40CE0"/>
    <w:rsid w:val="00C42854"/>
    <w:rsid w:val="00C43A1E"/>
    <w:rsid w:val="00C520D5"/>
    <w:rsid w:val="00C55183"/>
    <w:rsid w:val="00C56984"/>
    <w:rsid w:val="00C60C71"/>
    <w:rsid w:val="00C64487"/>
    <w:rsid w:val="00C6501E"/>
    <w:rsid w:val="00C728CD"/>
    <w:rsid w:val="00C75E29"/>
    <w:rsid w:val="00C76634"/>
    <w:rsid w:val="00C76901"/>
    <w:rsid w:val="00C76E31"/>
    <w:rsid w:val="00C80214"/>
    <w:rsid w:val="00C833AB"/>
    <w:rsid w:val="00C83637"/>
    <w:rsid w:val="00C92111"/>
    <w:rsid w:val="00C92221"/>
    <w:rsid w:val="00C93501"/>
    <w:rsid w:val="00C93ADE"/>
    <w:rsid w:val="00C94D49"/>
    <w:rsid w:val="00CA321C"/>
    <w:rsid w:val="00CA69FB"/>
    <w:rsid w:val="00CB108C"/>
    <w:rsid w:val="00CC4203"/>
    <w:rsid w:val="00CC4FB2"/>
    <w:rsid w:val="00CC5AF0"/>
    <w:rsid w:val="00CC70AE"/>
    <w:rsid w:val="00CD08A8"/>
    <w:rsid w:val="00CD38D6"/>
    <w:rsid w:val="00CD4178"/>
    <w:rsid w:val="00CD6391"/>
    <w:rsid w:val="00CE0B2A"/>
    <w:rsid w:val="00CE1009"/>
    <w:rsid w:val="00CE1394"/>
    <w:rsid w:val="00CE2399"/>
    <w:rsid w:val="00CE64F4"/>
    <w:rsid w:val="00CE68A9"/>
    <w:rsid w:val="00CE7549"/>
    <w:rsid w:val="00CF1CF4"/>
    <w:rsid w:val="00D020FD"/>
    <w:rsid w:val="00D13D32"/>
    <w:rsid w:val="00D152CD"/>
    <w:rsid w:val="00D24D2B"/>
    <w:rsid w:val="00D3662D"/>
    <w:rsid w:val="00D37523"/>
    <w:rsid w:val="00D52622"/>
    <w:rsid w:val="00D6278C"/>
    <w:rsid w:val="00D62C84"/>
    <w:rsid w:val="00D6347F"/>
    <w:rsid w:val="00D65680"/>
    <w:rsid w:val="00D6722C"/>
    <w:rsid w:val="00D75C9B"/>
    <w:rsid w:val="00D824BA"/>
    <w:rsid w:val="00D85829"/>
    <w:rsid w:val="00D85AC8"/>
    <w:rsid w:val="00D91575"/>
    <w:rsid w:val="00D925E8"/>
    <w:rsid w:val="00D95DB3"/>
    <w:rsid w:val="00DA3B61"/>
    <w:rsid w:val="00DA3E43"/>
    <w:rsid w:val="00DA7066"/>
    <w:rsid w:val="00DB264B"/>
    <w:rsid w:val="00DB2F12"/>
    <w:rsid w:val="00DB324F"/>
    <w:rsid w:val="00DB4894"/>
    <w:rsid w:val="00DC0982"/>
    <w:rsid w:val="00DC0C1C"/>
    <w:rsid w:val="00DC4EEC"/>
    <w:rsid w:val="00DD0E60"/>
    <w:rsid w:val="00DD1536"/>
    <w:rsid w:val="00DD1D84"/>
    <w:rsid w:val="00DD36A3"/>
    <w:rsid w:val="00DD757D"/>
    <w:rsid w:val="00DF46BE"/>
    <w:rsid w:val="00E00E8A"/>
    <w:rsid w:val="00E01211"/>
    <w:rsid w:val="00E012FA"/>
    <w:rsid w:val="00E01A62"/>
    <w:rsid w:val="00E02A14"/>
    <w:rsid w:val="00E11627"/>
    <w:rsid w:val="00E139DC"/>
    <w:rsid w:val="00E2517D"/>
    <w:rsid w:val="00E26150"/>
    <w:rsid w:val="00E26541"/>
    <w:rsid w:val="00E2698D"/>
    <w:rsid w:val="00E34259"/>
    <w:rsid w:val="00E35BA4"/>
    <w:rsid w:val="00E40151"/>
    <w:rsid w:val="00E4478E"/>
    <w:rsid w:val="00E44D4F"/>
    <w:rsid w:val="00E45CB1"/>
    <w:rsid w:val="00E54024"/>
    <w:rsid w:val="00E5592E"/>
    <w:rsid w:val="00E56C58"/>
    <w:rsid w:val="00E60983"/>
    <w:rsid w:val="00E631C9"/>
    <w:rsid w:val="00E63FB3"/>
    <w:rsid w:val="00E65139"/>
    <w:rsid w:val="00E65267"/>
    <w:rsid w:val="00E652BB"/>
    <w:rsid w:val="00E65BFE"/>
    <w:rsid w:val="00E66754"/>
    <w:rsid w:val="00E73CE6"/>
    <w:rsid w:val="00E747C6"/>
    <w:rsid w:val="00E80323"/>
    <w:rsid w:val="00E84562"/>
    <w:rsid w:val="00E86CA3"/>
    <w:rsid w:val="00E874C2"/>
    <w:rsid w:val="00E90158"/>
    <w:rsid w:val="00E9567C"/>
    <w:rsid w:val="00EA2EB6"/>
    <w:rsid w:val="00EA2F91"/>
    <w:rsid w:val="00EA461D"/>
    <w:rsid w:val="00EB0125"/>
    <w:rsid w:val="00EB295A"/>
    <w:rsid w:val="00EB373E"/>
    <w:rsid w:val="00EB49F0"/>
    <w:rsid w:val="00EB6960"/>
    <w:rsid w:val="00EB7072"/>
    <w:rsid w:val="00EC3ADA"/>
    <w:rsid w:val="00EC43CF"/>
    <w:rsid w:val="00EC5975"/>
    <w:rsid w:val="00EC7A5F"/>
    <w:rsid w:val="00ED0002"/>
    <w:rsid w:val="00ED0B30"/>
    <w:rsid w:val="00ED52D4"/>
    <w:rsid w:val="00EE6C32"/>
    <w:rsid w:val="00EE75F2"/>
    <w:rsid w:val="00EF031A"/>
    <w:rsid w:val="00EF0394"/>
    <w:rsid w:val="00EF64FA"/>
    <w:rsid w:val="00F00721"/>
    <w:rsid w:val="00F01010"/>
    <w:rsid w:val="00F123FC"/>
    <w:rsid w:val="00F204B9"/>
    <w:rsid w:val="00F20FA4"/>
    <w:rsid w:val="00F2266E"/>
    <w:rsid w:val="00F26DBD"/>
    <w:rsid w:val="00F40C7B"/>
    <w:rsid w:val="00F4297A"/>
    <w:rsid w:val="00F451A9"/>
    <w:rsid w:val="00F4594B"/>
    <w:rsid w:val="00F45E15"/>
    <w:rsid w:val="00F53D70"/>
    <w:rsid w:val="00F55167"/>
    <w:rsid w:val="00F55816"/>
    <w:rsid w:val="00F568C9"/>
    <w:rsid w:val="00F575B5"/>
    <w:rsid w:val="00F57684"/>
    <w:rsid w:val="00F57873"/>
    <w:rsid w:val="00F674BC"/>
    <w:rsid w:val="00F67868"/>
    <w:rsid w:val="00F74E2C"/>
    <w:rsid w:val="00F76168"/>
    <w:rsid w:val="00F77CAF"/>
    <w:rsid w:val="00F77F73"/>
    <w:rsid w:val="00F80C93"/>
    <w:rsid w:val="00F81838"/>
    <w:rsid w:val="00F82566"/>
    <w:rsid w:val="00F85A44"/>
    <w:rsid w:val="00F86E44"/>
    <w:rsid w:val="00F91122"/>
    <w:rsid w:val="00F9325D"/>
    <w:rsid w:val="00F94252"/>
    <w:rsid w:val="00F94DF8"/>
    <w:rsid w:val="00F95467"/>
    <w:rsid w:val="00F960AF"/>
    <w:rsid w:val="00FA60A2"/>
    <w:rsid w:val="00FB26C9"/>
    <w:rsid w:val="00FB66D1"/>
    <w:rsid w:val="00FC210D"/>
    <w:rsid w:val="00FC2E29"/>
    <w:rsid w:val="00FC6A13"/>
    <w:rsid w:val="00FC6A63"/>
    <w:rsid w:val="00FD63E3"/>
    <w:rsid w:val="00FE5E4D"/>
    <w:rsid w:val="00FE6384"/>
    <w:rsid w:val="00FF0A17"/>
    <w:rsid w:val="00FF1617"/>
    <w:rsid w:val="00FF3F11"/>
    <w:rsid w:val="00FF485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D3AF"/>
  <w15:docId w15:val="{48DDAFE0-47C0-43D8-8A7A-26B7F03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2"/>
        <w:szCs w:val="22"/>
        <w:lang w:val="en-AU" w:eastAsia="ko-KR"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4E"/>
  </w:style>
  <w:style w:type="paragraph" w:styleId="Heading1">
    <w:name w:val="heading 1"/>
    <w:basedOn w:val="Normal"/>
    <w:next w:val="Normal"/>
    <w:link w:val="Heading1Char"/>
    <w:uiPriority w:val="9"/>
    <w:qFormat/>
    <w:rsid w:val="0073774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3774E"/>
    <w:pPr>
      <w:keepNext/>
      <w:keepLines/>
      <w:spacing w:before="480" w:after="240" w:line="500" w:lineRule="atLeast"/>
      <w:outlineLvl w:val="1"/>
    </w:pPr>
    <w:rPr>
      <w:rFonts w:asciiTheme="majorHAnsi" w:eastAsiaTheme="majorEastAsia" w:hAnsiTheme="majorHAnsi" w:cstheme="majorBidi"/>
      <w:color w:val="00847E" w:themeColor="accent1"/>
      <w:sz w:val="44"/>
      <w:szCs w:val="26"/>
    </w:rPr>
  </w:style>
  <w:style w:type="paragraph" w:styleId="Heading3">
    <w:name w:val="heading 3"/>
    <w:basedOn w:val="Normal"/>
    <w:next w:val="Normal"/>
    <w:link w:val="Heading3Char"/>
    <w:uiPriority w:val="9"/>
    <w:qFormat/>
    <w:rsid w:val="0073774E"/>
    <w:pPr>
      <w:keepNext/>
      <w:keepLines/>
      <w:spacing w:before="480" w:after="240" w:line="380" w:lineRule="atLeast"/>
      <w:outlineLvl w:val="2"/>
    </w:pPr>
    <w:rPr>
      <w:rFonts w:asciiTheme="majorHAnsi" w:eastAsiaTheme="majorEastAsia" w:hAnsiTheme="majorHAnsi" w:cstheme="majorBidi"/>
      <w:color w:val="00847E" w:themeColor="accent1"/>
      <w:sz w:val="32"/>
      <w:szCs w:val="24"/>
    </w:rPr>
  </w:style>
  <w:style w:type="paragraph" w:styleId="Heading4">
    <w:name w:val="heading 4"/>
    <w:basedOn w:val="Normal"/>
    <w:next w:val="Normal"/>
    <w:link w:val="Heading4Char"/>
    <w:uiPriority w:val="9"/>
    <w:qFormat/>
    <w:rsid w:val="0073774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73774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73774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73774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73774E"/>
    <w:pPr>
      <w:pageBreakBefore/>
      <w:numPr>
        <w:numId w:val="1"/>
      </w:numPr>
    </w:pPr>
    <w:rPr>
      <w:b/>
    </w:rPr>
  </w:style>
  <w:style w:type="character" w:customStyle="1" w:styleId="Heading2Char">
    <w:name w:val="Heading 2 Char"/>
    <w:basedOn w:val="DefaultParagraphFont"/>
    <w:link w:val="Heading2"/>
    <w:uiPriority w:val="9"/>
    <w:rsid w:val="0073774E"/>
    <w:rPr>
      <w:rFonts w:asciiTheme="majorHAnsi" w:eastAsiaTheme="majorEastAsia" w:hAnsiTheme="majorHAnsi" w:cstheme="majorBidi"/>
      <w:color w:val="00847E" w:themeColor="accent1"/>
      <w:sz w:val="44"/>
      <w:szCs w:val="26"/>
    </w:rPr>
  </w:style>
  <w:style w:type="paragraph" w:customStyle="1" w:styleId="Boxed1Text">
    <w:name w:val="Boxed 1 Text"/>
    <w:basedOn w:val="Normal"/>
    <w:uiPriority w:val="29"/>
    <w:qFormat/>
    <w:rsid w:val="0073774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73774E"/>
    <w:pPr>
      <w:numPr>
        <w:numId w:val="2"/>
      </w:numPr>
    </w:pPr>
  </w:style>
  <w:style w:type="paragraph" w:customStyle="1" w:styleId="Boxed1Heading">
    <w:name w:val="Boxed 1 Heading"/>
    <w:basedOn w:val="Boxed1Text"/>
    <w:uiPriority w:val="29"/>
    <w:qFormat/>
    <w:rsid w:val="0073774E"/>
    <w:pPr>
      <w:keepNext/>
    </w:pPr>
    <w:rPr>
      <w:b/>
    </w:rPr>
  </w:style>
  <w:style w:type="paragraph" w:customStyle="1" w:styleId="Boxed2Text">
    <w:name w:val="Boxed 2 Text"/>
    <w:basedOn w:val="Boxed1Text"/>
    <w:uiPriority w:val="31"/>
    <w:qFormat/>
    <w:rsid w:val="0073774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73774E"/>
    <w:pPr>
      <w:numPr>
        <w:ilvl w:val="1"/>
        <w:numId w:val="2"/>
      </w:numPr>
    </w:pPr>
  </w:style>
  <w:style w:type="paragraph" w:customStyle="1" w:styleId="Boxed2Heading">
    <w:name w:val="Boxed 2 Heading"/>
    <w:basedOn w:val="Boxed2Text"/>
    <w:uiPriority w:val="31"/>
    <w:qFormat/>
    <w:rsid w:val="0073774E"/>
    <w:pPr>
      <w:keepNext/>
    </w:pPr>
    <w:rPr>
      <w:b/>
    </w:rPr>
  </w:style>
  <w:style w:type="paragraph" w:customStyle="1" w:styleId="Bullet1">
    <w:name w:val="Bullet 1"/>
    <w:basedOn w:val="Normal"/>
    <w:uiPriority w:val="2"/>
    <w:qFormat/>
    <w:rsid w:val="0073774E"/>
    <w:pPr>
      <w:numPr>
        <w:numId w:val="3"/>
      </w:numPr>
    </w:pPr>
  </w:style>
  <w:style w:type="paragraph" w:customStyle="1" w:styleId="Bullet2">
    <w:name w:val="Bullet 2"/>
    <w:basedOn w:val="Normal"/>
    <w:uiPriority w:val="2"/>
    <w:qFormat/>
    <w:rsid w:val="0073774E"/>
    <w:pPr>
      <w:numPr>
        <w:ilvl w:val="1"/>
        <w:numId w:val="3"/>
      </w:numPr>
    </w:pPr>
  </w:style>
  <w:style w:type="paragraph" w:customStyle="1" w:styleId="Bullet3">
    <w:name w:val="Bullet 3"/>
    <w:basedOn w:val="Normal"/>
    <w:uiPriority w:val="2"/>
    <w:qFormat/>
    <w:rsid w:val="0073774E"/>
    <w:pPr>
      <w:numPr>
        <w:ilvl w:val="2"/>
        <w:numId w:val="3"/>
      </w:numPr>
    </w:pPr>
  </w:style>
  <w:style w:type="paragraph" w:customStyle="1" w:styleId="FigureTitle">
    <w:name w:val="Figure Title"/>
    <w:basedOn w:val="Normal"/>
    <w:uiPriority w:val="12"/>
    <w:qFormat/>
    <w:rsid w:val="0073774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73774E"/>
    <w:pPr>
      <w:numPr>
        <w:numId w:val="5"/>
      </w:numPr>
    </w:pPr>
  </w:style>
  <w:style w:type="character" w:customStyle="1" w:styleId="Heading1Char">
    <w:name w:val="Heading 1 Char"/>
    <w:basedOn w:val="DefaultParagraphFont"/>
    <w:link w:val="Heading1"/>
    <w:uiPriority w:val="9"/>
    <w:rsid w:val="0073774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73774E"/>
    <w:pPr>
      <w:numPr>
        <w:ilvl w:val="1"/>
        <w:numId w:val="5"/>
      </w:numPr>
    </w:pPr>
  </w:style>
  <w:style w:type="paragraph" w:customStyle="1" w:styleId="Heading3Numbered">
    <w:name w:val="Heading 3 Numbered"/>
    <w:basedOn w:val="Heading3"/>
    <w:uiPriority w:val="10"/>
    <w:qFormat/>
    <w:rsid w:val="0073774E"/>
    <w:pPr>
      <w:numPr>
        <w:ilvl w:val="2"/>
        <w:numId w:val="5"/>
      </w:numPr>
    </w:pPr>
  </w:style>
  <w:style w:type="character" w:customStyle="1" w:styleId="Heading3Char">
    <w:name w:val="Heading 3 Char"/>
    <w:basedOn w:val="DefaultParagraphFont"/>
    <w:link w:val="Heading3"/>
    <w:uiPriority w:val="9"/>
    <w:rsid w:val="0073774E"/>
    <w:rPr>
      <w:rFonts w:asciiTheme="majorHAnsi" w:eastAsiaTheme="majorEastAsia" w:hAnsiTheme="majorHAnsi" w:cstheme="majorBidi"/>
      <w:color w:val="00847E" w:themeColor="accent1"/>
      <w:sz w:val="32"/>
      <w:szCs w:val="24"/>
    </w:rPr>
  </w:style>
  <w:style w:type="paragraph" w:customStyle="1" w:styleId="Heading4Numbered">
    <w:name w:val="Heading 4 Numbered"/>
    <w:basedOn w:val="Heading4"/>
    <w:uiPriority w:val="10"/>
    <w:qFormat/>
    <w:rsid w:val="0073774E"/>
    <w:pPr>
      <w:numPr>
        <w:ilvl w:val="3"/>
        <w:numId w:val="5"/>
      </w:numPr>
    </w:pPr>
  </w:style>
  <w:style w:type="character" w:customStyle="1" w:styleId="Heading4Char">
    <w:name w:val="Heading 4 Char"/>
    <w:basedOn w:val="DefaultParagraphFont"/>
    <w:link w:val="Heading4"/>
    <w:uiPriority w:val="9"/>
    <w:rsid w:val="0073774E"/>
    <w:rPr>
      <w:rFonts w:eastAsiaTheme="majorEastAsia" w:cstheme="majorBidi"/>
      <w:b/>
      <w:iCs/>
      <w:color w:val="auto"/>
      <w:sz w:val="24"/>
    </w:rPr>
  </w:style>
  <w:style w:type="paragraph" w:customStyle="1" w:styleId="Heading5Numbered">
    <w:name w:val="Heading 5 Numbered"/>
    <w:basedOn w:val="Heading5"/>
    <w:uiPriority w:val="10"/>
    <w:qFormat/>
    <w:rsid w:val="0073774E"/>
    <w:pPr>
      <w:keepNext w:val="0"/>
      <w:numPr>
        <w:ilvl w:val="4"/>
        <w:numId w:val="5"/>
      </w:numPr>
    </w:pPr>
  </w:style>
  <w:style w:type="character" w:customStyle="1" w:styleId="Heading5Char">
    <w:name w:val="Heading 5 Char"/>
    <w:basedOn w:val="DefaultParagraphFont"/>
    <w:link w:val="Heading5"/>
    <w:uiPriority w:val="9"/>
    <w:rsid w:val="0073774E"/>
    <w:rPr>
      <w:rFonts w:eastAsiaTheme="majorEastAsia" w:cstheme="majorBidi"/>
      <w:b/>
      <w:i/>
      <w:color w:val="auto"/>
    </w:rPr>
  </w:style>
  <w:style w:type="paragraph" w:customStyle="1" w:styleId="Heading6Numbered">
    <w:name w:val="Heading 6 Numbered"/>
    <w:basedOn w:val="Heading6"/>
    <w:uiPriority w:val="10"/>
    <w:qFormat/>
    <w:rsid w:val="0073774E"/>
    <w:pPr>
      <w:keepNext w:val="0"/>
      <w:numPr>
        <w:ilvl w:val="5"/>
        <w:numId w:val="5"/>
      </w:numPr>
    </w:pPr>
    <w:rPr>
      <w:sz w:val="22"/>
      <w:szCs w:val="22"/>
    </w:rPr>
  </w:style>
  <w:style w:type="character" w:customStyle="1" w:styleId="Heading6Char">
    <w:name w:val="Heading 6 Char"/>
    <w:basedOn w:val="DefaultParagraphFont"/>
    <w:link w:val="Heading6"/>
    <w:uiPriority w:val="9"/>
    <w:rsid w:val="0073774E"/>
    <w:rPr>
      <w:rFonts w:eastAsiaTheme="majorEastAsia" w:cstheme="majorBidi"/>
      <w:b/>
      <w:i/>
      <w:sz w:val="20"/>
      <w:szCs w:val="20"/>
    </w:rPr>
  </w:style>
  <w:style w:type="paragraph" w:customStyle="1" w:styleId="Heading7Numbered">
    <w:name w:val="Heading 7 Numbered"/>
    <w:basedOn w:val="Heading7"/>
    <w:uiPriority w:val="10"/>
    <w:qFormat/>
    <w:rsid w:val="0073774E"/>
    <w:pPr>
      <w:numPr>
        <w:ilvl w:val="6"/>
        <w:numId w:val="5"/>
      </w:numPr>
    </w:pPr>
    <w:rPr>
      <w:sz w:val="22"/>
      <w:szCs w:val="22"/>
    </w:rPr>
  </w:style>
  <w:style w:type="character" w:customStyle="1" w:styleId="Heading7Char">
    <w:name w:val="Heading 7 Char"/>
    <w:basedOn w:val="DefaultParagraphFont"/>
    <w:link w:val="Heading7"/>
    <w:uiPriority w:val="9"/>
    <w:rsid w:val="0073774E"/>
    <w:rPr>
      <w:rFonts w:eastAsiaTheme="majorEastAsia" w:cstheme="majorBidi"/>
      <w:i/>
      <w:iCs/>
      <w:sz w:val="20"/>
      <w:szCs w:val="20"/>
    </w:rPr>
  </w:style>
  <w:style w:type="paragraph" w:customStyle="1" w:styleId="IntroPara">
    <w:name w:val="Intro Para"/>
    <w:basedOn w:val="Normal"/>
    <w:uiPriority w:val="1"/>
    <w:qFormat/>
    <w:rsid w:val="0073774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73774E"/>
    <w:pPr>
      <w:numPr>
        <w:numId w:val="6"/>
      </w:numPr>
    </w:pPr>
  </w:style>
  <w:style w:type="paragraph" w:customStyle="1" w:styleId="List1Numbered2">
    <w:name w:val="List 1 Numbered 2"/>
    <w:basedOn w:val="Normal"/>
    <w:uiPriority w:val="2"/>
    <w:qFormat/>
    <w:rsid w:val="0073774E"/>
    <w:pPr>
      <w:numPr>
        <w:ilvl w:val="1"/>
        <w:numId w:val="6"/>
      </w:numPr>
    </w:pPr>
  </w:style>
  <w:style w:type="paragraph" w:customStyle="1" w:styleId="List1Numbered3">
    <w:name w:val="List 1 Numbered 3"/>
    <w:basedOn w:val="Normal"/>
    <w:uiPriority w:val="2"/>
    <w:qFormat/>
    <w:rsid w:val="0073774E"/>
    <w:pPr>
      <w:numPr>
        <w:ilvl w:val="2"/>
        <w:numId w:val="6"/>
      </w:numPr>
    </w:pPr>
  </w:style>
  <w:style w:type="paragraph" w:customStyle="1" w:styleId="NormalIndent5mm">
    <w:name w:val="Normal Indent 5mm"/>
    <w:basedOn w:val="Normal"/>
    <w:qFormat/>
    <w:rsid w:val="0073774E"/>
    <w:pPr>
      <w:ind w:left="284"/>
    </w:pPr>
  </w:style>
  <w:style w:type="paragraph" w:customStyle="1" w:styleId="PullOut-Teal">
    <w:name w:val="Pull Out - Teal"/>
    <w:basedOn w:val="Normal"/>
    <w:uiPriority w:val="22"/>
    <w:qFormat/>
    <w:rsid w:val="0073774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73774E"/>
    <w:pPr>
      <w:spacing w:before="60" w:after="60"/>
    </w:pPr>
    <w:rPr>
      <w:sz w:val="16"/>
    </w:rPr>
  </w:style>
  <w:style w:type="paragraph" w:customStyle="1" w:styleId="SourceNotesHeading">
    <w:name w:val="Source Notes Heading"/>
    <w:basedOn w:val="SourceNotes"/>
    <w:uiPriority w:val="20"/>
    <w:qFormat/>
    <w:rsid w:val="0073774E"/>
    <w:pPr>
      <w:spacing w:before="120"/>
    </w:pPr>
    <w:rPr>
      <w:rFonts w:asciiTheme="majorHAnsi" w:hAnsiTheme="majorHAnsi"/>
      <w:b/>
    </w:rPr>
  </w:style>
  <w:style w:type="paragraph" w:customStyle="1" w:styleId="SourceNotesNumbered">
    <w:name w:val="Source Notes Numbered"/>
    <w:basedOn w:val="SourceNotes"/>
    <w:uiPriority w:val="21"/>
    <w:qFormat/>
    <w:rsid w:val="0073774E"/>
    <w:pPr>
      <w:numPr>
        <w:numId w:val="8"/>
      </w:numPr>
    </w:pPr>
  </w:style>
  <w:style w:type="paragraph" w:customStyle="1" w:styleId="TableTitle">
    <w:name w:val="Table Title"/>
    <w:basedOn w:val="FigureTitle"/>
    <w:uiPriority w:val="12"/>
    <w:qFormat/>
    <w:rsid w:val="0073774E"/>
    <w:pPr>
      <w:numPr>
        <w:numId w:val="9"/>
      </w:numPr>
    </w:pPr>
  </w:style>
  <w:style w:type="paragraph" w:customStyle="1" w:styleId="PullOut-Pink">
    <w:name w:val="Pull Out - Pink"/>
    <w:basedOn w:val="PullOut-Teal"/>
    <w:uiPriority w:val="22"/>
    <w:qFormat/>
    <w:rsid w:val="0073774E"/>
    <w:pPr>
      <w:numPr>
        <w:numId w:val="10"/>
      </w:numPr>
    </w:pPr>
  </w:style>
  <w:style w:type="paragraph" w:customStyle="1" w:styleId="PullOut-Yellow">
    <w:name w:val="Pull Out - Yellow"/>
    <w:basedOn w:val="PullOut-Teal"/>
    <w:qFormat/>
    <w:rsid w:val="0073774E"/>
    <w:pPr>
      <w:numPr>
        <w:numId w:val="11"/>
      </w:numPr>
    </w:pPr>
  </w:style>
  <w:style w:type="paragraph" w:styleId="Caption">
    <w:name w:val="caption"/>
    <w:basedOn w:val="Normal"/>
    <w:next w:val="Normal"/>
    <w:uiPriority w:val="19"/>
    <w:qFormat/>
    <w:rsid w:val="0073774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73774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73774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73774E"/>
    <w:pPr>
      <w:keepLines/>
      <w:numPr>
        <w:ilvl w:val="1"/>
      </w:numPr>
      <w:spacing w:before="360" w:after="360" w:line="280" w:lineRule="exact"/>
      <w:contextualSpacing/>
    </w:pPr>
    <w:rPr>
      <w:color w:val="00847E" w:themeColor="accent1"/>
      <w:sz w:val="24"/>
    </w:rPr>
  </w:style>
  <w:style w:type="character" w:customStyle="1" w:styleId="SubtitleChar">
    <w:name w:val="Subtitle Char"/>
    <w:basedOn w:val="DefaultParagraphFont"/>
    <w:link w:val="Subtitle"/>
    <w:uiPriority w:val="23"/>
    <w:rsid w:val="0073774E"/>
    <w:rPr>
      <w:rFonts w:eastAsiaTheme="minorEastAsia"/>
      <w:color w:val="00847E" w:themeColor="accent1"/>
      <w:sz w:val="24"/>
    </w:rPr>
  </w:style>
  <w:style w:type="character" w:styleId="Strong">
    <w:name w:val="Strong"/>
    <w:basedOn w:val="DefaultParagraphFont"/>
    <w:uiPriority w:val="33"/>
    <w:qFormat/>
    <w:rsid w:val="0073774E"/>
    <w:rPr>
      <w:b/>
      <w:bCs/>
    </w:rPr>
  </w:style>
  <w:style w:type="character" w:styleId="Emphasis">
    <w:name w:val="Emphasis"/>
    <w:basedOn w:val="DefaultParagraphFont"/>
    <w:uiPriority w:val="33"/>
    <w:qFormat/>
    <w:rsid w:val="0073774E"/>
    <w:rPr>
      <w:i/>
      <w:iCs/>
    </w:rPr>
  </w:style>
  <w:style w:type="paragraph" w:styleId="NoSpacing">
    <w:name w:val="No Spacing"/>
    <w:uiPriority w:val="1"/>
    <w:qFormat/>
    <w:rsid w:val="0073774E"/>
    <w:pPr>
      <w:spacing w:after="0"/>
    </w:pPr>
  </w:style>
  <w:style w:type="character" w:styleId="IntenseEmphasis">
    <w:name w:val="Intense Emphasis"/>
    <w:basedOn w:val="DefaultParagraphFont"/>
    <w:uiPriority w:val="33"/>
    <w:qFormat/>
    <w:rsid w:val="0073774E"/>
    <w:rPr>
      <w:b/>
      <w:i/>
      <w:iCs/>
      <w:color w:val="000000" w:themeColor="text1"/>
    </w:rPr>
  </w:style>
  <w:style w:type="paragraph" w:styleId="TOCHeading">
    <w:name w:val="TOC Heading"/>
    <w:basedOn w:val="Heading1"/>
    <w:next w:val="Normal"/>
    <w:uiPriority w:val="39"/>
    <w:qFormat/>
    <w:rsid w:val="0073774E"/>
    <w:pPr>
      <w:outlineLvl w:val="9"/>
    </w:pPr>
  </w:style>
  <w:style w:type="paragraph" w:styleId="ListParagraph">
    <w:name w:val="List Paragraph"/>
    <w:basedOn w:val="Normal"/>
    <w:uiPriority w:val="34"/>
    <w:qFormat/>
    <w:rsid w:val="004735E0"/>
    <w:pPr>
      <w:ind w:left="720"/>
      <w:contextualSpacing/>
    </w:pPr>
  </w:style>
  <w:style w:type="table" w:styleId="TableGrid">
    <w:name w:val="Table Grid"/>
    <w:basedOn w:val="TableNormal"/>
    <w:uiPriority w:val="59"/>
    <w:rsid w:val="001333A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A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F0"/>
    <w:rPr>
      <w:rFonts w:ascii="Tahoma" w:hAnsi="Tahoma" w:cs="Tahoma"/>
      <w:sz w:val="16"/>
      <w:szCs w:val="16"/>
    </w:rPr>
  </w:style>
  <w:style w:type="paragraph" w:styleId="FootnoteText">
    <w:name w:val="footnote text"/>
    <w:basedOn w:val="Normal"/>
    <w:link w:val="FootnoteTextChar"/>
    <w:uiPriority w:val="99"/>
    <w:semiHidden/>
    <w:unhideWhenUsed/>
    <w:rsid w:val="00820254"/>
    <w:pPr>
      <w:spacing w:before="0" w:after="0"/>
    </w:pPr>
    <w:rPr>
      <w:sz w:val="20"/>
      <w:szCs w:val="20"/>
    </w:rPr>
  </w:style>
  <w:style w:type="character" w:customStyle="1" w:styleId="FootnoteTextChar">
    <w:name w:val="Footnote Text Char"/>
    <w:basedOn w:val="DefaultParagraphFont"/>
    <w:link w:val="FootnoteText"/>
    <w:uiPriority w:val="99"/>
    <w:semiHidden/>
    <w:rsid w:val="00820254"/>
    <w:rPr>
      <w:sz w:val="20"/>
      <w:szCs w:val="20"/>
    </w:rPr>
  </w:style>
  <w:style w:type="character" w:styleId="FootnoteReference">
    <w:name w:val="footnote reference"/>
    <w:basedOn w:val="DefaultParagraphFont"/>
    <w:uiPriority w:val="99"/>
    <w:semiHidden/>
    <w:unhideWhenUsed/>
    <w:rsid w:val="00820254"/>
    <w:rPr>
      <w:vertAlign w:val="superscript"/>
    </w:rPr>
  </w:style>
  <w:style w:type="paragraph" w:styleId="Header">
    <w:name w:val="header"/>
    <w:basedOn w:val="Normal"/>
    <w:link w:val="HeaderChar"/>
    <w:uiPriority w:val="99"/>
    <w:unhideWhenUsed/>
    <w:rsid w:val="000D45A9"/>
    <w:pPr>
      <w:tabs>
        <w:tab w:val="center" w:pos="4513"/>
        <w:tab w:val="right" w:pos="9026"/>
      </w:tabs>
      <w:spacing w:before="0" w:after="0"/>
    </w:pPr>
  </w:style>
  <w:style w:type="character" w:customStyle="1" w:styleId="HeaderChar">
    <w:name w:val="Header Char"/>
    <w:basedOn w:val="DefaultParagraphFont"/>
    <w:link w:val="Header"/>
    <w:uiPriority w:val="99"/>
    <w:rsid w:val="000D45A9"/>
  </w:style>
  <w:style w:type="paragraph" w:styleId="Footer">
    <w:name w:val="footer"/>
    <w:basedOn w:val="Normal"/>
    <w:link w:val="FooterChar"/>
    <w:uiPriority w:val="99"/>
    <w:unhideWhenUsed/>
    <w:rsid w:val="000D45A9"/>
    <w:pPr>
      <w:tabs>
        <w:tab w:val="center" w:pos="4513"/>
        <w:tab w:val="right" w:pos="9026"/>
      </w:tabs>
      <w:spacing w:before="0" w:after="0"/>
    </w:pPr>
  </w:style>
  <w:style w:type="character" w:customStyle="1" w:styleId="FooterChar">
    <w:name w:val="Footer Char"/>
    <w:basedOn w:val="DefaultParagraphFont"/>
    <w:link w:val="Footer"/>
    <w:uiPriority w:val="99"/>
    <w:rsid w:val="000D45A9"/>
  </w:style>
  <w:style w:type="character" w:styleId="CommentReference">
    <w:name w:val="annotation reference"/>
    <w:basedOn w:val="DefaultParagraphFont"/>
    <w:uiPriority w:val="99"/>
    <w:semiHidden/>
    <w:unhideWhenUsed/>
    <w:rsid w:val="00F674BC"/>
    <w:rPr>
      <w:sz w:val="16"/>
      <w:szCs w:val="16"/>
    </w:rPr>
  </w:style>
  <w:style w:type="paragraph" w:styleId="CommentText">
    <w:name w:val="annotation text"/>
    <w:basedOn w:val="Normal"/>
    <w:link w:val="CommentTextChar"/>
    <w:uiPriority w:val="99"/>
    <w:semiHidden/>
    <w:unhideWhenUsed/>
    <w:rsid w:val="00F674BC"/>
    <w:rPr>
      <w:sz w:val="20"/>
      <w:szCs w:val="20"/>
    </w:rPr>
  </w:style>
  <w:style w:type="character" w:customStyle="1" w:styleId="CommentTextChar">
    <w:name w:val="Comment Text Char"/>
    <w:basedOn w:val="DefaultParagraphFont"/>
    <w:link w:val="CommentText"/>
    <w:uiPriority w:val="99"/>
    <w:semiHidden/>
    <w:rsid w:val="00F674BC"/>
    <w:rPr>
      <w:sz w:val="20"/>
      <w:szCs w:val="20"/>
    </w:rPr>
  </w:style>
  <w:style w:type="paragraph" w:styleId="CommentSubject">
    <w:name w:val="annotation subject"/>
    <w:basedOn w:val="CommentText"/>
    <w:next w:val="CommentText"/>
    <w:link w:val="CommentSubjectChar"/>
    <w:uiPriority w:val="99"/>
    <w:semiHidden/>
    <w:unhideWhenUsed/>
    <w:rsid w:val="00F674BC"/>
    <w:rPr>
      <w:b/>
      <w:bCs/>
    </w:rPr>
  </w:style>
  <w:style w:type="character" w:customStyle="1" w:styleId="CommentSubjectChar">
    <w:name w:val="Comment Subject Char"/>
    <w:basedOn w:val="CommentTextChar"/>
    <w:link w:val="CommentSubject"/>
    <w:uiPriority w:val="99"/>
    <w:semiHidden/>
    <w:rsid w:val="00F674BC"/>
    <w:rPr>
      <w:b/>
      <w:bCs/>
      <w:sz w:val="20"/>
      <w:szCs w:val="20"/>
    </w:rPr>
  </w:style>
  <w:style w:type="character" w:styleId="Hyperlink">
    <w:name w:val="Hyperlink"/>
    <w:basedOn w:val="DefaultParagraphFont"/>
    <w:uiPriority w:val="99"/>
    <w:unhideWhenUsed/>
    <w:rsid w:val="00007064"/>
    <w:rPr>
      <w:color w:val="00847E" w:themeColor="hyperlink"/>
      <w:u w:val="single"/>
    </w:rPr>
  </w:style>
  <w:style w:type="table" w:styleId="PlainTable5">
    <w:name w:val="Plain Table 5"/>
    <w:basedOn w:val="TableNormal"/>
    <w:uiPriority w:val="45"/>
    <w:rsid w:val="00B2137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2137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95467"/>
    <w:pPr>
      <w:spacing w:before="0" w:after="0"/>
    </w:pPr>
  </w:style>
  <w:style w:type="paragraph" w:styleId="TOC2">
    <w:name w:val="toc 2"/>
    <w:basedOn w:val="Normal"/>
    <w:next w:val="Normal"/>
    <w:autoRedefine/>
    <w:uiPriority w:val="39"/>
    <w:unhideWhenUsed/>
    <w:rsid w:val="001A7481"/>
    <w:pPr>
      <w:spacing w:after="100"/>
      <w:ind w:left="220"/>
    </w:pPr>
  </w:style>
  <w:style w:type="paragraph" w:styleId="TOC3">
    <w:name w:val="toc 3"/>
    <w:basedOn w:val="Normal"/>
    <w:next w:val="Normal"/>
    <w:autoRedefine/>
    <w:uiPriority w:val="39"/>
    <w:unhideWhenUsed/>
    <w:rsid w:val="001A74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5790">
      <w:bodyDiv w:val="1"/>
      <w:marLeft w:val="0"/>
      <w:marRight w:val="0"/>
      <w:marTop w:val="0"/>
      <w:marBottom w:val="0"/>
      <w:divBdr>
        <w:top w:val="none" w:sz="0" w:space="0" w:color="auto"/>
        <w:left w:val="none" w:sz="0" w:space="0" w:color="auto"/>
        <w:bottom w:val="none" w:sz="0" w:space="0" w:color="auto"/>
        <w:right w:val="none" w:sz="0" w:space="0" w:color="auto"/>
      </w:divBdr>
    </w:div>
    <w:div w:id="464738257">
      <w:bodyDiv w:val="1"/>
      <w:marLeft w:val="0"/>
      <w:marRight w:val="0"/>
      <w:marTop w:val="0"/>
      <w:marBottom w:val="0"/>
      <w:divBdr>
        <w:top w:val="none" w:sz="0" w:space="0" w:color="auto"/>
        <w:left w:val="none" w:sz="0" w:space="0" w:color="auto"/>
        <w:bottom w:val="none" w:sz="0" w:space="0" w:color="auto"/>
        <w:right w:val="none" w:sz="0" w:space="0" w:color="auto"/>
      </w:divBdr>
    </w:div>
    <w:div w:id="726562851">
      <w:bodyDiv w:val="1"/>
      <w:marLeft w:val="0"/>
      <w:marRight w:val="0"/>
      <w:marTop w:val="0"/>
      <w:marBottom w:val="0"/>
      <w:divBdr>
        <w:top w:val="none" w:sz="0" w:space="0" w:color="auto"/>
        <w:left w:val="none" w:sz="0" w:space="0" w:color="auto"/>
        <w:bottom w:val="none" w:sz="0" w:space="0" w:color="auto"/>
        <w:right w:val="none" w:sz="0" w:space="0" w:color="auto"/>
      </w:divBdr>
    </w:div>
    <w:div w:id="794103343">
      <w:bodyDiv w:val="1"/>
      <w:marLeft w:val="0"/>
      <w:marRight w:val="0"/>
      <w:marTop w:val="0"/>
      <w:marBottom w:val="0"/>
      <w:divBdr>
        <w:top w:val="none" w:sz="0" w:space="0" w:color="auto"/>
        <w:left w:val="none" w:sz="0" w:space="0" w:color="auto"/>
        <w:bottom w:val="none" w:sz="0" w:space="0" w:color="auto"/>
        <w:right w:val="none" w:sz="0" w:space="0" w:color="auto"/>
      </w:divBdr>
    </w:div>
    <w:div w:id="822548276">
      <w:bodyDiv w:val="1"/>
      <w:marLeft w:val="0"/>
      <w:marRight w:val="0"/>
      <w:marTop w:val="0"/>
      <w:marBottom w:val="0"/>
      <w:divBdr>
        <w:top w:val="none" w:sz="0" w:space="0" w:color="auto"/>
        <w:left w:val="none" w:sz="0" w:space="0" w:color="auto"/>
        <w:bottom w:val="none" w:sz="0" w:space="0" w:color="auto"/>
        <w:right w:val="none" w:sz="0" w:space="0" w:color="auto"/>
      </w:divBdr>
    </w:div>
    <w:div w:id="981271743">
      <w:bodyDiv w:val="1"/>
      <w:marLeft w:val="0"/>
      <w:marRight w:val="0"/>
      <w:marTop w:val="0"/>
      <w:marBottom w:val="0"/>
      <w:divBdr>
        <w:top w:val="none" w:sz="0" w:space="0" w:color="auto"/>
        <w:left w:val="none" w:sz="0" w:space="0" w:color="auto"/>
        <w:bottom w:val="none" w:sz="0" w:space="0" w:color="auto"/>
        <w:right w:val="none" w:sz="0" w:space="0" w:color="auto"/>
      </w:divBdr>
    </w:div>
    <w:div w:id="983662154">
      <w:bodyDiv w:val="1"/>
      <w:marLeft w:val="0"/>
      <w:marRight w:val="0"/>
      <w:marTop w:val="0"/>
      <w:marBottom w:val="0"/>
      <w:divBdr>
        <w:top w:val="none" w:sz="0" w:space="0" w:color="auto"/>
        <w:left w:val="none" w:sz="0" w:space="0" w:color="auto"/>
        <w:bottom w:val="none" w:sz="0" w:space="0" w:color="auto"/>
        <w:right w:val="none" w:sz="0" w:space="0" w:color="auto"/>
      </w:divBdr>
    </w:div>
    <w:div w:id="1146822427">
      <w:bodyDiv w:val="1"/>
      <w:marLeft w:val="0"/>
      <w:marRight w:val="0"/>
      <w:marTop w:val="0"/>
      <w:marBottom w:val="0"/>
      <w:divBdr>
        <w:top w:val="none" w:sz="0" w:space="0" w:color="auto"/>
        <w:left w:val="none" w:sz="0" w:space="0" w:color="auto"/>
        <w:bottom w:val="none" w:sz="0" w:space="0" w:color="auto"/>
        <w:right w:val="none" w:sz="0" w:space="0" w:color="auto"/>
      </w:divBdr>
    </w:div>
    <w:div w:id="1690374212">
      <w:bodyDiv w:val="1"/>
      <w:marLeft w:val="0"/>
      <w:marRight w:val="0"/>
      <w:marTop w:val="0"/>
      <w:marBottom w:val="0"/>
      <w:divBdr>
        <w:top w:val="none" w:sz="0" w:space="0" w:color="auto"/>
        <w:left w:val="none" w:sz="0" w:space="0" w:color="auto"/>
        <w:bottom w:val="none" w:sz="0" w:space="0" w:color="auto"/>
        <w:right w:val="none" w:sz="0" w:space="0" w:color="auto"/>
      </w:divBdr>
    </w:div>
    <w:div w:id="1696081230">
      <w:bodyDiv w:val="1"/>
      <w:marLeft w:val="0"/>
      <w:marRight w:val="0"/>
      <w:marTop w:val="0"/>
      <w:marBottom w:val="0"/>
      <w:divBdr>
        <w:top w:val="none" w:sz="0" w:space="0" w:color="auto"/>
        <w:left w:val="none" w:sz="0" w:space="0" w:color="auto"/>
        <w:bottom w:val="none" w:sz="0" w:space="0" w:color="auto"/>
        <w:right w:val="none" w:sz="0" w:space="0" w:color="auto"/>
      </w:divBdr>
    </w:div>
    <w:div w:id="1809083647">
      <w:bodyDiv w:val="1"/>
      <w:marLeft w:val="0"/>
      <w:marRight w:val="0"/>
      <w:marTop w:val="0"/>
      <w:marBottom w:val="0"/>
      <w:divBdr>
        <w:top w:val="none" w:sz="0" w:space="0" w:color="auto"/>
        <w:left w:val="none" w:sz="0" w:space="0" w:color="auto"/>
        <w:bottom w:val="none" w:sz="0" w:space="0" w:color="auto"/>
        <w:right w:val="none" w:sz="0" w:space="0" w:color="auto"/>
      </w:divBdr>
    </w:div>
    <w:div w:id="18226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chart" Target="charts/chart6.xml"/><Relationship Id="rId39" Type="http://schemas.openxmlformats.org/officeDocument/2006/relationships/theme" Target="theme/theme1.xml"/><Relationship Id="rId21" Type="http://schemas.openxmlformats.org/officeDocument/2006/relationships/hyperlink" Target="https://www.teqsa.gov.au/latest-news/publications/guidance-note-academic-governance" TargetMode="External"/><Relationship Id="rId34" Type="http://schemas.openxmlformats.org/officeDocument/2006/relationships/hyperlink" Target="https://www.teqsa.gov.au/application-guides-and-support" TargetMode="External"/><Relationship Id="rId7" Type="http://schemas.openxmlformats.org/officeDocument/2006/relationships/endnotes" Target="endnotes.xml"/><Relationship Id="rId12" Type="http://schemas.openxmlformats.org/officeDocument/2006/relationships/hyperlink" Target="https://www.teqsa.gov.au/guidance-notes" TargetMode="External"/><Relationship Id="rId17" Type="http://schemas.openxmlformats.org/officeDocument/2006/relationships/hyperlink" Target="https://www.teqsa.gov.au/guidance-notes" TargetMode="External"/><Relationship Id="rId25" Type="http://schemas.openxmlformats.org/officeDocument/2006/relationships/hyperlink" Target="https://www.teqsa.gov.au/latest-news/publications/guidance-note-course-design-including-learning-outcomes-and-assessment" TargetMode="External"/><Relationship Id="rId33" Type="http://schemas.openxmlformats.org/officeDocument/2006/relationships/hyperlink" Target="https://www.teqsa.gov.au/course-accreditationrenew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teqsa.gov.au/guidance-notes" TargetMode="External"/><Relationship Id="rId29" Type="http://schemas.openxmlformats.org/officeDocument/2006/relationships/hyperlink" Target="http://www.teqsa.gov.au/our-approach-quality-assurance-and-reg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eqsa.gov.au/latest-news/publications/guidance-note-academic-integrity" TargetMode="External"/><Relationship Id="rId32" Type="http://schemas.openxmlformats.org/officeDocument/2006/relationships/hyperlink" Target="https://www.teqsa.gov.au/provider-registration"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teqsa.gov.au/latest-news/publications/guidance-note-staffing-learning-resources-and-educational-support" TargetMode="External"/><Relationship Id="rId28" Type="http://schemas.openxmlformats.org/officeDocument/2006/relationships/chart" Target="charts/chart8.xml"/><Relationship Id="rId36" Type="http://schemas.openxmlformats.org/officeDocument/2006/relationships/hyperlink" Target="https://www.teqsa.gov.au/for-providers/resources/teqsa-annual-report-2016-17" TargetMode="External"/><Relationship Id="rId10" Type="http://schemas.openxmlformats.org/officeDocument/2006/relationships/image" Target="media/image5.png"/><Relationship Id="rId19" Type="http://schemas.openxmlformats.org/officeDocument/2006/relationships/chart" Target="charts/chart5.xml"/><Relationship Id="rId31" Type="http://schemas.openxmlformats.org/officeDocument/2006/relationships/hyperlink" Target="https://www.teqsa.gov.au/our-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www.teqsa.gov.au/latest-news/publications/guidance-note-corporate-governance" TargetMode="External"/><Relationship Id="rId27" Type="http://schemas.openxmlformats.org/officeDocument/2006/relationships/chart" Target="charts/chart7.xml"/><Relationship Id="rId30" Type="http://schemas.openxmlformats.org/officeDocument/2006/relationships/hyperlink" Target="https://www.teqsa.gov.au/for-providers/resources/key-financial-metrics-australias-higher-education-sector-3rd-edition" TargetMode="External"/><Relationship Id="rId35" Type="http://schemas.openxmlformats.org/officeDocument/2006/relationships/hyperlink" Target="https://www.teqsa.gov.au/risk-assessment-framework" TargetMode="External"/><Relationship Id="rId8" Type="http://schemas.openxmlformats.org/officeDocument/2006/relationships/image" Target="media/image4.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teqsa.gov.au/our-approach-quality-assurance-and-regulatio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steq1\Groups\Executive%20Office\Policy\Assessment%20insights\Adverse%20by%20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teq1\Groups\Executive%20Office\Policy\Assessment%20insights\Adverse%20by%20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teq1\Groups\Executive%20Office\Policy\Assessment%20insights\Adverse%20by%20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FSTEQ1\Groups\Executive%20Office\Policy\Assessment%20insights\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TEQ1\Groups\Executive%20Office\Policy\Assessment%20insights\Chart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steq1\Groups\Executive%20Office\Policy\Assessment%20insights\By%20Assessment.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fsteq1\Groups\Executive%20Office\Policy\Assessment%20insights\Finals\Chart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fsteq1\Groups\Executive%20Office\Policy\Assessment%20insights\Finals\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'Risk balance'!$B$1</c:f>
              <c:strCache>
                <c:ptCount val="1"/>
                <c:pt idx="0">
                  <c:v>Risk balance proportion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'Risk balance'!$A$2:$A$9</c:f>
              <c:strCache>
                <c:ptCount val="8"/>
                <c:pt idx="0">
                  <c:v>2014 (1)</c:v>
                </c:pt>
                <c:pt idx="1">
                  <c:v>2014 (2)</c:v>
                </c:pt>
                <c:pt idx="2">
                  <c:v>2015 (1)</c:v>
                </c:pt>
                <c:pt idx="3">
                  <c:v>2015 (2)</c:v>
                </c:pt>
                <c:pt idx="4">
                  <c:v>2016 (1)</c:v>
                </c:pt>
                <c:pt idx="5">
                  <c:v>2016 (2)</c:v>
                </c:pt>
                <c:pt idx="6">
                  <c:v>2017 (1)</c:v>
                </c:pt>
                <c:pt idx="7">
                  <c:v>2017 (2)</c:v>
                </c:pt>
              </c:strCache>
            </c:strRef>
          </c:cat>
          <c:val>
            <c:numRef>
              <c:f>'Risk balance'!$B$2:$B$9</c:f>
              <c:numCache>
                <c:formatCode>0.0</c:formatCode>
                <c:ptCount val="8"/>
                <c:pt idx="0">
                  <c:v>0.16455696202531644</c:v>
                </c:pt>
                <c:pt idx="1">
                  <c:v>0.57999999999999996</c:v>
                </c:pt>
                <c:pt idx="2">
                  <c:v>0.46031746031746029</c:v>
                </c:pt>
                <c:pt idx="3">
                  <c:v>0.23076923076923078</c:v>
                </c:pt>
                <c:pt idx="4">
                  <c:v>0.39215686274509803</c:v>
                </c:pt>
                <c:pt idx="5">
                  <c:v>0.4</c:v>
                </c:pt>
                <c:pt idx="6">
                  <c:v>0.79245283018867929</c:v>
                </c:pt>
                <c:pt idx="7">
                  <c:v>0.77777777777777779</c:v>
                </c:pt>
              </c:numCache>
            </c:numRef>
          </c:val>
          <c:smooth val="0"/>
          <c:extLst>
            <c:ext xmlns:c16="http://schemas.microsoft.com/office/drawing/2014/chart" uri="{C3380CC4-5D6E-409C-BE32-E72D297353CC}">
              <c16:uniqueId val="{00000000-DCE8-40F7-AE44-42BD12593DC7}"/>
            </c:ext>
          </c:extLst>
        </c:ser>
        <c:ser>
          <c:idx val="1"/>
          <c:order val="1"/>
          <c:tx>
            <c:strRef>
              <c:f>'Risk balance'!$C$1</c:f>
              <c:strCache>
                <c:ptCount val="1"/>
                <c:pt idx="0">
                  <c:v>Adverse decision proportion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'Risk balance'!$A$2:$A$9</c:f>
              <c:strCache>
                <c:ptCount val="8"/>
                <c:pt idx="0">
                  <c:v>2014 (1)</c:v>
                </c:pt>
                <c:pt idx="1">
                  <c:v>2014 (2)</c:v>
                </c:pt>
                <c:pt idx="2">
                  <c:v>2015 (1)</c:v>
                </c:pt>
                <c:pt idx="3">
                  <c:v>2015 (2)</c:v>
                </c:pt>
                <c:pt idx="4">
                  <c:v>2016 (1)</c:v>
                </c:pt>
                <c:pt idx="5">
                  <c:v>2016 (2)</c:v>
                </c:pt>
                <c:pt idx="6">
                  <c:v>2017 (1)</c:v>
                </c:pt>
                <c:pt idx="7">
                  <c:v>2017 (2)</c:v>
                </c:pt>
              </c:strCache>
            </c:strRef>
          </c:cat>
          <c:val>
            <c:numRef>
              <c:f>'Risk balance'!$C$2:$C$9</c:f>
              <c:numCache>
                <c:formatCode>0.0</c:formatCode>
                <c:ptCount val="8"/>
                <c:pt idx="0">
                  <c:v>0.18382352941176472</c:v>
                </c:pt>
                <c:pt idx="1">
                  <c:v>0.48684210526315791</c:v>
                </c:pt>
                <c:pt idx="2">
                  <c:v>0.37068965517241381</c:v>
                </c:pt>
                <c:pt idx="3">
                  <c:v>0.17241379310344829</c:v>
                </c:pt>
                <c:pt idx="4">
                  <c:v>0.35537190082644626</c:v>
                </c:pt>
                <c:pt idx="5">
                  <c:v>0.42342342342342343</c:v>
                </c:pt>
                <c:pt idx="6">
                  <c:v>0.58490566037735847</c:v>
                </c:pt>
                <c:pt idx="7">
                  <c:v>0.64473684210526316</c:v>
                </c:pt>
              </c:numCache>
            </c:numRef>
          </c:val>
          <c:smooth val="0"/>
          <c:extLst>
            <c:ext xmlns:c16="http://schemas.microsoft.com/office/drawing/2014/chart" uri="{C3380CC4-5D6E-409C-BE32-E72D297353CC}">
              <c16:uniqueId val="{00000001-DCE8-40F7-AE44-42BD12593DC7}"/>
            </c:ext>
          </c:extLst>
        </c:ser>
        <c:dLbls>
          <c:showLegendKey val="0"/>
          <c:showVal val="0"/>
          <c:showCatName val="0"/>
          <c:showSerName val="0"/>
          <c:showPercent val="0"/>
          <c:showBubbleSize val="0"/>
        </c:dLbls>
        <c:marker val="1"/>
        <c:smooth val="0"/>
        <c:axId val="1312207055"/>
        <c:axId val="1312212047"/>
      </c:lineChart>
      <c:catAx>
        <c:axId val="13122070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Half-yearly period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212047"/>
        <c:crosses val="autoZero"/>
        <c:auto val="1"/>
        <c:lblAlgn val="ctr"/>
        <c:lblOffset val="100"/>
        <c:noMultiLvlLbl val="0"/>
      </c:catAx>
      <c:valAx>
        <c:axId val="1312212047"/>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207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'Risk balance'!$C$1</c:f>
              <c:strCache>
                <c:ptCount val="1"/>
                <c:pt idx="0">
                  <c:v>Adverse proportion</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'Risk balance'!$B$2:$B$9</c:f>
              <c:numCache>
                <c:formatCode>0.0</c:formatCode>
                <c:ptCount val="8"/>
                <c:pt idx="0">
                  <c:v>0.16455696202531644</c:v>
                </c:pt>
                <c:pt idx="1">
                  <c:v>0.57999999999999996</c:v>
                </c:pt>
                <c:pt idx="2">
                  <c:v>0.46031746031746029</c:v>
                </c:pt>
                <c:pt idx="3">
                  <c:v>0.23076923076923078</c:v>
                </c:pt>
                <c:pt idx="4">
                  <c:v>0.39215686274509803</c:v>
                </c:pt>
                <c:pt idx="5">
                  <c:v>0.4</c:v>
                </c:pt>
                <c:pt idx="6">
                  <c:v>0.79245283018867929</c:v>
                </c:pt>
                <c:pt idx="7">
                  <c:v>0.77777777777777779</c:v>
                </c:pt>
              </c:numCache>
            </c:numRef>
          </c:xVal>
          <c:yVal>
            <c:numRef>
              <c:f>'Risk balance'!$C$2:$C$9</c:f>
              <c:numCache>
                <c:formatCode>0.0</c:formatCode>
                <c:ptCount val="8"/>
                <c:pt idx="0">
                  <c:v>0.18382352941176472</c:v>
                </c:pt>
                <c:pt idx="1">
                  <c:v>0.48684210526315791</c:v>
                </c:pt>
                <c:pt idx="2">
                  <c:v>0.37068965517241381</c:v>
                </c:pt>
                <c:pt idx="3">
                  <c:v>0.17241379310344829</c:v>
                </c:pt>
                <c:pt idx="4">
                  <c:v>0.35537190082644626</c:v>
                </c:pt>
                <c:pt idx="5">
                  <c:v>0.42342342342342343</c:v>
                </c:pt>
                <c:pt idx="6">
                  <c:v>0.58490566037735847</c:v>
                </c:pt>
                <c:pt idx="7">
                  <c:v>0.64473684210526316</c:v>
                </c:pt>
              </c:numCache>
            </c:numRef>
          </c:yVal>
          <c:smooth val="0"/>
          <c:extLst>
            <c:ext xmlns:c16="http://schemas.microsoft.com/office/drawing/2014/chart" uri="{C3380CC4-5D6E-409C-BE32-E72D297353CC}">
              <c16:uniqueId val="{00000000-E00D-4D17-A325-69E18F87AF21}"/>
            </c:ext>
          </c:extLst>
        </c:ser>
        <c:dLbls>
          <c:showLegendKey val="0"/>
          <c:showVal val="0"/>
          <c:showCatName val="0"/>
          <c:showSerName val="0"/>
          <c:showPercent val="0"/>
          <c:showBubbleSize val="0"/>
        </c:dLbls>
        <c:axId val="1233337583"/>
        <c:axId val="1233335087"/>
      </c:scatterChart>
      <c:valAx>
        <c:axId val="1233337583"/>
        <c:scaling>
          <c:orientation val="minMax"/>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Risk balance proportion</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335087"/>
        <c:crosses val="autoZero"/>
        <c:crossBetween val="midCat"/>
      </c:valAx>
      <c:valAx>
        <c:axId val="123333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Adverse decision 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33758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'Risk balance'!$A$23</c:f>
              <c:strCache>
                <c:ptCount val="1"/>
                <c:pt idx="0">
                  <c:v>Approved</c:v>
                </c:pt>
              </c:strCache>
            </c:strRef>
          </c:tx>
          <c:spPr>
            <a:ln w="28575" cap="rnd">
              <a:solidFill>
                <a:schemeClr val="accent1"/>
              </a:solidFill>
              <a:prstDash val="sysDash"/>
              <a:round/>
            </a:ln>
            <a:effectLst/>
          </c:spPr>
          <c:marker>
            <c:symbol val="none"/>
          </c:marker>
          <c:cat>
            <c:numRef>
              <c:f>'Risk balance'!$C$22:$F$22</c:f>
              <c:numCache>
                <c:formatCode>General</c:formatCode>
                <c:ptCount val="4"/>
                <c:pt idx="0">
                  <c:v>2014</c:v>
                </c:pt>
                <c:pt idx="1">
                  <c:v>2015</c:v>
                </c:pt>
                <c:pt idx="2">
                  <c:v>2016</c:v>
                </c:pt>
                <c:pt idx="3">
                  <c:v>2017</c:v>
                </c:pt>
              </c:numCache>
            </c:numRef>
          </c:cat>
          <c:val>
            <c:numRef>
              <c:f>'Risk balance'!$C$23:$F$23</c:f>
              <c:numCache>
                <c:formatCode>General</c:formatCode>
                <c:ptCount val="4"/>
                <c:pt idx="0">
                  <c:v>4</c:v>
                </c:pt>
                <c:pt idx="1">
                  <c:v>5</c:v>
                </c:pt>
                <c:pt idx="2">
                  <c:v>7</c:v>
                </c:pt>
                <c:pt idx="3">
                  <c:v>4</c:v>
                </c:pt>
              </c:numCache>
            </c:numRef>
          </c:val>
          <c:smooth val="0"/>
          <c:extLst>
            <c:ext xmlns:c16="http://schemas.microsoft.com/office/drawing/2014/chart" uri="{C3380CC4-5D6E-409C-BE32-E72D297353CC}">
              <c16:uniqueId val="{00000000-EABA-4255-B1D8-2F5B6D4BAA74}"/>
            </c:ext>
          </c:extLst>
        </c:ser>
        <c:ser>
          <c:idx val="1"/>
          <c:order val="1"/>
          <c:tx>
            <c:strRef>
              <c:f>'Risk balance'!$A$24</c:f>
              <c:strCache>
                <c:ptCount val="1"/>
                <c:pt idx="0">
                  <c:v>Not approved/withdrawn</c:v>
                </c:pt>
              </c:strCache>
            </c:strRef>
          </c:tx>
          <c:spPr>
            <a:ln w="28575" cap="rnd">
              <a:solidFill>
                <a:schemeClr val="accent2"/>
              </a:solidFill>
              <a:round/>
            </a:ln>
            <a:effectLst/>
          </c:spPr>
          <c:marker>
            <c:symbol val="none"/>
          </c:marker>
          <c:cat>
            <c:numRef>
              <c:f>'Risk balance'!$C$22:$F$22</c:f>
              <c:numCache>
                <c:formatCode>General</c:formatCode>
                <c:ptCount val="4"/>
                <c:pt idx="0">
                  <c:v>2014</c:v>
                </c:pt>
                <c:pt idx="1">
                  <c:v>2015</c:v>
                </c:pt>
                <c:pt idx="2">
                  <c:v>2016</c:v>
                </c:pt>
                <c:pt idx="3">
                  <c:v>2017</c:v>
                </c:pt>
              </c:numCache>
            </c:numRef>
          </c:cat>
          <c:val>
            <c:numRef>
              <c:f>'Risk balance'!$C$24:$F$24</c:f>
              <c:numCache>
                <c:formatCode>General</c:formatCode>
                <c:ptCount val="4"/>
                <c:pt idx="0">
                  <c:v>1</c:v>
                </c:pt>
                <c:pt idx="1">
                  <c:v>2</c:v>
                </c:pt>
                <c:pt idx="2">
                  <c:v>2</c:v>
                </c:pt>
                <c:pt idx="3">
                  <c:v>24</c:v>
                </c:pt>
              </c:numCache>
            </c:numRef>
          </c:val>
          <c:smooth val="0"/>
          <c:extLst>
            <c:ext xmlns:c16="http://schemas.microsoft.com/office/drawing/2014/chart" uri="{C3380CC4-5D6E-409C-BE32-E72D297353CC}">
              <c16:uniqueId val="{00000001-EABA-4255-B1D8-2F5B6D4BAA74}"/>
            </c:ext>
          </c:extLst>
        </c:ser>
        <c:dLbls>
          <c:showLegendKey val="0"/>
          <c:showVal val="0"/>
          <c:showCatName val="0"/>
          <c:showSerName val="0"/>
          <c:showPercent val="0"/>
          <c:showBubbleSize val="0"/>
        </c:dLbls>
        <c:smooth val="0"/>
        <c:axId val="736188864"/>
        <c:axId val="736197600"/>
      </c:lineChart>
      <c:catAx>
        <c:axId val="73618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 finalised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197600"/>
        <c:crosses val="autoZero"/>
        <c:auto val="1"/>
        <c:lblAlgn val="ctr"/>
        <c:lblOffset val="100"/>
        <c:noMultiLvlLbl val="0"/>
      </c:catAx>
      <c:valAx>
        <c:axId val="73619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assessments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188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Sheet1!$B$94</c:f>
              <c:strCache>
                <c:ptCount val="1"/>
                <c:pt idx="0">
                  <c:v>percentage of all adverse re-registrations</c:v>
                </c:pt>
              </c:strCache>
            </c:strRef>
          </c:tx>
          <c:invertIfNegative val="0"/>
          <c:cat>
            <c:strRef>
              <c:f>Sheet1!$A$95:$A$101</c:f>
              <c:strCache>
                <c:ptCount val="7"/>
                <c:pt idx="0">
                  <c:v>Corporate and Academic Governance (PRS3)</c:v>
                </c:pt>
                <c:pt idx="1">
                  <c:v>Management and Human Resources (PRS5)</c:v>
                </c:pt>
                <c:pt idx="2">
                  <c:v>Responsibilities to Students (PRS6)</c:v>
                </c:pt>
                <c:pt idx="3">
                  <c:v>Financial Sustainability and Viability (PRS2)</c:v>
                </c:pt>
                <c:pt idx="4">
                  <c:v>Academic Quality and Integrity (PRS4)</c:v>
                </c:pt>
                <c:pt idx="5">
                  <c:v>Resources and Infrastructure (PRS7)</c:v>
                </c:pt>
                <c:pt idx="6">
                  <c:v>Provider Standing (PRS1)</c:v>
                </c:pt>
              </c:strCache>
            </c:strRef>
          </c:cat>
          <c:val>
            <c:numRef>
              <c:f>Sheet1!$B$95:$B$101</c:f>
              <c:numCache>
                <c:formatCode>0.00</c:formatCode>
                <c:ptCount val="7"/>
                <c:pt idx="0">
                  <c:v>0.80821917808219179</c:v>
                </c:pt>
                <c:pt idx="1">
                  <c:v>0.72602739726027399</c:v>
                </c:pt>
                <c:pt idx="2">
                  <c:v>0.31506849315068491</c:v>
                </c:pt>
                <c:pt idx="3">
                  <c:v>0.30136986301369861</c:v>
                </c:pt>
                <c:pt idx="4">
                  <c:v>0.27397260273972601</c:v>
                </c:pt>
                <c:pt idx="5">
                  <c:v>0.19178082191780821</c:v>
                </c:pt>
                <c:pt idx="6">
                  <c:v>0.17808219178082191</c:v>
                </c:pt>
              </c:numCache>
            </c:numRef>
          </c:val>
          <c:extLst>
            <c:ext xmlns:c16="http://schemas.microsoft.com/office/drawing/2014/chart" uri="{C3380CC4-5D6E-409C-BE32-E72D297353CC}">
              <c16:uniqueId val="{00000000-1A72-4A8D-9651-FD430AEDBB63}"/>
            </c:ext>
          </c:extLst>
        </c:ser>
        <c:dLbls>
          <c:showLegendKey val="0"/>
          <c:showVal val="0"/>
          <c:showCatName val="0"/>
          <c:showSerName val="0"/>
          <c:showPercent val="0"/>
          <c:showBubbleSize val="0"/>
        </c:dLbls>
        <c:gapWidth val="150"/>
        <c:axId val="45683456"/>
        <c:axId val="45684992"/>
      </c:barChart>
      <c:catAx>
        <c:axId val="45683456"/>
        <c:scaling>
          <c:orientation val="minMax"/>
        </c:scaling>
        <c:delete val="0"/>
        <c:axPos val="b"/>
        <c:numFmt formatCode="General" sourceLinked="0"/>
        <c:majorTickMark val="out"/>
        <c:minorTickMark val="none"/>
        <c:tickLblPos val="nextTo"/>
        <c:txPr>
          <a:bodyPr/>
          <a:lstStyle/>
          <a:p>
            <a:pPr>
              <a:defRPr sz="800" baseline="0"/>
            </a:pPr>
            <a:endParaRPr lang="en-US"/>
          </a:p>
        </c:txPr>
        <c:crossAx val="45684992"/>
        <c:crosses val="autoZero"/>
        <c:auto val="1"/>
        <c:lblAlgn val="ctr"/>
        <c:lblOffset val="100"/>
        <c:noMultiLvlLbl val="0"/>
      </c:catAx>
      <c:valAx>
        <c:axId val="45684992"/>
        <c:scaling>
          <c:orientation val="minMax"/>
        </c:scaling>
        <c:delete val="0"/>
        <c:axPos val="l"/>
        <c:majorGridlines/>
        <c:numFmt formatCode="0.00" sourceLinked="1"/>
        <c:majorTickMark val="out"/>
        <c:minorTickMark val="none"/>
        <c:tickLblPos val="nextTo"/>
        <c:crossAx val="456834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Sheet1!$B$109</c:f>
              <c:strCache>
                <c:ptCount val="1"/>
                <c:pt idx="0">
                  <c:v>percentage of all adverse re/accreds</c:v>
                </c:pt>
              </c:strCache>
            </c:strRef>
          </c:tx>
          <c:invertIfNegative val="0"/>
          <c:cat>
            <c:strRef>
              <c:f>Sheet1!$A$110:$A$115</c:f>
              <c:strCache>
                <c:ptCount val="6"/>
                <c:pt idx="0">
                  <c:v>Assessment (PCAS5)</c:v>
                </c:pt>
                <c:pt idx="1">
                  <c:v>Course Design (PCAS1)</c:v>
                </c:pt>
                <c:pt idx="2">
                  <c:v>Teaching and Learning (PCAS4)</c:v>
                </c:pt>
                <c:pt idx="3">
                  <c:v>Course Monitoring, Review, Update, Termination (PCAS6)</c:v>
                </c:pt>
                <c:pt idx="4">
                  <c:v>Resourcing and Information (PCAS2)</c:v>
                </c:pt>
                <c:pt idx="5">
                  <c:v>Admission (PCAS3)</c:v>
                </c:pt>
              </c:strCache>
            </c:strRef>
          </c:cat>
          <c:val>
            <c:numRef>
              <c:f>Sheet1!$B$110:$B$115</c:f>
              <c:numCache>
                <c:formatCode>0.00</c:formatCode>
                <c:ptCount val="6"/>
                <c:pt idx="0">
                  <c:v>0.68882978723404253</c:v>
                </c:pt>
                <c:pt idx="1">
                  <c:v>0.63563829787234039</c:v>
                </c:pt>
                <c:pt idx="2">
                  <c:v>0.56914893617021278</c:v>
                </c:pt>
                <c:pt idx="3">
                  <c:v>0.31914893617021278</c:v>
                </c:pt>
                <c:pt idx="4">
                  <c:v>0.29255319148936171</c:v>
                </c:pt>
                <c:pt idx="5">
                  <c:v>0.2047872340425532</c:v>
                </c:pt>
              </c:numCache>
            </c:numRef>
          </c:val>
          <c:extLst>
            <c:ext xmlns:c16="http://schemas.microsoft.com/office/drawing/2014/chart" uri="{C3380CC4-5D6E-409C-BE32-E72D297353CC}">
              <c16:uniqueId val="{00000000-B922-427A-B0A0-172327CA6999}"/>
            </c:ext>
          </c:extLst>
        </c:ser>
        <c:dLbls>
          <c:showLegendKey val="0"/>
          <c:showVal val="0"/>
          <c:showCatName val="0"/>
          <c:showSerName val="0"/>
          <c:showPercent val="0"/>
          <c:showBubbleSize val="0"/>
        </c:dLbls>
        <c:gapWidth val="150"/>
        <c:axId val="45696512"/>
        <c:axId val="45698048"/>
      </c:barChart>
      <c:catAx>
        <c:axId val="45696512"/>
        <c:scaling>
          <c:orientation val="minMax"/>
        </c:scaling>
        <c:delete val="0"/>
        <c:axPos val="b"/>
        <c:numFmt formatCode="General" sourceLinked="0"/>
        <c:majorTickMark val="out"/>
        <c:minorTickMark val="none"/>
        <c:tickLblPos val="nextTo"/>
        <c:txPr>
          <a:bodyPr/>
          <a:lstStyle/>
          <a:p>
            <a:pPr>
              <a:defRPr sz="800" baseline="0"/>
            </a:pPr>
            <a:endParaRPr lang="en-US"/>
          </a:p>
        </c:txPr>
        <c:crossAx val="45698048"/>
        <c:crosses val="autoZero"/>
        <c:auto val="1"/>
        <c:lblAlgn val="ctr"/>
        <c:lblOffset val="100"/>
        <c:noMultiLvlLbl val="0"/>
      </c:catAx>
      <c:valAx>
        <c:axId val="45698048"/>
        <c:scaling>
          <c:orientation val="minMax"/>
        </c:scaling>
        <c:delete val="0"/>
        <c:axPos val="l"/>
        <c:majorGridlines/>
        <c:numFmt formatCode="0.00" sourceLinked="1"/>
        <c:majorTickMark val="out"/>
        <c:minorTickMark val="none"/>
        <c:tickLblPos val="nextTo"/>
        <c:crossAx val="456965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Sheet2!$J$10</c:f>
              <c:strCache>
                <c:ptCount val="1"/>
                <c:pt idx="0">
                  <c:v>(Re)registration assessments</c:v>
                </c:pt>
              </c:strCache>
            </c:strRef>
          </c:tx>
          <c:spPr>
            <a:solidFill>
              <a:schemeClr val="accent1"/>
            </a:solidFill>
            <a:ln>
              <a:noFill/>
            </a:ln>
            <a:effectLst/>
          </c:spPr>
          <c:invertIfNegative val="0"/>
          <c:cat>
            <c:strRef>
              <c:f>Sheet2!$I$11:$I$15</c:f>
              <c:strCache>
                <c:ptCount val="5"/>
                <c:pt idx="0">
                  <c:v>For-profit</c:v>
                </c:pt>
                <c:pt idx="1">
                  <c:v>TAFE</c:v>
                </c:pt>
                <c:pt idx="2">
                  <c:v>Not-for-profit (faith-based)</c:v>
                </c:pt>
                <c:pt idx="3">
                  <c:v>Not-for-profit (other)</c:v>
                </c:pt>
                <c:pt idx="4">
                  <c:v>University</c:v>
                </c:pt>
              </c:strCache>
            </c:strRef>
          </c:cat>
          <c:val>
            <c:numRef>
              <c:f>Sheet2!$J$11:$J$15</c:f>
              <c:numCache>
                <c:formatCode>General</c:formatCode>
                <c:ptCount val="5"/>
                <c:pt idx="0">
                  <c:v>0.67441860465116277</c:v>
                </c:pt>
                <c:pt idx="1">
                  <c:v>0.4</c:v>
                </c:pt>
                <c:pt idx="2">
                  <c:v>0.2857142857142857</c:v>
                </c:pt>
                <c:pt idx="3">
                  <c:v>0.24242424242424243</c:v>
                </c:pt>
                <c:pt idx="4">
                  <c:v>0</c:v>
                </c:pt>
              </c:numCache>
            </c:numRef>
          </c:val>
          <c:extLst>
            <c:ext xmlns:c16="http://schemas.microsoft.com/office/drawing/2014/chart" uri="{C3380CC4-5D6E-409C-BE32-E72D297353CC}">
              <c16:uniqueId val="{00000000-76AB-4F5C-8A62-78ABFE3E1FC2}"/>
            </c:ext>
          </c:extLst>
        </c:ser>
        <c:ser>
          <c:idx val="1"/>
          <c:order val="1"/>
          <c:tx>
            <c:strRef>
              <c:f>Sheet2!$K$10</c:f>
              <c:strCache>
                <c:ptCount val="1"/>
                <c:pt idx="0">
                  <c:v>Course assessments</c:v>
                </c:pt>
              </c:strCache>
            </c:strRef>
          </c:tx>
          <c:spPr>
            <a:solidFill>
              <a:schemeClr val="accent2"/>
            </a:solidFill>
            <a:ln>
              <a:noFill/>
            </a:ln>
            <a:effectLst/>
          </c:spPr>
          <c:invertIfNegative val="0"/>
          <c:cat>
            <c:strRef>
              <c:f>Sheet2!$I$11:$I$15</c:f>
              <c:strCache>
                <c:ptCount val="5"/>
                <c:pt idx="0">
                  <c:v>For-profit</c:v>
                </c:pt>
                <c:pt idx="1">
                  <c:v>TAFE</c:v>
                </c:pt>
                <c:pt idx="2">
                  <c:v>Not-for-profit (faith-based)</c:v>
                </c:pt>
                <c:pt idx="3">
                  <c:v>Not-for-profit (other)</c:v>
                </c:pt>
                <c:pt idx="4">
                  <c:v>University</c:v>
                </c:pt>
              </c:strCache>
            </c:strRef>
          </c:cat>
          <c:val>
            <c:numRef>
              <c:f>Sheet2!$K$11:$K$15</c:f>
              <c:numCache>
                <c:formatCode>General</c:formatCode>
                <c:ptCount val="5"/>
                <c:pt idx="0">
                  <c:v>0.38415545590433481</c:v>
                </c:pt>
                <c:pt idx="1">
                  <c:v>0.26666666666666666</c:v>
                </c:pt>
                <c:pt idx="2">
                  <c:v>0.20817843866171004</c:v>
                </c:pt>
                <c:pt idx="3">
                  <c:v>0.17054263565891473</c:v>
                </c:pt>
                <c:pt idx="4">
                  <c:v>0</c:v>
                </c:pt>
              </c:numCache>
            </c:numRef>
          </c:val>
          <c:extLst>
            <c:ext xmlns:c16="http://schemas.microsoft.com/office/drawing/2014/chart" uri="{C3380CC4-5D6E-409C-BE32-E72D297353CC}">
              <c16:uniqueId val="{00000001-76AB-4F5C-8A62-78ABFE3E1FC2}"/>
            </c:ext>
          </c:extLst>
        </c:ser>
        <c:dLbls>
          <c:showLegendKey val="0"/>
          <c:showVal val="0"/>
          <c:showCatName val="0"/>
          <c:showSerName val="0"/>
          <c:showPercent val="0"/>
          <c:showBubbleSize val="0"/>
        </c:dLbls>
        <c:gapWidth val="219"/>
        <c:overlap val="-27"/>
        <c:axId val="4273279"/>
        <c:axId val="4283679"/>
      </c:barChart>
      <c:catAx>
        <c:axId val="4273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3679"/>
        <c:crosses val="autoZero"/>
        <c:auto val="1"/>
        <c:lblAlgn val="ctr"/>
        <c:lblOffset val="100"/>
        <c:noMultiLvlLbl val="0"/>
      </c:catAx>
      <c:valAx>
        <c:axId val="4283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adverse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Sheet1!$K$134</c:f>
              <c:strCache>
                <c:ptCount val="1"/>
                <c:pt idx="0">
                  <c:v>Provider registration/re-registration assessment</c:v>
                </c:pt>
              </c:strCache>
            </c:strRef>
          </c:tx>
          <c:spPr>
            <a:solidFill>
              <a:schemeClr val="accent1"/>
            </a:solidFill>
            <a:ln>
              <a:noFill/>
            </a:ln>
            <a:effectLst/>
          </c:spPr>
          <c:invertIfNegative val="0"/>
          <c:errBars>
            <c:errBarType val="both"/>
            <c:errValType val="cust"/>
            <c:noEndCap val="0"/>
            <c:plus>
              <c:numRef>
                <c:f>Sheet1!$L$135:$N$135</c:f>
                <c:numCache>
                  <c:formatCode>General</c:formatCode>
                  <c:ptCount val="3"/>
                </c:numCache>
              </c:numRef>
            </c:plus>
            <c:minus>
              <c:numRef>
                <c:f>Sheet1!$L$135:$N$135</c:f>
                <c:numCache>
                  <c:formatCode>General</c:formatCode>
                  <c:ptCount val="3"/>
                </c:numCache>
              </c:numRef>
            </c:minus>
            <c:spPr>
              <a:noFill/>
              <a:ln w="9525" cap="flat" cmpd="sng" algn="ctr">
                <a:solidFill>
                  <a:schemeClr val="tx1">
                    <a:lumMod val="65000"/>
                    <a:lumOff val="35000"/>
                  </a:schemeClr>
                </a:solidFill>
                <a:round/>
              </a:ln>
              <a:effectLst/>
            </c:spPr>
          </c:errBars>
          <c:cat>
            <c:strRef>
              <c:f>Sheet1!$L$133:$N$133</c:f>
              <c:strCache>
                <c:ptCount val="3"/>
                <c:pt idx="0">
                  <c:v>Approved</c:v>
                </c:pt>
                <c:pt idx="1">
                  <c:v>Approved (adverse)</c:v>
                </c:pt>
                <c:pt idx="2">
                  <c:v>Not approved</c:v>
                </c:pt>
              </c:strCache>
            </c:strRef>
          </c:cat>
          <c:val>
            <c:numRef>
              <c:f>Sheet1!$L$134:$N$134</c:f>
              <c:numCache>
                <c:formatCode>0</c:formatCode>
                <c:ptCount val="3"/>
                <c:pt idx="0">
                  <c:v>217</c:v>
                </c:pt>
                <c:pt idx="1">
                  <c:v>344</c:v>
                </c:pt>
                <c:pt idx="2">
                  <c:v>417</c:v>
                </c:pt>
              </c:numCache>
            </c:numRef>
          </c:val>
          <c:extLst>
            <c:ext xmlns:c16="http://schemas.microsoft.com/office/drawing/2014/chart" uri="{C3380CC4-5D6E-409C-BE32-E72D297353CC}">
              <c16:uniqueId val="{00000000-AF8B-4EE2-902F-3EB0F791DC2A}"/>
            </c:ext>
          </c:extLst>
        </c:ser>
        <c:ser>
          <c:idx val="1"/>
          <c:order val="1"/>
          <c:tx>
            <c:strRef>
              <c:f>Sheet1!$K$136</c:f>
              <c:strCache>
                <c:ptCount val="1"/>
                <c:pt idx="0">
                  <c:v>Course assessment</c:v>
                </c:pt>
              </c:strCache>
            </c:strRef>
          </c:tx>
          <c:spPr>
            <a:solidFill>
              <a:schemeClr val="accent2"/>
            </a:solidFill>
            <a:ln>
              <a:noFill/>
            </a:ln>
            <a:effectLst/>
          </c:spPr>
          <c:invertIfNegative val="0"/>
          <c:errBars>
            <c:errBarType val="both"/>
            <c:errValType val="cust"/>
            <c:noEndCap val="0"/>
            <c:plus>
              <c:numRef>
                <c:f>Sheet1!$L$137:$N$137</c:f>
                <c:numCache>
                  <c:formatCode>General</c:formatCode>
                  <c:ptCount val="3"/>
                </c:numCache>
              </c:numRef>
            </c:plus>
            <c:minus>
              <c:numRef>
                <c:f>Sheet1!$L$137:$N$137</c:f>
                <c:numCache>
                  <c:formatCode>General</c:formatCode>
                  <c:ptCount val="3"/>
                </c:numCache>
              </c:numRef>
            </c:minus>
            <c:spPr>
              <a:noFill/>
              <a:ln w="9525" cap="flat" cmpd="sng" algn="ctr">
                <a:solidFill>
                  <a:schemeClr val="tx1">
                    <a:lumMod val="65000"/>
                    <a:lumOff val="35000"/>
                  </a:schemeClr>
                </a:solidFill>
                <a:round/>
              </a:ln>
              <a:effectLst/>
            </c:spPr>
          </c:errBars>
          <c:cat>
            <c:strRef>
              <c:f>Sheet1!$L$133:$N$133</c:f>
              <c:strCache>
                <c:ptCount val="3"/>
                <c:pt idx="0">
                  <c:v>Approved</c:v>
                </c:pt>
                <c:pt idx="1">
                  <c:v>Approved (adverse)</c:v>
                </c:pt>
                <c:pt idx="2">
                  <c:v>Not approved</c:v>
                </c:pt>
              </c:strCache>
            </c:strRef>
          </c:cat>
          <c:val>
            <c:numRef>
              <c:f>Sheet1!$L$136:$N$136</c:f>
              <c:numCache>
                <c:formatCode>0</c:formatCode>
                <c:ptCount val="3"/>
                <c:pt idx="0">
                  <c:v>210</c:v>
                </c:pt>
                <c:pt idx="1">
                  <c:v>274</c:v>
                </c:pt>
                <c:pt idx="2">
                  <c:v>352</c:v>
                </c:pt>
              </c:numCache>
            </c:numRef>
          </c:val>
          <c:extLst>
            <c:ext xmlns:c16="http://schemas.microsoft.com/office/drawing/2014/chart" uri="{C3380CC4-5D6E-409C-BE32-E72D297353CC}">
              <c16:uniqueId val="{00000001-AF8B-4EE2-902F-3EB0F791DC2A}"/>
            </c:ext>
          </c:extLst>
        </c:ser>
        <c:dLbls>
          <c:showLegendKey val="0"/>
          <c:showVal val="0"/>
          <c:showCatName val="0"/>
          <c:showSerName val="0"/>
          <c:showPercent val="0"/>
          <c:showBubbleSize val="0"/>
        </c:dLbls>
        <c:gapWidth val="219"/>
        <c:overlap val="-27"/>
        <c:axId val="681287775"/>
        <c:axId val="681289855"/>
      </c:barChart>
      <c:catAx>
        <c:axId val="68128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289855"/>
        <c:crosses val="autoZero"/>
        <c:auto val="1"/>
        <c:lblAlgn val="ctr"/>
        <c:lblOffset val="100"/>
        <c:noMultiLvlLbl val="0"/>
      </c:catAx>
      <c:valAx>
        <c:axId val="681289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Median number of days</a:t>
                </a:r>
                <a:r>
                  <a:rPr lang="en-AU" baseline="0"/>
                  <a:t> to decision</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2877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01636488987263"/>
          <c:y val="5.1400554097404488E-2"/>
          <c:w val="0.64058930966213723"/>
          <c:h val="0.8326195683872849"/>
        </c:manualLayout>
      </c:layout>
      <c:barChart>
        <c:barDir val="col"/>
        <c:grouping val="clustered"/>
        <c:varyColors val="0"/>
        <c:ser>
          <c:idx val="0"/>
          <c:order val="0"/>
          <c:tx>
            <c:strRef>
              <c:f>Sheet1!$B$2</c:f>
              <c:strCache>
                <c:ptCount val="1"/>
                <c:pt idx="0">
                  <c:v>Re-registration</c:v>
                </c:pt>
              </c:strCache>
            </c:strRef>
          </c:tx>
          <c:invertIfNegative val="0"/>
          <c:cat>
            <c:strRef>
              <c:f>Sheet1!$A$3:$A$6</c:f>
              <c:strCache>
                <c:ptCount val="4"/>
                <c:pt idx="0">
                  <c:v>NCID/unrated</c:v>
                </c:pt>
                <c:pt idx="1">
                  <c:v>High Risk</c:v>
                </c:pt>
                <c:pt idx="2">
                  <c:v>Moderate Risk</c:v>
                </c:pt>
                <c:pt idx="3">
                  <c:v>Low Risk</c:v>
                </c:pt>
              </c:strCache>
            </c:strRef>
          </c:cat>
          <c:val>
            <c:numRef>
              <c:f>Sheet1!$B$3:$B$6</c:f>
              <c:numCache>
                <c:formatCode>0.00</c:formatCode>
                <c:ptCount val="4"/>
                <c:pt idx="0">
                  <c:v>0.90909090909090906</c:v>
                </c:pt>
                <c:pt idx="1">
                  <c:v>0.84</c:v>
                </c:pt>
                <c:pt idx="2">
                  <c:v>0.61904761904761907</c:v>
                </c:pt>
                <c:pt idx="3">
                  <c:v>0.1111111111111111</c:v>
                </c:pt>
              </c:numCache>
            </c:numRef>
          </c:val>
          <c:extLst>
            <c:ext xmlns:c16="http://schemas.microsoft.com/office/drawing/2014/chart" uri="{C3380CC4-5D6E-409C-BE32-E72D297353CC}">
              <c16:uniqueId val="{00000000-2F9C-4EE4-BACC-5376D9F3514B}"/>
            </c:ext>
          </c:extLst>
        </c:ser>
        <c:ser>
          <c:idx val="1"/>
          <c:order val="1"/>
          <c:tx>
            <c:strRef>
              <c:f>Sheet1!$C$2</c:f>
              <c:strCache>
                <c:ptCount val="1"/>
                <c:pt idx="0">
                  <c:v>Accreditation/re-accreditation</c:v>
                </c:pt>
              </c:strCache>
            </c:strRef>
          </c:tx>
          <c:invertIfNegative val="0"/>
          <c:cat>
            <c:strRef>
              <c:f>Sheet1!$A$3:$A$6</c:f>
              <c:strCache>
                <c:ptCount val="4"/>
                <c:pt idx="0">
                  <c:v>NCID/unrated</c:v>
                </c:pt>
                <c:pt idx="1">
                  <c:v>High Risk</c:v>
                </c:pt>
                <c:pt idx="2">
                  <c:v>Moderate Risk</c:v>
                </c:pt>
                <c:pt idx="3">
                  <c:v>Low Risk</c:v>
                </c:pt>
              </c:strCache>
            </c:strRef>
          </c:cat>
          <c:val>
            <c:numRef>
              <c:f>Sheet1!$C$3:$C$6</c:f>
              <c:numCache>
                <c:formatCode>0.00</c:formatCode>
                <c:ptCount val="4"/>
                <c:pt idx="0">
                  <c:v>0.60499999999999998</c:v>
                </c:pt>
                <c:pt idx="1">
                  <c:v>0.64367816091954022</c:v>
                </c:pt>
                <c:pt idx="2">
                  <c:v>0.28662420382165604</c:v>
                </c:pt>
                <c:pt idx="3">
                  <c:v>8.771929824561403E-2</c:v>
                </c:pt>
              </c:numCache>
            </c:numRef>
          </c:val>
          <c:extLst>
            <c:ext xmlns:c16="http://schemas.microsoft.com/office/drawing/2014/chart" uri="{C3380CC4-5D6E-409C-BE32-E72D297353CC}">
              <c16:uniqueId val="{00000001-2F9C-4EE4-BACC-5376D9F3514B}"/>
            </c:ext>
          </c:extLst>
        </c:ser>
        <c:dLbls>
          <c:showLegendKey val="0"/>
          <c:showVal val="0"/>
          <c:showCatName val="0"/>
          <c:showSerName val="0"/>
          <c:showPercent val="0"/>
          <c:showBubbleSize val="0"/>
        </c:dLbls>
        <c:gapWidth val="150"/>
        <c:axId val="170762240"/>
        <c:axId val="170763776"/>
      </c:barChart>
      <c:catAx>
        <c:axId val="170762240"/>
        <c:scaling>
          <c:orientation val="minMax"/>
        </c:scaling>
        <c:delete val="0"/>
        <c:axPos val="b"/>
        <c:numFmt formatCode="General" sourceLinked="0"/>
        <c:majorTickMark val="out"/>
        <c:minorTickMark val="none"/>
        <c:tickLblPos val="nextTo"/>
        <c:crossAx val="170763776"/>
        <c:crosses val="autoZero"/>
        <c:auto val="1"/>
        <c:lblAlgn val="ctr"/>
        <c:lblOffset val="100"/>
        <c:noMultiLvlLbl val="0"/>
      </c:catAx>
      <c:valAx>
        <c:axId val="170763776"/>
        <c:scaling>
          <c:orientation val="minMax"/>
        </c:scaling>
        <c:delete val="0"/>
        <c:axPos val="l"/>
        <c:majorGridlines/>
        <c:numFmt formatCode="0.00" sourceLinked="1"/>
        <c:majorTickMark val="out"/>
        <c:minorTickMark val="none"/>
        <c:tickLblPos val="nextTo"/>
        <c:crossAx val="170762240"/>
        <c:crosses val="autoZero"/>
        <c:crossBetween val="between"/>
      </c:valAx>
    </c:plotArea>
    <c:legend>
      <c:legendPos val="r"/>
      <c:layout>
        <c:manualLayout>
          <c:xMode val="edge"/>
          <c:yMode val="edge"/>
          <c:x val="0.77518128902366101"/>
          <c:y val="0.33762256655460021"/>
          <c:w val="0.19400328250532081"/>
          <c:h val="0.29410318639425481"/>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C87A-E4BD-42FA-9583-1BEF0D8B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4905</Words>
  <Characters>27963</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Tertiary Education Quality and Standards Agency</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Piskun, Andrew</dc:creator>
  <cp:lastModifiedBy>May, Raphael</cp:lastModifiedBy>
  <cp:revision>2</cp:revision>
  <dcterms:created xsi:type="dcterms:W3CDTF">2018-09-20T06:01:00Z</dcterms:created>
  <dcterms:modified xsi:type="dcterms:W3CDTF">2018-09-20T06:01:00Z</dcterms:modified>
</cp:coreProperties>
</file>