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E5D4C" w14:textId="580EE417" w:rsidR="00420110" w:rsidRDefault="00CF76B9" w:rsidP="00CF76B9">
      <w:pPr>
        <w:pStyle w:val="Heading1"/>
        <w:spacing w:before="480" w:after="480"/>
        <w:rPr>
          <w:lang w:eastAsia="en-AU"/>
        </w:rPr>
      </w:pPr>
      <w:bookmarkStart w:id="0" w:name="OLE_LINK9"/>
      <w:bookmarkStart w:id="1" w:name="OLE_LINK10"/>
      <w:bookmarkStart w:id="2" w:name="_Hlk85016473"/>
      <w:r>
        <w:rPr>
          <w:lang w:eastAsia="en-AU"/>
        </w:rPr>
        <w:t>Compliance and enforcement policy</w:t>
      </w:r>
      <w:bookmarkEnd w:id="0"/>
      <w:bookmarkEnd w:id="1"/>
      <w:bookmarkEnd w:id="2"/>
    </w:p>
    <w:p w14:paraId="363F74C3" w14:textId="1D8B627E" w:rsidR="00CF76B9" w:rsidRDefault="00CF76B9" w:rsidP="00CF76B9">
      <w:pPr>
        <w:pStyle w:val="Heading2"/>
        <w:spacing w:before="360" w:after="120" w:line="240" w:lineRule="auto"/>
      </w:pPr>
      <w:r>
        <w:t xml:space="preserve">Purpose </w:t>
      </w:r>
    </w:p>
    <w:p w14:paraId="074E4F2C" w14:textId="624004D4" w:rsidR="00CF76B9" w:rsidRDefault="00CF76B9" w:rsidP="00CF76B9"/>
    <w:p w14:paraId="631C0979" w14:textId="77777777" w:rsidR="00CF76B9" w:rsidRDefault="00CF76B9" w:rsidP="00CF76B9">
      <w:pPr>
        <w:pStyle w:val="BodyText"/>
        <w:tabs>
          <w:tab w:val="left" w:pos="851"/>
        </w:tabs>
        <w:kinsoku w:val="0"/>
        <w:overflowPunct w:val="0"/>
        <w:adjustRightInd w:val="0"/>
        <w:spacing w:before="120" w:after="120" w:line="276" w:lineRule="auto"/>
        <w:ind w:right="96"/>
        <w:rPr>
          <w:rFonts w:asciiTheme="minorHAnsi" w:eastAsiaTheme="minorHAnsi" w:hAnsiTheme="minorHAnsi" w:cstheme="minorBidi"/>
          <w:color w:val="000000" w:themeColor="text1"/>
          <w:sz w:val="22"/>
          <w:szCs w:val="22"/>
          <w:lang w:val="en-AU"/>
        </w:rPr>
      </w:pPr>
      <w:r>
        <w:rPr>
          <w:sz w:val="22"/>
          <w:szCs w:val="22"/>
        </w:rPr>
        <w:t xml:space="preserve">TEQSA regulates all registered </w:t>
      </w:r>
      <w:r w:rsidRPr="00C43736">
        <w:rPr>
          <w:sz w:val="22"/>
          <w:szCs w:val="22"/>
        </w:rPr>
        <w:t>providers that offer higher education</w:t>
      </w:r>
      <w:r>
        <w:rPr>
          <w:sz w:val="22"/>
          <w:szCs w:val="22"/>
        </w:rPr>
        <w:t xml:space="preserve"> qualifications in or from Australia. </w:t>
      </w:r>
      <w:r w:rsidRPr="00886B3F">
        <w:rPr>
          <w:rFonts w:asciiTheme="minorHAnsi" w:eastAsiaTheme="minorHAnsi" w:hAnsiTheme="minorHAnsi" w:cstheme="minorBidi"/>
          <w:color w:val="000000" w:themeColor="text1"/>
          <w:sz w:val="22"/>
          <w:szCs w:val="22"/>
          <w:lang w:val="en-AU"/>
        </w:rPr>
        <w:t>TEQSA</w:t>
      </w:r>
      <w:r>
        <w:rPr>
          <w:rFonts w:asciiTheme="minorHAnsi" w:eastAsiaTheme="minorHAnsi" w:hAnsiTheme="minorHAnsi" w:cstheme="minorBidi"/>
          <w:color w:val="000000" w:themeColor="text1"/>
          <w:sz w:val="22"/>
          <w:szCs w:val="22"/>
          <w:lang w:val="en-AU"/>
        </w:rPr>
        <w:t>’s</w:t>
      </w:r>
      <w:r w:rsidRPr="00886B3F">
        <w:rPr>
          <w:rFonts w:asciiTheme="minorHAnsi" w:eastAsiaTheme="minorHAnsi" w:hAnsiTheme="minorHAnsi" w:cstheme="minorBidi"/>
          <w:color w:val="000000" w:themeColor="text1"/>
          <w:sz w:val="22"/>
          <w:szCs w:val="22"/>
          <w:lang w:val="en-AU"/>
        </w:rPr>
        <w:t xml:space="preserve"> regulatory functions and powers </w:t>
      </w:r>
      <w:r>
        <w:rPr>
          <w:rFonts w:asciiTheme="minorHAnsi" w:eastAsiaTheme="minorHAnsi" w:hAnsiTheme="minorHAnsi" w:cstheme="minorBidi"/>
          <w:color w:val="000000" w:themeColor="text1"/>
          <w:sz w:val="22"/>
          <w:szCs w:val="22"/>
          <w:lang w:val="en-AU"/>
        </w:rPr>
        <w:t>are set out in</w:t>
      </w:r>
      <w:r w:rsidRPr="00886B3F">
        <w:rPr>
          <w:rFonts w:asciiTheme="minorHAnsi" w:eastAsiaTheme="minorHAnsi" w:hAnsiTheme="minorHAnsi" w:cstheme="minorBidi"/>
          <w:color w:val="000000" w:themeColor="text1"/>
          <w:sz w:val="22"/>
          <w:szCs w:val="22"/>
          <w:lang w:val="en-AU"/>
        </w:rPr>
        <w:t xml:space="preserve"> the</w:t>
      </w:r>
      <w:r>
        <w:rPr>
          <w:rFonts w:asciiTheme="minorHAnsi" w:eastAsiaTheme="minorHAnsi" w:hAnsiTheme="minorHAnsi" w:cstheme="minorBidi"/>
          <w:color w:val="000000" w:themeColor="text1"/>
          <w:sz w:val="22"/>
          <w:szCs w:val="22"/>
          <w:lang w:val="en-AU"/>
        </w:rPr>
        <w:t xml:space="preserve"> TEQSA’s legislative framework that includes:</w:t>
      </w:r>
    </w:p>
    <w:p w14:paraId="45A4472A" w14:textId="77777777" w:rsidR="00CF76B9" w:rsidRDefault="00CF76B9" w:rsidP="00CF76B9">
      <w:pPr>
        <w:pStyle w:val="BodyText"/>
        <w:numPr>
          <w:ilvl w:val="0"/>
          <w:numId w:val="20"/>
        </w:numPr>
        <w:tabs>
          <w:tab w:val="left" w:pos="851"/>
        </w:tabs>
        <w:kinsoku w:val="0"/>
        <w:overflowPunct w:val="0"/>
        <w:adjustRightInd w:val="0"/>
        <w:spacing w:before="120" w:after="120" w:line="276" w:lineRule="auto"/>
        <w:ind w:right="96"/>
        <w:rPr>
          <w:rFonts w:asciiTheme="minorHAnsi" w:eastAsiaTheme="minorHAnsi" w:hAnsiTheme="minorHAnsi" w:cstheme="minorBidi"/>
          <w:color w:val="000000" w:themeColor="text1"/>
          <w:sz w:val="22"/>
          <w:szCs w:val="22"/>
          <w:lang w:val="en-AU"/>
        </w:rPr>
      </w:pPr>
      <w:hyperlink r:id="rId11" w:history="1">
        <w:r w:rsidRPr="00CC794D">
          <w:rPr>
            <w:rStyle w:val="Hyperlink"/>
            <w:rFonts w:asciiTheme="minorHAnsi" w:eastAsiaTheme="minorHAnsi" w:hAnsiTheme="minorHAnsi" w:cstheme="minorBidi"/>
            <w:i/>
            <w:sz w:val="22"/>
            <w:szCs w:val="22"/>
            <w:lang w:val="en-AU"/>
          </w:rPr>
          <w:t>Tertiary Education Quality and Standards Agency Act 2011</w:t>
        </w:r>
      </w:hyperlink>
      <w:r w:rsidRPr="00CC794D">
        <w:rPr>
          <w:rFonts w:asciiTheme="minorHAnsi" w:eastAsiaTheme="minorHAnsi" w:hAnsiTheme="minorHAnsi" w:cstheme="minorBidi"/>
          <w:i/>
          <w:color w:val="000000" w:themeColor="text1"/>
          <w:sz w:val="22"/>
          <w:szCs w:val="22"/>
          <w:lang w:val="en-AU"/>
        </w:rPr>
        <w:t xml:space="preserve"> </w:t>
      </w:r>
      <w:r w:rsidRPr="00886B3F">
        <w:rPr>
          <w:rFonts w:asciiTheme="minorHAnsi" w:eastAsiaTheme="minorHAnsi" w:hAnsiTheme="minorHAnsi" w:cstheme="minorBidi"/>
          <w:color w:val="000000" w:themeColor="text1"/>
          <w:sz w:val="22"/>
          <w:szCs w:val="22"/>
          <w:lang w:val="en-AU"/>
        </w:rPr>
        <w:t>(TEQSA Act)</w:t>
      </w:r>
    </w:p>
    <w:p w14:paraId="4A4AF8CA" w14:textId="733D88E0" w:rsidR="00CF76B9" w:rsidRDefault="00CF76B9" w:rsidP="00CF76B9">
      <w:pPr>
        <w:pStyle w:val="BodyText"/>
        <w:numPr>
          <w:ilvl w:val="0"/>
          <w:numId w:val="20"/>
        </w:numPr>
        <w:tabs>
          <w:tab w:val="left" w:pos="851"/>
        </w:tabs>
        <w:kinsoku w:val="0"/>
        <w:overflowPunct w:val="0"/>
        <w:adjustRightInd w:val="0"/>
        <w:spacing w:before="120" w:after="120" w:line="276" w:lineRule="auto"/>
        <w:ind w:right="96"/>
        <w:rPr>
          <w:rFonts w:asciiTheme="minorHAnsi" w:eastAsiaTheme="minorHAnsi" w:hAnsiTheme="minorHAnsi" w:cstheme="minorBidi"/>
          <w:color w:val="000000" w:themeColor="text1"/>
          <w:sz w:val="22"/>
          <w:szCs w:val="22"/>
          <w:lang w:val="en-AU"/>
        </w:rPr>
      </w:pPr>
      <w:hyperlink r:id="rId12" w:history="1">
        <w:r w:rsidRPr="00EF0101">
          <w:rPr>
            <w:rStyle w:val="Hyperlink"/>
            <w:rFonts w:asciiTheme="minorHAnsi" w:eastAsiaTheme="minorHAnsi" w:hAnsiTheme="minorHAnsi" w:cstheme="minorBidi"/>
            <w:i/>
            <w:iCs/>
            <w:sz w:val="22"/>
            <w:szCs w:val="22"/>
            <w:lang w:val="en-AU"/>
          </w:rPr>
          <w:t>Regulatory Powers (Standard Provisions) Act 2014</w:t>
        </w:r>
      </w:hyperlink>
      <w:r>
        <w:rPr>
          <w:rFonts w:asciiTheme="minorHAnsi" w:eastAsiaTheme="minorHAnsi" w:hAnsiTheme="minorHAnsi" w:cstheme="minorBidi"/>
          <w:color w:val="000000" w:themeColor="text1"/>
          <w:sz w:val="22"/>
          <w:szCs w:val="22"/>
          <w:lang w:val="en-AU"/>
        </w:rPr>
        <w:t xml:space="preserve"> (Regulatory Powers Act) </w:t>
      </w:r>
    </w:p>
    <w:p w14:paraId="393731C1" w14:textId="77777777" w:rsidR="00CF76B9" w:rsidRDefault="00CF76B9" w:rsidP="00CF76B9">
      <w:pPr>
        <w:pStyle w:val="BodyText"/>
        <w:numPr>
          <w:ilvl w:val="0"/>
          <w:numId w:val="20"/>
        </w:numPr>
        <w:tabs>
          <w:tab w:val="left" w:pos="851"/>
        </w:tabs>
        <w:kinsoku w:val="0"/>
        <w:overflowPunct w:val="0"/>
        <w:adjustRightInd w:val="0"/>
        <w:spacing w:before="120" w:after="120" w:line="276" w:lineRule="auto"/>
        <w:ind w:right="96"/>
        <w:rPr>
          <w:rFonts w:asciiTheme="minorHAnsi" w:eastAsiaTheme="minorHAnsi" w:hAnsiTheme="minorHAnsi" w:cstheme="minorBidi"/>
          <w:color w:val="000000" w:themeColor="text1"/>
          <w:sz w:val="22"/>
          <w:szCs w:val="22"/>
          <w:lang w:val="en-AU"/>
        </w:rPr>
      </w:pPr>
      <w:hyperlink r:id="rId13" w:tgtFrame="_blank" w:history="1">
        <w:r w:rsidRPr="00CC794D">
          <w:rPr>
            <w:rStyle w:val="Hyperlink"/>
            <w:rFonts w:asciiTheme="minorHAnsi" w:eastAsiaTheme="minorHAnsi" w:hAnsiTheme="minorHAnsi" w:cstheme="minorBidi"/>
            <w:i/>
            <w:sz w:val="22"/>
            <w:szCs w:val="22"/>
            <w:lang w:val="en-AU"/>
          </w:rPr>
          <w:t>Education Services for Overseas Students Act 2000</w:t>
        </w:r>
      </w:hyperlink>
      <w:r>
        <w:rPr>
          <w:rFonts w:asciiTheme="minorHAnsi" w:eastAsiaTheme="minorHAnsi" w:hAnsiTheme="minorHAnsi" w:cstheme="minorBidi"/>
          <w:color w:val="000000" w:themeColor="text1"/>
          <w:sz w:val="22"/>
          <w:szCs w:val="22"/>
          <w:lang w:val="en-AU"/>
        </w:rPr>
        <w:t xml:space="preserve"> (E</w:t>
      </w:r>
      <w:r w:rsidRPr="00886B3F">
        <w:rPr>
          <w:rFonts w:asciiTheme="minorHAnsi" w:eastAsiaTheme="minorHAnsi" w:hAnsiTheme="minorHAnsi" w:cstheme="minorBidi"/>
          <w:color w:val="000000" w:themeColor="text1"/>
          <w:sz w:val="22"/>
          <w:szCs w:val="22"/>
          <w:lang w:val="en-AU"/>
        </w:rPr>
        <w:t>SOS Act)</w:t>
      </w:r>
    </w:p>
    <w:p w14:paraId="157C80D3" w14:textId="7C038CAB" w:rsidR="00CF76B9" w:rsidRDefault="00CF76B9" w:rsidP="00CF76B9">
      <w:pPr>
        <w:pStyle w:val="BodyText"/>
        <w:numPr>
          <w:ilvl w:val="0"/>
          <w:numId w:val="20"/>
        </w:numPr>
        <w:tabs>
          <w:tab w:val="left" w:pos="851"/>
        </w:tabs>
        <w:kinsoku w:val="0"/>
        <w:overflowPunct w:val="0"/>
        <w:adjustRightInd w:val="0"/>
        <w:spacing w:before="120" w:after="120" w:line="276" w:lineRule="auto"/>
        <w:ind w:right="96"/>
        <w:rPr>
          <w:rFonts w:asciiTheme="minorHAnsi" w:eastAsiaTheme="minorHAnsi" w:hAnsiTheme="minorHAnsi" w:cstheme="minorBidi"/>
          <w:color w:val="000000" w:themeColor="text1"/>
          <w:sz w:val="22"/>
          <w:szCs w:val="22"/>
          <w:lang w:val="en-AU"/>
        </w:rPr>
      </w:pPr>
      <w:hyperlink r:id="rId14" w:history="1">
        <w:r w:rsidRPr="00CC794D">
          <w:rPr>
            <w:rStyle w:val="Hyperlink"/>
            <w:rFonts w:asciiTheme="minorHAnsi" w:eastAsiaTheme="minorHAnsi" w:hAnsiTheme="minorHAnsi" w:cstheme="minorBidi"/>
            <w:i/>
            <w:sz w:val="22"/>
            <w:szCs w:val="22"/>
            <w:lang w:val="en-AU"/>
          </w:rPr>
          <w:t>Higher Education Standards Framework (Threshold Standards) 20</w:t>
        </w:r>
        <w:r>
          <w:rPr>
            <w:rStyle w:val="Hyperlink"/>
            <w:rFonts w:asciiTheme="minorHAnsi" w:eastAsiaTheme="minorHAnsi" w:hAnsiTheme="minorHAnsi" w:cstheme="minorBidi"/>
            <w:i/>
            <w:sz w:val="22"/>
            <w:szCs w:val="22"/>
            <w:lang w:val="en-AU"/>
          </w:rPr>
          <w:t>21</w:t>
        </w:r>
      </w:hyperlink>
      <w:r w:rsidRPr="00886B3F">
        <w:rPr>
          <w:rFonts w:asciiTheme="minorHAnsi" w:eastAsiaTheme="minorHAnsi" w:hAnsiTheme="minorHAnsi" w:cstheme="minorBidi"/>
          <w:color w:val="000000" w:themeColor="text1"/>
          <w:sz w:val="22"/>
          <w:szCs w:val="22"/>
          <w:lang w:val="en-AU"/>
        </w:rPr>
        <w:t xml:space="preserve"> (Threshold Standards) </w:t>
      </w:r>
    </w:p>
    <w:p w14:paraId="6466CB9C" w14:textId="77777777" w:rsidR="00CF76B9" w:rsidRPr="003836A2" w:rsidRDefault="00CF76B9" w:rsidP="00CF76B9">
      <w:pPr>
        <w:pStyle w:val="BodyText"/>
        <w:numPr>
          <w:ilvl w:val="0"/>
          <w:numId w:val="20"/>
        </w:numPr>
        <w:tabs>
          <w:tab w:val="left" w:pos="851"/>
        </w:tabs>
        <w:kinsoku w:val="0"/>
        <w:overflowPunct w:val="0"/>
        <w:adjustRightInd w:val="0"/>
        <w:spacing w:before="120" w:after="120" w:line="276" w:lineRule="auto"/>
        <w:ind w:right="96"/>
        <w:rPr>
          <w:rFonts w:ascii="Segoe UI" w:eastAsia="Times New Roman" w:hAnsi="Segoe UI" w:cs="Segoe UI"/>
          <w:sz w:val="21"/>
          <w:szCs w:val="21"/>
          <w:lang w:eastAsia="en-AU"/>
        </w:rPr>
      </w:pPr>
      <w:hyperlink r:id="rId15" w:history="1">
        <w:r w:rsidRPr="00CC794D">
          <w:rPr>
            <w:rStyle w:val="Hyperlink"/>
            <w:rFonts w:asciiTheme="minorHAnsi" w:eastAsiaTheme="minorHAnsi" w:hAnsiTheme="minorHAnsi" w:cstheme="minorBidi"/>
            <w:i/>
            <w:sz w:val="22"/>
            <w:szCs w:val="22"/>
            <w:lang w:val="en-AU"/>
          </w:rPr>
          <w:t>National Code of Practice for Providers of Education and Training to Overseas Students 2018</w:t>
        </w:r>
      </w:hyperlink>
      <w:r w:rsidRPr="00886B3F">
        <w:rPr>
          <w:rFonts w:asciiTheme="minorHAnsi" w:eastAsiaTheme="minorHAnsi" w:hAnsiTheme="minorHAnsi" w:cstheme="minorBidi"/>
          <w:color w:val="000000" w:themeColor="text1"/>
          <w:sz w:val="22"/>
          <w:szCs w:val="22"/>
          <w:lang w:val="en-AU"/>
        </w:rPr>
        <w:t xml:space="preserve"> (National Code)</w:t>
      </w:r>
    </w:p>
    <w:p w14:paraId="569DF8E9" w14:textId="1DF2966E" w:rsidR="00CF76B9" w:rsidRPr="00430A0E" w:rsidRDefault="00CF76B9" w:rsidP="00CF76B9">
      <w:pPr>
        <w:pStyle w:val="BodyText"/>
        <w:tabs>
          <w:tab w:val="left" w:pos="851"/>
        </w:tabs>
        <w:kinsoku w:val="0"/>
        <w:overflowPunct w:val="0"/>
        <w:adjustRightInd w:val="0"/>
        <w:spacing w:before="120" w:after="120" w:line="276" w:lineRule="auto"/>
        <w:ind w:right="96"/>
        <w:rPr>
          <w:rFonts w:ascii="Segoe UI" w:eastAsia="Times New Roman" w:hAnsi="Segoe UI" w:cs="Segoe UI"/>
          <w:sz w:val="21"/>
          <w:szCs w:val="21"/>
          <w:lang w:eastAsia="en-AU"/>
        </w:rPr>
      </w:pPr>
      <w:r w:rsidRPr="001564F6">
        <w:rPr>
          <w:sz w:val="22"/>
          <w:szCs w:val="22"/>
        </w:rPr>
        <w:t>T</w:t>
      </w:r>
      <w:r w:rsidRPr="00430A0E">
        <w:rPr>
          <w:sz w:val="22"/>
          <w:szCs w:val="22"/>
        </w:rPr>
        <w:t xml:space="preserve">EQSA also regulates </w:t>
      </w:r>
      <w:r>
        <w:rPr>
          <w:sz w:val="22"/>
          <w:szCs w:val="22"/>
        </w:rPr>
        <w:t>some</w:t>
      </w:r>
      <w:r w:rsidRPr="00430A0E">
        <w:rPr>
          <w:sz w:val="22"/>
          <w:szCs w:val="22"/>
        </w:rPr>
        <w:t xml:space="preserve"> standalone ELICOS </w:t>
      </w:r>
      <w:r w:rsidR="00333D7B">
        <w:rPr>
          <w:sz w:val="22"/>
          <w:szCs w:val="22"/>
        </w:rPr>
        <w:t xml:space="preserve">and Foundation </w:t>
      </w:r>
      <w:r w:rsidRPr="00430A0E">
        <w:rPr>
          <w:sz w:val="22"/>
          <w:szCs w:val="22"/>
        </w:rPr>
        <w:t>providers.</w:t>
      </w:r>
      <w:r w:rsidRPr="00430A0E">
        <w:rPr>
          <w:rFonts w:eastAsia="Times New Roman"/>
          <w:lang w:eastAsia="en-AU"/>
        </w:rPr>
        <w:t xml:space="preserve"> </w:t>
      </w:r>
    </w:p>
    <w:p w14:paraId="0562E94D" w14:textId="77777777" w:rsidR="00CF76B9" w:rsidRPr="00430A0E" w:rsidRDefault="00CF76B9" w:rsidP="00CF76B9">
      <w:pPr>
        <w:ind w:right="105"/>
        <w:rPr>
          <w:rFonts w:ascii="Segoe UI" w:eastAsia="Times New Roman" w:hAnsi="Segoe UI" w:cs="Segoe UI"/>
          <w:color w:val="auto"/>
          <w:sz w:val="21"/>
          <w:szCs w:val="21"/>
          <w:lang w:eastAsia="en-AU"/>
        </w:rPr>
      </w:pPr>
      <w:r w:rsidRPr="00430A0E">
        <w:rPr>
          <w:rFonts w:ascii="Arial" w:eastAsia="Times New Roman" w:hAnsi="Arial" w:cs="Arial"/>
          <w:color w:val="auto"/>
          <w:lang w:eastAsia="en-AU"/>
        </w:rPr>
        <w:t>TEQSA also has powers under the TEQSA Act to take action against other types of regulated entities, including unregistered entities that offer or confer higher education awards when not registered to do so</w:t>
      </w:r>
      <w:r>
        <w:rPr>
          <w:rFonts w:ascii="Arial" w:eastAsia="Times New Roman" w:hAnsi="Arial" w:cs="Arial"/>
          <w:color w:val="auto"/>
          <w:lang w:eastAsia="en-AU"/>
        </w:rPr>
        <w:t>,</w:t>
      </w:r>
      <w:r w:rsidRPr="00430A0E">
        <w:rPr>
          <w:rFonts w:ascii="Arial" w:eastAsia="Times New Roman" w:hAnsi="Arial" w:cs="Arial"/>
          <w:color w:val="auto"/>
          <w:lang w:eastAsia="en-AU"/>
        </w:rPr>
        <w:t xml:space="preserve"> and entities that advertise or offer contract cheating services.</w:t>
      </w:r>
    </w:p>
    <w:p w14:paraId="3E9CDC9B" w14:textId="77777777" w:rsidR="00CF76B9" w:rsidRPr="00886B3F" w:rsidRDefault="00CF76B9" w:rsidP="00CF76B9">
      <w:pPr>
        <w:pStyle w:val="BodyText"/>
        <w:tabs>
          <w:tab w:val="left" w:pos="851"/>
        </w:tabs>
        <w:kinsoku w:val="0"/>
        <w:overflowPunct w:val="0"/>
        <w:adjustRightInd w:val="0"/>
        <w:spacing w:before="120" w:after="120" w:line="276" w:lineRule="auto"/>
        <w:ind w:right="96"/>
        <w:rPr>
          <w:rFonts w:asciiTheme="minorHAnsi" w:eastAsiaTheme="minorHAnsi" w:hAnsiTheme="minorHAnsi" w:cstheme="minorBidi"/>
          <w:color w:val="000000" w:themeColor="text1"/>
          <w:sz w:val="22"/>
          <w:szCs w:val="22"/>
          <w:lang w:val="en-AU"/>
        </w:rPr>
      </w:pPr>
      <w:r w:rsidRPr="00886B3F">
        <w:rPr>
          <w:rFonts w:asciiTheme="minorHAnsi" w:eastAsiaTheme="minorHAnsi" w:hAnsiTheme="minorHAnsi" w:cstheme="minorBidi"/>
          <w:color w:val="000000" w:themeColor="text1"/>
          <w:sz w:val="22"/>
          <w:szCs w:val="22"/>
          <w:lang w:val="en-AU"/>
        </w:rPr>
        <w:t xml:space="preserve">These functions and powers enable TEQSA to undertake compliance and enforcement action to protect student interests and the quality, integrity and reputation of Australia's </w:t>
      </w:r>
      <w:r>
        <w:rPr>
          <w:rFonts w:asciiTheme="minorHAnsi" w:eastAsiaTheme="minorHAnsi" w:hAnsiTheme="minorHAnsi" w:cstheme="minorBidi"/>
          <w:color w:val="000000" w:themeColor="text1"/>
          <w:sz w:val="22"/>
          <w:szCs w:val="22"/>
          <w:lang w:val="en-AU"/>
        </w:rPr>
        <w:t>h</w:t>
      </w:r>
      <w:r w:rsidRPr="00886B3F">
        <w:rPr>
          <w:rFonts w:asciiTheme="minorHAnsi" w:eastAsiaTheme="minorHAnsi" w:hAnsiTheme="minorHAnsi" w:cstheme="minorBidi"/>
          <w:color w:val="000000" w:themeColor="text1"/>
          <w:sz w:val="22"/>
          <w:szCs w:val="22"/>
          <w:lang w:val="en-AU"/>
        </w:rPr>
        <w:t xml:space="preserve">igher </w:t>
      </w:r>
      <w:r>
        <w:rPr>
          <w:rFonts w:asciiTheme="minorHAnsi" w:eastAsiaTheme="minorHAnsi" w:hAnsiTheme="minorHAnsi" w:cstheme="minorBidi"/>
          <w:color w:val="000000" w:themeColor="text1"/>
          <w:sz w:val="22"/>
          <w:szCs w:val="22"/>
          <w:lang w:val="en-AU"/>
        </w:rPr>
        <w:t>e</w:t>
      </w:r>
      <w:r w:rsidRPr="00886B3F">
        <w:rPr>
          <w:rFonts w:asciiTheme="minorHAnsi" w:eastAsiaTheme="minorHAnsi" w:hAnsiTheme="minorHAnsi" w:cstheme="minorBidi"/>
          <w:color w:val="000000" w:themeColor="text1"/>
          <w:sz w:val="22"/>
          <w:szCs w:val="22"/>
          <w:lang w:val="en-AU"/>
        </w:rPr>
        <w:t xml:space="preserve">ducation sector. </w:t>
      </w:r>
    </w:p>
    <w:p w14:paraId="22C7F18A" w14:textId="77777777" w:rsidR="00CF76B9" w:rsidRDefault="00CF76B9" w:rsidP="00CF76B9">
      <w:pPr>
        <w:pStyle w:val="BodyText"/>
        <w:tabs>
          <w:tab w:val="left" w:pos="851"/>
        </w:tabs>
        <w:kinsoku w:val="0"/>
        <w:overflowPunct w:val="0"/>
        <w:adjustRightInd w:val="0"/>
        <w:spacing w:before="120" w:after="120" w:line="276" w:lineRule="auto"/>
        <w:ind w:right="96"/>
        <w:rPr>
          <w:rFonts w:asciiTheme="minorHAnsi" w:eastAsiaTheme="minorHAnsi" w:hAnsiTheme="minorHAnsi" w:cstheme="minorBidi"/>
          <w:color w:val="000000" w:themeColor="text1"/>
          <w:sz w:val="22"/>
          <w:szCs w:val="22"/>
          <w:lang w:val="en-AU"/>
        </w:rPr>
      </w:pPr>
      <w:r>
        <w:rPr>
          <w:rFonts w:asciiTheme="minorHAnsi" w:eastAsiaTheme="minorHAnsi" w:hAnsiTheme="minorHAnsi" w:cstheme="minorBidi"/>
          <w:color w:val="000000" w:themeColor="text1"/>
          <w:sz w:val="22"/>
          <w:szCs w:val="22"/>
          <w:lang w:val="en-AU"/>
        </w:rPr>
        <w:t>This policy sets out:</w:t>
      </w:r>
    </w:p>
    <w:p w14:paraId="6B89FCB1" w14:textId="77777777" w:rsidR="00CF76B9" w:rsidRDefault="00CF76B9" w:rsidP="00CF76B9">
      <w:pPr>
        <w:pStyle w:val="BodyText"/>
        <w:numPr>
          <w:ilvl w:val="0"/>
          <w:numId w:val="19"/>
        </w:numPr>
        <w:tabs>
          <w:tab w:val="left" w:pos="851"/>
        </w:tabs>
        <w:kinsoku w:val="0"/>
        <w:overflowPunct w:val="0"/>
        <w:adjustRightInd w:val="0"/>
        <w:spacing w:before="120" w:after="120" w:line="276" w:lineRule="auto"/>
        <w:ind w:right="96"/>
        <w:rPr>
          <w:rFonts w:asciiTheme="minorHAnsi" w:eastAsiaTheme="minorHAnsi" w:hAnsiTheme="minorHAnsi" w:cstheme="minorBidi"/>
          <w:color w:val="000000" w:themeColor="text1"/>
          <w:sz w:val="22"/>
          <w:szCs w:val="22"/>
          <w:lang w:val="en-AU"/>
        </w:rPr>
      </w:pPr>
      <w:r>
        <w:rPr>
          <w:rFonts w:asciiTheme="minorHAnsi" w:eastAsiaTheme="minorHAnsi" w:hAnsiTheme="minorHAnsi" w:cstheme="minorBidi"/>
          <w:color w:val="000000" w:themeColor="text1"/>
          <w:sz w:val="22"/>
          <w:szCs w:val="22"/>
          <w:lang w:val="en-AU"/>
        </w:rPr>
        <w:t>the scope of TEQSA’s compliance function and enforcement powers</w:t>
      </w:r>
    </w:p>
    <w:p w14:paraId="27B01008" w14:textId="77777777" w:rsidR="00CF76B9" w:rsidRDefault="00CF76B9" w:rsidP="00CF76B9">
      <w:pPr>
        <w:pStyle w:val="BodyText"/>
        <w:numPr>
          <w:ilvl w:val="0"/>
          <w:numId w:val="19"/>
        </w:numPr>
        <w:tabs>
          <w:tab w:val="left" w:pos="851"/>
        </w:tabs>
        <w:kinsoku w:val="0"/>
        <w:overflowPunct w:val="0"/>
        <w:adjustRightInd w:val="0"/>
        <w:spacing w:before="120" w:after="120" w:line="276" w:lineRule="auto"/>
        <w:ind w:right="96"/>
        <w:rPr>
          <w:rFonts w:asciiTheme="minorHAnsi" w:eastAsiaTheme="minorHAnsi" w:hAnsiTheme="minorHAnsi" w:cstheme="minorBidi"/>
          <w:color w:val="000000" w:themeColor="text1"/>
          <w:sz w:val="22"/>
          <w:szCs w:val="22"/>
          <w:lang w:val="en-AU"/>
        </w:rPr>
      </w:pPr>
      <w:r>
        <w:rPr>
          <w:rFonts w:asciiTheme="minorHAnsi" w:eastAsiaTheme="minorHAnsi" w:hAnsiTheme="minorHAnsi" w:cstheme="minorBidi"/>
          <w:color w:val="000000" w:themeColor="text1"/>
          <w:sz w:val="22"/>
          <w:szCs w:val="22"/>
          <w:lang w:val="en-AU"/>
        </w:rPr>
        <w:t xml:space="preserve">the principles that </w:t>
      </w:r>
      <w:r w:rsidRPr="000E4169">
        <w:rPr>
          <w:rFonts w:asciiTheme="minorHAnsi" w:eastAsiaTheme="minorHAnsi" w:hAnsiTheme="minorHAnsi" w:cstheme="minorBidi"/>
          <w:color w:val="000000" w:themeColor="text1"/>
          <w:sz w:val="22"/>
          <w:szCs w:val="22"/>
          <w:lang w:val="en-AU"/>
        </w:rPr>
        <w:t>guid</w:t>
      </w:r>
      <w:r>
        <w:rPr>
          <w:rFonts w:asciiTheme="minorHAnsi" w:eastAsiaTheme="minorHAnsi" w:hAnsiTheme="minorHAnsi" w:cstheme="minorBidi"/>
          <w:color w:val="000000" w:themeColor="text1"/>
          <w:sz w:val="22"/>
          <w:szCs w:val="22"/>
          <w:lang w:val="en-AU"/>
        </w:rPr>
        <w:t>e</w:t>
      </w:r>
      <w:r w:rsidRPr="000E4169">
        <w:rPr>
          <w:rFonts w:asciiTheme="minorHAnsi" w:eastAsiaTheme="minorHAnsi" w:hAnsiTheme="minorHAnsi" w:cstheme="minorBidi"/>
          <w:color w:val="000000" w:themeColor="text1"/>
          <w:sz w:val="22"/>
          <w:szCs w:val="22"/>
          <w:lang w:val="en-AU"/>
        </w:rPr>
        <w:t xml:space="preserve"> </w:t>
      </w:r>
      <w:r>
        <w:rPr>
          <w:rFonts w:asciiTheme="minorHAnsi" w:eastAsiaTheme="minorHAnsi" w:hAnsiTheme="minorHAnsi" w:cstheme="minorBidi"/>
          <w:color w:val="000000" w:themeColor="text1"/>
          <w:sz w:val="22"/>
          <w:szCs w:val="22"/>
          <w:lang w:val="en-AU"/>
        </w:rPr>
        <w:t>T</w:t>
      </w:r>
      <w:r w:rsidRPr="000E4169">
        <w:rPr>
          <w:rFonts w:asciiTheme="minorHAnsi" w:eastAsiaTheme="minorHAnsi" w:hAnsiTheme="minorHAnsi" w:cstheme="minorBidi"/>
          <w:color w:val="000000" w:themeColor="text1"/>
          <w:sz w:val="22"/>
          <w:szCs w:val="22"/>
          <w:lang w:val="en-AU"/>
        </w:rPr>
        <w:t>EQSA</w:t>
      </w:r>
      <w:r>
        <w:rPr>
          <w:rFonts w:asciiTheme="minorHAnsi" w:eastAsiaTheme="minorHAnsi" w:hAnsiTheme="minorHAnsi" w:cstheme="minorBidi"/>
          <w:color w:val="000000" w:themeColor="text1"/>
          <w:sz w:val="22"/>
          <w:szCs w:val="22"/>
          <w:lang w:val="en-AU"/>
        </w:rPr>
        <w:t>’s</w:t>
      </w:r>
      <w:r w:rsidRPr="000E4169">
        <w:rPr>
          <w:rFonts w:asciiTheme="minorHAnsi" w:eastAsiaTheme="minorHAnsi" w:hAnsiTheme="minorHAnsi" w:cstheme="minorBidi"/>
          <w:color w:val="000000" w:themeColor="text1"/>
          <w:sz w:val="22"/>
          <w:szCs w:val="22"/>
          <w:lang w:val="en-AU"/>
        </w:rPr>
        <w:t xml:space="preserve"> compliance and enforcement activities</w:t>
      </w:r>
    </w:p>
    <w:p w14:paraId="2863D4F4" w14:textId="77777777" w:rsidR="00CF76B9" w:rsidRPr="00E91FB6" w:rsidRDefault="00CF76B9" w:rsidP="00CF76B9">
      <w:pPr>
        <w:pStyle w:val="BodyText"/>
        <w:numPr>
          <w:ilvl w:val="0"/>
          <w:numId w:val="19"/>
        </w:numPr>
        <w:tabs>
          <w:tab w:val="left" w:pos="851"/>
        </w:tabs>
        <w:kinsoku w:val="0"/>
        <w:overflowPunct w:val="0"/>
        <w:adjustRightInd w:val="0"/>
        <w:spacing w:before="120" w:after="120" w:line="276" w:lineRule="auto"/>
        <w:ind w:right="96"/>
        <w:rPr>
          <w:rFonts w:asciiTheme="minorHAnsi" w:eastAsiaTheme="minorHAnsi" w:hAnsiTheme="minorHAnsi" w:cstheme="minorBidi"/>
          <w:color w:val="000000" w:themeColor="text1"/>
          <w:sz w:val="22"/>
          <w:szCs w:val="22"/>
          <w:lang w:val="en-AU"/>
        </w:rPr>
      </w:pPr>
      <w:r>
        <w:rPr>
          <w:rFonts w:asciiTheme="minorHAnsi" w:eastAsiaTheme="minorHAnsi" w:hAnsiTheme="minorHAnsi" w:cstheme="minorBidi"/>
          <w:color w:val="000000" w:themeColor="text1"/>
          <w:sz w:val="22"/>
          <w:szCs w:val="22"/>
          <w:lang w:val="en-AU"/>
        </w:rPr>
        <w:t>TEQSA’s general approach to identifying and addressing non-compliance, including how TEQSA may use its powers.</w:t>
      </w:r>
    </w:p>
    <w:p w14:paraId="18ED6A83" w14:textId="1AB8E08E" w:rsidR="00CF76B9" w:rsidRPr="00886B3F" w:rsidRDefault="00CF76B9" w:rsidP="00CF76B9">
      <w:pPr>
        <w:pStyle w:val="BodyText"/>
        <w:tabs>
          <w:tab w:val="left" w:pos="851"/>
        </w:tabs>
        <w:kinsoku w:val="0"/>
        <w:overflowPunct w:val="0"/>
        <w:adjustRightInd w:val="0"/>
        <w:spacing w:before="120" w:after="120" w:line="276" w:lineRule="auto"/>
        <w:ind w:right="96"/>
        <w:rPr>
          <w:rFonts w:asciiTheme="minorHAnsi" w:eastAsiaTheme="minorHAnsi" w:hAnsiTheme="minorHAnsi" w:cstheme="minorBidi"/>
          <w:color w:val="000000" w:themeColor="text1"/>
          <w:sz w:val="22"/>
          <w:szCs w:val="22"/>
          <w:lang w:val="en-AU"/>
        </w:rPr>
      </w:pPr>
      <w:r w:rsidRPr="008553E7">
        <w:rPr>
          <w:sz w:val="22"/>
          <w:szCs w:val="22"/>
        </w:rPr>
        <w:t xml:space="preserve">This </w:t>
      </w:r>
      <w:r w:rsidRPr="001564F6">
        <w:rPr>
          <w:rFonts w:asciiTheme="minorHAnsi" w:eastAsiaTheme="minorHAnsi" w:hAnsiTheme="minorHAnsi" w:cstheme="minorBidi"/>
          <w:color w:val="000000" w:themeColor="text1"/>
          <w:sz w:val="22"/>
          <w:szCs w:val="22"/>
          <w:lang w:val="en-AU"/>
        </w:rPr>
        <w:t>policy</w:t>
      </w:r>
      <w:r w:rsidRPr="008553E7">
        <w:rPr>
          <w:sz w:val="22"/>
          <w:szCs w:val="22"/>
        </w:rPr>
        <w:t xml:space="preserve"> </w:t>
      </w:r>
      <w:r>
        <w:rPr>
          <w:sz w:val="22"/>
          <w:szCs w:val="22"/>
        </w:rPr>
        <w:t xml:space="preserve">sits within </w:t>
      </w:r>
      <w:hyperlink r:id="rId16" w:history="1">
        <w:r w:rsidRPr="00585EED">
          <w:rPr>
            <w:rStyle w:val="Hyperlink"/>
            <w:sz w:val="22"/>
            <w:szCs w:val="22"/>
          </w:rPr>
          <w:t>TEQSA’s Compliance Monitoring Framework</w:t>
        </w:r>
      </w:hyperlink>
      <w:r w:rsidR="004B30B6">
        <w:rPr>
          <w:sz w:val="22"/>
          <w:szCs w:val="22"/>
        </w:rPr>
        <w:t>.</w:t>
      </w:r>
    </w:p>
    <w:p w14:paraId="671BDD35" w14:textId="77777777" w:rsidR="00CF76B9" w:rsidRPr="00CF3E3B" w:rsidRDefault="00CF76B9" w:rsidP="00CF76B9">
      <w:pPr>
        <w:pStyle w:val="Heading2"/>
        <w:spacing w:before="360" w:after="120" w:line="240" w:lineRule="auto"/>
      </w:pPr>
      <w:r>
        <w:t>S</w:t>
      </w:r>
      <w:r w:rsidRPr="00CF3E3B">
        <w:t>cope</w:t>
      </w:r>
      <w:r>
        <w:t xml:space="preserve"> </w:t>
      </w:r>
    </w:p>
    <w:p w14:paraId="33022E3E" w14:textId="77777777" w:rsidR="00CF76B9" w:rsidRDefault="00CF76B9" w:rsidP="00CF76B9">
      <w:pPr>
        <w:pStyle w:val="BodyText"/>
        <w:spacing w:before="120" w:after="120" w:line="276" w:lineRule="auto"/>
        <w:ind w:right="164"/>
        <w:rPr>
          <w:sz w:val="22"/>
          <w:szCs w:val="22"/>
        </w:rPr>
      </w:pPr>
      <w:r>
        <w:rPr>
          <w:sz w:val="22"/>
          <w:szCs w:val="22"/>
        </w:rPr>
        <w:t xml:space="preserve">This policy applies to all compliance and enforcement activities undertaken in response to suspected or identified non-compliance.  </w:t>
      </w:r>
    </w:p>
    <w:p w14:paraId="75B4E141" w14:textId="77777777" w:rsidR="00CF76B9" w:rsidRDefault="00CF76B9" w:rsidP="00CF76B9">
      <w:pPr>
        <w:pStyle w:val="Heading2"/>
        <w:spacing w:before="360" w:after="120" w:line="240" w:lineRule="auto"/>
      </w:pPr>
      <w:r>
        <w:lastRenderedPageBreak/>
        <w:t>P</w:t>
      </w:r>
      <w:r w:rsidRPr="004C325E">
        <w:t>rinciples</w:t>
      </w:r>
      <w:r>
        <w:t xml:space="preserve"> </w:t>
      </w:r>
    </w:p>
    <w:p w14:paraId="3732678F" w14:textId="48004D2D" w:rsidR="00CF76B9" w:rsidRDefault="00CF76B9" w:rsidP="00CF76B9">
      <w:pPr>
        <w:pStyle w:val="BodyText"/>
        <w:spacing w:before="120" w:after="120" w:line="276" w:lineRule="auto"/>
        <w:ind w:right="164"/>
        <w:rPr>
          <w:sz w:val="22"/>
          <w:szCs w:val="22"/>
        </w:rPr>
      </w:pPr>
      <w:r>
        <w:rPr>
          <w:sz w:val="22"/>
          <w:szCs w:val="22"/>
        </w:rPr>
        <w:t xml:space="preserve">TEQSA has discretion in how it exercises its range of powers to address non-compliance. TEQSA uses its discretion to prioritise and allocate resources to address the greatest risks. </w:t>
      </w:r>
    </w:p>
    <w:p w14:paraId="23BBB6FC" w14:textId="4E9D832D" w:rsidR="00CF76B9" w:rsidRPr="005C6118" w:rsidRDefault="00CF76B9" w:rsidP="00CF76B9">
      <w:pPr>
        <w:pStyle w:val="BodyText"/>
        <w:spacing w:before="120" w:after="120" w:line="276" w:lineRule="auto"/>
        <w:ind w:right="164"/>
        <w:rPr>
          <w:sz w:val="22"/>
          <w:szCs w:val="22"/>
        </w:rPr>
      </w:pPr>
      <w:r w:rsidRPr="007D1FC5">
        <w:rPr>
          <w:rFonts w:cstheme="minorHAnsi"/>
          <w:sz w:val="22"/>
          <w:szCs w:val="22"/>
        </w:rPr>
        <w:t>Compliance and enforcement activities are prioritised for action based on TEQSA’s compliance priorities</w:t>
      </w:r>
      <w:r w:rsidR="009D76DF">
        <w:rPr>
          <w:rFonts w:cstheme="minorHAnsi"/>
          <w:sz w:val="22"/>
          <w:szCs w:val="22"/>
        </w:rPr>
        <w:t xml:space="preserve"> as</w:t>
      </w:r>
      <w:r w:rsidRPr="007D1FC5">
        <w:rPr>
          <w:rFonts w:cstheme="minorHAnsi"/>
          <w:sz w:val="22"/>
          <w:szCs w:val="22"/>
        </w:rPr>
        <w:t xml:space="preserve"> set by the TEQSA Commission, with resources targeted toward specific </w:t>
      </w:r>
      <w:r w:rsidR="004809BE">
        <w:rPr>
          <w:rFonts w:cstheme="minorHAnsi"/>
          <w:sz w:val="22"/>
          <w:szCs w:val="22"/>
        </w:rPr>
        <w:t>issues</w:t>
      </w:r>
      <w:r w:rsidR="004809BE" w:rsidRPr="007D1FC5">
        <w:rPr>
          <w:rFonts w:cstheme="minorHAnsi"/>
          <w:sz w:val="22"/>
          <w:szCs w:val="22"/>
        </w:rPr>
        <w:t xml:space="preserve"> </w:t>
      </w:r>
      <w:r w:rsidRPr="007D1FC5">
        <w:rPr>
          <w:rFonts w:cstheme="minorHAnsi"/>
          <w:sz w:val="22"/>
          <w:szCs w:val="22"/>
        </w:rPr>
        <w:t>or behaviours that pose the greatest risk of harm to students</w:t>
      </w:r>
      <w:r>
        <w:rPr>
          <w:rFonts w:cstheme="minorHAnsi"/>
          <w:sz w:val="22"/>
          <w:szCs w:val="22"/>
        </w:rPr>
        <w:t xml:space="preserve"> </w:t>
      </w:r>
      <w:r w:rsidRPr="007D1FC5">
        <w:rPr>
          <w:rFonts w:cstheme="minorHAnsi"/>
          <w:sz w:val="22"/>
          <w:szCs w:val="22"/>
        </w:rPr>
        <w:t>and the quality, integrity and reputation of the higher education sector.</w:t>
      </w:r>
    </w:p>
    <w:p w14:paraId="36E78B96" w14:textId="0BBE284C" w:rsidR="00601D62" w:rsidRDefault="00CF76B9" w:rsidP="00CF76B9">
      <w:pPr>
        <w:rPr>
          <w:rFonts w:cs="Arial"/>
        </w:rPr>
      </w:pPr>
      <w:r>
        <w:rPr>
          <w:rFonts w:cs="Arial"/>
        </w:rPr>
        <w:t xml:space="preserve">TEQSA is guided by </w:t>
      </w:r>
      <w:r w:rsidR="008438BF">
        <w:rPr>
          <w:rFonts w:cs="Arial"/>
        </w:rPr>
        <w:t xml:space="preserve">3 </w:t>
      </w:r>
      <w:r>
        <w:rPr>
          <w:rFonts w:cs="Arial"/>
        </w:rPr>
        <w:t>basic principles set out in the TEQSA Act when exercising our compliance function or using our enforcement powers:</w:t>
      </w:r>
    </w:p>
    <w:p w14:paraId="37D76BC2" w14:textId="191CA203" w:rsidR="005E170C" w:rsidRDefault="00CF76B9" w:rsidP="005E170C">
      <w:pPr>
        <w:pStyle w:val="ListParagraph"/>
        <w:numPr>
          <w:ilvl w:val="0"/>
          <w:numId w:val="21"/>
        </w:numPr>
        <w:rPr>
          <w:rFonts w:cs="Arial"/>
        </w:rPr>
      </w:pPr>
      <w:r w:rsidRPr="005E170C">
        <w:rPr>
          <w:rFonts w:cs="Arial"/>
        </w:rPr>
        <w:t>regulatory necessity</w:t>
      </w:r>
    </w:p>
    <w:p w14:paraId="05DA9AD2" w14:textId="1AE4D4E3" w:rsidR="005E170C" w:rsidRDefault="00CF76B9" w:rsidP="005E170C">
      <w:pPr>
        <w:pStyle w:val="ListParagraph"/>
        <w:numPr>
          <w:ilvl w:val="0"/>
          <w:numId w:val="21"/>
        </w:numPr>
        <w:rPr>
          <w:rFonts w:cs="Arial"/>
        </w:rPr>
      </w:pPr>
      <w:r w:rsidRPr="005E170C">
        <w:rPr>
          <w:rFonts w:cs="Arial"/>
        </w:rPr>
        <w:t xml:space="preserve">reflecting risk </w:t>
      </w:r>
    </w:p>
    <w:p w14:paraId="6B79C6E8" w14:textId="77777777" w:rsidR="005E170C" w:rsidRDefault="00CF76B9" w:rsidP="005E170C">
      <w:pPr>
        <w:pStyle w:val="ListParagraph"/>
        <w:numPr>
          <w:ilvl w:val="0"/>
          <w:numId w:val="21"/>
        </w:numPr>
        <w:rPr>
          <w:rFonts w:cs="Arial"/>
        </w:rPr>
      </w:pPr>
      <w:r w:rsidRPr="005E170C">
        <w:rPr>
          <w:rFonts w:cs="Arial"/>
        </w:rPr>
        <w:t xml:space="preserve">proportionate regulation. </w:t>
      </w:r>
    </w:p>
    <w:p w14:paraId="7367B9CF" w14:textId="57C7BEF0" w:rsidR="00CF76B9" w:rsidRPr="005E170C" w:rsidRDefault="00CF76B9" w:rsidP="005E170C">
      <w:pPr>
        <w:rPr>
          <w:rFonts w:cs="Arial"/>
        </w:rPr>
      </w:pPr>
      <w:r w:rsidRPr="0040233A">
        <w:t xml:space="preserve">TEQSA’s </w:t>
      </w:r>
      <w:hyperlink r:id="rId17" w:anchor=":~:text=TEQSA%20effectively%20uses%20information%20and,to%20manage%20key%20compliance%20risks.&amp;text=Regulatory%20practice%20and%20decision%2Dmaking,intervening%20to%20address%20risk%20early." w:history="1">
        <w:r w:rsidRPr="009E00BF">
          <w:rPr>
            <w:rStyle w:val="Hyperlink"/>
          </w:rPr>
          <w:t>Compliance Monitoring Framework</w:t>
        </w:r>
      </w:hyperlink>
      <w:r w:rsidRPr="0040233A">
        <w:t xml:space="preserve"> </w:t>
      </w:r>
      <w:r>
        <w:t xml:space="preserve">sets out these and other overarching principles that guide TEQSA’s </w:t>
      </w:r>
      <w:r w:rsidRPr="0040233A">
        <w:t>compliance and enforcement activities</w:t>
      </w:r>
      <w:r>
        <w:t>.</w:t>
      </w:r>
    </w:p>
    <w:p w14:paraId="39B514FA" w14:textId="77777777" w:rsidR="00CF76B9" w:rsidRPr="00C81B87" w:rsidRDefault="00CF76B9" w:rsidP="00CF76B9">
      <w:r>
        <w:t>In determining the most appropriate compliance and enforcement action to take, TEQSA considers</w:t>
      </w:r>
      <w:r w:rsidRPr="00C81B87">
        <w:t>:</w:t>
      </w:r>
    </w:p>
    <w:p w14:paraId="72F28838" w14:textId="77777777" w:rsidR="00CF76B9" w:rsidRDefault="00CF76B9" w:rsidP="00CF76B9">
      <w:pPr>
        <w:pStyle w:val="Bullet1"/>
        <w:ind w:left="709"/>
      </w:pPr>
      <w:r>
        <w:t>t</w:t>
      </w:r>
      <w:r w:rsidRPr="00BE702E">
        <w:t>he</w:t>
      </w:r>
      <w:r>
        <w:t xml:space="preserve"> severity and scale of the potential or actual harm</w:t>
      </w:r>
    </w:p>
    <w:p w14:paraId="5D60BE88" w14:textId="66A8B0D4" w:rsidR="00CF76B9" w:rsidRPr="00BE702E" w:rsidRDefault="00CF76B9" w:rsidP="00CF76B9">
      <w:pPr>
        <w:pStyle w:val="Bullet1"/>
        <w:ind w:left="709"/>
      </w:pPr>
      <w:r>
        <w:t>the</w:t>
      </w:r>
      <w:r w:rsidRPr="00BE702E">
        <w:t xml:space="preserve"> likelihood of harm occurring or reoccurring</w:t>
      </w:r>
      <w:r w:rsidR="000630B6">
        <w:t xml:space="preserve">  </w:t>
      </w:r>
    </w:p>
    <w:p w14:paraId="637A60B7" w14:textId="77777777" w:rsidR="00CF76B9" w:rsidRDefault="00CF76B9" w:rsidP="00CF76B9">
      <w:pPr>
        <w:pStyle w:val="Bullet1"/>
        <w:ind w:left="709"/>
      </w:pPr>
      <w:r>
        <w:t xml:space="preserve">the </w:t>
      </w:r>
      <w:r w:rsidRPr="00BE702E">
        <w:t xml:space="preserve">regulated entity’s regulatory history </w:t>
      </w:r>
      <w:r>
        <w:t>as set</w:t>
      </w:r>
      <w:r w:rsidRPr="00BE702E">
        <w:t xml:space="preserve"> in section 15(1a) of the TEQSA Act</w:t>
      </w:r>
      <w:r>
        <w:t xml:space="preserve"> </w:t>
      </w:r>
    </w:p>
    <w:p w14:paraId="68DD293D" w14:textId="77777777" w:rsidR="00CF76B9" w:rsidRPr="00BE702E" w:rsidRDefault="00CF76B9" w:rsidP="00CF76B9">
      <w:pPr>
        <w:pStyle w:val="Bullet1"/>
        <w:ind w:left="709"/>
      </w:pPr>
      <w:r>
        <w:t>the ability of the entity to adequately mitigate the specific risks</w:t>
      </w:r>
    </w:p>
    <w:p w14:paraId="0784046C" w14:textId="77777777" w:rsidR="00CF76B9" w:rsidRDefault="00CF76B9" w:rsidP="00CF76B9">
      <w:pPr>
        <w:pStyle w:val="Bullet1"/>
        <w:ind w:left="709"/>
      </w:pPr>
      <w:r>
        <w:t>whether the burden associated with a particular response is greater than reasonably necessary</w:t>
      </w:r>
    </w:p>
    <w:p w14:paraId="6EAA4EFD" w14:textId="77777777" w:rsidR="00CF76B9" w:rsidRDefault="00CF76B9" w:rsidP="00CF76B9">
      <w:pPr>
        <w:pStyle w:val="Bullet1"/>
        <w:ind w:left="709"/>
      </w:pPr>
      <w:r w:rsidRPr="00BE702E">
        <w:rPr>
          <w:rFonts w:ascii="Arial" w:eastAsia="Calibri" w:hAnsi="Arial" w:cs="Arial"/>
          <w:color w:val="000000"/>
        </w:rPr>
        <w:t>the culpability</w:t>
      </w:r>
      <w:r>
        <w:t xml:space="preserve"> of those offending</w:t>
      </w:r>
      <w:r w:rsidRPr="00C81B87">
        <w:t>, such as whether it was accidental or wilful</w:t>
      </w:r>
    </w:p>
    <w:p w14:paraId="16A5431D" w14:textId="52B29B26" w:rsidR="00CF76B9" w:rsidRDefault="00CF76B9" w:rsidP="00CF76B9">
      <w:pPr>
        <w:pStyle w:val="Bullet1"/>
        <w:ind w:left="709"/>
      </w:pPr>
      <w:r>
        <w:t>the wider relevance of the event, such as serious public concern and</w:t>
      </w:r>
      <w:r w:rsidR="00FD6398">
        <w:t xml:space="preserve"> </w:t>
      </w:r>
      <w:r w:rsidR="000B33C5">
        <w:t>potential impacts</w:t>
      </w:r>
      <w:r w:rsidR="00FD6398">
        <w:t xml:space="preserve"> on the broader sector.</w:t>
      </w:r>
    </w:p>
    <w:p w14:paraId="5D0C651C" w14:textId="77777777" w:rsidR="00CF76B9" w:rsidRPr="00671332" w:rsidRDefault="00CF76B9" w:rsidP="00CF76B9">
      <w:pPr>
        <w:pStyle w:val="Heading2"/>
        <w:spacing w:before="360" w:after="120" w:line="240" w:lineRule="auto"/>
      </w:pPr>
      <w:bookmarkStart w:id="3" w:name="Referrals"/>
      <w:bookmarkStart w:id="4" w:name="_bookmark42"/>
      <w:bookmarkEnd w:id="3"/>
      <w:bookmarkEnd w:id="4"/>
      <w:r w:rsidRPr="00671332">
        <w:t>Identifying</w:t>
      </w:r>
      <w:r>
        <w:t xml:space="preserve"> and assessing</w:t>
      </w:r>
      <w:r w:rsidRPr="00671332">
        <w:t xml:space="preserve"> non-compliance</w:t>
      </w:r>
    </w:p>
    <w:p w14:paraId="3F8FB824" w14:textId="77777777" w:rsidR="00CF76B9" w:rsidRPr="00676360" w:rsidRDefault="00CF76B9" w:rsidP="00CF76B9">
      <w:pPr>
        <w:spacing w:line="276" w:lineRule="auto"/>
        <w:rPr>
          <w:rFonts w:ascii="Arial" w:hAnsi="Arial" w:cs="Arial"/>
          <w:color w:val="auto"/>
        </w:rPr>
      </w:pPr>
      <w:r>
        <w:rPr>
          <w:rFonts w:ascii="Arial" w:hAnsi="Arial" w:cs="Arial"/>
        </w:rPr>
        <w:t xml:space="preserve">TEQSA becomes aware of potential non-compliance </w:t>
      </w:r>
      <w:r w:rsidRPr="00676360">
        <w:rPr>
          <w:rFonts w:ascii="Arial" w:hAnsi="Arial" w:cs="Arial"/>
          <w:color w:val="auto"/>
        </w:rPr>
        <w:t xml:space="preserve">through a </w:t>
      </w:r>
      <w:r>
        <w:rPr>
          <w:rFonts w:ascii="Arial" w:hAnsi="Arial" w:cs="Arial"/>
          <w:color w:val="auto"/>
        </w:rPr>
        <w:t xml:space="preserve">range </w:t>
      </w:r>
      <w:r w:rsidRPr="00676360">
        <w:rPr>
          <w:rFonts w:ascii="Arial" w:hAnsi="Arial" w:cs="Arial"/>
          <w:color w:val="auto"/>
        </w:rPr>
        <w:t>of</w:t>
      </w:r>
      <w:r>
        <w:rPr>
          <w:rFonts w:ascii="Arial" w:hAnsi="Arial" w:cs="Arial"/>
          <w:color w:val="auto"/>
        </w:rPr>
        <w:t xml:space="preserve"> sources including</w:t>
      </w:r>
      <w:r w:rsidRPr="00676360">
        <w:rPr>
          <w:rFonts w:ascii="Arial" w:hAnsi="Arial" w:cs="Arial"/>
          <w:color w:val="auto"/>
        </w:rPr>
        <w:t>:</w:t>
      </w:r>
    </w:p>
    <w:p w14:paraId="0798162C" w14:textId="77777777" w:rsidR="00CF76B9" w:rsidRDefault="00CF76B9" w:rsidP="00CF76B9">
      <w:pPr>
        <w:pStyle w:val="Bullet1"/>
        <w:ind w:left="709"/>
      </w:pPr>
      <w:r>
        <w:t>voluntary disclosure by the regulated entity</w:t>
      </w:r>
    </w:p>
    <w:p w14:paraId="70974855" w14:textId="77777777" w:rsidR="00CF76B9" w:rsidRPr="00676360" w:rsidRDefault="00CF76B9" w:rsidP="00CF76B9">
      <w:pPr>
        <w:pStyle w:val="Bullet1"/>
        <w:ind w:left="709"/>
      </w:pPr>
      <w:r w:rsidRPr="00676360">
        <w:t xml:space="preserve">cyclical assessments for </w:t>
      </w:r>
      <w:r>
        <w:t xml:space="preserve">renewal of TEQSA and CRICOS </w:t>
      </w:r>
      <w:r w:rsidRPr="00676360">
        <w:t xml:space="preserve">registration </w:t>
      </w:r>
      <w:r>
        <w:t>or</w:t>
      </w:r>
      <w:r w:rsidRPr="00676360">
        <w:t xml:space="preserve"> </w:t>
      </w:r>
      <w:r>
        <w:t xml:space="preserve">course </w:t>
      </w:r>
      <w:r w:rsidRPr="00676360">
        <w:t>accreditation</w:t>
      </w:r>
    </w:p>
    <w:p w14:paraId="14C3243D" w14:textId="77777777" w:rsidR="00CF76B9" w:rsidRPr="003843DA" w:rsidRDefault="00CF76B9" w:rsidP="00CF76B9">
      <w:pPr>
        <w:pStyle w:val="Bullet1"/>
        <w:ind w:left="709"/>
      </w:pPr>
      <w:r w:rsidRPr="003843DA">
        <w:t>sector-wide thematic analyses</w:t>
      </w:r>
    </w:p>
    <w:p w14:paraId="1D5207D0" w14:textId="77777777" w:rsidR="00CF76B9" w:rsidRDefault="00CF76B9" w:rsidP="00CF76B9">
      <w:pPr>
        <w:pStyle w:val="Bullet1"/>
        <w:ind w:left="709"/>
      </w:pPr>
      <w:r>
        <w:t>monitoring of compliance with conditions imposed on TEQSA or CRICOS registration or course accreditation</w:t>
      </w:r>
    </w:p>
    <w:p w14:paraId="6F026D42" w14:textId="77777777" w:rsidR="00CF76B9" w:rsidRDefault="00CF76B9" w:rsidP="00CF76B9">
      <w:pPr>
        <w:pStyle w:val="Bullet1"/>
        <w:ind w:left="709"/>
      </w:pPr>
      <w:r w:rsidRPr="00FC05E4">
        <w:rPr>
          <w:lang w:val="en" w:eastAsia="en-AU"/>
        </w:rPr>
        <w:t>intelligence gained from media monitoring or from other sources</w:t>
      </w:r>
      <w:r>
        <w:rPr>
          <w:lang w:val="en" w:eastAsia="en-AU"/>
        </w:rPr>
        <w:t>, including other government departments</w:t>
      </w:r>
    </w:p>
    <w:p w14:paraId="4B266DBE" w14:textId="76022698" w:rsidR="00CF76B9" w:rsidRDefault="00CF76B9" w:rsidP="00CF76B9">
      <w:pPr>
        <w:pStyle w:val="Bullet1"/>
        <w:ind w:left="709"/>
      </w:pPr>
      <w:r w:rsidRPr="00676360">
        <w:t xml:space="preserve">the </w:t>
      </w:r>
      <w:r w:rsidR="0033505F">
        <w:t>assessment</w:t>
      </w:r>
      <w:r w:rsidR="0033505F" w:rsidRPr="00676360">
        <w:t xml:space="preserve"> </w:t>
      </w:r>
      <w:r w:rsidRPr="00676360">
        <w:t xml:space="preserve">of </w:t>
      </w:r>
      <w:r w:rsidR="0033505F">
        <w:t>concerns from</w:t>
      </w:r>
      <w:r w:rsidRPr="00F03F91">
        <w:t xml:space="preserve"> students, the community or other providers</w:t>
      </w:r>
      <w:r>
        <w:t>.</w:t>
      </w:r>
    </w:p>
    <w:p w14:paraId="1C4CFA1A" w14:textId="5F137A04" w:rsidR="00CF76B9" w:rsidRDefault="00CF76B9" w:rsidP="00CF76B9">
      <w:pPr>
        <w:spacing w:line="276" w:lineRule="auto"/>
        <w:rPr>
          <w:rFonts w:ascii="Arial" w:hAnsi="Arial" w:cs="Arial"/>
        </w:rPr>
      </w:pPr>
      <w:r>
        <w:rPr>
          <w:rFonts w:ascii="Arial" w:hAnsi="Arial" w:cs="Arial"/>
        </w:rPr>
        <w:t xml:space="preserve">All information in relation to potential non-compliance is subject to </w:t>
      </w:r>
      <w:r w:rsidR="0033505F">
        <w:rPr>
          <w:rFonts w:ascii="Arial" w:hAnsi="Arial" w:cs="Arial"/>
          <w:bCs/>
        </w:rPr>
        <w:t xml:space="preserve">triaging to ensure we </w:t>
      </w:r>
      <w:r>
        <w:rPr>
          <w:rFonts w:ascii="Arial" w:hAnsi="Arial" w:cs="Arial"/>
        </w:rPr>
        <w:t xml:space="preserve"> prioritise the concern and determine next steps. As part of this preliminary assessment, </w:t>
      </w:r>
      <w:r>
        <w:rPr>
          <w:rFonts w:ascii="Arial" w:hAnsi="Arial" w:cs="Arial"/>
        </w:rPr>
        <w:lastRenderedPageBreak/>
        <w:t xml:space="preserve">TEQSA may </w:t>
      </w:r>
      <w:r w:rsidRPr="00245EB5">
        <w:t>mak</w:t>
      </w:r>
      <w:r>
        <w:t>e</w:t>
      </w:r>
      <w:r w:rsidRPr="00245EB5">
        <w:t xml:space="preserve"> further enquiries to </w:t>
      </w:r>
      <w:r>
        <w:t xml:space="preserve">ensure it has enough information to understand and assess the </w:t>
      </w:r>
      <w:r w:rsidRPr="00245EB5">
        <w:t>suspected non-compliance</w:t>
      </w:r>
      <w:r>
        <w:t>.</w:t>
      </w:r>
    </w:p>
    <w:p w14:paraId="50237662" w14:textId="77777777" w:rsidR="00CF76B9" w:rsidRPr="00430A0E" w:rsidRDefault="00CF76B9" w:rsidP="00CF76B9">
      <w:pPr>
        <w:pStyle w:val="Heading2"/>
        <w:tabs>
          <w:tab w:val="left" w:pos="993"/>
        </w:tabs>
        <w:kinsoku w:val="0"/>
        <w:overflowPunct w:val="0"/>
        <w:spacing w:before="240" w:after="120" w:line="240" w:lineRule="auto"/>
        <w:rPr>
          <w:rFonts w:cstheme="minorHAnsi"/>
          <w:b/>
        </w:rPr>
      </w:pPr>
      <w:r w:rsidRPr="00430A0E">
        <w:rPr>
          <w:rFonts w:asciiTheme="minorHAnsi" w:hAnsiTheme="minorHAnsi" w:cstheme="minorHAnsi"/>
          <w:b/>
          <w:sz w:val="22"/>
          <w:szCs w:val="22"/>
        </w:rPr>
        <w:t>Compliance assessments</w:t>
      </w:r>
      <w:r>
        <w:rPr>
          <w:rFonts w:asciiTheme="minorHAnsi" w:hAnsiTheme="minorHAnsi" w:cstheme="minorHAnsi"/>
          <w:b/>
          <w:sz w:val="22"/>
          <w:szCs w:val="22"/>
        </w:rPr>
        <w:t xml:space="preserve"> and investigations</w:t>
      </w:r>
    </w:p>
    <w:p w14:paraId="7B817D9E" w14:textId="747E8846" w:rsidR="00CF76B9" w:rsidRDefault="00CF76B9" w:rsidP="00CF76B9">
      <w:pPr>
        <w:widowControl w:val="0"/>
        <w:tabs>
          <w:tab w:val="left" w:pos="426"/>
        </w:tabs>
        <w:kinsoku w:val="0"/>
        <w:overflowPunct w:val="0"/>
        <w:autoSpaceDE w:val="0"/>
        <w:autoSpaceDN w:val="0"/>
        <w:adjustRightInd w:val="0"/>
        <w:spacing w:line="276" w:lineRule="auto"/>
        <w:ind w:right="95"/>
        <w:rPr>
          <w:rFonts w:cstheme="minorHAnsi"/>
          <w:color w:val="auto"/>
        </w:rPr>
      </w:pPr>
      <w:r>
        <w:rPr>
          <w:rFonts w:cstheme="minorHAnsi"/>
          <w:color w:val="auto"/>
        </w:rPr>
        <w:t xml:space="preserve">If a concern is assessed as </w:t>
      </w:r>
      <w:r w:rsidRPr="00A615D3">
        <w:rPr>
          <w:rFonts w:cstheme="minorHAnsi"/>
          <w:color w:val="auto"/>
        </w:rPr>
        <w:t>warrant</w:t>
      </w:r>
      <w:r>
        <w:rPr>
          <w:rFonts w:cstheme="minorHAnsi"/>
          <w:color w:val="auto"/>
        </w:rPr>
        <w:t>ing</w:t>
      </w:r>
      <w:r w:rsidRPr="00A615D3">
        <w:rPr>
          <w:rFonts w:cstheme="minorHAnsi"/>
          <w:color w:val="auto"/>
        </w:rPr>
        <w:t xml:space="preserve"> further consideration, TEQSA will commence a</w:t>
      </w:r>
      <w:r>
        <w:rPr>
          <w:rFonts w:cstheme="minorHAnsi"/>
          <w:color w:val="auto"/>
        </w:rPr>
        <w:t>n assessment</w:t>
      </w:r>
      <w:r w:rsidRPr="00A615D3">
        <w:rPr>
          <w:rFonts w:cstheme="minorHAnsi"/>
          <w:color w:val="auto"/>
        </w:rPr>
        <w:t xml:space="preserve"> </w:t>
      </w:r>
      <w:r>
        <w:rPr>
          <w:rFonts w:cstheme="minorHAnsi"/>
          <w:color w:val="auto"/>
        </w:rPr>
        <w:t>of compliance. This is a detailed examination of a regulated entity’s compliance with the TEQSA Act, the ESOS Act or the relevant standards</w:t>
      </w:r>
      <w:r>
        <w:rPr>
          <w:rStyle w:val="FootnoteReference"/>
          <w:rFonts w:cstheme="minorHAnsi"/>
          <w:color w:val="auto"/>
        </w:rPr>
        <w:footnoteReference w:id="1"/>
      </w:r>
      <w:r>
        <w:rPr>
          <w:rFonts w:cstheme="minorHAnsi"/>
          <w:color w:val="auto"/>
        </w:rPr>
        <w:t xml:space="preserve">. </w:t>
      </w:r>
    </w:p>
    <w:p w14:paraId="45F42C84" w14:textId="3848857C" w:rsidR="006F0ACC" w:rsidRDefault="006F0ACC" w:rsidP="00CF76B9">
      <w:pPr>
        <w:widowControl w:val="0"/>
        <w:tabs>
          <w:tab w:val="left" w:pos="426"/>
        </w:tabs>
        <w:kinsoku w:val="0"/>
        <w:overflowPunct w:val="0"/>
        <w:autoSpaceDE w:val="0"/>
        <w:autoSpaceDN w:val="0"/>
        <w:adjustRightInd w:val="0"/>
        <w:spacing w:line="276" w:lineRule="auto"/>
        <w:ind w:right="95"/>
        <w:rPr>
          <w:rFonts w:cstheme="minorHAnsi"/>
          <w:color w:val="auto"/>
        </w:rPr>
      </w:pPr>
      <w:r w:rsidRPr="006F0ACC">
        <w:rPr>
          <w:rFonts w:cstheme="minorHAnsi"/>
          <w:color w:val="auto"/>
        </w:rPr>
        <w:t>TEQSA takes care only to commence</w:t>
      </w:r>
      <w:r>
        <w:rPr>
          <w:rFonts w:cstheme="minorHAnsi"/>
          <w:color w:val="auto"/>
        </w:rPr>
        <w:t xml:space="preserve"> </w:t>
      </w:r>
      <w:r w:rsidRPr="006F0ACC">
        <w:rPr>
          <w:rFonts w:cstheme="minorHAnsi"/>
          <w:color w:val="auto"/>
        </w:rPr>
        <w:t xml:space="preserve">compliance assessments where there is a reasonable basis to a concern </w:t>
      </w:r>
      <w:r>
        <w:rPr>
          <w:rFonts w:cstheme="minorHAnsi"/>
          <w:color w:val="auto"/>
        </w:rPr>
        <w:t>about non-compliance with the Threshold Standards</w:t>
      </w:r>
      <w:r w:rsidRPr="006F0ACC">
        <w:rPr>
          <w:rFonts w:cstheme="minorHAnsi"/>
          <w:color w:val="auto"/>
        </w:rPr>
        <w:t xml:space="preserve">. </w:t>
      </w:r>
    </w:p>
    <w:p w14:paraId="31BD0572" w14:textId="435CA476" w:rsidR="00CF76B9" w:rsidRPr="001E2BE6" w:rsidRDefault="00CF76B9" w:rsidP="00CF76B9">
      <w:pPr>
        <w:widowControl w:val="0"/>
        <w:tabs>
          <w:tab w:val="left" w:pos="426"/>
        </w:tabs>
        <w:kinsoku w:val="0"/>
        <w:overflowPunct w:val="0"/>
        <w:autoSpaceDE w:val="0"/>
        <w:autoSpaceDN w:val="0"/>
        <w:adjustRightInd w:val="0"/>
        <w:spacing w:line="276" w:lineRule="auto"/>
        <w:ind w:right="95"/>
      </w:pPr>
      <w:r>
        <w:rPr>
          <w:rFonts w:cstheme="minorHAnsi"/>
          <w:color w:val="auto"/>
        </w:rPr>
        <w:t>Where an assessment of a possible contravention of the TEQSA Act or ESOS Act may lead to court proceedings, this may take the form of an investigation. An i</w:t>
      </w:r>
      <w:r w:rsidRPr="007E56CF">
        <w:rPr>
          <w:rFonts w:cstheme="minorHAnsi"/>
          <w:color w:val="auto"/>
        </w:rPr>
        <w:t xml:space="preserve">nvestigation </w:t>
      </w:r>
      <w:r>
        <w:rPr>
          <w:rFonts w:cstheme="minorHAnsi"/>
          <w:color w:val="auto"/>
        </w:rPr>
        <w:t>is</w:t>
      </w:r>
      <w:r w:rsidRPr="007E56CF">
        <w:rPr>
          <w:rFonts w:cstheme="minorHAnsi"/>
          <w:color w:val="auto"/>
        </w:rPr>
        <w:t xml:space="preserve"> undertaken in accordance with the </w:t>
      </w:r>
      <w:hyperlink r:id="rId18" w:history="1">
        <w:r w:rsidRPr="00C43736">
          <w:rPr>
            <w:rStyle w:val="Hyperlink"/>
            <w:rFonts w:cstheme="minorHAnsi"/>
          </w:rPr>
          <w:t>Australian Government Investigations Standards</w:t>
        </w:r>
      </w:hyperlink>
      <w:r>
        <w:rPr>
          <w:rFonts w:cstheme="minorHAnsi"/>
          <w:color w:val="auto"/>
        </w:rPr>
        <w:t xml:space="preserve"> for </w:t>
      </w:r>
      <w:r>
        <w:t>t</w:t>
      </w:r>
      <w:r w:rsidRPr="001E2BE6">
        <w:t>he purpose of gather</w:t>
      </w:r>
      <w:r>
        <w:t>ing</w:t>
      </w:r>
      <w:r w:rsidRPr="001E2BE6">
        <w:t xml:space="preserve"> admissible evidence to support </w:t>
      </w:r>
      <w:r>
        <w:t>court</w:t>
      </w:r>
      <w:r w:rsidRPr="001E2BE6">
        <w:t xml:space="preserve"> proceedings. </w:t>
      </w:r>
    </w:p>
    <w:p w14:paraId="3B86A162" w14:textId="2A0DC10C" w:rsidR="00CF76B9" w:rsidRDefault="00CF76B9" w:rsidP="00CF76B9">
      <w:pPr>
        <w:widowControl w:val="0"/>
        <w:tabs>
          <w:tab w:val="left" w:pos="426"/>
        </w:tabs>
        <w:kinsoku w:val="0"/>
        <w:overflowPunct w:val="0"/>
        <w:autoSpaceDE w:val="0"/>
        <w:autoSpaceDN w:val="0"/>
        <w:adjustRightInd w:val="0"/>
        <w:spacing w:line="276" w:lineRule="auto"/>
        <w:ind w:right="95"/>
        <w:rPr>
          <w:rFonts w:cstheme="minorHAnsi"/>
          <w:color w:val="auto"/>
        </w:rPr>
      </w:pPr>
      <w:r w:rsidRPr="00A615D3">
        <w:rPr>
          <w:rFonts w:cstheme="minorHAnsi"/>
          <w:color w:val="auto"/>
        </w:rPr>
        <w:t xml:space="preserve">TEQSA will notify a regulated entity that a compliance </w:t>
      </w:r>
      <w:r>
        <w:rPr>
          <w:rFonts w:cstheme="minorHAnsi"/>
          <w:color w:val="auto"/>
        </w:rPr>
        <w:t>assessment</w:t>
      </w:r>
      <w:r w:rsidRPr="00A615D3">
        <w:rPr>
          <w:rFonts w:cstheme="minorHAnsi"/>
          <w:color w:val="auto"/>
        </w:rPr>
        <w:t xml:space="preserve"> </w:t>
      </w:r>
      <w:r>
        <w:rPr>
          <w:rFonts w:cstheme="minorHAnsi"/>
          <w:color w:val="auto"/>
        </w:rPr>
        <w:t xml:space="preserve">or investigation </w:t>
      </w:r>
      <w:r w:rsidRPr="00A615D3">
        <w:rPr>
          <w:rFonts w:cstheme="minorHAnsi"/>
          <w:color w:val="auto"/>
        </w:rPr>
        <w:t>has commenced and will describe the nature of the concerns</w:t>
      </w:r>
      <w:r w:rsidR="005A34A9">
        <w:rPr>
          <w:rFonts w:cstheme="minorHAnsi"/>
          <w:color w:val="auto"/>
        </w:rPr>
        <w:t xml:space="preserve"> and the scope of the assessment</w:t>
      </w:r>
      <w:r w:rsidRPr="00A615D3">
        <w:rPr>
          <w:rFonts w:cstheme="minorHAnsi"/>
          <w:color w:val="auto"/>
        </w:rPr>
        <w:t xml:space="preserve">. </w:t>
      </w:r>
      <w:r>
        <w:rPr>
          <w:rFonts w:cstheme="minorHAnsi"/>
          <w:color w:val="auto"/>
        </w:rPr>
        <w:t xml:space="preserve"> </w:t>
      </w:r>
    </w:p>
    <w:p w14:paraId="36EA0491" w14:textId="77777777" w:rsidR="00CF76B9" w:rsidRPr="001A4FDE" w:rsidRDefault="00CF76B9" w:rsidP="00CF76B9">
      <w:pPr>
        <w:spacing w:line="276" w:lineRule="auto"/>
        <w:rPr>
          <w:b/>
        </w:rPr>
      </w:pPr>
      <w:r>
        <w:rPr>
          <w:rFonts w:ascii="Arial" w:hAnsi="Arial" w:cs="Arial"/>
        </w:rPr>
        <w:t xml:space="preserve">Evidence to support a compliance assessment or investigation may </w:t>
      </w:r>
      <w:r>
        <w:rPr>
          <w:color w:val="auto"/>
          <w:lang w:val="en-US"/>
        </w:rPr>
        <w:t>be obtained through a number of mechanisms including, but not limited, to:</w:t>
      </w:r>
    </w:p>
    <w:p w14:paraId="4ABE11F5" w14:textId="77777777" w:rsidR="00CF76B9" w:rsidRPr="00CF6A11" w:rsidRDefault="00CF76B9" w:rsidP="00CF76B9">
      <w:pPr>
        <w:pStyle w:val="Bullet1"/>
        <w:spacing w:line="276" w:lineRule="auto"/>
        <w:ind w:left="709"/>
      </w:pPr>
      <w:r w:rsidRPr="002F26F6">
        <w:rPr>
          <w:b/>
        </w:rPr>
        <w:t>Statutory</w:t>
      </w:r>
      <w:r w:rsidRPr="00CF6A11">
        <w:rPr>
          <w:b/>
        </w:rPr>
        <w:t xml:space="preserve"> and non-statutory requests for information</w:t>
      </w:r>
      <w:r w:rsidRPr="00CF6A11">
        <w:t xml:space="preserve">. TEQSA may seek information voluntarily or may rely on statutory powers to require the production of information. </w:t>
      </w:r>
    </w:p>
    <w:p w14:paraId="78C3B154" w14:textId="77777777" w:rsidR="00CF76B9" w:rsidRPr="00CF6A11" w:rsidRDefault="00CF76B9" w:rsidP="00CF76B9">
      <w:pPr>
        <w:pStyle w:val="Bullet1"/>
        <w:widowControl w:val="0"/>
        <w:tabs>
          <w:tab w:val="left" w:pos="426"/>
        </w:tabs>
        <w:kinsoku w:val="0"/>
        <w:overflowPunct w:val="0"/>
        <w:autoSpaceDE w:val="0"/>
        <w:autoSpaceDN w:val="0"/>
        <w:adjustRightInd w:val="0"/>
        <w:spacing w:line="276" w:lineRule="auto"/>
        <w:ind w:left="709" w:right="95"/>
        <w:rPr>
          <w:rFonts w:cstheme="minorHAnsi"/>
          <w:b/>
          <w:color w:val="auto"/>
        </w:rPr>
      </w:pPr>
      <w:bookmarkStart w:id="5" w:name="_Hlk76546063"/>
      <w:r w:rsidRPr="00CF6A11">
        <w:rPr>
          <w:b/>
        </w:rPr>
        <w:t>Provider visits</w:t>
      </w:r>
      <w:r w:rsidRPr="00CF6A11">
        <w:t>. These are conducted by consent and with advance notice. They serve a range of functions, including engagement, observation, information gathering and inspection.</w:t>
      </w:r>
    </w:p>
    <w:p w14:paraId="7570150D" w14:textId="7ECA8B47" w:rsidR="005A34A9" w:rsidRPr="00242253" w:rsidRDefault="00CF76B9" w:rsidP="00242253">
      <w:pPr>
        <w:pStyle w:val="Bullet1"/>
        <w:spacing w:line="276" w:lineRule="auto"/>
        <w:ind w:left="709"/>
        <w:rPr>
          <w:b/>
        </w:rPr>
      </w:pPr>
      <w:r w:rsidRPr="002F26F6">
        <w:rPr>
          <w:b/>
        </w:rPr>
        <w:t>Searches of premises.</w:t>
      </w:r>
      <w:r w:rsidRPr="00CF6A11">
        <w:rPr>
          <w:b/>
        </w:rPr>
        <w:t xml:space="preserve"> </w:t>
      </w:r>
      <w:r w:rsidRPr="00CF6A11">
        <w:t>TEQSA may need to gain access to premises, either with the consent of the occupier or under a warrant. Where access to premises is necessary, TEQSA will primarily seek to enter with consent where</w:t>
      </w:r>
      <w:r>
        <w:t xml:space="preserve"> necessary</w:t>
      </w:r>
      <w:r w:rsidRPr="00CF6A11">
        <w:t xml:space="preserve">. A warrant will only be considered in limited circumstances, for example, where a regulated entity has demonstrated serious, deliberate or ongoing non-compliance. </w:t>
      </w:r>
    </w:p>
    <w:p w14:paraId="16E5FFCE" w14:textId="0E3A80E9" w:rsidR="00CF76B9" w:rsidRPr="00DC7004" w:rsidRDefault="00CF76B9" w:rsidP="00CF76B9">
      <w:pPr>
        <w:pStyle w:val="Bullet1"/>
        <w:spacing w:line="276" w:lineRule="auto"/>
        <w:ind w:left="709"/>
      </w:pPr>
      <w:r w:rsidRPr="002F26F6">
        <w:rPr>
          <w:b/>
        </w:rPr>
        <w:t xml:space="preserve">Monitoring </w:t>
      </w:r>
      <w:r>
        <w:rPr>
          <w:b/>
        </w:rPr>
        <w:t xml:space="preserve">and investigation </w:t>
      </w:r>
      <w:r w:rsidRPr="002F26F6">
        <w:rPr>
          <w:b/>
        </w:rPr>
        <w:t>powers.</w:t>
      </w:r>
      <w:r w:rsidRPr="002A45F6">
        <w:rPr>
          <w:b/>
        </w:rPr>
        <w:t xml:space="preserve"> </w:t>
      </w:r>
      <w:r w:rsidRPr="00817D6D">
        <w:rPr>
          <w:bCs/>
        </w:rPr>
        <w:t xml:space="preserve">TEQSA can enter premises either with the consent of the occupier or with a warrant. Whilst on the premises TEQSA, in using its monitoring or investigation powers, and depending whether it enters the premises with the consent of the occupier or a warrant, TEQSA may </w:t>
      </w:r>
      <w:r w:rsidRPr="00817D6D">
        <w:t>search the premises or anything on the premises, examine or observe any activities conducted on the premises, inspect and / or make copies of documents on the premises, take photographs of the premises or things on the premises and seize evidential material</w:t>
      </w:r>
      <w:r>
        <w:t>.</w:t>
      </w:r>
    </w:p>
    <w:bookmarkEnd w:id="5"/>
    <w:p w14:paraId="10933ED5" w14:textId="77777777" w:rsidR="00CF76B9" w:rsidRDefault="00CF76B9" w:rsidP="00CF76B9">
      <w:pPr>
        <w:pStyle w:val="Bullet1"/>
        <w:numPr>
          <w:ilvl w:val="0"/>
          <w:numId w:val="0"/>
        </w:numPr>
        <w:rPr>
          <w:rFonts w:asciiTheme="majorHAnsi" w:eastAsiaTheme="majorEastAsia" w:hAnsiTheme="majorHAnsi" w:cstheme="majorBidi"/>
          <w:color w:val="00847E" w:themeColor="accent1"/>
          <w:sz w:val="44"/>
          <w:szCs w:val="26"/>
        </w:rPr>
      </w:pPr>
      <w:r w:rsidRPr="00CF6A11">
        <w:t>The TEQSA and ESOS Acts</w:t>
      </w:r>
      <w:r>
        <w:t xml:space="preserve">, </w:t>
      </w:r>
      <w:r w:rsidRPr="005F7A85">
        <w:t xml:space="preserve">supported by the </w:t>
      </w:r>
      <w:r>
        <w:t xml:space="preserve">enforcement </w:t>
      </w:r>
      <w:r w:rsidRPr="005F7A85">
        <w:t xml:space="preserve">framework provided </w:t>
      </w:r>
      <w:r>
        <w:t>in</w:t>
      </w:r>
      <w:r w:rsidRPr="005F7A85">
        <w:t xml:space="preserve"> the Regulatory Powers Act, </w:t>
      </w:r>
      <w:r>
        <w:t>detail</w:t>
      </w:r>
      <w:r w:rsidRPr="00CF6A11">
        <w:t xml:space="preserve"> how statutory powers are to be exercised, including the obligations of authorised officers, and the rights and responsibilities of occupiers.</w:t>
      </w:r>
    </w:p>
    <w:p w14:paraId="7BDE1F4E" w14:textId="77777777" w:rsidR="00CF76B9" w:rsidRDefault="00CF76B9" w:rsidP="00CF76B9">
      <w:pPr>
        <w:pStyle w:val="NoSpacing"/>
        <w:rPr>
          <w:lang w:val="en-US"/>
        </w:rPr>
      </w:pPr>
      <w:r>
        <w:rPr>
          <w:lang w:val="en-US"/>
        </w:rPr>
        <w:t>Compliance assessments and investigations may:</w:t>
      </w:r>
    </w:p>
    <w:p w14:paraId="136400CE" w14:textId="77777777" w:rsidR="00CF76B9" w:rsidRPr="005C2A48" w:rsidRDefault="00CF76B9" w:rsidP="00CF76B9">
      <w:pPr>
        <w:pStyle w:val="Bullet1"/>
        <w:ind w:left="709"/>
      </w:pPr>
      <w:r>
        <w:lastRenderedPageBreak/>
        <w:t>inform</w:t>
      </w:r>
      <w:r w:rsidRPr="005C2A48">
        <w:t xml:space="preserve"> an application</w:t>
      </w:r>
      <w:r>
        <w:t>-</w:t>
      </w:r>
      <w:r w:rsidRPr="005C2A48">
        <w:t>based assessment where there is a concurrent or impending assessment</w:t>
      </w:r>
    </w:p>
    <w:p w14:paraId="7E7F8FE9" w14:textId="77777777" w:rsidR="00CF76B9" w:rsidRPr="005C2A48" w:rsidRDefault="00CF76B9" w:rsidP="00CF76B9">
      <w:pPr>
        <w:pStyle w:val="Bullet1"/>
        <w:ind w:left="709"/>
      </w:pPr>
      <w:r w:rsidRPr="005C2A48">
        <w:t xml:space="preserve">result in enforcement action being undertaken, for example, where non-compliance has been established </w:t>
      </w:r>
    </w:p>
    <w:p w14:paraId="7EC0DCDF" w14:textId="77777777" w:rsidR="00CF76B9" w:rsidRPr="005C2A48" w:rsidRDefault="00CF76B9" w:rsidP="00CF76B9">
      <w:pPr>
        <w:pStyle w:val="Bullet1"/>
        <w:ind w:left="709"/>
      </w:pPr>
      <w:r w:rsidRPr="005C2A48">
        <w:t xml:space="preserve">conclude with no further action being taken, for example, where TEQSA is satisfied that a provider is meeting the Standards identified as part of a compliance assessment. </w:t>
      </w:r>
    </w:p>
    <w:p w14:paraId="47E64156" w14:textId="77777777" w:rsidR="00CF76B9" w:rsidRDefault="00CF76B9" w:rsidP="00CF76B9">
      <w:pPr>
        <w:widowControl w:val="0"/>
        <w:tabs>
          <w:tab w:val="left" w:pos="426"/>
        </w:tabs>
        <w:kinsoku w:val="0"/>
        <w:overflowPunct w:val="0"/>
        <w:autoSpaceDE w:val="0"/>
        <w:autoSpaceDN w:val="0"/>
        <w:adjustRightInd w:val="0"/>
        <w:spacing w:line="276" w:lineRule="auto"/>
        <w:ind w:right="95"/>
      </w:pPr>
      <w:r w:rsidRPr="008C2643">
        <w:t>Whe</w:t>
      </w:r>
      <w:r>
        <w:t>n</w:t>
      </w:r>
      <w:r w:rsidRPr="008C2643">
        <w:t xml:space="preserve"> TEQSA has completed a compliance</w:t>
      </w:r>
      <w:r>
        <w:t xml:space="preserve"> assessment or investigation</w:t>
      </w:r>
      <w:r w:rsidRPr="008C2643">
        <w:t xml:space="preserve">, TEQSA will notify the regulated entity of the outcome of that assessment. </w:t>
      </w:r>
      <w:r>
        <w:rPr>
          <w:rFonts w:cstheme="minorHAnsi"/>
          <w:color w:val="auto"/>
        </w:rPr>
        <w:t xml:space="preserve">TEQSA endeavours to </w:t>
      </w:r>
      <w:r w:rsidRPr="00F13C5B">
        <w:rPr>
          <w:rFonts w:cstheme="minorHAnsi"/>
          <w:color w:val="auto"/>
        </w:rPr>
        <w:t>clearly explain</w:t>
      </w:r>
      <w:r>
        <w:rPr>
          <w:rFonts w:cstheme="minorHAnsi"/>
          <w:color w:val="auto"/>
        </w:rPr>
        <w:t xml:space="preserve"> its concerns</w:t>
      </w:r>
      <w:r w:rsidRPr="00F13C5B">
        <w:rPr>
          <w:rFonts w:cstheme="minorHAnsi"/>
          <w:color w:val="auto"/>
        </w:rPr>
        <w:t xml:space="preserve">, </w:t>
      </w:r>
      <w:r>
        <w:rPr>
          <w:rFonts w:cstheme="minorHAnsi"/>
          <w:color w:val="auto"/>
        </w:rPr>
        <w:t xml:space="preserve">the </w:t>
      </w:r>
      <w:r w:rsidRPr="00F13C5B">
        <w:rPr>
          <w:rFonts w:cstheme="minorHAnsi"/>
          <w:color w:val="auto"/>
        </w:rPr>
        <w:t>actions required or</w:t>
      </w:r>
      <w:r>
        <w:rPr>
          <w:rFonts w:cstheme="minorHAnsi"/>
          <w:color w:val="auto"/>
        </w:rPr>
        <w:t xml:space="preserve"> </w:t>
      </w:r>
      <w:r w:rsidRPr="00F13C5B">
        <w:rPr>
          <w:rFonts w:cstheme="minorHAnsi"/>
          <w:color w:val="auto"/>
        </w:rPr>
        <w:t xml:space="preserve">decisions taken, and the reasons for these. </w:t>
      </w:r>
    </w:p>
    <w:p w14:paraId="6765507D" w14:textId="77777777" w:rsidR="00CF76B9" w:rsidRPr="00671332" w:rsidRDefault="00CF76B9" w:rsidP="00CF76B9">
      <w:pPr>
        <w:pStyle w:val="Heading2"/>
        <w:spacing w:before="360" w:after="120" w:line="240" w:lineRule="auto"/>
      </w:pPr>
      <w:r>
        <w:t xml:space="preserve">Responding to non-compliance </w:t>
      </w:r>
      <w:r w:rsidRPr="00671332">
        <w:t xml:space="preserve">  </w:t>
      </w:r>
    </w:p>
    <w:p w14:paraId="34CDB9DB" w14:textId="77777777" w:rsidR="00CF76B9" w:rsidRDefault="00CF76B9" w:rsidP="00CF76B9">
      <w:pPr>
        <w:widowControl w:val="0"/>
        <w:tabs>
          <w:tab w:val="left" w:pos="426"/>
        </w:tabs>
        <w:kinsoku w:val="0"/>
        <w:overflowPunct w:val="0"/>
        <w:autoSpaceDE w:val="0"/>
        <w:autoSpaceDN w:val="0"/>
        <w:adjustRightInd w:val="0"/>
        <w:spacing w:line="276" w:lineRule="auto"/>
        <w:ind w:right="95"/>
      </w:pPr>
      <w:r>
        <w:rPr>
          <w:rFonts w:cstheme="minorHAnsi"/>
          <w:color w:val="auto"/>
        </w:rPr>
        <w:t xml:space="preserve">TEQSA will calibrate its treatment of compliance and enforcement matters on an escalation basis, where minor issues are dealt with using less </w:t>
      </w:r>
      <w:r>
        <w:t xml:space="preserve">serious administrative resolutions and serious matters or non-compliances are dealt with using more serious enforcement powers. </w:t>
      </w:r>
    </w:p>
    <w:p w14:paraId="535FD65B" w14:textId="77777777" w:rsidR="00CF76B9" w:rsidRPr="0045039E" w:rsidRDefault="00CF76B9" w:rsidP="00CF76B9">
      <w:pPr>
        <w:pStyle w:val="Heading2"/>
        <w:tabs>
          <w:tab w:val="left" w:pos="993"/>
        </w:tabs>
        <w:kinsoku w:val="0"/>
        <w:overflowPunct w:val="0"/>
        <w:spacing w:before="240" w:after="120" w:line="240" w:lineRule="auto"/>
        <w:rPr>
          <w:rFonts w:asciiTheme="minorHAnsi" w:hAnsiTheme="minorHAnsi" w:cstheme="minorHAnsi"/>
          <w:b/>
          <w:sz w:val="24"/>
          <w:szCs w:val="22"/>
        </w:rPr>
      </w:pPr>
      <w:bookmarkStart w:id="6" w:name="toc-heading-2"/>
      <w:bookmarkEnd w:id="6"/>
      <w:r w:rsidRPr="00263FA9">
        <w:rPr>
          <w:rFonts w:asciiTheme="minorHAnsi" w:hAnsiTheme="minorHAnsi" w:cstheme="minorHAnsi"/>
          <w:b/>
          <w:sz w:val="24"/>
          <w:szCs w:val="22"/>
        </w:rPr>
        <w:t>Tools available under the TEQSA</w:t>
      </w:r>
      <w:r>
        <w:rPr>
          <w:rFonts w:asciiTheme="minorHAnsi" w:hAnsiTheme="minorHAnsi" w:cstheme="minorHAnsi"/>
          <w:b/>
          <w:sz w:val="24"/>
          <w:szCs w:val="22"/>
        </w:rPr>
        <w:t>,</w:t>
      </w:r>
      <w:r w:rsidRPr="00263FA9">
        <w:rPr>
          <w:rFonts w:asciiTheme="minorHAnsi" w:hAnsiTheme="minorHAnsi" w:cstheme="minorHAnsi"/>
          <w:b/>
          <w:sz w:val="24"/>
          <w:szCs w:val="22"/>
        </w:rPr>
        <w:t xml:space="preserve"> ESOS </w:t>
      </w:r>
      <w:r>
        <w:rPr>
          <w:rFonts w:asciiTheme="minorHAnsi" w:hAnsiTheme="minorHAnsi" w:cstheme="minorHAnsi"/>
          <w:b/>
          <w:sz w:val="24"/>
          <w:szCs w:val="22"/>
        </w:rPr>
        <w:t xml:space="preserve">and </w:t>
      </w:r>
      <w:r w:rsidRPr="005F7A85">
        <w:rPr>
          <w:rFonts w:asciiTheme="minorHAnsi" w:hAnsiTheme="minorHAnsi" w:cstheme="minorHAnsi"/>
          <w:b/>
          <w:sz w:val="24"/>
          <w:szCs w:val="22"/>
        </w:rPr>
        <w:t>Regulatory Powers</w:t>
      </w:r>
      <w:r w:rsidRPr="00263FA9">
        <w:rPr>
          <w:rFonts w:asciiTheme="minorHAnsi" w:hAnsiTheme="minorHAnsi" w:cstheme="minorHAnsi"/>
          <w:b/>
          <w:sz w:val="24"/>
          <w:szCs w:val="22"/>
        </w:rPr>
        <w:t xml:space="preserve"> Acts</w:t>
      </w:r>
    </w:p>
    <w:p w14:paraId="1EAF4C0F" w14:textId="77777777" w:rsidR="00CF76B9" w:rsidRDefault="00CF76B9" w:rsidP="00CF76B9">
      <w:pPr>
        <w:spacing w:line="259" w:lineRule="auto"/>
        <w:rPr>
          <w:rFonts w:ascii="Arial" w:eastAsia="Calibri" w:hAnsi="Arial" w:cs="Arial"/>
          <w:color w:val="auto"/>
        </w:rPr>
      </w:pPr>
      <w:r w:rsidRPr="00F03F91">
        <w:rPr>
          <w:rFonts w:ascii="Arial" w:eastAsia="Calibri" w:hAnsi="Arial" w:cs="Arial"/>
          <w:color w:val="auto"/>
        </w:rPr>
        <w:t>TEQSA has a range of compliance</w:t>
      </w:r>
      <w:r>
        <w:rPr>
          <w:rFonts w:ascii="Arial" w:eastAsia="Calibri" w:hAnsi="Arial" w:cs="Arial"/>
          <w:color w:val="auto"/>
        </w:rPr>
        <w:t xml:space="preserve"> and enforcement </w:t>
      </w:r>
      <w:r w:rsidRPr="00F03F91">
        <w:rPr>
          <w:rFonts w:ascii="Arial" w:eastAsia="Calibri" w:hAnsi="Arial" w:cs="Arial"/>
          <w:color w:val="auto"/>
        </w:rPr>
        <w:t>tools to help achieve compliance, build capa</w:t>
      </w:r>
      <w:r>
        <w:rPr>
          <w:rFonts w:ascii="Arial" w:eastAsia="Calibri" w:hAnsi="Arial" w:cs="Arial"/>
          <w:color w:val="auto"/>
        </w:rPr>
        <w:t>bility</w:t>
      </w:r>
      <w:r w:rsidRPr="00F03F91">
        <w:rPr>
          <w:rFonts w:ascii="Arial" w:eastAsia="Calibri" w:hAnsi="Arial" w:cs="Arial"/>
          <w:color w:val="auto"/>
        </w:rPr>
        <w:t xml:space="preserve"> for self-assurance, and address non-compliance.</w:t>
      </w:r>
      <w:r>
        <w:rPr>
          <w:rFonts w:ascii="Arial" w:eastAsia="Calibri" w:hAnsi="Arial" w:cs="Arial"/>
          <w:color w:val="auto"/>
        </w:rPr>
        <w:t xml:space="preserve"> </w:t>
      </w:r>
    </w:p>
    <w:p w14:paraId="46059D9C" w14:textId="77777777" w:rsidR="00CF76B9" w:rsidRPr="009333F8" w:rsidRDefault="00CF76B9" w:rsidP="00CF76B9">
      <w:pPr>
        <w:pStyle w:val="Heading2"/>
        <w:tabs>
          <w:tab w:val="left" w:pos="993"/>
        </w:tabs>
        <w:kinsoku w:val="0"/>
        <w:overflowPunct w:val="0"/>
        <w:spacing w:before="240" w:after="120" w:line="240" w:lineRule="auto"/>
        <w:rPr>
          <w:rFonts w:asciiTheme="minorHAnsi" w:hAnsiTheme="minorHAnsi" w:cstheme="minorHAnsi"/>
          <w:b/>
          <w:sz w:val="22"/>
          <w:szCs w:val="22"/>
        </w:rPr>
      </w:pPr>
      <w:r w:rsidRPr="009333F8">
        <w:rPr>
          <w:rFonts w:asciiTheme="minorHAnsi" w:hAnsiTheme="minorHAnsi" w:cstheme="minorHAnsi"/>
          <w:b/>
          <w:sz w:val="22"/>
          <w:szCs w:val="22"/>
        </w:rPr>
        <w:t>Informal resolution</w:t>
      </w:r>
    </w:p>
    <w:p w14:paraId="607C526C" w14:textId="77777777" w:rsidR="00CF76B9" w:rsidRPr="00D91D3E" w:rsidRDefault="00CF76B9" w:rsidP="00CF76B9">
      <w:pPr>
        <w:spacing w:line="276" w:lineRule="auto"/>
        <w:rPr>
          <w:rFonts w:cs="Arial"/>
        </w:rPr>
      </w:pPr>
      <w:r w:rsidRPr="00225005">
        <w:rPr>
          <w:rFonts w:ascii="Arial" w:hAnsi="Arial" w:cs="Arial"/>
          <w:color w:val="auto"/>
          <w:lang w:val="en"/>
        </w:rPr>
        <w:t>In some matters, TEQSA may decide not to pursue further action but may instead provide regulatory guidance to promote self-assurance</w:t>
      </w:r>
      <w:r>
        <w:rPr>
          <w:rFonts w:ascii="Arial" w:hAnsi="Arial" w:cs="Arial"/>
          <w:color w:val="auto"/>
          <w:lang w:val="en"/>
        </w:rPr>
        <w:t>, build capability</w:t>
      </w:r>
      <w:r w:rsidRPr="00225005">
        <w:rPr>
          <w:rFonts w:ascii="Arial" w:hAnsi="Arial" w:cs="Arial"/>
          <w:color w:val="auto"/>
          <w:lang w:val="en"/>
        </w:rPr>
        <w:t xml:space="preserve"> and prevent broader non-compliance. </w:t>
      </w:r>
      <w:r>
        <w:rPr>
          <w:rFonts w:ascii="Arial" w:hAnsi="Arial" w:cs="Arial"/>
          <w:color w:val="auto"/>
          <w:lang w:val="en"/>
        </w:rPr>
        <w:t>This may be appropriate in</w:t>
      </w:r>
      <w:r w:rsidRPr="00E21896">
        <w:rPr>
          <w:rFonts w:ascii="Arial" w:hAnsi="Arial" w:cs="Arial"/>
          <w:color w:val="auto"/>
          <w:lang w:val="en"/>
        </w:rPr>
        <w:t xml:space="preserve"> instances of minor and/or technical non-compliance</w:t>
      </w:r>
      <w:r>
        <w:rPr>
          <w:rFonts w:ascii="Arial" w:hAnsi="Arial" w:cs="Arial"/>
          <w:color w:val="auto"/>
          <w:lang w:val="en"/>
        </w:rPr>
        <w:t xml:space="preserve">, or where the </w:t>
      </w:r>
      <w:r w:rsidRPr="00225005">
        <w:rPr>
          <w:rFonts w:cs="Arial"/>
        </w:rPr>
        <w:t>regulated entity</w:t>
      </w:r>
      <w:r w:rsidRPr="00D91D3E">
        <w:rPr>
          <w:rFonts w:cs="Arial"/>
        </w:rPr>
        <w:t xml:space="preserve"> has promptly corrected a possible contravention and implemented measures to prevent recurrence</w:t>
      </w:r>
      <w:r>
        <w:rPr>
          <w:rFonts w:cs="Arial"/>
        </w:rPr>
        <w:t>. Guidance</w:t>
      </w:r>
      <w:r w:rsidRPr="00225005">
        <w:rPr>
          <w:rFonts w:ascii="Arial" w:hAnsi="Arial" w:cs="Arial"/>
          <w:color w:val="auto"/>
          <w:lang w:val="en"/>
        </w:rPr>
        <w:t xml:space="preserve"> may include the provision of information or tools to support regulated entities </w:t>
      </w:r>
      <w:r>
        <w:rPr>
          <w:rFonts w:ascii="Arial" w:hAnsi="Arial" w:cs="Arial"/>
          <w:color w:val="auto"/>
          <w:lang w:val="en"/>
        </w:rPr>
        <w:t xml:space="preserve">to </w:t>
      </w:r>
      <w:r w:rsidRPr="00D91D3E">
        <w:rPr>
          <w:rFonts w:ascii="Arial" w:hAnsi="Arial" w:cs="Arial"/>
          <w:color w:val="auto"/>
          <w:lang w:val="en"/>
        </w:rPr>
        <w:t>gain a better understanding of the</w:t>
      </w:r>
      <w:r w:rsidRPr="00225005">
        <w:rPr>
          <w:rFonts w:ascii="Arial" w:hAnsi="Arial" w:cs="Arial"/>
          <w:color w:val="auto"/>
          <w:lang w:val="en"/>
        </w:rPr>
        <w:t>ir obligations</w:t>
      </w:r>
      <w:r w:rsidRPr="00D91D3E">
        <w:rPr>
          <w:rFonts w:ascii="Arial" w:hAnsi="Arial" w:cs="Arial"/>
          <w:color w:val="auto"/>
          <w:lang w:val="en"/>
        </w:rPr>
        <w:t xml:space="preserve">, and </w:t>
      </w:r>
      <w:r>
        <w:rPr>
          <w:rFonts w:ascii="Arial" w:hAnsi="Arial" w:cs="Arial"/>
          <w:color w:val="auto"/>
          <w:lang w:val="en"/>
        </w:rPr>
        <w:t xml:space="preserve">to </w:t>
      </w:r>
      <w:r w:rsidRPr="00D91D3E">
        <w:rPr>
          <w:rFonts w:ascii="Arial" w:hAnsi="Arial" w:cs="Arial"/>
          <w:color w:val="auto"/>
          <w:lang w:val="en"/>
        </w:rPr>
        <w:t>encourage rectification and future compliance</w:t>
      </w:r>
      <w:r w:rsidRPr="00225005">
        <w:rPr>
          <w:rFonts w:ascii="Arial" w:hAnsi="Arial" w:cs="Arial"/>
          <w:color w:val="auto"/>
          <w:lang w:val="en"/>
        </w:rPr>
        <w:t>.</w:t>
      </w:r>
      <w:r>
        <w:rPr>
          <w:rFonts w:ascii="Arial" w:hAnsi="Arial" w:cs="Arial"/>
          <w:color w:val="auto"/>
          <w:lang w:val="en"/>
        </w:rPr>
        <w:t xml:space="preserve"> </w:t>
      </w:r>
    </w:p>
    <w:p w14:paraId="1C72D087" w14:textId="4FDFEE12" w:rsidR="00CF76B9" w:rsidRPr="00242253" w:rsidRDefault="00CF76B9" w:rsidP="00B80DDA">
      <w:pPr>
        <w:pStyle w:val="Heading2"/>
        <w:tabs>
          <w:tab w:val="left" w:pos="993"/>
        </w:tabs>
        <w:kinsoku w:val="0"/>
        <w:overflowPunct w:val="0"/>
        <w:spacing w:before="240" w:after="120" w:line="240" w:lineRule="auto"/>
        <w:rPr>
          <w:rFonts w:asciiTheme="minorHAnsi" w:hAnsiTheme="minorHAnsi" w:cstheme="minorHAnsi"/>
          <w:b/>
          <w:sz w:val="22"/>
          <w:szCs w:val="22"/>
        </w:rPr>
      </w:pPr>
      <w:r w:rsidRPr="00242253">
        <w:rPr>
          <w:rFonts w:asciiTheme="minorHAnsi" w:hAnsiTheme="minorHAnsi" w:cstheme="minorHAnsi"/>
          <w:b/>
          <w:sz w:val="22"/>
          <w:szCs w:val="22"/>
        </w:rPr>
        <w:t>Warning letter</w:t>
      </w:r>
    </w:p>
    <w:p w14:paraId="7BB695F8" w14:textId="77777777" w:rsidR="00CF76B9" w:rsidRPr="00D91D3E" w:rsidRDefault="00CF76B9" w:rsidP="6E58FF29">
      <w:pPr>
        <w:widowControl w:val="0"/>
        <w:tabs>
          <w:tab w:val="left" w:pos="567"/>
          <w:tab w:val="left" w:pos="7513"/>
        </w:tabs>
        <w:kinsoku w:val="0"/>
        <w:overflowPunct w:val="0"/>
        <w:autoSpaceDE w:val="0"/>
        <w:autoSpaceDN w:val="0"/>
        <w:adjustRightInd w:val="0"/>
        <w:spacing w:line="276" w:lineRule="auto"/>
        <w:ind w:right="-45"/>
        <w:rPr>
          <w:rFonts w:ascii="Arial" w:hAnsi="Arial" w:cs="Arial"/>
          <w:color w:val="auto"/>
          <w:lang w:val="en-US"/>
        </w:rPr>
      </w:pPr>
      <w:r w:rsidRPr="6E58FF29">
        <w:rPr>
          <w:rFonts w:ascii="Arial" w:hAnsi="Arial" w:cs="Arial"/>
          <w:color w:val="auto"/>
          <w:lang w:val="en-US"/>
        </w:rPr>
        <w:t>TEQSA may issue a warning letter where it reasonably believes a regulated entity has not complied with TEQSA’s legislative framework. A warning letter is not a formal enforcement power under the TEQSA Act. A warning letter places the regulated entity on notice about TEQSA’s concerns and the possibility of future action should the conduct continue or re-emerge. It provides the entity with the opportunity to address compliance issues itself. This may be appropriate where TEQSA has confidence that the entity is willing and able to address the concerns and the risks to students and the quality and reputation of the sector are low.</w:t>
      </w:r>
    </w:p>
    <w:p w14:paraId="26A43D83" w14:textId="77777777" w:rsidR="00CF76B9" w:rsidRPr="009333F8" w:rsidRDefault="00CF76B9" w:rsidP="00CF76B9">
      <w:pPr>
        <w:pStyle w:val="Heading2"/>
        <w:tabs>
          <w:tab w:val="left" w:pos="993"/>
        </w:tabs>
        <w:kinsoku w:val="0"/>
        <w:overflowPunct w:val="0"/>
        <w:spacing w:before="240" w:after="120" w:line="240" w:lineRule="auto"/>
        <w:rPr>
          <w:rFonts w:asciiTheme="minorHAnsi" w:hAnsiTheme="minorHAnsi" w:cstheme="minorHAnsi"/>
          <w:b/>
          <w:sz w:val="22"/>
          <w:szCs w:val="22"/>
        </w:rPr>
      </w:pPr>
      <w:r w:rsidRPr="009333F8">
        <w:rPr>
          <w:rFonts w:asciiTheme="minorHAnsi" w:hAnsiTheme="minorHAnsi" w:cstheme="minorHAnsi"/>
          <w:b/>
          <w:sz w:val="22"/>
          <w:szCs w:val="22"/>
        </w:rPr>
        <w:t>Voluntary undertaking</w:t>
      </w:r>
    </w:p>
    <w:p w14:paraId="05D88C28" w14:textId="77777777" w:rsidR="00CF76B9" w:rsidRPr="0038770E" w:rsidRDefault="00CF76B9" w:rsidP="6E58FF29">
      <w:pPr>
        <w:widowControl w:val="0"/>
        <w:tabs>
          <w:tab w:val="left" w:pos="567"/>
          <w:tab w:val="left" w:pos="7513"/>
        </w:tabs>
        <w:kinsoku w:val="0"/>
        <w:overflowPunct w:val="0"/>
        <w:autoSpaceDE w:val="0"/>
        <w:autoSpaceDN w:val="0"/>
        <w:adjustRightInd w:val="0"/>
        <w:spacing w:line="276" w:lineRule="auto"/>
        <w:ind w:right="-45"/>
        <w:rPr>
          <w:rFonts w:cs="Arial"/>
          <w:lang w:val="en-US"/>
        </w:rPr>
      </w:pPr>
      <w:r w:rsidRPr="6E58FF29">
        <w:rPr>
          <w:rFonts w:ascii="Arial" w:hAnsi="Arial" w:cs="Arial"/>
          <w:color w:val="auto"/>
          <w:lang w:val="en-US"/>
        </w:rPr>
        <w:t xml:space="preserve">A voluntary undertaking is an action plan that empowers regulated providers to take greater responsibility for their own regulatory compliance in developing and agreeing upon tailored solutions to address concerns. A voluntary undertaking does not involve the use of formal enforcement power under the TEQSA Act.  It involves an agreement developed in </w:t>
      </w:r>
      <w:r w:rsidRPr="6E58FF29">
        <w:rPr>
          <w:rFonts w:ascii="Arial" w:hAnsi="Arial" w:cs="Arial"/>
          <w:color w:val="auto"/>
          <w:lang w:val="en-US"/>
        </w:rPr>
        <w:lastRenderedPageBreak/>
        <w:t xml:space="preserve">partnership between a regulated provider and TEQSA. In a voluntary undertaking, the regulated entity commits to take specific action, or cease specific conduct, to address identified non-compliances within a specified timeframe. </w:t>
      </w:r>
    </w:p>
    <w:p w14:paraId="5F858B88" w14:textId="77777777" w:rsidR="00CF76B9" w:rsidRPr="009333F8" w:rsidRDefault="00CF76B9" w:rsidP="00CF76B9">
      <w:pPr>
        <w:pStyle w:val="Heading2"/>
        <w:tabs>
          <w:tab w:val="left" w:pos="993"/>
        </w:tabs>
        <w:kinsoku w:val="0"/>
        <w:overflowPunct w:val="0"/>
        <w:spacing w:before="240" w:after="120" w:line="240" w:lineRule="auto"/>
        <w:rPr>
          <w:rFonts w:asciiTheme="minorHAnsi" w:hAnsiTheme="minorHAnsi" w:cstheme="minorHAnsi"/>
          <w:b/>
          <w:sz w:val="22"/>
          <w:szCs w:val="22"/>
        </w:rPr>
      </w:pPr>
      <w:r w:rsidRPr="009333F8">
        <w:rPr>
          <w:rFonts w:asciiTheme="minorHAnsi" w:hAnsiTheme="minorHAnsi" w:cstheme="minorHAnsi"/>
          <w:b/>
          <w:sz w:val="22"/>
          <w:szCs w:val="22"/>
        </w:rPr>
        <w:t>Conditions</w:t>
      </w:r>
    </w:p>
    <w:p w14:paraId="2146D8AB" w14:textId="77777777" w:rsidR="00CF76B9" w:rsidRPr="0038770E" w:rsidRDefault="00CF76B9" w:rsidP="6E58FF29">
      <w:pPr>
        <w:widowControl w:val="0"/>
        <w:tabs>
          <w:tab w:val="left" w:pos="567"/>
        </w:tabs>
        <w:kinsoku w:val="0"/>
        <w:overflowPunct w:val="0"/>
        <w:autoSpaceDE w:val="0"/>
        <w:autoSpaceDN w:val="0"/>
        <w:adjustRightInd w:val="0"/>
        <w:spacing w:line="276" w:lineRule="auto"/>
        <w:ind w:right="96"/>
        <w:rPr>
          <w:rFonts w:ascii="Arial" w:hAnsi="Arial" w:cs="Arial"/>
          <w:color w:val="auto"/>
          <w:lang w:val="en-US"/>
        </w:rPr>
      </w:pPr>
      <w:r w:rsidRPr="6E58FF29">
        <w:rPr>
          <w:rFonts w:ascii="Arial" w:hAnsi="Arial" w:cs="Arial"/>
          <w:color w:val="auto"/>
          <w:lang w:val="en-US"/>
        </w:rPr>
        <w:t>Under section 32 and section 53 of the TEQSA Act and section 10B and section 83 of the ESOS Act, TEQSA may impose conditions on a regulated entity’s registration or accreditation to mitigate a material risk associated with its operations. A condition can direct a regulated entity to act or not to do a particular act to address non-compliance or to prevent non-compliance.</w:t>
      </w:r>
    </w:p>
    <w:p w14:paraId="35F2E00E" w14:textId="77777777" w:rsidR="00CF76B9" w:rsidRDefault="00CF76B9" w:rsidP="00CF76B9">
      <w:pPr>
        <w:widowControl w:val="0"/>
        <w:tabs>
          <w:tab w:val="left" w:pos="567"/>
        </w:tabs>
        <w:kinsoku w:val="0"/>
        <w:overflowPunct w:val="0"/>
        <w:autoSpaceDE w:val="0"/>
        <w:autoSpaceDN w:val="0"/>
        <w:adjustRightInd w:val="0"/>
        <w:spacing w:line="276" w:lineRule="auto"/>
        <w:ind w:right="96"/>
        <w:rPr>
          <w:rFonts w:cstheme="minorHAnsi"/>
        </w:rPr>
      </w:pPr>
      <w:r>
        <w:rPr>
          <w:rFonts w:cstheme="minorHAnsi"/>
        </w:rPr>
        <w:t>C</w:t>
      </w:r>
      <w:r w:rsidRPr="00490E7A">
        <w:rPr>
          <w:rFonts w:cstheme="minorHAnsi"/>
        </w:rPr>
        <w:t xml:space="preserve">onditions </w:t>
      </w:r>
      <w:r>
        <w:rPr>
          <w:rFonts w:cstheme="minorHAnsi"/>
        </w:rPr>
        <w:t xml:space="preserve">may be </w:t>
      </w:r>
      <w:r w:rsidRPr="00490E7A">
        <w:rPr>
          <w:rFonts w:cstheme="minorHAnsi"/>
        </w:rPr>
        <w:t>i</w:t>
      </w:r>
      <w:r>
        <w:rPr>
          <w:rFonts w:cstheme="minorHAnsi"/>
        </w:rPr>
        <w:t>mposed:</w:t>
      </w:r>
    </w:p>
    <w:p w14:paraId="418A3AF3" w14:textId="77777777" w:rsidR="00CF76B9" w:rsidRDefault="00CF76B9" w:rsidP="00CF76B9">
      <w:pPr>
        <w:pStyle w:val="Bullet1"/>
        <w:spacing w:line="276" w:lineRule="auto"/>
        <w:ind w:left="709"/>
      </w:pPr>
      <w:r w:rsidRPr="00A628C0">
        <w:t>where the nature</w:t>
      </w:r>
      <w:r>
        <w:t xml:space="preserve"> and circumstances of the non-compliance presents a moderate to significant risk</w:t>
      </w:r>
    </w:p>
    <w:p w14:paraId="6F044927" w14:textId="77777777" w:rsidR="00CF76B9" w:rsidRPr="00A628C0" w:rsidRDefault="00CF76B9" w:rsidP="00CF76B9">
      <w:pPr>
        <w:pStyle w:val="Bullet1"/>
        <w:spacing w:line="276" w:lineRule="auto"/>
        <w:ind w:left="709"/>
      </w:pPr>
      <w:r w:rsidRPr="00A628C0">
        <w:t>where TEQSA is not confident that a provider is meeting its obligations or managing risks effectively</w:t>
      </w:r>
    </w:p>
    <w:p w14:paraId="127744F2" w14:textId="77777777" w:rsidR="00CF76B9" w:rsidRDefault="00CF76B9" w:rsidP="00CF76B9">
      <w:pPr>
        <w:pStyle w:val="Bullet1"/>
        <w:spacing w:line="276" w:lineRule="auto"/>
        <w:ind w:left="709"/>
        <w:rPr>
          <w:rFonts w:cstheme="minorHAnsi"/>
        </w:rPr>
      </w:pPr>
      <w:r>
        <w:rPr>
          <w:rFonts w:cstheme="minorHAnsi"/>
        </w:rPr>
        <w:t>when lower level informal responses have not been successful</w:t>
      </w:r>
    </w:p>
    <w:p w14:paraId="049CC16C" w14:textId="77777777" w:rsidR="00CF76B9" w:rsidRPr="00A628C0" w:rsidRDefault="00CF76B9" w:rsidP="00CF76B9">
      <w:pPr>
        <w:pStyle w:val="Bullet1"/>
        <w:spacing w:line="276" w:lineRule="auto"/>
        <w:ind w:left="709"/>
      </w:pPr>
      <w:r w:rsidRPr="00A628C0">
        <w:t>where targeted action is needed to address the non-compliance</w:t>
      </w:r>
      <w:r>
        <w:t>.</w:t>
      </w:r>
    </w:p>
    <w:p w14:paraId="0CB506FB" w14:textId="77777777" w:rsidR="00CF76B9" w:rsidRPr="009D471E" w:rsidRDefault="00CF76B9" w:rsidP="00CF76B9">
      <w:pPr>
        <w:pStyle w:val="Bullet1"/>
        <w:numPr>
          <w:ilvl w:val="0"/>
          <w:numId w:val="0"/>
        </w:numPr>
        <w:spacing w:line="276" w:lineRule="auto"/>
        <w:rPr>
          <w:rFonts w:cstheme="minorHAnsi"/>
        </w:rPr>
      </w:pPr>
      <w:r w:rsidRPr="00A628C0">
        <w:rPr>
          <w:rFonts w:cstheme="minorHAnsi"/>
        </w:rPr>
        <w:t>Common conditions include requirements to</w:t>
      </w:r>
      <w:r>
        <w:rPr>
          <w:rFonts w:cstheme="minorHAnsi"/>
        </w:rPr>
        <w:t xml:space="preserve"> </w:t>
      </w:r>
      <w:r w:rsidRPr="00A628C0">
        <w:rPr>
          <w:rFonts w:cstheme="minorHAnsi"/>
        </w:rPr>
        <w:t>not accept enrolments beyond a set maximum</w:t>
      </w:r>
      <w:r>
        <w:rPr>
          <w:rFonts w:cstheme="minorHAnsi"/>
        </w:rPr>
        <w:t xml:space="preserve"> c</w:t>
      </w:r>
      <w:r w:rsidRPr="00A628C0">
        <w:rPr>
          <w:rFonts w:cstheme="minorHAnsi"/>
        </w:rPr>
        <w:t>ap</w:t>
      </w:r>
      <w:r w:rsidRPr="009D471E">
        <w:rPr>
          <w:rFonts w:cstheme="minorHAnsi"/>
        </w:rPr>
        <w:t xml:space="preserve"> and to provide TEQSA with specific information on a determined regular basis.</w:t>
      </w:r>
    </w:p>
    <w:p w14:paraId="17D98E3F" w14:textId="77777777" w:rsidR="00CF76B9" w:rsidRPr="00046BA4" w:rsidRDefault="00CF76B9" w:rsidP="00CF76B9">
      <w:pPr>
        <w:widowControl w:val="0"/>
        <w:tabs>
          <w:tab w:val="left" w:pos="567"/>
        </w:tabs>
        <w:kinsoku w:val="0"/>
        <w:overflowPunct w:val="0"/>
        <w:autoSpaceDE w:val="0"/>
        <w:autoSpaceDN w:val="0"/>
        <w:adjustRightInd w:val="0"/>
        <w:spacing w:line="276" w:lineRule="auto"/>
        <w:ind w:right="96"/>
        <w:rPr>
          <w:rFonts w:cstheme="minorHAnsi"/>
        </w:rPr>
      </w:pPr>
      <w:r w:rsidRPr="00046BA4">
        <w:rPr>
          <w:rFonts w:cstheme="minorHAnsi"/>
        </w:rPr>
        <w:t>Conditions are imposed for specific periods of time</w:t>
      </w:r>
      <w:r>
        <w:rPr>
          <w:rFonts w:cstheme="minorHAnsi"/>
        </w:rPr>
        <w:t xml:space="preserve">. Regulated entities can request TEQSA remove or vary conditions prior to the expiration pursuant to the relevant statutory regime (TEQSA Act or ESOS Act) under which the conditions were imposed. </w:t>
      </w:r>
    </w:p>
    <w:p w14:paraId="1032D02B" w14:textId="7164018A" w:rsidR="00CF76B9" w:rsidRPr="00242253" w:rsidRDefault="00CF76B9" w:rsidP="00B80DDA">
      <w:pPr>
        <w:pStyle w:val="Heading2"/>
        <w:tabs>
          <w:tab w:val="left" w:pos="993"/>
        </w:tabs>
        <w:kinsoku w:val="0"/>
        <w:overflowPunct w:val="0"/>
        <w:spacing w:before="240" w:after="120" w:line="240" w:lineRule="auto"/>
        <w:rPr>
          <w:rFonts w:asciiTheme="minorHAnsi" w:hAnsiTheme="minorHAnsi" w:cstheme="minorHAnsi"/>
          <w:b/>
          <w:sz w:val="22"/>
          <w:szCs w:val="22"/>
        </w:rPr>
      </w:pPr>
      <w:r w:rsidRPr="00242253">
        <w:rPr>
          <w:rFonts w:asciiTheme="minorHAnsi" w:hAnsiTheme="minorHAnsi" w:cstheme="minorHAnsi"/>
          <w:b/>
          <w:sz w:val="22"/>
          <w:szCs w:val="22"/>
        </w:rPr>
        <w:t>Enforceable undertakings</w:t>
      </w:r>
    </w:p>
    <w:p w14:paraId="0868CDD4" w14:textId="77777777" w:rsidR="00CF76B9" w:rsidRPr="00821E1F" w:rsidRDefault="00CF76B9" w:rsidP="00CF76B9">
      <w:pPr>
        <w:pStyle w:val="BodyText"/>
        <w:spacing w:before="120" w:after="120" w:line="276" w:lineRule="auto"/>
        <w:ind w:right="440"/>
        <w:rPr>
          <w:rFonts w:asciiTheme="minorHAnsi" w:eastAsiaTheme="minorHAnsi" w:hAnsiTheme="minorHAnsi" w:cstheme="minorHAnsi"/>
          <w:color w:val="000000" w:themeColor="text1"/>
          <w:sz w:val="22"/>
          <w:szCs w:val="22"/>
          <w:lang w:val="en-AU"/>
        </w:rPr>
      </w:pPr>
      <w:r w:rsidRPr="00821E1F">
        <w:rPr>
          <w:rFonts w:asciiTheme="minorHAnsi" w:eastAsiaTheme="minorHAnsi" w:hAnsiTheme="minorHAnsi" w:cstheme="minorHAnsi"/>
          <w:color w:val="000000" w:themeColor="text1"/>
          <w:sz w:val="22"/>
          <w:szCs w:val="22"/>
          <w:lang w:val="en-AU"/>
        </w:rPr>
        <w:t>An enforceable undertaking is a</w:t>
      </w:r>
      <w:r>
        <w:rPr>
          <w:rFonts w:asciiTheme="minorHAnsi" w:eastAsiaTheme="minorHAnsi" w:hAnsiTheme="minorHAnsi" w:cstheme="minorHAnsi"/>
          <w:color w:val="000000" w:themeColor="text1"/>
          <w:sz w:val="22"/>
          <w:szCs w:val="22"/>
          <w:lang w:val="en-AU"/>
        </w:rPr>
        <w:t xml:space="preserve"> written undertaking made by a</w:t>
      </w:r>
      <w:r w:rsidRPr="00821E1F">
        <w:rPr>
          <w:rFonts w:asciiTheme="minorHAnsi" w:eastAsiaTheme="minorHAnsi" w:hAnsiTheme="minorHAnsi" w:cstheme="minorHAnsi"/>
          <w:color w:val="000000" w:themeColor="text1"/>
          <w:sz w:val="22"/>
          <w:szCs w:val="22"/>
          <w:lang w:val="en-AU"/>
        </w:rPr>
        <w:t xml:space="preserve"> regulated</w:t>
      </w:r>
      <w:r>
        <w:rPr>
          <w:rFonts w:asciiTheme="minorHAnsi" w:eastAsiaTheme="minorHAnsi" w:hAnsiTheme="minorHAnsi" w:cstheme="minorHAnsi"/>
          <w:color w:val="000000" w:themeColor="text1"/>
          <w:sz w:val="22"/>
          <w:szCs w:val="22"/>
          <w:lang w:val="en-AU"/>
        </w:rPr>
        <w:t xml:space="preserve"> entity. An enforceable undertaking is accepted and enforced pursuant to Part 6 of the Regulatory Powers Act. Under an enforceable undertaking, a </w:t>
      </w:r>
      <w:r w:rsidRPr="00821E1F">
        <w:rPr>
          <w:rFonts w:asciiTheme="minorHAnsi" w:eastAsiaTheme="minorHAnsi" w:hAnsiTheme="minorHAnsi" w:cstheme="minorHAnsi"/>
          <w:color w:val="000000" w:themeColor="text1"/>
          <w:sz w:val="22"/>
          <w:szCs w:val="22"/>
          <w:lang w:val="en-AU"/>
        </w:rPr>
        <w:t xml:space="preserve">regulated entity commits to take particular </w:t>
      </w:r>
      <w:r>
        <w:rPr>
          <w:rFonts w:asciiTheme="minorHAnsi" w:eastAsiaTheme="minorHAnsi" w:hAnsiTheme="minorHAnsi" w:cstheme="minorHAnsi"/>
          <w:color w:val="000000" w:themeColor="text1"/>
          <w:sz w:val="22"/>
          <w:szCs w:val="22"/>
          <w:lang w:val="en-AU"/>
        </w:rPr>
        <w:t>action</w:t>
      </w:r>
      <w:r w:rsidRPr="00821E1F">
        <w:rPr>
          <w:rFonts w:asciiTheme="minorHAnsi" w:eastAsiaTheme="minorHAnsi" w:hAnsiTheme="minorHAnsi" w:cstheme="minorHAnsi"/>
          <w:color w:val="000000" w:themeColor="text1"/>
          <w:sz w:val="22"/>
          <w:szCs w:val="22"/>
          <w:lang w:val="en-AU"/>
        </w:rPr>
        <w:t xml:space="preserve"> or refrain from taking particular </w:t>
      </w:r>
      <w:r>
        <w:rPr>
          <w:rFonts w:asciiTheme="minorHAnsi" w:eastAsiaTheme="minorHAnsi" w:hAnsiTheme="minorHAnsi" w:cstheme="minorHAnsi"/>
          <w:color w:val="000000" w:themeColor="text1"/>
          <w:sz w:val="22"/>
          <w:szCs w:val="22"/>
          <w:lang w:val="en-AU"/>
        </w:rPr>
        <w:t>action</w:t>
      </w:r>
      <w:r w:rsidRPr="00821E1F">
        <w:rPr>
          <w:rFonts w:asciiTheme="minorHAnsi" w:eastAsiaTheme="minorHAnsi" w:hAnsiTheme="minorHAnsi" w:cstheme="minorHAnsi"/>
          <w:color w:val="000000" w:themeColor="text1"/>
          <w:sz w:val="22"/>
          <w:szCs w:val="22"/>
          <w:lang w:val="en-AU"/>
        </w:rPr>
        <w:t xml:space="preserve"> to ensure it meets relevant legislative obligations. </w:t>
      </w:r>
    </w:p>
    <w:p w14:paraId="37ACE714" w14:textId="77777777" w:rsidR="00CF76B9" w:rsidRDefault="00CF76B9" w:rsidP="00CF76B9">
      <w:pPr>
        <w:widowControl w:val="0"/>
        <w:tabs>
          <w:tab w:val="left" w:pos="567"/>
        </w:tabs>
        <w:kinsoku w:val="0"/>
        <w:overflowPunct w:val="0"/>
        <w:autoSpaceDE w:val="0"/>
        <w:autoSpaceDN w:val="0"/>
        <w:adjustRightInd w:val="0"/>
        <w:spacing w:line="276" w:lineRule="auto"/>
        <w:ind w:right="95"/>
        <w:rPr>
          <w:rFonts w:cstheme="minorHAnsi"/>
        </w:rPr>
      </w:pPr>
      <w:r w:rsidRPr="00821E1F">
        <w:rPr>
          <w:rFonts w:cstheme="minorHAnsi"/>
        </w:rPr>
        <w:t xml:space="preserve">TEQSA may seek enforcement of an enforceable undertaking in a court if </w:t>
      </w:r>
      <w:r>
        <w:rPr>
          <w:rFonts w:cstheme="minorHAnsi"/>
        </w:rPr>
        <w:t>an</w:t>
      </w:r>
      <w:r w:rsidRPr="00821E1F">
        <w:rPr>
          <w:rFonts w:cstheme="minorHAnsi"/>
        </w:rPr>
        <w:t xml:space="preserve"> entity has breached </w:t>
      </w:r>
      <w:r>
        <w:rPr>
          <w:rFonts w:cstheme="minorHAnsi"/>
        </w:rPr>
        <w:t>or failed to comply with an enforceable</w:t>
      </w:r>
      <w:r w:rsidRPr="00821E1F">
        <w:rPr>
          <w:rFonts w:cstheme="minorHAnsi"/>
        </w:rPr>
        <w:t xml:space="preserve"> undertaking.</w:t>
      </w:r>
    </w:p>
    <w:p w14:paraId="7F29B26B" w14:textId="77777777" w:rsidR="00CF76B9" w:rsidRPr="009333F8" w:rsidRDefault="00CF76B9" w:rsidP="00CF76B9">
      <w:pPr>
        <w:pStyle w:val="Heading2"/>
        <w:tabs>
          <w:tab w:val="left" w:pos="993"/>
        </w:tabs>
        <w:kinsoku w:val="0"/>
        <w:overflowPunct w:val="0"/>
        <w:spacing w:before="240" w:after="120" w:line="240" w:lineRule="auto"/>
        <w:rPr>
          <w:rFonts w:asciiTheme="minorHAnsi" w:hAnsiTheme="minorHAnsi" w:cstheme="minorHAnsi"/>
          <w:b/>
          <w:sz w:val="22"/>
          <w:szCs w:val="22"/>
        </w:rPr>
      </w:pPr>
      <w:r w:rsidRPr="009333F8">
        <w:rPr>
          <w:rFonts w:asciiTheme="minorHAnsi" w:hAnsiTheme="minorHAnsi" w:cstheme="minorHAnsi"/>
          <w:b/>
          <w:sz w:val="22"/>
          <w:szCs w:val="22"/>
        </w:rPr>
        <w:t xml:space="preserve">Injunctions </w:t>
      </w:r>
    </w:p>
    <w:p w14:paraId="7DAEAFFF" w14:textId="77777777" w:rsidR="00CF76B9" w:rsidRDefault="00CF76B9" w:rsidP="00CF76B9">
      <w:pPr>
        <w:widowControl w:val="0"/>
        <w:tabs>
          <w:tab w:val="left" w:pos="567"/>
        </w:tabs>
        <w:kinsoku w:val="0"/>
        <w:overflowPunct w:val="0"/>
        <w:autoSpaceDE w:val="0"/>
        <w:autoSpaceDN w:val="0"/>
        <w:adjustRightInd w:val="0"/>
        <w:spacing w:line="276" w:lineRule="auto"/>
        <w:ind w:right="95"/>
        <w:rPr>
          <w:rFonts w:cstheme="minorHAnsi"/>
        </w:rPr>
      </w:pPr>
      <w:r w:rsidRPr="005F7A85">
        <w:rPr>
          <w:rFonts w:cstheme="minorHAnsi"/>
        </w:rPr>
        <w:t>Pursuant to</w:t>
      </w:r>
      <w:r w:rsidRPr="00382BB1">
        <w:rPr>
          <w:rFonts w:cstheme="minorHAnsi"/>
        </w:rPr>
        <w:t xml:space="preserve"> Part 7 of the </w:t>
      </w:r>
      <w:r w:rsidRPr="005F7A85">
        <w:rPr>
          <w:rFonts w:cstheme="minorHAnsi"/>
        </w:rPr>
        <w:t xml:space="preserve">Regulatory Powers </w:t>
      </w:r>
      <w:r w:rsidRPr="00382BB1">
        <w:rPr>
          <w:rFonts w:cstheme="minorHAnsi"/>
        </w:rPr>
        <w:t>Act,</w:t>
      </w:r>
      <w:r>
        <w:rPr>
          <w:rFonts w:cstheme="minorHAnsi"/>
        </w:rPr>
        <w:t xml:space="preserve"> </w:t>
      </w:r>
      <w:r w:rsidRPr="00922FE3">
        <w:rPr>
          <w:rFonts w:cstheme="minorHAnsi"/>
        </w:rPr>
        <w:t xml:space="preserve">TEQSA can apply </w:t>
      </w:r>
      <w:r>
        <w:rPr>
          <w:rFonts w:cstheme="minorHAnsi"/>
        </w:rPr>
        <w:t xml:space="preserve">to a court </w:t>
      </w:r>
      <w:r w:rsidRPr="00922FE3">
        <w:rPr>
          <w:rFonts w:cstheme="minorHAnsi"/>
        </w:rPr>
        <w:t xml:space="preserve">for an injunction </w:t>
      </w:r>
      <w:r>
        <w:rPr>
          <w:rFonts w:cstheme="minorHAnsi"/>
        </w:rPr>
        <w:t xml:space="preserve">restraining a person (including a regulated entity) from engaging in conduct that contravenes a provision of the TEQSA Act. TEQSA can also apply for an injunction requiring a person </w:t>
      </w:r>
      <w:r w:rsidRPr="00922FE3">
        <w:rPr>
          <w:rFonts w:cstheme="minorHAnsi"/>
        </w:rPr>
        <w:t xml:space="preserve">to </w:t>
      </w:r>
      <w:r>
        <w:rPr>
          <w:rFonts w:cstheme="minorHAnsi"/>
        </w:rPr>
        <w:t xml:space="preserve">do something in relation to compliance with the TEQSA Act. </w:t>
      </w:r>
    </w:p>
    <w:p w14:paraId="31A2D707" w14:textId="77777777" w:rsidR="00CF76B9" w:rsidRDefault="00CF76B9" w:rsidP="00CF76B9">
      <w:pPr>
        <w:widowControl w:val="0"/>
        <w:tabs>
          <w:tab w:val="left" w:pos="567"/>
        </w:tabs>
        <w:kinsoku w:val="0"/>
        <w:overflowPunct w:val="0"/>
        <w:autoSpaceDE w:val="0"/>
        <w:autoSpaceDN w:val="0"/>
        <w:adjustRightInd w:val="0"/>
        <w:spacing w:line="276" w:lineRule="auto"/>
        <w:ind w:right="95"/>
        <w:rPr>
          <w:rFonts w:cstheme="minorHAnsi"/>
        </w:rPr>
      </w:pPr>
      <w:r w:rsidRPr="00333E29">
        <w:rPr>
          <w:rFonts w:cstheme="minorHAnsi"/>
        </w:rPr>
        <w:t xml:space="preserve">Generally, injunctions will only be sought where the </w:t>
      </w:r>
      <w:r>
        <w:rPr>
          <w:rFonts w:cstheme="minorHAnsi"/>
        </w:rPr>
        <w:t xml:space="preserve">conduct, or proposed conduct, that contravenes the TEQSA Act </w:t>
      </w:r>
      <w:r w:rsidRPr="00333E29">
        <w:rPr>
          <w:rFonts w:cstheme="minorHAnsi"/>
        </w:rPr>
        <w:t>is of a serious</w:t>
      </w:r>
      <w:r w:rsidRPr="00333E29">
        <w:rPr>
          <w:rFonts w:cstheme="minorHAnsi"/>
          <w:spacing w:val="-14"/>
        </w:rPr>
        <w:t xml:space="preserve"> </w:t>
      </w:r>
      <w:r w:rsidRPr="00333E29">
        <w:rPr>
          <w:rFonts w:cstheme="minorHAnsi"/>
        </w:rPr>
        <w:t>and</w:t>
      </w:r>
      <w:r w:rsidRPr="00333E29">
        <w:rPr>
          <w:rFonts w:cstheme="minorHAnsi"/>
          <w:spacing w:val="-12"/>
        </w:rPr>
        <w:t xml:space="preserve"> </w:t>
      </w:r>
      <w:r w:rsidRPr="00333E29">
        <w:rPr>
          <w:rFonts w:cstheme="minorHAnsi"/>
        </w:rPr>
        <w:t>persistent</w:t>
      </w:r>
      <w:r w:rsidRPr="00333E29">
        <w:rPr>
          <w:rFonts w:cstheme="minorHAnsi"/>
          <w:spacing w:val="-15"/>
        </w:rPr>
        <w:t xml:space="preserve"> </w:t>
      </w:r>
      <w:r w:rsidRPr="00333E29">
        <w:rPr>
          <w:rFonts w:cstheme="minorHAnsi"/>
        </w:rPr>
        <w:t>nature,</w:t>
      </w:r>
      <w:r w:rsidRPr="00333E29">
        <w:rPr>
          <w:rFonts w:cstheme="minorHAnsi"/>
          <w:spacing w:val="-14"/>
        </w:rPr>
        <w:t xml:space="preserve"> </w:t>
      </w:r>
      <w:r>
        <w:rPr>
          <w:rFonts w:cstheme="minorHAnsi"/>
        </w:rPr>
        <w:t>or where</w:t>
      </w:r>
      <w:r w:rsidRPr="00333E29">
        <w:rPr>
          <w:rFonts w:cstheme="minorHAnsi"/>
          <w:spacing w:val="-13"/>
        </w:rPr>
        <w:t xml:space="preserve"> </w:t>
      </w:r>
      <w:r w:rsidRPr="00333E29">
        <w:rPr>
          <w:rFonts w:cstheme="minorHAnsi"/>
        </w:rPr>
        <w:t>urgent</w:t>
      </w:r>
      <w:r w:rsidRPr="00333E29">
        <w:rPr>
          <w:rFonts w:cstheme="minorHAnsi"/>
          <w:spacing w:val="-12"/>
        </w:rPr>
        <w:t xml:space="preserve"> </w:t>
      </w:r>
      <w:r w:rsidRPr="00333E29">
        <w:rPr>
          <w:rFonts w:cstheme="minorHAnsi"/>
        </w:rPr>
        <w:t>action</w:t>
      </w:r>
      <w:r w:rsidRPr="00333E29">
        <w:rPr>
          <w:rFonts w:cstheme="minorHAnsi"/>
          <w:spacing w:val="-12"/>
        </w:rPr>
        <w:t xml:space="preserve"> </w:t>
      </w:r>
      <w:r w:rsidRPr="00333E29">
        <w:rPr>
          <w:rFonts w:cstheme="minorHAnsi"/>
        </w:rPr>
        <w:t>is</w:t>
      </w:r>
      <w:r w:rsidRPr="00333E29">
        <w:rPr>
          <w:rFonts w:cstheme="minorHAnsi"/>
          <w:spacing w:val="-14"/>
        </w:rPr>
        <w:t xml:space="preserve"> </w:t>
      </w:r>
      <w:r w:rsidRPr="00333E29">
        <w:rPr>
          <w:rFonts w:cstheme="minorHAnsi"/>
        </w:rPr>
        <w:t>required</w:t>
      </w:r>
      <w:r w:rsidRPr="00333E29">
        <w:rPr>
          <w:rFonts w:cstheme="minorHAnsi"/>
          <w:spacing w:val="-15"/>
        </w:rPr>
        <w:t xml:space="preserve"> </w:t>
      </w:r>
      <w:r w:rsidRPr="00333E29">
        <w:rPr>
          <w:rFonts w:cstheme="minorHAnsi"/>
        </w:rPr>
        <w:t>such</w:t>
      </w:r>
      <w:r w:rsidRPr="00333E29">
        <w:rPr>
          <w:rFonts w:cstheme="minorHAnsi"/>
          <w:spacing w:val="-15"/>
        </w:rPr>
        <w:t xml:space="preserve"> </w:t>
      </w:r>
      <w:r w:rsidRPr="00333E29">
        <w:rPr>
          <w:rFonts w:cstheme="minorHAnsi"/>
        </w:rPr>
        <w:t>as</w:t>
      </w:r>
      <w:r w:rsidRPr="00333E29">
        <w:rPr>
          <w:rFonts w:cstheme="minorHAnsi"/>
          <w:spacing w:val="-11"/>
        </w:rPr>
        <w:t xml:space="preserve"> </w:t>
      </w:r>
      <w:r w:rsidRPr="00333E29">
        <w:rPr>
          <w:rFonts w:cstheme="minorHAnsi"/>
        </w:rPr>
        <w:t>where</w:t>
      </w:r>
      <w:r w:rsidRPr="00333E29">
        <w:rPr>
          <w:rFonts w:cstheme="minorHAnsi"/>
          <w:spacing w:val="-12"/>
        </w:rPr>
        <w:t xml:space="preserve"> </w:t>
      </w:r>
      <w:r w:rsidRPr="00333E29">
        <w:rPr>
          <w:rFonts w:cstheme="minorHAnsi"/>
        </w:rPr>
        <w:t>there</w:t>
      </w:r>
      <w:r w:rsidRPr="00333E29">
        <w:rPr>
          <w:rFonts w:cstheme="minorHAnsi"/>
          <w:spacing w:val="-12"/>
        </w:rPr>
        <w:t xml:space="preserve"> </w:t>
      </w:r>
      <w:r w:rsidRPr="00333E29">
        <w:rPr>
          <w:rFonts w:cstheme="minorHAnsi"/>
        </w:rPr>
        <w:t>is</w:t>
      </w:r>
      <w:r w:rsidRPr="00333E29">
        <w:rPr>
          <w:rFonts w:cstheme="minorHAnsi"/>
          <w:spacing w:val="-13"/>
        </w:rPr>
        <w:t xml:space="preserve"> </w:t>
      </w:r>
      <w:r w:rsidRPr="00333E29">
        <w:rPr>
          <w:rFonts w:cstheme="minorHAnsi"/>
        </w:rPr>
        <w:t>an</w:t>
      </w:r>
      <w:r w:rsidRPr="00333E29">
        <w:rPr>
          <w:rFonts w:cstheme="minorHAnsi"/>
          <w:spacing w:val="-15"/>
        </w:rPr>
        <w:t xml:space="preserve"> </w:t>
      </w:r>
      <w:r w:rsidRPr="00333E29">
        <w:rPr>
          <w:rFonts w:cstheme="minorHAnsi"/>
        </w:rPr>
        <w:t>immediate or direct risk to students’ welfare.</w:t>
      </w:r>
      <w:r>
        <w:rPr>
          <w:rFonts w:cstheme="minorHAnsi"/>
        </w:rPr>
        <w:t xml:space="preserve"> </w:t>
      </w:r>
      <w:r w:rsidRPr="00333E29">
        <w:rPr>
          <w:rFonts w:cstheme="minorHAnsi"/>
        </w:rPr>
        <w:t xml:space="preserve">An injunction may also be sought where </w:t>
      </w:r>
      <w:r>
        <w:rPr>
          <w:rFonts w:cstheme="minorHAnsi"/>
        </w:rPr>
        <w:t xml:space="preserve">less serious </w:t>
      </w:r>
      <w:r w:rsidRPr="00333E29">
        <w:rPr>
          <w:rFonts w:cstheme="minorHAnsi"/>
        </w:rPr>
        <w:t xml:space="preserve">enforcement measures have been </w:t>
      </w:r>
      <w:r>
        <w:rPr>
          <w:rFonts w:cstheme="minorHAnsi"/>
        </w:rPr>
        <w:t>in</w:t>
      </w:r>
      <w:r w:rsidRPr="00333E29">
        <w:rPr>
          <w:rFonts w:cstheme="minorHAnsi"/>
        </w:rPr>
        <w:t>effective.</w:t>
      </w:r>
    </w:p>
    <w:p w14:paraId="4F1FF817" w14:textId="77777777" w:rsidR="00CF76B9" w:rsidRPr="009333F8" w:rsidRDefault="00CF76B9" w:rsidP="00CF76B9">
      <w:pPr>
        <w:pStyle w:val="Heading2"/>
        <w:kinsoku w:val="0"/>
        <w:overflowPunct w:val="0"/>
        <w:spacing w:before="120" w:after="120" w:line="276" w:lineRule="auto"/>
        <w:rPr>
          <w:rFonts w:asciiTheme="minorHAnsi" w:hAnsiTheme="minorHAnsi" w:cstheme="minorHAnsi"/>
          <w:b/>
          <w:sz w:val="22"/>
          <w:szCs w:val="22"/>
        </w:rPr>
      </w:pPr>
      <w:r>
        <w:rPr>
          <w:rFonts w:asciiTheme="minorHAnsi" w:hAnsiTheme="minorHAnsi" w:cstheme="minorHAnsi"/>
          <w:b/>
          <w:sz w:val="22"/>
          <w:szCs w:val="22"/>
        </w:rPr>
        <w:lastRenderedPageBreak/>
        <w:t>Shortened</w:t>
      </w:r>
      <w:r w:rsidRPr="009333F8">
        <w:rPr>
          <w:rFonts w:asciiTheme="minorHAnsi" w:hAnsiTheme="minorHAnsi" w:cstheme="minorHAnsi"/>
          <w:b/>
          <w:sz w:val="22"/>
          <w:szCs w:val="22"/>
        </w:rPr>
        <w:t xml:space="preserve"> registration or accreditation period</w:t>
      </w:r>
    </w:p>
    <w:p w14:paraId="187D6E50" w14:textId="77777777" w:rsidR="00CF76B9" w:rsidRDefault="00CF76B9" w:rsidP="00CF76B9">
      <w:pPr>
        <w:widowControl w:val="0"/>
        <w:tabs>
          <w:tab w:val="left" w:pos="1846"/>
        </w:tabs>
        <w:kinsoku w:val="0"/>
        <w:overflowPunct w:val="0"/>
        <w:autoSpaceDE w:val="0"/>
        <w:autoSpaceDN w:val="0"/>
        <w:adjustRightInd w:val="0"/>
        <w:spacing w:line="276" w:lineRule="auto"/>
        <w:ind w:right="95"/>
        <w:rPr>
          <w:rFonts w:cstheme="minorHAnsi"/>
        </w:rPr>
      </w:pPr>
      <w:r w:rsidRPr="0080304F">
        <w:rPr>
          <w:rFonts w:cstheme="minorHAnsi"/>
        </w:rPr>
        <w:t xml:space="preserve">TEQSA may </w:t>
      </w:r>
      <w:r>
        <w:rPr>
          <w:rFonts w:cstheme="minorHAnsi"/>
        </w:rPr>
        <w:t>shorten</w:t>
      </w:r>
      <w:r w:rsidRPr="0080304F">
        <w:rPr>
          <w:rFonts w:cstheme="minorHAnsi"/>
        </w:rPr>
        <w:t xml:space="preserve"> the registration or accreditation of a </w:t>
      </w:r>
      <w:r>
        <w:rPr>
          <w:rFonts w:cstheme="minorHAnsi"/>
        </w:rPr>
        <w:t>regulated entity</w:t>
      </w:r>
      <w:r w:rsidRPr="0080304F">
        <w:rPr>
          <w:rFonts w:cstheme="minorHAnsi"/>
        </w:rPr>
        <w:t xml:space="preserve"> where the provider has</w:t>
      </w:r>
      <w:r>
        <w:rPr>
          <w:rFonts w:cstheme="minorHAnsi"/>
        </w:rPr>
        <w:t xml:space="preserve"> failed to meet the Threshold Standards or</w:t>
      </w:r>
      <w:r w:rsidRPr="0080304F">
        <w:rPr>
          <w:rFonts w:cstheme="minorHAnsi"/>
        </w:rPr>
        <w:t xml:space="preserve"> </w:t>
      </w:r>
      <w:r>
        <w:rPr>
          <w:rFonts w:cstheme="minorHAnsi"/>
        </w:rPr>
        <w:t xml:space="preserve">breached a condition imposed on its registration or course accreditation. </w:t>
      </w:r>
    </w:p>
    <w:p w14:paraId="1EFDB261" w14:textId="77777777" w:rsidR="00CF76B9" w:rsidRPr="009333F8" w:rsidRDefault="00CF76B9" w:rsidP="00CF76B9">
      <w:pPr>
        <w:pStyle w:val="Heading2"/>
        <w:kinsoku w:val="0"/>
        <w:overflowPunct w:val="0"/>
        <w:spacing w:before="120" w:after="120" w:line="276" w:lineRule="auto"/>
        <w:rPr>
          <w:rFonts w:asciiTheme="minorHAnsi" w:hAnsiTheme="minorHAnsi" w:cstheme="minorHAnsi"/>
          <w:b/>
          <w:sz w:val="22"/>
          <w:szCs w:val="22"/>
        </w:rPr>
      </w:pPr>
      <w:r w:rsidRPr="009333F8">
        <w:rPr>
          <w:rFonts w:asciiTheme="minorHAnsi" w:hAnsiTheme="minorHAnsi" w:cstheme="minorHAnsi"/>
          <w:b/>
          <w:sz w:val="22"/>
          <w:szCs w:val="22"/>
        </w:rPr>
        <w:t xml:space="preserve">Cancellation of registration </w:t>
      </w:r>
    </w:p>
    <w:p w14:paraId="05B0F960" w14:textId="77777777" w:rsidR="00CF76B9" w:rsidRPr="006F386A" w:rsidRDefault="00CF76B9" w:rsidP="00CF76B9">
      <w:pPr>
        <w:widowControl w:val="0"/>
        <w:tabs>
          <w:tab w:val="left" w:pos="426"/>
        </w:tabs>
        <w:kinsoku w:val="0"/>
        <w:overflowPunct w:val="0"/>
        <w:autoSpaceDE w:val="0"/>
        <w:autoSpaceDN w:val="0"/>
        <w:adjustRightInd w:val="0"/>
        <w:spacing w:line="276" w:lineRule="auto"/>
        <w:ind w:right="95"/>
        <w:rPr>
          <w:rFonts w:cstheme="minorHAnsi"/>
          <w:highlight w:val="yellow"/>
        </w:rPr>
      </w:pPr>
      <w:r w:rsidRPr="006F5BA2">
        <w:rPr>
          <w:rFonts w:cstheme="minorHAnsi"/>
        </w:rPr>
        <w:t xml:space="preserve">TEQSA can cancel a provider’s registration if </w:t>
      </w:r>
      <w:r>
        <w:rPr>
          <w:rFonts w:cstheme="minorHAnsi"/>
        </w:rPr>
        <w:t xml:space="preserve">a </w:t>
      </w:r>
      <w:r w:rsidRPr="008C6CE5">
        <w:rPr>
          <w:rFonts w:cstheme="minorHAnsi"/>
        </w:rPr>
        <w:t xml:space="preserve">provider </w:t>
      </w:r>
      <w:r>
        <w:rPr>
          <w:rFonts w:cstheme="minorHAnsi"/>
        </w:rPr>
        <w:t xml:space="preserve">has failed to meet Threshold Standards or breached a condition of its registration. </w:t>
      </w:r>
      <w:r w:rsidRPr="008C6CE5">
        <w:rPr>
          <w:rFonts w:cstheme="minorHAnsi"/>
        </w:rPr>
        <w:t xml:space="preserve">Cancellation of a registered provider’s registration is a serious action and will only be exercised in the most serious cases. </w:t>
      </w:r>
    </w:p>
    <w:p w14:paraId="715B8BF3" w14:textId="77777777" w:rsidR="00CF76B9" w:rsidRDefault="00CF76B9" w:rsidP="00CF76B9">
      <w:pPr>
        <w:widowControl w:val="0"/>
        <w:tabs>
          <w:tab w:val="left" w:pos="426"/>
        </w:tabs>
        <w:kinsoku w:val="0"/>
        <w:overflowPunct w:val="0"/>
        <w:autoSpaceDE w:val="0"/>
        <w:autoSpaceDN w:val="0"/>
        <w:adjustRightInd w:val="0"/>
        <w:spacing w:line="276" w:lineRule="auto"/>
        <w:ind w:right="95"/>
        <w:rPr>
          <w:rFonts w:cstheme="minorHAnsi"/>
        </w:rPr>
      </w:pPr>
      <w:r>
        <w:rPr>
          <w:rFonts w:cstheme="minorHAnsi"/>
        </w:rPr>
        <w:t>TEQSA is required to give the regulated entity and relevant Ministers written notice of, and a reasonable opportunity to respond to, the reasons for proposing cancellation.</w:t>
      </w:r>
    </w:p>
    <w:p w14:paraId="6014CC55" w14:textId="77777777" w:rsidR="00CF76B9" w:rsidRPr="009333F8" w:rsidRDefault="00CF76B9" w:rsidP="00CF76B9">
      <w:pPr>
        <w:pStyle w:val="Heading2"/>
        <w:kinsoku w:val="0"/>
        <w:overflowPunct w:val="0"/>
        <w:spacing w:before="120" w:after="120" w:line="276" w:lineRule="auto"/>
        <w:rPr>
          <w:rFonts w:asciiTheme="minorHAnsi" w:hAnsiTheme="minorHAnsi" w:cstheme="minorHAnsi"/>
          <w:b/>
          <w:sz w:val="22"/>
          <w:szCs w:val="22"/>
        </w:rPr>
      </w:pPr>
      <w:r w:rsidRPr="009333F8">
        <w:rPr>
          <w:rFonts w:asciiTheme="minorHAnsi" w:hAnsiTheme="minorHAnsi" w:cstheme="minorHAnsi"/>
          <w:b/>
          <w:sz w:val="22"/>
          <w:szCs w:val="22"/>
        </w:rPr>
        <w:t>Civil and criminal sanctions</w:t>
      </w:r>
    </w:p>
    <w:p w14:paraId="18EFB7D1" w14:textId="77777777" w:rsidR="00CF76B9" w:rsidRDefault="00CF76B9" w:rsidP="00CF76B9">
      <w:pPr>
        <w:spacing w:line="276" w:lineRule="auto"/>
      </w:pPr>
      <w:r>
        <w:t xml:space="preserve">Civil and criminal sanctions are one of the most serious enforcement actions TEQSA might undertake and may be considered in cases involving deliberate and/or repeated non-compliance. </w:t>
      </w:r>
    </w:p>
    <w:p w14:paraId="3F6B85B9" w14:textId="3C2BDFAC" w:rsidR="00CF76B9" w:rsidRDefault="00CF76B9" w:rsidP="00CF76B9">
      <w:pPr>
        <w:spacing w:line="276" w:lineRule="auto"/>
      </w:pPr>
      <w:r>
        <w:t>TEQSA can apply for orders imposing pecuniary penalties und</w:t>
      </w:r>
      <w:r w:rsidRPr="00BE6A4F">
        <w:t xml:space="preserve">er </w:t>
      </w:r>
      <w:r>
        <w:t xml:space="preserve">Part 4 of the Regulatory Powers Act where a regulated entity has contravened a civil penalty provision of the TEQSA Act. The TEQSA and ESOS Acts also have </w:t>
      </w:r>
      <w:r w:rsidR="00781D48">
        <w:t>several</w:t>
      </w:r>
      <w:r>
        <w:t xml:space="preserve"> offence provisions (including offences covering the same conduct as most civil penalty provisions in the TEQSA Act). </w:t>
      </w:r>
    </w:p>
    <w:p w14:paraId="1AF5D7E9" w14:textId="50156B29" w:rsidR="00CF76B9" w:rsidRPr="00242253" w:rsidRDefault="00CF76B9" w:rsidP="00B80DDA">
      <w:pPr>
        <w:pStyle w:val="Heading2"/>
        <w:kinsoku w:val="0"/>
        <w:overflowPunct w:val="0"/>
        <w:spacing w:before="120" w:after="120" w:line="276" w:lineRule="auto"/>
        <w:rPr>
          <w:rFonts w:asciiTheme="minorHAnsi" w:hAnsiTheme="minorHAnsi" w:cstheme="minorHAnsi"/>
          <w:b/>
          <w:sz w:val="22"/>
          <w:szCs w:val="22"/>
        </w:rPr>
      </w:pPr>
      <w:r w:rsidRPr="00242253">
        <w:rPr>
          <w:rFonts w:asciiTheme="minorHAnsi" w:hAnsiTheme="minorHAnsi" w:cstheme="minorHAnsi"/>
          <w:b/>
          <w:sz w:val="22"/>
          <w:szCs w:val="22"/>
        </w:rPr>
        <w:t xml:space="preserve">Infringement notice </w:t>
      </w:r>
    </w:p>
    <w:p w14:paraId="6468C6FB" w14:textId="77777777" w:rsidR="00CF76B9" w:rsidRPr="00F65A1E" w:rsidRDefault="00CF76B9" w:rsidP="00CF76B9">
      <w:pPr>
        <w:spacing w:line="276" w:lineRule="auto"/>
        <w:rPr>
          <w:rFonts w:cstheme="minorHAnsi"/>
        </w:rPr>
      </w:pPr>
      <w:r w:rsidRPr="0093452C">
        <w:rPr>
          <w:rFonts w:cstheme="minorHAnsi"/>
        </w:rPr>
        <w:t>TEQSA may issue an infringement notice</w:t>
      </w:r>
      <w:r>
        <w:rPr>
          <w:rFonts w:cstheme="minorHAnsi"/>
        </w:rPr>
        <w:t xml:space="preserve"> under Part 5 of the Regulatory Powers</w:t>
      </w:r>
      <w:r w:rsidRPr="00781DCB">
        <w:rPr>
          <w:rFonts w:cstheme="minorHAnsi"/>
        </w:rPr>
        <w:t xml:space="preserve"> Act</w:t>
      </w:r>
      <w:r>
        <w:rPr>
          <w:rFonts w:cstheme="minorHAnsi"/>
        </w:rPr>
        <w:t xml:space="preserve"> where TEQSA believes on reasonable grounds that a person has contravened a civil penalty provision of the TEQSA Act or certain provisions of the ESOS Act (see s 132 of the ESOS Act)</w:t>
      </w:r>
      <w:r w:rsidRPr="0093452C">
        <w:rPr>
          <w:rFonts w:cstheme="minorHAnsi"/>
        </w:rPr>
        <w:t xml:space="preserve">. </w:t>
      </w:r>
    </w:p>
    <w:p w14:paraId="22A67403" w14:textId="77777777" w:rsidR="00CF76B9" w:rsidRPr="00430A0E" w:rsidRDefault="00CF76B9" w:rsidP="00CF76B9">
      <w:pPr>
        <w:pStyle w:val="Heading2"/>
        <w:tabs>
          <w:tab w:val="left" w:pos="993"/>
        </w:tabs>
        <w:kinsoku w:val="0"/>
        <w:overflowPunct w:val="0"/>
        <w:spacing w:before="240" w:after="120" w:line="240" w:lineRule="auto"/>
        <w:rPr>
          <w:rFonts w:asciiTheme="minorHAnsi" w:hAnsiTheme="minorHAnsi" w:cstheme="minorHAnsi"/>
          <w:b/>
          <w:sz w:val="24"/>
          <w:szCs w:val="22"/>
        </w:rPr>
      </w:pPr>
      <w:r w:rsidRPr="00430A0E">
        <w:rPr>
          <w:rFonts w:asciiTheme="minorHAnsi" w:hAnsiTheme="minorHAnsi" w:cstheme="minorHAnsi"/>
          <w:b/>
          <w:sz w:val="24"/>
          <w:szCs w:val="22"/>
        </w:rPr>
        <w:t>Tools available under the ESOS Act only</w:t>
      </w:r>
    </w:p>
    <w:p w14:paraId="66BD4EFC" w14:textId="77777777" w:rsidR="00CF76B9" w:rsidRPr="009333F8" w:rsidRDefault="00CF76B9" w:rsidP="00CF76B9">
      <w:pPr>
        <w:pStyle w:val="Heading2"/>
        <w:kinsoku w:val="0"/>
        <w:overflowPunct w:val="0"/>
        <w:spacing w:before="120" w:after="120" w:line="276" w:lineRule="auto"/>
        <w:rPr>
          <w:rFonts w:asciiTheme="minorHAnsi" w:hAnsiTheme="minorHAnsi" w:cstheme="minorHAnsi"/>
          <w:b/>
          <w:sz w:val="22"/>
          <w:szCs w:val="22"/>
        </w:rPr>
      </w:pPr>
      <w:r w:rsidRPr="009333F8">
        <w:rPr>
          <w:rFonts w:asciiTheme="minorHAnsi" w:hAnsiTheme="minorHAnsi" w:cstheme="minorHAnsi"/>
          <w:b/>
          <w:sz w:val="22"/>
          <w:szCs w:val="22"/>
        </w:rPr>
        <w:t xml:space="preserve">Suspension </w:t>
      </w:r>
      <w:r>
        <w:rPr>
          <w:rFonts w:asciiTheme="minorHAnsi" w:hAnsiTheme="minorHAnsi" w:cstheme="minorHAnsi"/>
          <w:b/>
          <w:sz w:val="22"/>
          <w:szCs w:val="22"/>
        </w:rPr>
        <w:t xml:space="preserve">of </w:t>
      </w:r>
      <w:r w:rsidRPr="009333F8">
        <w:rPr>
          <w:rFonts w:asciiTheme="minorHAnsi" w:hAnsiTheme="minorHAnsi" w:cstheme="minorHAnsi"/>
          <w:b/>
          <w:sz w:val="22"/>
          <w:szCs w:val="22"/>
        </w:rPr>
        <w:t xml:space="preserve">registration </w:t>
      </w:r>
      <w:r>
        <w:rPr>
          <w:rFonts w:asciiTheme="minorHAnsi" w:hAnsiTheme="minorHAnsi" w:cstheme="minorHAnsi"/>
          <w:b/>
          <w:sz w:val="22"/>
          <w:szCs w:val="22"/>
        </w:rPr>
        <w:t>under the ESOS Act</w:t>
      </w:r>
    </w:p>
    <w:p w14:paraId="078C06B9" w14:textId="77777777" w:rsidR="00CF76B9" w:rsidRDefault="00CF76B9" w:rsidP="00CF76B9">
      <w:pPr>
        <w:widowControl w:val="0"/>
        <w:tabs>
          <w:tab w:val="left" w:pos="567"/>
        </w:tabs>
        <w:kinsoku w:val="0"/>
        <w:overflowPunct w:val="0"/>
        <w:autoSpaceDE w:val="0"/>
        <w:autoSpaceDN w:val="0"/>
        <w:adjustRightInd w:val="0"/>
        <w:spacing w:line="276" w:lineRule="auto"/>
        <w:ind w:right="95"/>
        <w:rPr>
          <w:rFonts w:cstheme="minorHAnsi"/>
        </w:rPr>
      </w:pPr>
      <w:r w:rsidRPr="0080304F">
        <w:rPr>
          <w:rFonts w:cstheme="minorHAnsi"/>
        </w:rPr>
        <w:t>TEQSA may suspend</w:t>
      </w:r>
      <w:r>
        <w:rPr>
          <w:rFonts w:cstheme="minorHAnsi"/>
        </w:rPr>
        <w:t xml:space="preserve"> </w:t>
      </w:r>
      <w:r w:rsidRPr="0080304F">
        <w:rPr>
          <w:rFonts w:cstheme="minorHAnsi"/>
        </w:rPr>
        <w:t>the registration</w:t>
      </w:r>
      <w:r>
        <w:rPr>
          <w:rFonts w:cstheme="minorHAnsi"/>
        </w:rPr>
        <w:t xml:space="preserve"> of a CRICOS provider for a broad range of reasons specified under </w:t>
      </w:r>
      <w:r w:rsidRPr="00BB5CCC">
        <w:rPr>
          <w:rFonts w:cstheme="minorHAnsi"/>
        </w:rPr>
        <w:t>section 83 of the ESOS Act, including non-compliance with the ESOS Act and National Code.</w:t>
      </w:r>
    </w:p>
    <w:p w14:paraId="21EA8D46" w14:textId="77777777" w:rsidR="00CF76B9" w:rsidRPr="00490E7A" w:rsidRDefault="00CF76B9" w:rsidP="00CF76B9">
      <w:pPr>
        <w:widowControl w:val="0"/>
        <w:tabs>
          <w:tab w:val="left" w:pos="567"/>
        </w:tabs>
        <w:kinsoku w:val="0"/>
        <w:overflowPunct w:val="0"/>
        <w:autoSpaceDE w:val="0"/>
        <w:autoSpaceDN w:val="0"/>
        <w:adjustRightInd w:val="0"/>
        <w:spacing w:line="276" w:lineRule="auto"/>
        <w:ind w:right="95"/>
        <w:rPr>
          <w:rFonts w:cstheme="minorHAnsi"/>
        </w:rPr>
      </w:pPr>
      <w:r>
        <w:rPr>
          <w:rFonts w:cstheme="minorHAnsi"/>
        </w:rPr>
        <w:t>Suspension of registration</w:t>
      </w:r>
      <w:r w:rsidRPr="0080304F">
        <w:rPr>
          <w:rFonts w:cstheme="minorHAnsi"/>
        </w:rPr>
        <w:t xml:space="preserve"> </w:t>
      </w:r>
      <w:r>
        <w:rPr>
          <w:rFonts w:cstheme="minorHAnsi"/>
        </w:rPr>
        <w:t>will only be</w:t>
      </w:r>
      <w:r w:rsidRPr="0080304F">
        <w:rPr>
          <w:rFonts w:cstheme="minorHAnsi"/>
        </w:rPr>
        <w:t xml:space="preserve"> exercised where there is evidence of non-compliance</w:t>
      </w:r>
      <w:r>
        <w:rPr>
          <w:rFonts w:cstheme="minorHAnsi"/>
        </w:rPr>
        <w:t xml:space="preserve"> and urgent action is required </w:t>
      </w:r>
      <w:r w:rsidRPr="00490E7A">
        <w:rPr>
          <w:rFonts w:cstheme="minorHAnsi"/>
        </w:rPr>
        <w:t xml:space="preserve">to address </w:t>
      </w:r>
      <w:r>
        <w:rPr>
          <w:rFonts w:cstheme="minorHAnsi"/>
        </w:rPr>
        <w:t>or</w:t>
      </w:r>
      <w:r w:rsidRPr="00490E7A">
        <w:rPr>
          <w:rFonts w:cstheme="minorHAnsi"/>
        </w:rPr>
        <w:t xml:space="preserve"> prevent</w:t>
      </w:r>
      <w:r>
        <w:rPr>
          <w:rFonts w:cstheme="minorHAnsi"/>
        </w:rPr>
        <w:t xml:space="preserve"> the</w:t>
      </w:r>
      <w:r w:rsidRPr="00490E7A">
        <w:rPr>
          <w:rFonts w:cstheme="minorHAnsi"/>
        </w:rPr>
        <w:t xml:space="preserve"> non-compliance.</w:t>
      </w:r>
    </w:p>
    <w:p w14:paraId="3E3A7465" w14:textId="77777777" w:rsidR="00CF76B9" w:rsidRPr="00D521F8" w:rsidRDefault="00CF76B9" w:rsidP="00CF76B9">
      <w:pPr>
        <w:pStyle w:val="Heading2"/>
        <w:spacing w:before="360" w:after="120" w:line="240" w:lineRule="auto"/>
      </w:pPr>
      <w:r w:rsidRPr="00D521F8">
        <w:t xml:space="preserve">Publication of compliance and enforcement decisions </w:t>
      </w:r>
    </w:p>
    <w:p w14:paraId="639028D8" w14:textId="608CC425" w:rsidR="00CF76B9" w:rsidRDefault="00CF76B9" w:rsidP="00CF76B9">
      <w:pPr>
        <w:widowControl w:val="0"/>
        <w:tabs>
          <w:tab w:val="left" w:pos="567"/>
        </w:tabs>
        <w:kinsoku w:val="0"/>
        <w:overflowPunct w:val="0"/>
        <w:autoSpaceDE w:val="0"/>
        <w:autoSpaceDN w:val="0"/>
        <w:adjustRightInd w:val="0"/>
        <w:spacing w:line="276" w:lineRule="auto"/>
        <w:ind w:right="96"/>
        <w:rPr>
          <w:rFonts w:eastAsia="Arial" w:cs="Arial"/>
        </w:rPr>
      </w:pPr>
      <w:r w:rsidRPr="00BC4745">
        <w:t>TEQSA publish</w:t>
      </w:r>
      <w:r>
        <w:t>es</w:t>
      </w:r>
      <w:r w:rsidRPr="00BC4745">
        <w:t xml:space="preserve"> </w:t>
      </w:r>
      <w:r>
        <w:t xml:space="preserve">compliance and </w:t>
      </w:r>
      <w:r w:rsidRPr="00BC4745">
        <w:t xml:space="preserve">enforcement </w:t>
      </w:r>
      <w:r>
        <w:t>decisions made under the TEQSA Act</w:t>
      </w:r>
      <w:r w:rsidRPr="00BC4745">
        <w:t xml:space="preserve"> </w:t>
      </w:r>
      <w:r>
        <w:t xml:space="preserve">related to regulated entities </w:t>
      </w:r>
      <w:r w:rsidRPr="00BC4745">
        <w:t xml:space="preserve">on the </w:t>
      </w:r>
      <w:hyperlink r:id="rId19" w:history="1">
        <w:r w:rsidRPr="007C116E">
          <w:rPr>
            <w:rStyle w:val="Hyperlink"/>
          </w:rPr>
          <w:t>National Register</w:t>
        </w:r>
      </w:hyperlink>
      <w:r>
        <w:t xml:space="preserve">. TEQSA </w:t>
      </w:r>
      <w:r w:rsidR="001676C5">
        <w:t xml:space="preserve">may </w:t>
      </w:r>
      <w:r>
        <w:t xml:space="preserve">also publish some decisions, such as the decision to </w:t>
      </w:r>
      <w:r w:rsidR="001676C5">
        <w:t>enter</w:t>
      </w:r>
      <w:r>
        <w:t xml:space="preserve"> a Voluntary Undertaking, on the TEQSA website. </w:t>
      </w:r>
      <w:r w:rsidRPr="00E1532D">
        <w:rPr>
          <w:rFonts w:eastAsia="Arial" w:cs="Arial"/>
        </w:rPr>
        <w:t xml:space="preserve">Further information about </w:t>
      </w:r>
      <w:r>
        <w:rPr>
          <w:rFonts w:eastAsia="Arial" w:cs="Arial"/>
        </w:rPr>
        <w:t xml:space="preserve">TEQSA’s </w:t>
      </w:r>
      <w:r w:rsidRPr="00E1532D">
        <w:rPr>
          <w:rFonts w:eastAsia="Arial" w:cs="Arial"/>
        </w:rPr>
        <w:t>approach to public reporting, including information about the content and t</w:t>
      </w:r>
      <w:r>
        <w:rPr>
          <w:rFonts w:eastAsia="Arial" w:cs="Arial"/>
        </w:rPr>
        <w:t>iming of publication of reports</w:t>
      </w:r>
      <w:r w:rsidRPr="00E1532D">
        <w:rPr>
          <w:rFonts w:eastAsia="Arial" w:cs="Arial"/>
        </w:rPr>
        <w:t xml:space="preserve"> is </w:t>
      </w:r>
      <w:hyperlink r:id="rId20" w:history="1">
        <w:r w:rsidRPr="00E1532D">
          <w:rPr>
            <w:rStyle w:val="Hyperlink"/>
            <w:rFonts w:eastAsia="Arial" w:cs="Arial"/>
          </w:rPr>
          <w:t>available o</w:t>
        </w:r>
        <w:r>
          <w:rPr>
            <w:rStyle w:val="Hyperlink"/>
            <w:rFonts w:eastAsia="Arial" w:cs="Arial"/>
          </w:rPr>
          <w:t xml:space="preserve">n TEQSA’s </w:t>
        </w:r>
        <w:r w:rsidRPr="00E1532D">
          <w:rPr>
            <w:rStyle w:val="Hyperlink"/>
            <w:rFonts w:eastAsia="Arial" w:cs="Arial"/>
          </w:rPr>
          <w:t>website</w:t>
        </w:r>
      </w:hyperlink>
      <w:r w:rsidRPr="00E1532D">
        <w:rPr>
          <w:rFonts w:eastAsia="Arial" w:cs="Arial"/>
        </w:rPr>
        <w:t>.</w:t>
      </w:r>
    </w:p>
    <w:p w14:paraId="7F96E4C3" w14:textId="77777777" w:rsidR="00CF76B9" w:rsidRPr="00646FF1" w:rsidRDefault="00CF76B9" w:rsidP="00CF76B9">
      <w:pPr>
        <w:pStyle w:val="Heading2"/>
        <w:spacing w:before="360" w:after="120" w:line="240" w:lineRule="auto"/>
      </w:pPr>
      <w:r w:rsidRPr="00646FF1">
        <w:lastRenderedPageBreak/>
        <w:t>Internal and external review</w:t>
      </w:r>
    </w:p>
    <w:p w14:paraId="5AD2F7B0" w14:textId="19ACA35A" w:rsidR="00CF76B9" w:rsidRDefault="00CF76B9" w:rsidP="00CF76B9">
      <w:pPr>
        <w:pStyle w:val="BodyText"/>
        <w:spacing w:before="120" w:after="120" w:line="276" w:lineRule="auto"/>
        <w:ind w:right="95"/>
        <w:rPr>
          <w:rFonts w:asciiTheme="minorHAnsi" w:eastAsiaTheme="minorHAnsi" w:hAnsiTheme="minorHAnsi" w:cstheme="minorBidi"/>
          <w:sz w:val="22"/>
          <w:szCs w:val="22"/>
          <w:lang w:val="en-AU"/>
        </w:rPr>
      </w:pPr>
      <w:r w:rsidRPr="00502742">
        <w:rPr>
          <w:rFonts w:asciiTheme="minorHAnsi" w:eastAsiaTheme="minorHAnsi" w:hAnsiTheme="minorHAnsi" w:cstheme="minorBidi"/>
          <w:sz w:val="22"/>
          <w:szCs w:val="22"/>
          <w:lang w:val="en-AU"/>
        </w:rPr>
        <w:t>Some decisions made by TEQSA are reviewable.</w:t>
      </w:r>
      <w:r w:rsidRPr="00502742">
        <w:rPr>
          <w:rFonts w:asciiTheme="minorHAnsi" w:hAnsiTheme="minorHAnsi" w:cstheme="minorHAnsi"/>
          <w:w w:val="105"/>
          <w:sz w:val="22"/>
          <w:szCs w:val="22"/>
        </w:rPr>
        <w:t xml:space="preserve"> </w:t>
      </w:r>
      <w:r w:rsidRPr="00502742">
        <w:rPr>
          <w:rFonts w:asciiTheme="minorHAnsi" w:eastAsiaTheme="minorHAnsi" w:hAnsiTheme="minorHAnsi" w:cstheme="minorBidi"/>
          <w:sz w:val="22"/>
          <w:szCs w:val="22"/>
          <w:lang w:val="en-AU"/>
        </w:rPr>
        <w:t>TEQSA</w:t>
      </w:r>
      <w:r>
        <w:rPr>
          <w:rFonts w:asciiTheme="minorHAnsi" w:eastAsiaTheme="minorHAnsi" w:hAnsiTheme="minorHAnsi" w:cstheme="minorBidi"/>
          <w:sz w:val="22"/>
          <w:szCs w:val="22"/>
          <w:lang w:val="en-AU"/>
        </w:rPr>
        <w:t xml:space="preserve">’s </w:t>
      </w:r>
      <w:r w:rsidRPr="00502742">
        <w:rPr>
          <w:rFonts w:asciiTheme="minorHAnsi" w:eastAsiaTheme="minorHAnsi" w:hAnsiTheme="minorHAnsi" w:cstheme="minorBidi"/>
          <w:sz w:val="22"/>
          <w:szCs w:val="22"/>
          <w:lang w:val="en-AU"/>
        </w:rPr>
        <w:t xml:space="preserve">procedures for internal </w:t>
      </w:r>
      <w:r>
        <w:rPr>
          <w:rFonts w:asciiTheme="minorHAnsi" w:eastAsiaTheme="minorHAnsi" w:hAnsiTheme="minorHAnsi" w:cstheme="minorBidi"/>
          <w:sz w:val="22"/>
          <w:szCs w:val="22"/>
          <w:lang w:val="en-AU"/>
        </w:rPr>
        <w:t xml:space="preserve">and external </w:t>
      </w:r>
      <w:r w:rsidRPr="00502742">
        <w:rPr>
          <w:rFonts w:asciiTheme="minorHAnsi" w:eastAsiaTheme="minorHAnsi" w:hAnsiTheme="minorHAnsi" w:cstheme="minorBidi"/>
          <w:sz w:val="22"/>
          <w:szCs w:val="22"/>
          <w:lang w:val="en-AU"/>
        </w:rPr>
        <w:t xml:space="preserve">review are on the </w:t>
      </w:r>
      <w:hyperlink r:id="rId21" w:history="1">
        <w:r w:rsidRPr="007C116E">
          <w:rPr>
            <w:rStyle w:val="Hyperlink"/>
            <w:rFonts w:asciiTheme="minorHAnsi" w:eastAsiaTheme="minorHAnsi" w:hAnsiTheme="minorHAnsi" w:cstheme="minorBidi"/>
            <w:sz w:val="22"/>
            <w:szCs w:val="22"/>
            <w:lang w:val="en-AU"/>
          </w:rPr>
          <w:t>TEQSA website</w:t>
        </w:r>
      </w:hyperlink>
      <w:r>
        <w:rPr>
          <w:rFonts w:asciiTheme="minorHAnsi" w:eastAsiaTheme="minorHAnsi" w:hAnsiTheme="minorHAnsi" w:cstheme="minorBidi"/>
          <w:sz w:val="22"/>
          <w:szCs w:val="22"/>
          <w:lang w:val="en-AU"/>
        </w:rPr>
        <w:t xml:space="preserve">. When communicating a compliance decision, </w:t>
      </w:r>
      <w:r w:rsidRPr="006E3AB7">
        <w:rPr>
          <w:rFonts w:asciiTheme="minorHAnsi" w:eastAsiaTheme="minorHAnsi" w:hAnsiTheme="minorHAnsi" w:cstheme="minorBidi"/>
          <w:sz w:val="22"/>
          <w:szCs w:val="22"/>
          <w:lang w:val="en-AU"/>
        </w:rPr>
        <w:t xml:space="preserve">TEQSA </w:t>
      </w:r>
      <w:r>
        <w:rPr>
          <w:rFonts w:asciiTheme="minorHAnsi" w:eastAsiaTheme="minorHAnsi" w:hAnsiTheme="minorHAnsi" w:cstheme="minorBidi"/>
          <w:sz w:val="22"/>
          <w:szCs w:val="22"/>
          <w:lang w:val="en-AU"/>
        </w:rPr>
        <w:t>will outline the availability of</w:t>
      </w:r>
      <w:r w:rsidRPr="006E3AB7">
        <w:rPr>
          <w:rFonts w:asciiTheme="minorHAnsi" w:eastAsiaTheme="minorHAnsi" w:hAnsiTheme="minorHAnsi" w:cstheme="minorBidi"/>
          <w:sz w:val="22"/>
          <w:szCs w:val="22"/>
          <w:lang w:val="en-AU"/>
        </w:rPr>
        <w:t xml:space="preserve"> internal or exter</w:t>
      </w:r>
      <w:r>
        <w:rPr>
          <w:rFonts w:asciiTheme="minorHAnsi" w:eastAsiaTheme="minorHAnsi" w:hAnsiTheme="minorHAnsi" w:cstheme="minorBidi"/>
          <w:sz w:val="22"/>
          <w:szCs w:val="22"/>
          <w:lang w:val="en-AU"/>
        </w:rPr>
        <w:t>nal review rights</w:t>
      </w:r>
      <w:r w:rsidRPr="006E3AB7">
        <w:rPr>
          <w:rFonts w:asciiTheme="minorHAnsi" w:eastAsiaTheme="minorHAnsi" w:hAnsiTheme="minorHAnsi" w:cstheme="minorBidi"/>
          <w:sz w:val="22"/>
          <w:szCs w:val="22"/>
          <w:lang w:val="en-AU"/>
        </w:rPr>
        <w:t>.</w:t>
      </w:r>
    </w:p>
    <w:p w14:paraId="6A74F5AC" w14:textId="77777777" w:rsidR="00CF76B9" w:rsidRPr="00646FF1" w:rsidRDefault="00CF76B9" w:rsidP="00CF76B9">
      <w:pPr>
        <w:pStyle w:val="Heading2"/>
        <w:spacing w:before="360" w:after="120" w:line="240" w:lineRule="auto"/>
      </w:pPr>
      <w:r w:rsidRPr="00646FF1">
        <w:t>Complaints about TEQSA’s compliance and enforcement actions</w:t>
      </w:r>
    </w:p>
    <w:p w14:paraId="2401C66A" w14:textId="23C42DE5" w:rsidR="00CF76B9" w:rsidRDefault="00CF76B9" w:rsidP="00CF76B9">
      <w:pPr>
        <w:pStyle w:val="BodyText"/>
        <w:spacing w:before="120" w:after="120" w:line="276" w:lineRule="auto"/>
        <w:ind w:right="95"/>
        <w:rPr>
          <w:rFonts w:asciiTheme="minorHAnsi" w:eastAsiaTheme="minorHAnsi" w:hAnsiTheme="minorHAnsi" w:cstheme="minorBidi"/>
          <w:sz w:val="22"/>
          <w:szCs w:val="22"/>
          <w:lang w:val="en-AU"/>
        </w:rPr>
      </w:pPr>
      <w:r>
        <w:rPr>
          <w:rFonts w:asciiTheme="minorHAnsi" w:eastAsiaTheme="minorHAnsi" w:hAnsiTheme="minorHAnsi" w:cstheme="minorBidi"/>
          <w:sz w:val="22"/>
          <w:szCs w:val="22"/>
          <w:lang w:val="en-AU"/>
        </w:rPr>
        <w:t>Complaint</w:t>
      </w:r>
      <w:r w:rsidR="00537863">
        <w:rPr>
          <w:rFonts w:asciiTheme="minorHAnsi" w:eastAsiaTheme="minorHAnsi" w:hAnsiTheme="minorHAnsi" w:cstheme="minorBidi"/>
          <w:sz w:val="22"/>
          <w:szCs w:val="22"/>
          <w:lang w:val="en-AU"/>
        </w:rPr>
        <w:t>s</w:t>
      </w:r>
      <w:r>
        <w:rPr>
          <w:rFonts w:asciiTheme="minorHAnsi" w:eastAsiaTheme="minorHAnsi" w:hAnsiTheme="minorHAnsi" w:cstheme="minorBidi"/>
          <w:sz w:val="22"/>
          <w:szCs w:val="22"/>
          <w:lang w:val="en-AU"/>
        </w:rPr>
        <w:t xml:space="preserve"> about TEQSA’s actions can be made in writing via </w:t>
      </w:r>
      <w:r w:rsidRPr="00502742">
        <w:rPr>
          <w:rFonts w:asciiTheme="minorHAnsi" w:eastAsiaTheme="minorHAnsi" w:hAnsiTheme="minorHAnsi" w:cstheme="minorBidi"/>
          <w:sz w:val="22"/>
          <w:szCs w:val="22"/>
          <w:lang w:val="en-AU"/>
        </w:rPr>
        <w:t xml:space="preserve">TEQSA’s </w:t>
      </w:r>
      <w:r>
        <w:rPr>
          <w:rFonts w:asciiTheme="minorHAnsi" w:eastAsiaTheme="minorHAnsi" w:hAnsiTheme="minorHAnsi" w:cstheme="minorBidi"/>
          <w:sz w:val="22"/>
          <w:szCs w:val="22"/>
          <w:lang w:val="en-AU"/>
        </w:rPr>
        <w:t>complaints</w:t>
      </w:r>
      <w:r w:rsidRPr="00502742">
        <w:rPr>
          <w:rFonts w:asciiTheme="minorHAnsi" w:eastAsiaTheme="minorHAnsi" w:hAnsiTheme="minorHAnsi" w:cstheme="minorBidi"/>
          <w:sz w:val="22"/>
          <w:szCs w:val="22"/>
          <w:lang w:val="en-AU"/>
        </w:rPr>
        <w:t xml:space="preserve"> </w:t>
      </w:r>
      <w:r>
        <w:rPr>
          <w:rFonts w:asciiTheme="minorHAnsi" w:eastAsiaTheme="minorHAnsi" w:hAnsiTheme="minorHAnsi" w:cstheme="minorBidi"/>
          <w:sz w:val="22"/>
          <w:szCs w:val="22"/>
          <w:lang w:val="en-AU"/>
        </w:rPr>
        <w:t xml:space="preserve">handling </w:t>
      </w:r>
      <w:r w:rsidRPr="00502742">
        <w:rPr>
          <w:rFonts w:asciiTheme="minorHAnsi" w:eastAsiaTheme="minorHAnsi" w:hAnsiTheme="minorHAnsi" w:cstheme="minorBidi"/>
          <w:sz w:val="22"/>
          <w:szCs w:val="22"/>
          <w:lang w:val="en-AU"/>
        </w:rPr>
        <w:t xml:space="preserve">process. Information about how to </w:t>
      </w:r>
      <w:r>
        <w:rPr>
          <w:rFonts w:asciiTheme="minorHAnsi" w:eastAsiaTheme="minorHAnsi" w:hAnsiTheme="minorHAnsi" w:cstheme="minorBidi"/>
          <w:sz w:val="22"/>
          <w:szCs w:val="22"/>
          <w:lang w:val="en-AU"/>
        </w:rPr>
        <w:t>make a complaint</w:t>
      </w:r>
      <w:r w:rsidRPr="00502742">
        <w:rPr>
          <w:rFonts w:asciiTheme="minorHAnsi" w:eastAsiaTheme="minorHAnsi" w:hAnsiTheme="minorHAnsi" w:cstheme="minorBidi"/>
          <w:sz w:val="22"/>
          <w:szCs w:val="22"/>
          <w:lang w:val="en-AU"/>
        </w:rPr>
        <w:t xml:space="preserve"> is available on the </w:t>
      </w:r>
      <w:hyperlink r:id="rId22" w:history="1">
        <w:r w:rsidRPr="007C116E">
          <w:rPr>
            <w:rStyle w:val="Hyperlink"/>
            <w:rFonts w:asciiTheme="minorHAnsi" w:eastAsiaTheme="minorHAnsi" w:hAnsiTheme="minorHAnsi" w:cstheme="minorBidi"/>
            <w:sz w:val="22"/>
            <w:szCs w:val="22"/>
            <w:lang w:val="en-AU"/>
          </w:rPr>
          <w:t>TEQSA website</w:t>
        </w:r>
      </w:hyperlink>
      <w:r>
        <w:rPr>
          <w:rFonts w:asciiTheme="minorHAnsi" w:eastAsiaTheme="minorHAnsi" w:hAnsiTheme="minorHAnsi" w:cstheme="minorBidi"/>
          <w:sz w:val="22"/>
          <w:szCs w:val="22"/>
          <w:lang w:val="en-AU"/>
        </w:rPr>
        <w:t xml:space="preserve">. </w:t>
      </w:r>
    </w:p>
    <w:p w14:paraId="73259ECE" w14:textId="77777777" w:rsidR="00CF76B9" w:rsidRDefault="00CF76B9" w:rsidP="00CF76B9">
      <w:pPr>
        <w:spacing w:before="0"/>
      </w:pPr>
    </w:p>
    <w:p w14:paraId="054A3DED" w14:textId="77777777" w:rsidR="00CF76B9" w:rsidRPr="004B1915" w:rsidRDefault="00CF76B9" w:rsidP="00CF76B9">
      <w:pPr>
        <w:pStyle w:val="Heading2"/>
        <w:spacing w:before="0" w:after="120" w:line="240" w:lineRule="auto"/>
      </w:pPr>
      <w:r>
        <w:t>Contact</w:t>
      </w:r>
    </w:p>
    <w:p w14:paraId="0C364E98" w14:textId="77777777" w:rsidR="00CF76B9" w:rsidRDefault="00CF76B9" w:rsidP="00CF76B9">
      <w:pPr>
        <w:spacing w:before="0"/>
        <w:rPr>
          <w:rStyle w:val="Hyperlink"/>
        </w:rPr>
      </w:pPr>
      <w:r>
        <w:t>Any enquiries</w:t>
      </w:r>
      <w:r w:rsidRPr="004B1915">
        <w:t xml:space="preserve"> about </w:t>
      </w:r>
      <w:r>
        <w:t xml:space="preserve">this policy </w:t>
      </w:r>
      <w:r w:rsidRPr="004B1915">
        <w:t xml:space="preserve">can be </w:t>
      </w:r>
      <w:r>
        <w:t xml:space="preserve">directed </w:t>
      </w:r>
      <w:r w:rsidRPr="004B1915">
        <w:t xml:space="preserve">to: </w:t>
      </w:r>
      <w:hyperlink r:id="rId23" w:history="1">
        <w:r w:rsidRPr="0063607A">
          <w:rPr>
            <w:rStyle w:val="Hyperlink"/>
          </w:rPr>
          <w:t>compliance@teqsa.gov.au</w:t>
        </w:r>
      </w:hyperlink>
    </w:p>
    <w:p w14:paraId="1A71D81D" w14:textId="77777777" w:rsidR="00CF76B9" w:rsidRDefault="00CF76B9" w:rsidP="00CF76B9">
      <w:pPr>
        <w:spacing w:before="0"/>
        <w:rPr>
          <w:rStyle w:val="Hyperlink"/>
        </w:rPr>
      </w:pPr>
    </w:p>
    <w:p w14:paraId="0D69F449" w14:textId="77777777" w:rsidR="00CF76B9" w:rsidRPr="004B1915" w:rsidRDefault="00CF76B9" w:rsidP="00CF76B9"/>
    <w:p w14:paraId="10C1B940" w14:textId="77777777" w:rsidR="00544F28" w:rsidRPr="00A06C32" w:rsidRDefault="00544F28" w:rsidP="00544F28">
      <w:pPr>
        <w:pStyle w:val="Heading2"/>
        <w:rPr>
          <w:rFonts w:eastAsia="Gulim"/>
        </w:rPr>
      </w:pPr>
      <w:r w:rsidRPr="001128EF">
        <w:rPr>
          <w:rFonts w:eastAsia="Gulim"/>
        </w:rPr>
        <w:t>Document</w:t>
      </w:r>
      <w:r>
        <w:rPr>
          <w:rFonts w:eastAsia="Gulim"/>
        </w:rPr>
        <w:t xml:space="preserve"> control</w:t>
      </w:r>
      <w:r w:rsidRPr="001128EF">
        <w:rPr>
          <w:rFonts w:eastAsia="Gulim"/>
        </w:rPr>
        <w:t xml:space="preserve"> information</w:t>
      </w:r>
    </w:p>
    <w:tbl>
      <w:tblPr>
        <w:tblStyle w:val="TEQSAtables"/>
        <w:tblW w:w="5000" w:type="pct"/>
        <w:tblLook w:val="04A0" w:firstRow="1" w:lastRow="0" w:firstColumn="1" w:lastColumn="0" w:noHBand="0" w:noVBand="1"/>
      </w:tblPr>
      <w:tblGrid>
        <w:gridCol w:w="2387"/>
        <w:gridCol w:w="6629"/>
      </w:tblGrid>
      <w:tr w:rsidR="00544F28" w:rsidRPr="00D370AC" w14:paraId="4E669312" w14:textId="77777777" w:rsidTr="00590088">
        <w:trPr>
          <w:cnfStyle w:val="100000000000" w:firstRow="1" w:lastRow="0" w:firstColumn="0" w:lastColumn="0" w:oddVBand="0" w:evenVBand="0" w:oddHBand="0" w:evenHBand="0" w:firstRowFirstColumn="0" w:firstRowLastColumn="0" w:lastRowFirstColumn="0" w:lastRowLastColumn="0"/>
        </w:trPr>
        <w:tc>
          <w:tcPr>
            <w:tcW w:w="1324" w:type="pct"/>
            <w:tcBorders>
              <w:top w:val="single" w:sz="4" w:space="0" w:color="004855"/>
              <w:left w:val="single" w:sz="4" w:space="0" w:color="004855"/>
              <w:bottom w:val="single" w:sz="4" w:space="0" w:color="004855"/>
              <w:right w:val="single" w:sz="4" w:space="0" w:color="004855"/>
            </w:tcBorders>
            <w:shd w:val="clear" w:color="auto" w:fill="004E7D"/>
          </w:tcPr>
          <w:p w14:paraId="72EC8E1C" w14:textId="77777777" w:rsidR="00544F28" w:rsidRPr="00DC707D" w:rsidRDefault="00544F28" w:rsidP="00590088">
            <w:pPr>
              <w:jc w:val="both"/>
              <w:rPr>
                <w:rFonts w:eastAsia="Arial" w:cs="Times New Roman"/>
                <w:color w:val="FFFFFF" w:themeColor="background1"/>
                <w:sz w:val="22"/>
              </w:rPr>
            </w:pPr>
            <w:r>
              <w:rPr>
                <w:rFonts w:eastAsia="Arial" w:cs="Times New Roman"/>
                <w:color w:val="FFFFFF" w:themeColor="background1"/>
              </w:rPr>
              <w:t xml:space="preserve">Document </w:t>
            </w:r>
            <w:r w:rsidRPr="00DC707D">
              <w:rPr>
                <w:rFonts w:eastAsia="Arial" w:cs="Times New Roman"/>
                <w:color w:val="FFFFFF" w:themeColor="background1"/>
              </w:rPr>
              <w:t>Name</w:t>
            </w:r>
          </w:p>
        </w:tc>
        <w:tc>
          <w:tcPr>
            <w:tcW w:w="3676" w:type="pct"/>
            <w:tcBorders>
              <w:top w:val="single" w:sz="4" w:space="0" w:color="004855"/>
              <w:left w:val="single" w:sz="4" w:space="0" w:color="004855"/>
              <w:bottom w:val="single" w:sz="4" w:space="0" w:color="004855"/>
              <w:right w:val="single" w:sz="4" w:space="0" w:color="004855"/>
            </w:tcBorders>
            <w:shd w:val="clear" w:color="auto" w:fill="004E7D"/>
          </w:tcPr>
          <w:p w14:paraId="7814BB69" w14:textId="31D2E5AC" w:rsidR="00544F28" w:rsidRPr="00DC707D" w:rsidRDefault="00544F28" w:rsidP="00590088">
            <w:pPr>
              <w:jc w:val="both"/>
              <w:rPr>
                <w:rFonts w:eastAsia="Arial" w:cs="Times New Roman"/>
                <w:color w:val="FFFFFF" w:themeColor="background1"/>
              </w:rPr>
            </w:pPr>
            <w:r>
              <w:rPr>
                <w:rFonts w:eastAsia="Arial" w:cs="Times New Roman"/>
                <w:color w:val="FFFFFF" w:themeColor="background1"/>
              </w:rPr>
              <w:t>Compliance and Enforcement Policy</w:t>
            </w:r>
          </w:p>
        </w:tc>
      </w:tr>
      <w:tr w:rsidR="00544F28" w:rsidRPr="00D370AC" w14:paraId="3C180489" w14:textId="77777777" w:rsidTr="00590088">
        <w:tc>
          <w:tcPr>
            <w:tcW w:w="1324" w:type="pct"/>
          </w:tcPr>
          <w:p w14:paraId="5024F0FB" w14:textId="77777777" w:rsidR="00544F28" w:rsidRPr="003855A2" w:rsidRDefault="00544F28" w:rsidP="00590088">
            <w:pPr>
              <w:jc w:val="both"/>
              <w:rPr>
                <w:rFonts w:ascii="Arial" w:eastAsia="Arial" w:hAnsi="Arial" w:cs="Times New Roman"/>
                <w:b/>
              </w:rPr>
            </w:pPr>
            <w:r>
              <w:rPr>
                <w:rFonts w:ascii="Arial" w:eastAsia="Arial" w:hAnsi="Arial" w:cs="Times New Roman"/>
                <w:b/>
              </w:rPr>
              <w:t>Document</w:t>
            </w:r>
            <w:r w:rsidRPr="003855A2">
              <w:rPr>
                <w:rFonts w:ascii="Arial" w:eastAsia="Arial" w:hAnsi="Arial" w:cs="Times New Roman"/>
                <w:b/>
              </w:rPr>
              <w:t xml:space="preserve"> owner</w:t>
            </w:r>
          </w:p>
        </w:tc>
        <w:tc>
          <w:tcPr>
            <w:tcW w:w="3676" w:type="pct"/>
          </w:tcPr>
          <w:p w14:paraId="343DA60D" w14:textId="117D4124" w:rsidR="00544F28" w:rsidRPr="003855A2" w:rsidRDefault="00544F28" w:rsidP="00590088">
            <w:pPr>
              <w:jc w:val="both"/>
              <w:rPr>
                <w:rFonts w:ascii="Arial" w:eastAsia="Arial" w:hAnsi="Arial" w:cs="Times New Roman"/>
              </w:rPr>
            </w:pPr>
            <w:r>
              <w:rPr>
                <w:rFonts w:ascii="Arial" w:eastAsia="Arial" w:hAnsi="Arial" w:cs="Times New Roman"/>
              </w:rPr>
              <w:t>Director, Sector Risk and Compliance</w:t>
            </w:r>
          </w:p>
        </w:tc>
      </w:tr>
      <w:tr w:rsidR="00544F28" w:rsidRPr="00D370AC" w14:paraId="327224CD" w14:textId="77777777" w:rsidTr="00590088">
        <w:trPr>
          <w:cnfStyle w:val="000000010000" w:firstRow="0" w:lastRow="0" w:firstColumn="0" w:lastColumn="0" w:oddVBand="0" w:evenVBand="0" w:oddHBand="0" w:evenHBand="1" w:firstRowFirstColumn="0" w:firstRowLastColumn="0" w:lastRowFirstColumn="0" w:lastRowLastColumn="0"/>
        </w:trPr>
        <w:tc>
          <w:tcPr>
            <w:tcW w:w="1324" w:type="pct"/>
          </w:tcPr>
          <w:p w14:paraId="0072BE03" w14:textId="77777777" w:rsidR="00544F28" w:rsidRPr="003855A2" w:rsidRDefault="00544F28" w:rsidP="00590088">
            <w:pPr>
              <w:jc w:val="both"/>
              <w:rPr>
                <w:rFonts w:ascii="Arial" w:eastAsia="Arial" w:hAnsi="Arial" w:cs="Times New Roman"/>
                <w:b/>
              </w:rPr>
            </w:pPr>
            <w:r w:rsidRPr="003855A2">
              <w:rPr>
                <w:rFonts w:ascii="Arial" w:eastAsia="Arial" w:hAnsi="Arial" w:cs="Times New Roman"/>
                <w:b/>
              </w:rPr>
              <w:t>Version</w:t>
            </w:r>
          </w:p>
        </w:tc>
        <w:tc>
          <w:tcPr>
            <w:tcW w:w="3676" w:type="pct"/>
          </w:tcPr>
          <w:p w14:paraId="4CF01C15" w14:textId="0B41A190" w:rsidR="00544F28" w:rsidRPr="003855A2" w:rsidRDefault="00544F28" w:rsidP="00590088">
            <w:pPr>
              <w:jc w:val="both"/>
              <w:rPr>
                <w:rFonts w:ascii="Arial" w:eastAsia="Arial" w:hAnsi="Arial" w:cs="Times New Roman"/>
              </w:rPr>
            </w:pPr>
            <w:r>
              <w:rPr>
                <w:rFonts w:ascii="Arial" w:eastAsia="Arial" w:hAnsi="Arial" w:cs="Times New Roman"/>
              </w:rPr>
              <w:t>2.1</w:t>
            </w:r>
          </w:p>
        </w:tc>
      </w:tr>
      <w:tr w:rsidR="00544F28" w:rsidRPr="00D370AC" w14:paraId="3AD33C2B" w14:textId="77777777" w:rsidTr="00590088">
        <w:tc>
          <w:tcPr>
            <w:tcW w:w="1324" w:type="pct"/>
          </w:tcPr>
          <w:p w14:paraId="5FFAA33D" w14:textId="77777777" w:rsidR="00544F28" w:rsidRPr="003855A2" w:rsidRDefault="00544F28" w:rsidP="00590088">
            <w:pPr>
              <w:jc w:val="both"/>
              <w:rPr>
                <w:rFonts w:ascii="Arial" w:eastAsia="Arial" w:hAnsi="Arial" w:cs="Times New Roman"/>
                <w:b/>
              </w:rPr>
            </w:pPr>
            <w:r>
              <w:rPr>
                <w:rFonts w:ascii="Arial" w:eastAsia="Arial" w:hAnsi="Arial" w:cs="Times New Roman"/>
                <w:b/>
              </w:rPr>
              <w:t>Approval</w:t>
            </w:r>
            <w:r w:rsidRPr="003855A2">
              <w:rPr>
                <w:rFonts w:ascii="Arial" w:eastAsia="Arial" w:hAnsi="Arial" w:cs="Times New Roman"/>
                <w:b/>
              </w:rPr>
              <w:t xml:space="preserve"> date</w:t>
            </w:r>
          </w:p>
        </w:tc>
        <w:tc>
          <w:tcPr>
            <w:tcW w:w="3676" w:type="pct"/>
          </w:tcPr>
          <w:p w14:paraId="2D55420A" w14:textId="77CB9CED" w:rsidR="00544F28" w:rsidRPr="003855A2" w:rsidRDefault="00554138" w:rsidP="00590088">
            <w:pPr>
              <w:jc w:val="both"/>
              <w:rPr>
                <w:rFonts w:ascii="Arial" w:eastAsia="Arial" w:hAnsi="Arial" w:cs="Times New Roman"/>
              </w:rPr>
            </w:pPr>
            <w:r>
              <w:rPr>
                <w:rFonts w:ascii="Arial" w:eastAsia="Arial" w:hAnsi="Arial" w:cs="Times New Roman"/>
              </w:rPr>
              <w:t>11 September 2026</w:t>
            </w:r>
          </w:p>
        </w:tc>
      </w:tr>
      <w:tr w:rsidR="00544F28" w:rsidRPr="00D370AC" w14:paraId="0C89F5E8" w14:textId="77777777" w:rsidTr="00590088">
        <w:trPr>
          <w:cnfStyle w:val="000000010000" w:firstRow="0" w:lastRow="0" w:firstColumn="0" w:lastColumn="0" w:oddVBand="0" w:evenVBand="0" w:oddHBand="0" w:evenHBand="1" w:firstRowFirstColumn="0" w:firstRowLastColumn="0" w:lastRowFirstColumn="0" w:lastRowLastColumn="0"/>
        </w:trPr>
        <w:tc>
          <w:tcPr>
            <w:tcW w:w="1324" w:type="pct"/>
          </w:tcPr>
          <w:p w14:paraId="54B822D9" w14:textId="77777777" w:rsidR="00544F28" w:rsidRPr="003855A2" w:rsidRDefault="00544F28" w:rsidP="00590088">
            <w:pPr>
              <w:jc w:val="both"/>
              <w:rPr>
                <w:rFonts w:ascii="Arial" w:eastAsia="Arial" w:hAnsi="Arial" w:cs="Times New Roman"/>
                <w:b/>
              </w:rPr>
            </w:pPr>
            <w:r>
              <w:rPr>
                <w:rFonts w:ascii="Arial" w:eastAsia="Arial" w:hAnsi="Arial" w:cs="Times New Roman"/>
                <w:b/>
              </w:rPr>
              <w:t>Next r</w:t>
            </w:r>
            <w:r w:rsidRPr="003855A2">
              <w:rPr>
                <w:rFonts w:ascii="Arial" w:eastAsia="Arial" w:hAnsi="Arial" w:cs="Times New Roman"/>
                <w:b/>
              </w:rPr>
              <w:t>eview date</w:t>
            </w:r>
          </w:p>
        </w:tc>
        <w:tc>
          <w:tcPr>
            <w:tcW w:w="3676" w:type="pct"/>
          </w:tcPr>
          <w:p w14:paraId="371DC7E2" w14:textId="3715CE27" w:rsidR="00544F28" w:rsidRPr="003855A2" w:rsidRDefault="008B7594" w:rsidP="00590088">
            <w:pPr>
              <w:jc w:val="both"/>
              <w:rPr>
                <w:rFonts w:ascii="Arial" w:eastAsia="Arial" w:hAnsi="Arial" w:cs="Times New Roman"/>
              </w:rPr>
            </w:pPr>
            <w:r>
              <w:rPr>
                <w:rFonts w:ascii="Arial" w:eastAsia="Arial" w:hAnsi="Arial" w:cs="Times New Roman"/>
              </w:rPr>
              <w:t>September 2029</w:t>
            </w:r>
          </w:p>
        </w:tc>
      </w:tr>
      <w:tr w:rsidR="00544F28" w:rsidRPr="00D370AC" w14:paraId="61F00F06" w14:textId="77777777" w:rsidTr="00590088">
        <w:tc>
          <w:tcPr>
            <w:tcW w:w="1324" w:type="pct"/>
          </w:tcPr>
          <w:p w14:paraId="23AB7FBA" w14:textId="77777777" w:rsidR="00544F28" w:rsidRPr="003855A2" w:rsidRDefault="00544F28" w:rsidP="00590088">
            <w:pPr>
              <w:jc w:val="both"/>
              <w:rPr>
                <w:rFonts w:ascii="Arial" w:eastAsia="Arial" w:hAnsi="Arial" w:cs="Times New Roman"/>
                <w:b/>
              </w:rPr>
            </w:pPr>
            <w:r w:rsidRPr="003855A2">
              <w:rPr>
                <w:rFonts w:ascii="Arial" w:eastAsia="Arial" w:hAnsi="Arial" w:cs="Times New Roman"/>
                <w:b/>
              </w:rPr>
              <w:t>Approv</w:t>
            </w:r>
            <w:r>
              <w:rPr>
                <w:rFonts w:ascii="Arial" w:eastAsia="Arial" w:hAnsi="Arial" w:cs="Times New Roman"/>
                <w:b/>
              </w:rPr>
              <w:t>er</w:t>
            </w:r>
          </w:p>
        </w:tc>
        <w:tc>
          <w:tcPr>
            <w:tcW w:w="3676" w:type="pct"/>
          </w:tcPr>
          <w:p w14:paraId="054FD020" w14:textId="3D909C68" w:rsidR="00544F28" w:rsidRPr="003855A2" w:rsidRDefault="00CB3FF0" w:rsidP="00590088">
            <w:pPr>
              <w:jc w:val="both"/>
              <w:rPr>
                <w:rFonts w:ascii="Arial" w:eastAsia="Arial" w:hAnsi="Arial" w:cs="Times New Roman"/>
              </w:rPr>
            </w:pPr>
            <w:r>
              <w:rPr>
                <w:rFonts w:ascii="Arial" w:eastAsia="Arial" w:hAnsi="Arial" w:cs="Times New Roman"/>
              </w:rPr>
              <w:t>Executive Director, Regulatory Operations</w:t>
            </w:r>
          </w:p>
        </w:tc>
      </w:tr>
    </w:tbl>
    <w:p w14:paraId="4477BA7A" w14:textId="77777777" w:rsidR="00CF76B9" w:rsidRDefault="00CF76B9" w:rsidP="00CF76B9">
      <w:pPr>
        <w:spacing w:before="0"/>
        <w:rPr>
          <w:rFonts w:asciiTheme="majorHAnsi" w:eastAsiaTheme="majorEastAsia" w:hAnsiTheme="majorHAnsi" w:cstheme="majorBidi"/>
          <w:color w:val="00847E" w:themeColor="accent1"/>
          <w:sz w:val="44"/>
          <w:szCs w:val="26"/>
        </w:rPr>
      </w:pPr>
    </w:p>
    <w:p w14:paraId="4D061B8C" w14:textId="77777777" w:rsidR="00CF76B9" w:rsidRPr="00CF76B9" w:rsidRDefault="00CF76B9" w:rsidP="00CF76B9"/>
    <w:p w14:paraId="1184FF36" w14:textId="77777777" w:rsidR="00CF76B9" w:rsidRPr="00CF76B9" w:rsidRDefault="00CF76B9" w:rsidP="00CF76B9">
      <w:pPr>
        <w:rPr>
          <w:lang w:eastAsia="en-AU"/>
        </w:rPr>
      </w:pPr>
    </w:p>
    <w:p w14:paraId="29FC0954" w14:textId="44FEB07C" w:rsidR="00CF76B9" w:rsidRDefault="00CF76B9" w:rsidP="00CF76B9">
      <w:pPr>
        <w:rPr>
          <w:lang w:eastAsia="en-AU"/>
        </w:rPr>
      </w:pPr>
    </w:p>
    <w:p w14:paraId="79C55E22" w14:textId="23B93D6F" w:rsidR="00CF76B9" w:rsidRDefault="00CF76B9" w:rsidP="00CF76B9">
      <w:pPr>
        <w:rPr>
          <w:lang w:eastAsia="en-AU"/>
        </w:rPr>
      </w:pPr>
    </w:p>
    <w:p w14:paraId="14768133" w14:textId="77777777" w:rsidR="00CF76B9" w:rsidRPr="00CF76B9" w:rsidRDefault="00CF76B9" w:rsidP="00CF76B9">
      <w:pPr>
        <w:rPr>
          <w:lang w:eastAsia="en-AU"/>
        </w:rPr>
      </w:pPr>
    </w:p>
    <w:sectPr w:rsidR="00CF76B9" w:rsidRPr="00CF76B9" w:rsidSect="00FF2540">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84944" w14:textId="77777777" w:rsidR="004727DA" w:rsidRDefault="004727DA" w:rsidP="006C328D">
      <w:pPr>
        <w:spacing w:before="0" w:after="0"/>
      </w:pPr>
      <w:r>
        <w:separator/>
      </w:r>
    </w:p>
  </w:endnote>
  <w:endnote w:type="continuationSeparator" w:id="0">
    <w:p w14:paraId="0E568CC2" w14:textId="77777777" w:rsidR="004727DA" w:rsidRDefault="004727DA" w:rsidP="006C328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634AB" w14:textId="30D19625" w:rsidR="00FE2285" w:rsidRDefault="00FE2285">
    <w:pPr>
      <w:pStyle w:val="Footer"/>
    </w:pPr>
    <w:r>
      <w:rPr>
        <w:noProof/>
      </w:rPr>
      <mc:AlternateContent>
        <mc:Choice Requires="wps">
          <w:drawing>
            <wp:anchor distT="0" distB="0" distL="114300" distR="114300" simplePos="0" relativeHeight="251658243" behindDoc="0" locked="1" layoutInCell="0" allowOverlap="1" wp14:anchorId="7379DFD5" wp14:editId="368429C6">
              <wp:simplePos x="0" y="0"/>
              <wp:positionH relativeFrom="margin">
                <wp:align>center</wp:align>
              </wp:positionH>
              <wp:positionV relativeFrom="bottomMargin">
                <wp:align>center</wp:align>
              </wp:positionV>
              <wp:extent cx="892175" cy="273050"/>
              <wp:effectExtent l="0" t="0" r="0" b="0"/>
              <wp:wrapNone/>
              <wp:docPr id="1228638701" name="janusSEAL SC F_Even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C082AD" w14:textId="50815897" w:rsidR="00FE2285" w:rsidRPr="00FE2285" w:rsidRDefault="00FE2285" w:rsidP="00FE2285">
                          <w:pPr>
                            <w:spacing w:before="0" w:after="0"/>
                            <w:jc w:val="center"/>
                            <w:rPr>
                              <w:b/>
                              <w:color w:val="FF0000"/>
                              <w:sz w:val="24"/>
                            </w:rPr>
                          </w:pPr>
                          <w:r w:rsidRPr="00FE2285">
                            <w:rPr>
                              <w:b/>
                              <w:color w:val="FF0000"/>
                              <w:sz w:val="24"/>
                            </w:rPr>
                            <w:fldChar w:fldCharType="begin"/>
                          </w:r>
                          <w:r w:rsidRPr="00FE2285">
                            <w:rPr>
                              <w:b/>
                              <w:color w:val="FF0000"/>
                              <w:sz w:val="24"/>
                            </w:rPr>
                            <w:instrText xml:space="preserve"> DOCPROPERTY PM_ProtectiveMarkingValue_Footer \* MERGEFORMAT </w:instrText>
                          </w:r>
                          <w:r w:rsidRPr="00FE2285">
                            <w:rPr>
                              <w:b/>
                              <w:color w:val="FF0000"/>
                              <w:sz w:val="24"/>
                            </w:rPr>
                            <w:fldChar w:fldCharType="separate"/>
                          </w:r>
                          <w:r w:rsidR="00537863">
                            <w:rPr>
                              <w:b/>
                              <w:color w:val="FF0000"/>
                              <w:sz w:val="24"/>
                            </w:rPr>
                            <w:t>OFFICIAL</w:t>
                          </w:r>
                          <w:r w:rsidRPr="00FE2285">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379DFD5" id="_x0000_t202" coordsize="21600,21600" o:spt="202" path="m,l,21600r21600,l21600,xe">
              <v:stroke joinstyle="miter"/>
              <v:path gradientshapeok="t" o:connecttype="rect"/>
            </v:shapetype>
            <v:shape id="janusSEAL SC F_EvenPage" o:spid="_x0000_s1028" type="#_x0000_t202" style="position:absolute;margin-left:0;margin-top:0;width:70.25pt;height:21.5pt;z-index:251658243;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jdBGAIAADA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XZzGWFO+x3SWDsQ7IxcVelgK&#10;51+FBdMYCOr1L1iKmlCLjhZnJdmff7sP8SAAXs5aKCfjGtLmrP6uQcz9YDQKQouH0XgyxMFee9bX&#10;Hr1tHgnSHOCXGBnNEO/rk1lYat4h8XmoCZfQEpUz7k/moz+oGV9Eqvk8BkFaRvilXhkZUgfkAr5v&#10;3buw5kiCB3vPdFKYSD9wcYgNL52Zbz0YiUQFlA+YHsGHLCN/xy8UdH99jlGXjz77BQ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P3aN0EYAgAAMAQAAA4AAAAAAAAAAAAAAAAALgIAAGRycy9lMm9Eb2MueG1sUEsBAi0AFAAGAAgA&#10;AAAhAGk6TznbAAAABAEAAA8AAAAAAAAAAAAAAAAAcgQAAGRycy9kb3ducmV2LnhtbFBLBQYAAAAA&#10;BAAEAPMAAAB6BQAAAAA=&#10;" o:allowincell="f" filled="f" stroked="f" strokeweight=".5pt">
              <v:textbox style="mso-fit-shape-to-text:t">
                <w:txbxContent>
                  <w:p w14:paraId="6DC082AD" w14:textId="50815897" w:rsidR="00FE2285" w:rsidRPr="00FE2285" w:rsidRDefault="00FE2285" w:rsidP="00FE2285">
                    <w:pPr>
                      <w:spacing w:before="0" w:after="0"/>
                      <w:jc w:val="center"/>
                      <w:rPr>
                        <w:b/>
                        <w:color w:val="FF0000"/>
                        <w:sz w:val="24"/>
                      </w:rPr>
                    </w:pPr>
                    <w:r w:rsidRPr="00FE2285">
                      <w:rPr>
                        <w:b/>
                        <w:color w:val="FF0000"/>
                        <w:sz w:val="24"/>
                      </w:rPr>
                      <w:fldChar w:fldCharType="begin"/>
                    </w:r>
                    <w:r w:rsidRPr="00FE2285">
                      <w:rPr>
                        <w:b/>
                        <w:color w:val="FF0000"/>
                        <w:sz w:val="24"/>
                      </w:rPr>
                      <w:instrText xml:space="preserve"> DOCPROPERTY PM_ProtectiveMarkingValue_Footer \* MERGEFORMAT </w:instrText>
                    </w:r>
                    <w:r w:rsidRPr="00FE2285">
                      <w:rPr>
                        <w:b/>
                        <w:color w:val="FF0000"/>
                        <w:sz w:val="24"/>
                      </w:rPr>
                      <w:fldChar w:fldCharType="separate"/>
                    </w:r>
                    <w:r w:rsidR="00537863">
                      <w:rPr>
                        <w:b/>
                        <w:color w:val="FF0000"/>
                        <w:sz w:val="24"/>
                      </w:rPr>
                      <w:t>OFFICIAL</w:t>
                    </w:r>
                    <w:r w:rsidRPr="00FE2285">
                      <w:rPr>
                        <w:b/>
                        <w:color w:val="FF0000"/>
                        <w:sz w:val="24"/>
                      </w:rPr>
                      <w:fldChar w:fldCharType="end"/>
                    </w:r>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9666A" w14:textId="5BC789C9" w:rsidR="00FF2540" w:rsidRPr="008402E0" w:rsidRDefault="00FE2285" w:rsidP="00FC28D5">
    <w:pPr>
      <w:pStyle w:val="Footer"/>
      <w:jc w:val="right"/>
      <w:rPr>
        <w:color w:val="004E7D"/>
        <w:sz w:val="20"/>
        <w:szCs w:val="20"/>
      </w:rPr>
    </w:pPr>
    <w:r>
      <w:rPr>
        <w:noProof/>
        <w:color w:val="004E7D"/>
        <w:sz w:val="20"/>
        <w:szCs w:val="20"/>
      </w:rPr>
      <mc:AlternateContent>
        <mc:Choice Requires="wps">
          <w:drawing>
            <wp:anchor distT="0" distB="0" distL="114300" distR="114300" simplePos="0" relativeHeight="251658241" behindDoc="0" locked="1" layoutInCell="0" allowOverlap="1" wp14:anchorId="45F706FD" wp14:editId="130F2864">
              <wp:simplePos x="0" y="0"/>
              <wp:positionH relativeFrom="margin">
                <wp:align>center</wp:align>
              </wp:positionH>
              <wp:positionV relativeFrom="bottomMargin">
                <wp:align>center</wp:align>
              </wp:positionV>
              <wp:extent cx="892175" cy="273050"/>
              <wp:effectExtent l="0" t="0" r="0" b="0"/>
              <wp:wrapNone/>
              <wp:docPr id="473602458" name="janusSEAL SC Foot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FDD8CF" w14:textId="73BFB308" w:rsidR="00FE2285" w:rsidRPr="00FE2285" w:rsidRDefault="00FE2285" w:rsidP="00FE2285">
                          <w:pPr>
                            <w:spacing w:before="0" w:after="0"/>
                            <w:jc w:val="center"/>
                            <w:rPr>
                              <w:b/>
                              <w:color w:val="FF0000"/>
                              <w:sz w:val="24"/>
                            </w:rPr>
                          </w:pPr>
                          <w:r w:rsidRPr="00FE2285">
                            <w:rPr>
                              <w:b/>
                              <w:color w:val="FF0000"/>
                              <w:sz w:val="24"/>
                            </w:rPr>
                            <w:fldChar w:fldCharType="begin"/>
                          </w:r>
                          <w:r w:rsidRPr="00FE2285">
                            <w:rPr>
                              <w:b/>
                              <w:color w:val="FF0000"/>
                              <w:sz w:val="24"/>
                            </w:rPr>
                            <w:instrText xml:space="preserve"> DOCPROPERTY PM_ProtectiveMarkingValue_Footer \* MERGEFORMAT </w:instrText>
                          </w:r>
                          <w:r w:rsidRPr="00FE2285">
                            <w:rPr>
                              <w:b/>
                              <w:color w:val="FF0000"/>
                              <w:sz w:val="24"/>
                            </w:rPr>
                            <w:fldChar w:fldCharType="separate"/>
                          </w:r>
                          <w:r w:rsidR="00537863">
                            <w:rPr>
                              <w:b/>
                              <w:color w:val="FF0000"/>
                              <w:sz w:val="24"/>
                            </w:rPr>
                            <w:t>OFFICIAL</w:t>
                          </w:r>
                          <w:r w:rsidRPr="00FE2285">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5F706FD" id="_x0000_t202" coordsize="21600,21600" o:spt="202" path="m,l,21600r21600,l21600,xe">
              <v:stroke joinstyle="miter"/>
              <v:path gradientshapeok="t" o:connecttype="rect"/>
            </v:shapetype>
            <v:shape id="janusSEAL SC Footer" o:spid="_x0000_s1029" type="#_x0000_t202" style="position:absolute;left:0;text-align:left;margin-left:0;margin-top:0;width:70.25pt;height:21.5pt;z-index:251658241;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MF/0N0YAgAAMAQAAA4AAAAAAAAAAAAAAAAALgIAAGRycy9lMm9Eb2MueG1sUEsBAi0AFAAGAAgA&#10;AAAhAGk6TznbAAAABAEAAA8AAAAAAAAAAAAAAAAAcgQAAGRycy9kb3ducmV2LnhtbFBLBQYAAAAA&#10;BAAEAPMAAAB6BQAAAAA=&#10;" o:allowincell="f" filled="f" stroked="f" strokeweight=".5pt">
              <v:textbox style="mso-fit-shape-to-text:t">
                <w:txbxContent>
                  <w:p w14:paraId="68FDD8CF" w14:textId="73BFB308" w:rsidR="00FE2285" w:rsidRPr="00FE2285" w:rsidRDefault="00FE2285" w:rsidP="00FE2285">
                    <w:pPr>
                      <w:spacing w:before="0" w:after="0"/>
                      <w:jc w:val="center"/>
                      <w:rPr>
                        <w:b/>
                        <w:color w:val="FF0000"/>
                        <w:sz w:val="24"/>
                      </w:rPr>
                    </w:pPr>
                    <w:r w:rsidRPr="00FE2285">
                      <w:rPr>
                        <w:b/>
                        <w:color w:val="FF0000"/>
                        <w:sz w:val="24"/>
                      </w:rPr>
                      <w:fldChar w:fldCharType="begin"/>
                    </w:r>
                    <w:r w:rsidRPr="00FE2285">
                      <w:rPr>
                        <w:b/>
                        <w:color w:val="FF0000"/>
                        <w:sz w:val="24"/>
                      </w:rPr>
                      <w:instrText xml:space="preserve"> DOCPROPERTY PM_ProtectiveMarkingValue_Footer \* MERGEFORMAT </w:instrText>
                    </w:r>
                    <w:r w:rsidRPr="00FE2285">
                      <w:rPr>
                        <w:b/>
                        <w:color w:val="FF0000"/>
                        <w:sz w:val="24"/>
                      </w:rPr>
                      <w:fldChar w:fldCharType="separate"/>
                    </w:r>
                    <w:r w:rsidR="00537863">
                      <w:rPr>
                        <w:b/>
                        <w:color w:val="FF0000"/>
                        <w:sz w:val="24"/>
                      </w:rPr>
                      <w:t>OFFICIAL</w:t>
                    </w:r>
                    <w:r w:rsidRPr="00FE2285">
                      <w:rPr>
                        <w:b/>
                        <w:color w:val="FF0000"/>
                        <w:sz w:val="24"/>
                      </w:rPr>
                      <w:fldChar w:fldCharType="end"/>
                    </w:r>
                  </w:p>
                </w:txbxContent>
              </v:textbox>
              <w10:wrap anchorx="margin" anchory="margin"/>
              <w10:anchorlock/>
            </v:shape>
          </w:pict>
        </mc:Fallback>
      </mc:AlternateContent>
    </w:r>
    <w:sdt>
      <w:sdtPr>
        <w:rPr>
          <w:color w:val="004E7D"/>
          <w:sz w:val="20"/>
          <w:szCs w:val="20"/>
        </w:rPr>
        <w:id w:val="-1988930592"/>
        <w:docPartObj>
          <w:docPartGallery w:val="Page Numbers (Bottom of Page)"/>
          <w:docPartUnique/>
        </w:docPartObj>
      </w:sdtPr>
      <w:sdtEndPr/>
      <w:sdtContent>
        <w:sdt>
          <w:sdtPr>
            <w:rPr>
              <w:color w:val="004E7D"/>
              <w:sz w:val="20"/>
              <w:szCs w:val="20"/>
            </w:rPr>
            <w:id w:val="860082579"/>
            <w:docPartObj>
              <w:docPartGallery w:val="Page Numbers (Top of Page)"/>
              <w:docPartUnique/>
            </w:docPartObj>
          </w:sdtPr>
          <w:sdtEndPr/>
          <w:sdtContent>
            <w:r w:rsidR="003E40BA">
              <w:rPr>
                <w:noProof/>
              </w:rPr>
              <mc:AlternateContent>
                <mc:Choice Requires="wps">
                  <w:drawing>
                    <wp:anchor distT="0" distB="0" distL="114300" distR="114300" simplePos="0" relativeHeight="251658240" behindDoc="0" locked="0" layoutInCell="1" allowOverlap="1" wp14:anchorId="78D98456" wp14:editId="4EECB1F1">
                      <wp:simplePos x="0" y="0"/>
                      <wp:positionH relativeFrom="page">
                        <wp:align>right</wp:align>
                      </wp:positionH>
                      <wp:positionV relativeFrom="paragraph">
                        <wp:posOffset>-209550</wp:posOffset>
                      </wp:positionV>
                      <wp:extent cx="920750" cy="920750"/>
                      <wp:effectExtent l="57150" t="57150" r="12700" b="12700"/>
                      <wp:wrapNone/>
                      <wp:docPr id="1" name="Right Triangle 1"/>
                      <wp:cNvGraphicFramePr/>
                      <a:graphic xmlns:a="http://schemas.openxmlformats.org/drawingml/2006/main">
                        <a:graphicData uri="http://schemas.microsoft.com/office/word/2010/wordprocessingShape">
                          <wps:wsp>
                            <wps:cNvSpPr/>
                            <wps:spPr>
                              <a:xfrm rot="16200000">
                                <a:off x="0" y="0"/>
                                <a:ext cx="920750" cy="920750"/>
                              </a:xfrm>
                              <a:prstGeom prst="rtTriangle">
                                <a:avLst/>
                              </a:prstGeom>
                              <a:solidFill>
                                <a:srgbClr val="F7941D"/>
                              </a:solidFill>
                              <a:ln w="41275">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xmlns:arto="http://schemas.microsoft.com/office/word/2006/arto">
                  <w:pict>
                    <v:shapetype id="_x0000_t6" coordsize="21600,21600" o:spt="6" path="m,l,21600r21600,xe" w14:anchorId="6AD06C49">
                      <v:stroke joinstyle="miter"/>
                      <v:path textboxrect="1800,12600,12600,19800" gradientshapeok="t" o:connecttype="custom" o:connectlocs="0,0;0,10800;0,21600;10800,21600;21600,21600;10800,10800"/>
                    </v:shapetype>
                    <v:shape id="Right Triangle 1" style="position:absolute;margin-left:21.3pt;margin-top:-16.5pt;width:72.5pt;height:72.5pt;rotation:-90;z-index:251659264;visibility:visible;mso-wrap-style:square;mso-wrap-distance-left:9pt;mso-wrap-distance-top:0;mso-wrap-distance-right:9pt;mso-wrap-distance-bottom:0;mso-position-horizontal:right;mso-position-horizontal-relative:page;mso-position-vertical:absolute;mso-position-vertical-relative:text;v-text-anchor:middle" o:spid="_x0000_s1026" fillcolor="#f7941d" strokecolor="#f7caac [1305]" strokeweight="3.25pt"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">
                      <w10:wrap anchorx="page"/>
                    </v:shape>
                  </w:pict>
                </mc:Fallback>
              </mc:AlternateContent>
            </w:r>
            <w:sdt>
              <w:sdtPr>
                <w:rPr>
                  <w:color w:val="004E7D"/>
                  <w:sz w:val="20"/>
                  <w:szCs w:val="20"/>
                </w:rPr>
                <w:id w:val="-1535263275"/>
                <w:docPartObj>
                  <w:docPartGallery w:val="Page Numbers (Bottom of Page)"/>
                  <w:docPartUnique/>
                </w:docPartObj>
              </w:sdtPr>
              <w:sdtEndPr/>
              <w:sdtContent>
                <w:sdt>
                  <w:sdtPr>
                    <w:rPr>
                      <w:color w:val="004E7D"/>
                      <w:sz w:val="20"/>
                      <w:szCs w:val="20"/>
                    </w:rPr>
                    <w:id w:val="103080388"/>
                    <w:docPartObj>
                      <w:docPartGallery w:val="Page Numbers (Top of Page)"/>
                      <w:docPartUnique/>
                    </w:docPartObj>
                  </w:sdtPr>
                  <w:sdtEndPr/>
                  <w:sdtContent>
                    <w:r w:rsidR="00FC28D5">
                      <w:rPr>
                        <w:noProof/>
                      </w:rPr>
                      <mc:AlternateContent>
                        <mc:Choice Requires="wps">
                          <w:drawing>
                            <wp:anchor distT="0" distB="0" distL="114300" distR="114300" simplePos="0" relativeHeight="251658247" behindDoc="0" locked="0" layoutInCell="1" allowOverlap="1" wp14:anchorId="64EF48DB" wp14:editId="4ACAEDC6">
                              <wp:simplePos x="0" y="0"/>
                              <wp:positionH relativeFrom="page">
                                <wp:align>right</wp:align>
                              </wp:positionH>
                              <wp:positionV relativeFrom="paragraph">
                                <wp:posOffset>-209550</wp:posOffset>
                              </wp:positionV>
                              <wp:extent cx="920750" cy="920750"/>
                              <wp:effectExtent l="57150" t="57150" r="12700" b="12700"/>
                              <wp:wrapNone/>
                              <wp:docPr id="811284432" name="Right Triangle 811284432"/>
                              <wp:cNvGraphicFramePr/>
                              <a:graphic xmlns:a="http://schemas.openxmlformats.org/drawingml/2006/main">
                                <a:graphicData uri="http://schemas.microsoft.com/office/word/2010/wordprocessingShape">
                                  <wps:wsp>
                                    <wps:cNvSpPr/>
                                    <wps:spPr>
                                      <a:xfrm rot="16200000">
                                        <a:off x="0" y="0"/>
                                        <a:ext cx="920750" cy="920750"/>
                                      </a:xfrm>
                                      <a:prstGeom prst="rtTriangle">
                                        <a:avLst/>
                                      </a:prstGeom>
                                      <a:solidFill>
                                        <a:srgbClr val="F7941D"/>
                                      </a:solidFill>
                                      <a:ln w="41275">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92B85C8" id="_x0000_t6" coordsize="21600,21600" o:spt="6" path="m,l,21600r21600,xe">
                              <v:stroke joinstyle="miter"/>
                              <v:path gradientshapeok="t" o:connecttype="custom" o:connectlocs="0,0;0,10800;0,21600;10800,21600;21600,21600;10800,10800" textboxrect="1800,12600,12600,19800"/>
                            </v:shapetype>
                            <v:shape id="Right Triangle 811284432" o:spid="_x0000_s1026" type="#_x0000_t6" style="position:absolute;margin-left:21.3pt;margin-top:-16.5pt;width:72.5pt;height:72.5pt;rotation:-90;z-index:251660294;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" fillcolor="#f7941d" strokecolor="#f7caac [1305]" strokeweight="3.25pt">
                              <w10:wrap anchorx="page"/>
                            </v:shape>
                          </w:pict>
                        </mc:Fallback>
                      </mc:AlternateContent>
                    </w:r>
                    <w:r w:rsidR="00B500EB">
                      <w:rPr>
                        <w:color w:val="004E7D"/>
                        <w:sz w:val="20"/>
                        <w:szCs w:val="20"/>
                      </w:rPr>
                      <w:t>Compliance and enforcement policy</w:t>
                    </w:r>
                    <w:r w:rsidR="00FC28D5">
                      <w:rPr>
                        <w:color w:val="004E7D"/>
                        <w:sz w:val="20"/>
                        <w:szCs w:val="20"/>
                      </w:rPr>
                      <w:tab/>
                    </w:r>
                    <w:r w:rsidR="00FC28D5">
                      <w:rPr>
                        <w:color w:val="004E7D"/>
                        <w:sz w:val="20"/>
                        <w:szCs w:val="20"/>
                      </w:rPr>
                      <w:tab/>
                    </w:r>
                    <w:r w:rsidR="00061430">
                      <w:rPr>
                        <w:color w:val="004E7D"/>
                        <w:sz w:val="20"/>
                        <w:szCs w:val="20"/>
                      </w:rPr>
                      <w:t xml:space="preserve">  </w:t>
                    </w:r>
                    <w:r w:rsidR="00FC28D5" w:rsidRPr="008402E0">
                      <w:rPr>
                        <w:color w:val="004E7D"/>
                        <w:sz w:val="20"/>
                        <w:szCs w:val="20"/>
                      </w:rPr>
                      <w:t xml:space="preserve">Page </w:t>
                    </w:r>
                    <w:r w:rsidR="00FC28D5" w:rsidRPr="008402E0">
                      <w:rPr>
                        <w:b/>
                        <w:bCs/>
                        <w:color w:val="004E7D"/>
                        <w:sz w:val="20"/>
                        <w:szCs w:val="20"/>
                      </w:rPr>
                      <w:fldChar w:fldCharType="begin"/>
                    </w:r>
                    <w:r w:rsidR="00FC28D5" w:rsidRPr="008402E0">
                      <w:rPr>
                        <w:b/>
                        <w:bCs/>
                        <w:color w:val="004E7D"/>
                        <w:sz w:val="20"/>
                        <w:szCs w:val="20"/>
                      </w:rPr>
                      <w:instrText xml:space="preserve"> PAGE </w:instrText>
                    </w:r>
                    <w:r w:rsidR="00FC28D5" w:rsidRPr="008402E0">
                      <w:rPr>
                        <w:b/>
                        <w:bCs/>
                        <w:color w:val="004E7D"/>
                        <w:sz w:val="20"/>
                        <w:szCs w:val="20"/>
                      </w:rPr>
                      <w:fldChar w:fldCharType="separate"/>
                    </w:r>
                    <w:r w:rsidR="00FC28D5">
                      <w:rPr>
                        <w:b/>
                        <w:bCs/>
                        <w:color w:val="004E7D"/>
                        <w:sz w:val="20"/>
                        <w:szCs w:val="20"/>
                      </w:rPr>
                      <w:t>2</w:t>
                    </w:r>
                    <w:r w:rsidR="00FC28D5" w:rsidRPr="008402E0">
                      <w:rPr>
                        <w:b/>
                        <w:bCs/>
                        <w:color w:val="004E7D"/>
                        <w:sz w:val="20"/>
                        <w:szCs w:val="20"/>
                      </w:rPr>
                      <w:fldChar w:fldCharType="end"/>
                    </w:r>
                    <w:r w:rsidR="00FC28D5" w:rsidRPr="008402E0">
                      <w:rPr>
                        <w:color w:val="004E7D"/>
                        <w:sz w:val="20"/>
                        <w:szCs w:val="20"/>
                      </w:rPr>
                      <w:t xml:space="preserve"> of </w:t>
                    </w:r>
                    <w:r w:rsidR="00FC28D5" w:rsidRPr="008402E0">
                      <w:rPr>
                        <w:b/>
                        <w:bCs/>
                        <w:color w:val="004E7D"/>
                        <w:sz w:val="20"/>
                        <w:szCs w:val="20"/>
                      </w:rPr>
                      <w:fldChar w:fldCharType="begin"/>
                    </w:r>
                    <w:r w:rsidR="00FC28D5" w:rsidRPr="008402E0">
                      <w:rPr>
                        <w:b/>
                        <w:bCs/>
                        <w:color w:val="004E7D"/>
                        <w:sz w:val="20"/>
                        <w:szCs w:val="20"/>
                      </w:rPr>
                      <w:instrText xml:space="preserve"> NUMPAGES  </w:instrText>
                    </w:r>
                    <w:r w:rsidR="00FC28D5" w:rsidRPr="008402E0">
                      <w:rPr>
                        <w:b/>
                        <w:bCs/>
                        <w:color w:val="004E7D"/>
                        <w:sz w:val="20"/>
                        <w:szCs w:val="20"/>
                      </w:rPr>
                      <w:fldChar w:fldCharType="separate"/>
                    </w:r>
                    <w:r w:rsidR="00FC28D5">
                      <w:rPr>
                        <w:b/>
                        <w:bCs/>
                        <w:color w:val="004E7D"/>
                        <w:sz w:val="20"/>
                        <w:szCs w:val="20"/>
                      </w:rPr>
                      <w:t>2</w:t>
                    </w:r>
                    <w:r w:rsidR="00FC28D5" w:rsidRPr="008402E0">
                      <w:rPr>
                        <w:b/>
                        <w:bCs/>
                        <w:color w:val="004E7D"/>
                        <w:sz w:val="20"/>
                        <w:szCs w:val="20"/>
                      </w:rPr>
                      <w:fldChar w:fldCharType="end"/>
                    </w:r>
                  </w:sdtContent>
                </w:sdt>
              </w:sdtContent>
            </w:sdt>
            <w:r w:rsidR="00FC28D5">
              <w:rPr>
                <w:color w:val="004E7D"/>
                <w:sz w:val="20"/>
                <w:szCs w:val="20"/>
              </w:rPr>
              <w:t xml:space="preserve"> </w:t>
            </w:r>
          </w:sdtContent>
        </w:sdt>
      </w:sdtContent>
    </w:sdt>
  </w:p>
  <w:p w14:paraId="35FAC9C0" w14:textId="6F7DC00F" w:rsidR="00FF2540" w:rsidRPr="00242253" w:rsidRDefault="00B500EB">
    <w:pPr>
      <w:pStyle w:val="Footer"/>
      <w:rPr>
        <w:color w:val="004E7D"/>
        <w:sz w:val="20"/>
        <w:szCs w:val="20"/>
      </w:rPr>
    </w:pPr>
    <w:r w:rsidRPr="00242253">
      <w:rPr>
        <w:color w:val="004E7D"/>
        <w:sz w:val="20"/>
        <w:szCs w:val="20"/>
      </w:rPr>
      <w:t xml:space="preserve">Version </w:t>
    </w:r>
    <w:r>
      <w:rPr>
        <w:color w:val="004E7D"/>
        <w:sz w:val="20"/>
        <w:szCs w:val="20"/>
      </w:rPr>
      <w:t>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A400" w14:textId="15B8A804" w:rsidR="00FE2285" w:rsidRDefault="00FE2285">
    <w:pPr>
      <w:pStyle w:val="Footer"/>
    </w:pPr>
    <w:r>
      <w:rPr>
        <w:noProof/>
      </w:rPr>
      <mc:AlternateContent>
        <mc:Choice Requires="wps">
          <w:drawing>
            <wp:anchor distT="0" distB="0" distL="114300" distR="114300" simplePos="0" relativeHeight="251658242" behindDoc="0" locked="1" layoutInCell="0" allowOverlap="1" wp14:anchorId="6812553A" wp14:editId="21BBB27C">
              <wp:simplePos x="0" y="0"/>
              <wp:positionH relativeFrom="margin">
                <wp:align>center</wp:align>
              </wp:positionH>
              <wp:positionV relativeFrom="bottomMargin">
                <wp:align>center</wp:align>
              </wp:positionV>
              <wp:extent cx="892175" cy="273050"/>
              <wp:effectExtent l="0" t="0" r="0" b="0"/>
              <wp:wrapNone/>
              <wp:docPr id="1212471346" name="janusSEAL SC F_First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3E150F" w14:textId="7DD5742D" w:rsidR="00FE2285" w:rsidRPr="00FE2285" w:rsidRDefault="00FE2285" w:rsidP="00FE2285">
                          <w:pPr>
                            <w:spacing w:before="0" w:after="0"/>
                            <w:jc w:val="center"/>
                            <w:rPr>
                              <w:b/>
                              <w:color w:val="FF0000"/>
                              <w:sz w:val="24"/>
                            </w:rPr>
                          </w:pPr>
                          <w:r w:rsidRPr="00FE2285">
                            <w:rPr>
                              <w:b/>
                              <w:color w:val="FF0000"/>
                              <w:sz w:val="24"/>
                            </w:rPr>
                            <w:fldChar w:fldCharType="begin"/>
                          </w:r>
                          <w:r w:rsidRPr="00FE2285">
                            <w:rPr>
                              <w:b/>
                              <w:color w:val="FF0000"/>
                              <w:sz w:val="24"/>
                            </w:rPr>
                            <w:instrText xml:space="preserve"> DOCPROPERTY PM_ProtectiveMarkingValue_Footer \* MERGEFORMAT </w:instrText>
                          </w:r>
                          <w:r w:rsidRPr="00FE2285">
                            <w:rPr>
                              <w:b/>
                              <w:color w:val="FF0000"/>
                              <w:sz w:val="24"/>
                            </w:rPr>
                            <w:fldChar w:fldCharType="separate"/>
                          </w:r>
                          <w:r w:rsidR="00537863">
                            <w:rPr>
                              <w:b/>
                              <w:color w:val="FF0000"/>
                              <w:sz w:val="24"/>
                            </w:rPr>
                            <w:t>OFFICIAL</w:t>
                          </w:r>
                          <w:r w:rsidRPr="00FE2285">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812553A" id="_x0000_t202" coordsize="21600,21600" o:spt="202" path="m,l,21600r21600,l21600,xe">
              <v:stroke joinstyle="miter"/>
              <v:path gradientshapeok="t" o:connecttype="rect"/>
            </v:shapetype>
            <v:shape id="janusSEAL SC F_FirstPage" o:spid="_x0000_s1031" type="#_x0000_t202" style="position:absolute;margin-left:0;margin-top:0;width:70.25pt;height:21.5pt;z-index:251658242;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WMhGQ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" o:allowincell="f" filled="f" stroked="f" strokeweight=".5pt">
              <v:textbox style="mso-fit-shape-to-text:t">
                <w:txbxContent>
                  <w:p w14:paraId="663E150F" w14:textId="7DD5742D" w:rsidR="00FE2285" w:rsidRPr="00FE2285" w:rsidRDefault="00FE2285" w:rsidP="00FE2285">
                    <w:pPr>
                      <w:spacing w:before="0" w:after="0"/>
                      <w:jc w:val="center"/>
                      <w:rPr>
                        <w:b/>
                        <w:color w:val="FF0000"/>
                        <w:sz w:val="24"/>
                      </w:rPr>
                    </w:pPr>
                    <w:r w:rsidRPr="00FE2285">
                      <w:rPr>
                        <w:b/>
                        <w:color w:val="FF0000"/>
                        <w:sz w:val="24"/>
                      </w:rPr>
                      <w:fldChar w:fldCharType="begin"/>
                    </w:r>
                    <w:r w:rsidRPr="00FE2285">
                      <w:rPr>
                        <w:b/>
                        <w:color w:val="FF0000"/>
                        <w:sz w:val="24"/>
                      </w:rPr>
                      <w:instrText xml:space="preserve"> DOCPROPERTY PM_ProtectiveMarkingValue_Footer \* MERGEFORMAT </w:instrText>
                    </w:r>
                    <w:r w:rsidRPr="00FE2285">
                      <w:rPr>
                        <w:b/>
                        <w:color w:val="FF0000"/>
                        <w:sz w:val="24"/>
                      </w:rPr>
                      <w:fldChar w:fldCharType="separate"/>
                    </w:r>
                    <w:r w:rsidR="00537863">
                      <w:rPr>
                        <w:b/>
                        <w:color w:val="FF0000"/>
                        <w:sz w:val="24"/>
                      </w:rPr>
                      <w:t>OFFICIAL</w:t>
                    </w:r>
                    <w:r w:rsidRPr="00FE2285">
                      <w:rPr>
                        <w:b/>
                        <w:color w:val="FF0000"/>
                        <w:sz w:val="24"/>
                      </w:rPr>
                      <w:fldChar w:fldCharType="end"/>
                    </w:r>
                  </w:p>
                </w:txbxContent>
              </v:textbox>
              <w10:wrap anchorx="margin"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C28D1" w14:textId="77777777" w:rsidR="004727DA" w:rsidRDefault="004727DA" w:rsidP="006C328D">
      <w:pPr>
        <w:spacing w:before="0" w:after="0"/>
      </w:pPr>
      <w:r>
        <w:separator/>
      </w:r>
    </w:p>
  </w:footnote>
  <w:footnote w:type="continuationSeparator" w:id="0">
    <w:p w14:paraId="19C3EE32" w14:textId="77777777" w:rsidR="004727DA" w:rsidRDefault="004727DA" w:rsidP="006C328D">
      <w:pPr>
        <w:spacing w:before="0" w:after="0"/>
      </w:pPr>
      <w:r>
        <w:continuationSeparator/>
      </w:r>
    </w:p>
  </w:footnote>
  <w:footnote w:id="1">
    <w:p w14:paraId="41F9E6E3" w14:textId="0530BCA8" w:rsidR="00CF76B9" w:rsidRPr="00430A0E" w:rsidRDefault="00CF76B9" w:rsidP="00CF76B9">
      <w:pPr>
        <w:pStyle w:val="FootnoteText"/>
        <w:rPr>
          <w:lang w:val="en-US"/>
        </w:rPr>
      </w:pPr>
      <w:r>
        <w:rPr>
          <w:rStyle w:val="FootnoteReference"/>
        </w:rPr>
        <w:footnoteRef/>
      </w:r>
      <w:r>
        <w:t xml:space="preserve"> </w:t>
      </w:r>
      <w:r w:rsidRPr="00CF6A11">
        <w:t>Note that s59 of the TEQSA Act specifically refers to reviews or examinations of compliance with the Threshold Standards.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94B57" w14:textId="13DD57A1" w:rsidR="00FE2285" w:rsidRDefault="006934F1">
    <w:pPr>
      <w:pStyle w:val="Header"/>
    </w:pPr>
    <w:r>
      <w:rPr>
        <w:noProof/>
      </w:rPr>
      <mc:AlternateContent>
        <mc:Choice Requires="wps">
          <w:drawing>
            <wp:anchor distT="0" distB="0" distL="114300" distR="114300" simplePos="0" relativeHeight="251658246" behindDoc="0" locked="1" layoutInCell="0" allowOverlap="1" wp14:anchorId="2D77673F" wp14:editId="35578313">
              <wp:simplePos x="0" y="0"/>
              <wp:positionH relativeFrom="margin">
                <wp:align>center</wp:align>
              </wp:positionH>
              <wp:positionV relativeFrom="topMargin">
                <wp:align>center</wp:align>
              </wp:positionV>
              <wp:extent cx="892175" cy="273050"/>
              <wp:effectExtent l="0" t="0" r="0" b="0"/>
              <wp:wrapNone/>
              <wp:docPr id="191267470" name="janusSEAL SC H_Even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14198A" w14:textId="15B80A5C" w:rsidR="006934F1" w:rsidRPr="006934F1" w:rsidRDefault="006934F1" w:rsidP="006934F1">
                          <w:pPr>
                            <w:spacing w:before="0" w:after="0"/>
                            <w:jc w:val="center"/>
                            <w:rPr>
                              <w:b/>
                              <w:color w:val="FF0000"/>
                              <w:sz w:val="24"/>
                            </w:rPr>
                          </w:pPr>
                          <w:r w:rsidRPr="006934F1">
                            <w:rPr>
                              <w:b/>
                              <w:color w:val="FF0000"/>
                              <w:sz w:val="24"/>
                            </w:rPr>
                            <w:fldChar w:fldCharType="begin"/>
                          </w:r>
                          <w:r w:rsidRPr="006934F1">
                            <w:rPr>
                              <w:b/>
                              <w:color w:val="FF0000"/>
                              <w:sz w:val="24"/>
                            </w:rPr>
                            <w:instrText xml:space="preserve"> DOCPROPERTY PM_ProtectiveMarkingValue_Header \* MERGEFORMAT </w:instrText>
                          </w:r>
                          <w:r w:rsidRPr="006934F1">
                            <w:rPr>
                              <w:b/>
                              <w:color w:val="FF0000"/>
                              <w:sz w:val="24"/>
                            </w:rPr>
                            <w:fldChar w:fldCharType="separate"/>
                          </w:r>
                          <w:r w:rsidR="00537863">
                            <w:rPr>
                              <w:b/>
                              <w:color w:val="FF0000"/>
                              <w:sz w:val="24"/>
                            </w:rPr>
                            <w:t>OFFICIAL</w:t>
                          </w:r>
                          <w:r w:rsidRPr="006934F1">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D77673F" id="_x0000_t202" coordsize="21600,21600" o:spt="202" path="m,l,21600r21600,l21600,xe">
              <v:stroke joinstyle="miter"/>
              <v:path gradientshapeok="t" o:connecttype="rect"/>
            </v:shapetype>
            <v:shape id="janusSEAL SC H_EvenPage" o:spid="_x0000_s1026" type="#_x0000_t202" style="position:absolute;margin-left:0;margin-top:0;width:70.25pt;height:21.5pt;z-index:251658246;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" o:allowincell="f" filled="f" stroked="f" strokeweight=".5pt">
              <v:textbox style="mso-fit-shape-to-text:t">
                <w:txbxContent>
                  <w:p w14:paraId="3E14198A" w14:textId="15B80A5C" w:rsidR="006934F1" w:rsidRPr="006934F1" w:rsidRDefault="006934F1" w:rsidP="006934F1">
                    <w:pPr>
                      <w:spacing w:before="0" w:after="0"/>
                      <w:jc w:val="center"/>
                      <w:rPr>
                        <w:b/>
                        <w:color w:val="FF0000"/>
                        <w:sz w:val="24"/>
                      </w:rPr>
                    </w:pPr>
                    <w:r w:rsidRPr="006934F1">
                      <w:rPr>
                        <w:b/>
                        <w:color w:val="FF0000"/>
                        <w:sz w:val="24"/>
                      </w:rPr>
                      <w:fldChar w:fldCharType="begin"/>
                    </w:r>
                    <w:r w:rsidRPr="006934F1">
                      <w:rPr>
                        <w:b/>
                        <w:color w:val="FF0000"/>
                        <w:sz w:val="24"/>
                      </w:rPr>
                      <w:instrText xml:space="preserve"> DOCPROPERTY PM_ProtectiveMarkingValue_Header \* MERGEFORMAT </w:instrText>
                    </w:r>
                    <w:r w:rsidRPr="006934F1">
                      <w:rPr>
                        <w:b/>
                        <w:color w:val="FF0000"/>
                        <w:sz w:val="24"/>
                      </w:rPr>
                      <w:fldChar w:fldCharType="separate"/>
                    </w:r>
                    <w:r w:rsidR="00537863">
                      <w:rPr>
                        <w:b/>
                        <w:color w:val="FF0000"/>
                        <w:sz w:val="24"/>
                      </w:rPr>
                      <w:t>OFFICIAL</w:t>
                    </w:r>
                    <w:r w:rsidRPr="006934F1">
                      <w:rPr>
                        <w:b/>
                        <w:color w:val="FF0000"/>
                        <w:sz w:val="24"/>
                      </w:rPr>
                      <w:fldChar w:fldCharType="end"/>
                    </w:r>
                  </w:p>
                </w:txbxContent>
              </v:textbox>
              <w10:wrap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86A5" w14:textId="28D3CAD7" w:rsidR="001D46BE" w:rsidRDefault="006934F1" w:rsidP="001D46BE">
    <w:pPr>
      <w:pStyle w:val="Header"/>
      <w:tabs>
        <w:tab w:val="clear" w:pos="9026"/>
        <w:tab w:val="right" w:pos="13892"/>
      </w:tabs>
      <w:jc w:val="center"/>
      <w:rPr>
        <w:b/>
        <w:i/>
        <w:color w:val="FF0000"/>
        <w:sz w:val="20"/>
        <w:szCs w:val="20"/>
      </w:rPr>
    </w:pPr>
    <w:r>
      <w:rPr>
        <w:b/>
        <w:i/>
        <w:noProof/>
        <w:color w:val="FF0000"/>
        <w:sz w:val="20"/>
        <w:szCs w:val="20"/>
      </w:rPr>
      <mc:AlternateContent>
        <mc:Choice Requires="wps">
          <w:drawing>
            <wp:anchor distT="0" distB="0" distL="114300" distR="114300" simplePos="0" relativeHeight="251658244" behindDoc="0" locked="1" layoutInCell="0" allowOverlap="1" wp14:anchorId="60196602" wp14:editId="7EC59DF2">
              <wp:simplePos x="0" y="0"/>
              <wp:positionH relativeFrom="margin">
                <wp:align>center</wp:align>
              </wp:positionH>
              <wp:positionV relativeFrom="topMargin">
                <wp:align>center</wp:align>
              </wp:positionV>
              <wp:extent cx="892175" cy="273050"/>
              <wp:effectExtent l="0" t="0" r="0" b="0"/>
              <wp:wrapNone/>
              <wp:docPr id="1460976171" name="janusSEAL SC Head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45499D" w14:textId="17620BA8" w:rsidR="006934F1" w:rsidRPr="006934F1" w:rsidRDefault="006934F1" w:rsidP="006934F1">
                          <w:pPr>
                            <w:spacing w:before="0" w:after="0"/>
                            <w:jc w:val="center"/>
                            <w:rPr>
                              <w:b/>
                              <w:color w:val="FF0000"/>
                              <w:sz w:val="24"/>
                            </w:rPr>
                          </w:pPr>
                          <w:r w:rsidRPr="006934F1">
                            <w:rPr>
                              <w:b/>
                              <w:color w:val="FF0000"/>
                              <w:sz w:val="24"/>
                            </w:rPr>
                            <w:fldChar w:fldCharType="begin"/>
                          </w:r>
                          <w:r w:rsidRPr="006934F1">
                            <w:rPr>
                              <w:b/>
                              <w:color w:val="FF0000"/>
                              <w:sz w:val="24"/>
                            </w:rPr>
                            <w:instrText xml:space="preserve"> DOCPROPERTY PM_ProtectiveMarkingValue_Header \* MERGEFORMAT </w:instrText>
                          </w:r>
                          <w:r w:rsidRPr="006934F1">
                            <w:rPr>
                              <w:b/>
                              <w:color w:val="FF0000"/>
                              <w:sz w:val="24"/>
                            </w:rPr>
                            <w:fldChar w:fldCharType="separate"/>
                          </w:r>
                          <w:r w:rsidR="00537863">
                            <w:rPr>
                              <w:b/>
                              <w:color w:val="FF0000"/>
                              <w:sz w:val="24"/>
                            </w:rPr>
                            <w:t>OFFICIAL</w:t>
                          </w:r>
                          <w:r w:rsidRPr="006934F1">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0196602" id="_x0000_t202" coordsize="21600,21600" o:spt="202" path="m,l,21600r21600,l21600,xe">
              <v:stroke joinstyle="miter"/>
              <v:path gradientshapeok="t" o:connecttype="rect"/>
            </v:shapetype>
            <v:shape id="janusSEAL SC Header" o:spid="_x0000_s1027" type="#_x0000_t202" style="position:absolute;left:0;text-align:left;margin-left:0;margin-top:0;width:70.25pt;height:21.5pt;z-index:251658244;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24/Fw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" o:allowincell="f" filled="f" stroked="f" strokeweight=".5pt">
              <v:textbox style="mso-fit-shape-to-text:t">
                <w:txbxContent>
                  <w:p w14:paraId="1C45499D" w14:textId="17620BA8" w:rsidR="006934F1" w:rsidRPr="006934F1" w:rsidRDefault="006934F1" w:rsidP="006934F1">
                    <w:pPr>
                      <w:spacing w:before="0" w:after="0"/>
                      <w:jc w:val="center"/>
                      <w:rPr>
                        <w:b/>
                        <w:color w:val="FF0000"/>
                        <w:sz w:val="24"/>
                      </w:rPr>
                    </w:pPr>
                    <w:r w:rsidRPr="006934F1">
                      <w:rPr>
                        <w:b/>
                        <w:color w:val="FF0000"/>
                        <w:sz w:val="24"/>
                      </w:rPr>
                      <w:fldChar w:fldCharType="begin"/>
                    </w:r>
                    <w:r w:rsidRPr="006934F1">
                      <w:rPr>
                        <w:b/>
                        <w:color w:val="FF0000"/>
                        <w:sz w:val="24"/>
                      </w:rPr>
                      <w:instrText xml:space="preserve"> DOCPROPERTY PM_ProtectiveMarkingValue_Header \* MERGEFORMAT </w:instrText>
                    </w:r>
                    <w:r w:rsidRPr="006934F1">
                      <w:rPr>
                        <w:b/>
                        <w:color w:val="FF0000"/>
                        <w:sz w:val="24"/>
                      </w:rPr>
                      <w:fldChar w:fldCharType="separate"/>
                    </w:r>
                    <w:r w:rsidR="00537863">
                      <w:rPr>
                        <w:b/>
                        <w:color w:val="FF0000"/>
                        <w:sz w:val="24"/>
                      </w:rPr>
                      <w:t>OFFICIAL</w:t>
                    </w:r>
                    <w:r w:rsidRPr="006934F1">
                      <w:rPr>
                        <w:b/>
                        <w:color w:val="FF0000"/>
                        <w:sz w:val="24"/>
                      </w:rPr>
                      <w:fldChar w:fldCharType="end"/>
                    </w:r>
                  </w:p>
                </w:txbxContent>
              </v:textbox>
              <w10:wrap anchorx="margin" anchory="margin"/>
              <w10:anchorlock/>
            </v:shape>
          </w:pict>
        </mc:Fallback>
      </mc:AlternateContent>
    </w:r>
  </w:p>
  <w:p w14:paraId="14C4451F" w14:textId="6F365F98" w:rsidR="006C328D" w:rsidRPr="006C328D" w:rsidRDefault="006C328D" w:rsidP="006C328D">
    <w:pPr>
      <w:pStyle w:val="Header"/>
      <w:spacing w:after="240"/>
      <w:jc w:val="right"/>
      <w:rPr>
        <w:rFonts w:ascii="Georgia" w:hAnsi="Georgia" w:cs="Arial"/>
        <w:b/>
        <w:noProof/>
        <w:color w:val="004855"/>
        <w:sz w:val="28"/>
        <w:szCs w:val="28"/>
        <w:lang w:eastAsia="en-AU"/>
      </w:rPr>
    </w:pPr>
    <w:r>
      <w:rPr>
        <w:rFonts w:ascii="Georgia" w:hAnsi="Georgia" w:cs="Arial"/>
        <w:b/>
        <w:noProof/>
        <w:color w:val="004855"/>
        <w:sz w:val="28"/>
        <w:szCs w:val="28"/>
        <w:lang w:eastAsia="en-AU"/>
      </w:rPr>
      <w:t xml:space="preserve"> </w:t>
    </w:r>
    <w:r>
      <w:rPr>
        <w:rFonts w:ascii="Georgia" w:hAnsi="Georgia" w:cs="Arial"/>
        <w:b/>
        <w:noProof/>
        <w:color w:val="004855"/>
        <w:sz w:val="28"/>
        <w:szCs w:val="28"/>
        <w:lang w:eastAsia="en-AU"/>
      </w:rPr>
      <w:drawing>
        <wp:inline distT="0" distB="0" distL="0" distR="0" wp14:anchorId="2B2135CB" wp14:editId="1996BAB4">
          <wp:extent cx="3205353" cy="47680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205353" cy="476804"/>
                  </a:xfrm>
                  <a:prstGeom prst="rect">
                    <a:avLst/>
                  </a:prstGeom>
                  <a:noFill/>
                  <a:ln>
                    <a:noFill/>
                  </a:ln>
                </pic:spPr>
              </pic:pic>
            </a:graphicData>
          </a:graphic>
        </wp:inline>
      </w:drawing>
    </w:r>
    <w:r>
      <w:rPr>
        <w:rFonts w:ascii="Georgia" w:hAnsi="Georgia" w:cs="Arial"/>
        <w:b/>
        <w:noProof/>
        <w:color w:val="004855"/>
        <w:sz w:val="28"/>
        <w:szCs w:val="28"/>
        <w:lang w:eastAsia="en-AU"/>
      </w:rPr>
      <w:tab/>
    </w:r>
    <w:r>
      <w:rPr>
        <w:rFonts w:ascii="Georgia" w:hAnsi="Georgia" w:cs="Arial"/>
        <w:b/>
        <w:noProof/>
        <w:color w:val="004855"/>
        <w:sz w:val="28"/>
        <w:szCs w:val="28"/>
        <w:lang w:eastAsia="en-AU"/>
      </w:rPr>
      <w:drawing>
        <wp:inline distT="0" distB="0" distL="0" distR="0" wp14:anchorId="4FB4F80A" wp14:editId="004591B6">
          <wp:extent cx="1425274" cy="353261"/>
          <wp:effectExtent l="0" t="0" r="381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425274" cy="35326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7224B" w14:textId="5A392DA1" w:rsidR="00FE2285" w:rsidRDefault="006934F1">
    <w:pPr>
      <w:pStyle w:val="Header"/>
    </w:pPr>
    <w:r>
      <w:rPr>
        <w:noProof/>
      </w:rPr>
      <mc:AlternateContent>
        <mc:Choice Requires="wps">
          <w:drawing>
            <wp:anchor distT="0" distB="0" distL="114300" distR="114300" simplePos="0" relativeHeight="251658245" behindDoc="0" locked="1" layoutInCell="0" allowOverlap="1" wp14:anchorId="5E985CFE" wp14:editId="199CFFE2">
              <wp:simplePos x="0" y="0"/>
              <wp:positionH relativeFrom="margin">
                <wp:align>center</wp:align>
              </wp:positionH>
              <wp:positionV relativeFrom="topMargin">
                <wp:align>center</wp:align>
              </wp:positionV>
              <wp:extent cx="892175" cy="273050"/>
              <wp:effectExtent l="0" t="0" r="0" b="0"/>
              <wp:wrapNone/>
              <wp:docPr id="3499332" name="janusSEAL SC H_First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F0E665" w14:textId="0A4D8F20" w:rsidR="006934F1" w:rsidRPr="006934F1" w:rsidRDefault="006934F1" w:rsidP="006934F1">
                          <w:pPr>
                            <w:spacing w:before="0" w:after="0"/>
                            <w:jc w:val="center"/>
                            <w:rPr>
                              <w:b/>
                              <w:color w:val="FF0000"/>
                              <w:sz w:val="24"/>
                            </w:rPr>
                          </w:pPr>
                          <w:r w:rsidRPr="006934F1">
                            <w:rPr>
                              <w:b/>
                              <w:color w:val="FF0000"/>
                              <w:sz w:val="24"/>
                            </w:rPr>
                            <w:fldChar w:fldCharType="begin"/>
                          </w:r>
                          <w:r w:rsidRPr="006934F1">
                            <w:rPr>
                              <w:b/>
                              <w:color w:val="FF0000"/>
                              <w:sz w:val="24"/>
                            </w:rPr>
                            <w:instrText xml:space="preserve"> DOCPROPERTY PM_ProtectiveMarkingValue_Header \* MERGEFORMAT </w:instrText>
                          </w:r>
                          <w:r w:rsidRPr="006934F1">
                            <w:rPr>
                              <w:b/>
                              <w:color w:val="FF0000"/>
                              <w:sz w:val="24"/>
                            </w:rPr>
                            <w:fldChar w:fldCharType="separate"/>
                          </w:r>
                          <w:r w:rsidR="00537863">
                            <w:rPr>
                              <w:b/>
                              <w:color w:val="FF0000"/>
                              <w:sz w:val="24"/>
                            </w:rPr>
                            <w:t>OFFICIAL</w:t>
                          </w:r>
                          <w:r w:rsidRPr="006934F1">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E985CFE" id="_x0000_t202" coordsize="21600,21600" o:spt="202" path="m,l,21600r21600,l21600,xe">
              <v:stroke joinstyle="miter"/>
              <v:path gradientshapeok="t" o:connecttype="rect"/>
            </v:shapetype>
            <v:shape id="janusSEAL SC H_FirstPage" o:spid="_x0000_s1030" type="#_x0000_t202" style="position:absolute;margin-left:0;margin-top:0;width:70.25pt;height:21.5pt;z-index:251658245;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IS9GQ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" o:allowincell="f" filled="f" stroked="f" strokeweight=".5pt">
              <v:textbox style="mso-fit-shape-to-text:t">
                <w:txbxContent>
                  <w:p w14:paraId="77F0E665" w14:textId="0A4D8F20" w:rsidR="006934F1" w:rsidRPr="006934F1" w:rsidRDefault="006934F1" w:rsidP="006934F1">
                    <w:pPr>
                      <w:spacing w:before="0" w:after="0"/>
                      <w:jc w:val="center"/>
                      <w:rPr>
                        <w:b/>
                        <w:color w:val="FF0000"/>
                        <w:sz w:val="24"/>
                      </w:rPr>
                    </w:pPr>
                    <w:r w:rsidRPr="006934F1">
                      <w:rPr>
                        <w:b/>
                        <w:color w:val="FF0000"/>
                        <w:sz w:val="24"/>
                      </w:rPr>
                      <w:fldChar w:fldCharType="begin"/>
                    </w:r>
                    <w:r w:rsidRPr="006934F1">
                      <w:rPr>
                        <w:b/>
                        <w:color w:val="FF0000"/>
                        <w:sz w:val="24"/>
                      </w:rPr>
                      <w:instrText xml:space="preserve"> DOCPROPERTY PM_ProtectiveMarkingValue_Header \* MERGEFORMAT </w:instrText>
                    </w:r>
                    <w:r w:rsidRPr="006934F1">
                      <w:rPr>
                        <w:b/>
                        <w:color w:val="FF0000"/>
                        <w:sz w:val="24"/>
                      </w:rPr>
                      <w:fldChar w:fldCharType="separate"/>
                    </w:r>
                    <w:r w:rsidR="00537863">
                      <w:rPr>
                        <w:b/>
                        <w:color w:val="FF0000"/>
                        <w:sz w:val="24"/>
                      </w:rPr>
                      <w:t>OFFICIAL</w:t>
                    </w:r>
                    <w:r w:rsidRPr="006934F1">
                      <w:rPr>
                        <w:b/>
                        <w:color w:val="FF0000"/>
                        <w:sz w:val="24"/>
                      </w:rPr>
                      <w:fldChar w:fldCharType="end"/>
                    </w:r>
                  </w:p>
                </w:txbxContent>
              </v:textbox>
              <w10:wrap anchorx="margin"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6pt" o:bullet="t">
        <v:imagedata r:id="rId1" o:title="Teal-Triangles"/>
      </v:shape>
    </w:pict>
  </w:numPicBullet>
  <w:numPicBullet w:numPicBulletId="1">
    <w:pict>
      <v:shape id="_x0000_i1026" type="#_x0000_t75" style="width:1in;height:36pt" o:bullet="t">
        <v:imagedata r:id="rId2" o:title="Pink-Triangles"/>
      </v:shape>
    </w:pict>
  </w:numPicBullet>
  <w:numPicBullet w:numPicBulletId="2">
    <w:pict>
      <v:shape id="_x0000_i1027" type="#_x0000_t75" style="width:1in;height:36pt" o:bullet="t">
        <v:imagedata r:id="rId3" o:title="Yellow-Triangles"/>
      </v:shape>
    </w:pict>
  </w:numPicBullet>
  <w:abstractNum w:abstractNumId="0" w15:restartNumberingAfterBreak="0">
    <w:nsid w:val="26D50250"/>
    <w:multiLevelType w:val="hybridMultilevel"/>
    <w:tmpl w:val="62A492F2"/>
    <w:lvl w:ilvl="0" w:tplc="CA78D74C">
      <w:start w:val="1"/>
      <w:numFmt w:val="bullet"/>
      <w:pStyle w:val="PullOut-Teal"/>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AD90FB3"/>
    <w:multiLevelType w:val="hybridMultilevel"/>
    <w:tmpl w:val="24EE09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D890E47"/>
    <w:multiLevelType w:val="hybridMultilevel"/>
    <w:tmpl w:val="E628387E"/>
    <w:lvl w:ilvl="0" w:tplc="6B982C78">
      <w:start w:val="1"/>
      <w:numFmt w:val="decimal"/>
      <w:pStyle w:val="SourceNotesNumbered"/>
      <w:lvlText w:val="%1."/>
      <w:lvlJc w:val="left"/>
      <w:pPr>
        <w:ind w:left="720" w:hanging="360"/>
      </w:pPr>
      <w:rPr>
        <w:rFonts w:hint="default"/>
        <w:caps w:val="0"/>
        <w:vanish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E1761EE"/>
    <w:multiLevelType w:val="multilevel"/>
    <w:tmpl w:val="131EEC6C"/>
    <w:lvl w:ilvl="0">
      <w:start w:val="1"/>
      <w:numFmt w:val="decimal"/>
      <w:pStyle w:val="TableTitle"/>
      <w:lvlText w:val="Table %1."/>
      <w:lvlJc w:val="left"/>
      <w:pPr>
        <w:ind w:left="1134" w:hanging="1134"/>
      </w:pPr>
      <w:rPr>
        <w:rFonts w:hint="default"/>
        <w:b w:val="0"/>
        <w:i w:val="0"/>
        <w:caps w:val="0"/>
        <w:color w:val="00847E"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1832964"/>
    <w:multiLevelType w:val="hybridMultilevel"/>
    <w:tmpl w:val="2C46CC7C"/>
    <w:lvl w:ilvl="0" w:tplc="BD8C55E8">
      <w:start w:val="1"/>
      <w:numFmt w:val="decimal"/>
      <w:pStyle w:val="11"/>
      <w:lvlText w:val="1.%1"/>
      <w:lvlJc w:val="left"/>
      <w:pPr>
        <w:ind w:left="502" w:hanging="360"/>
      </w:pPr>
      <w:rPr>
        <w:rFonts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5" w15:restartNumberingAfterBreak="0">
    <w:nsid w:val="32400193"/>
    <w:multiLevelType w:val="hybridMultilevel"/>
    <w:tmpl w:val="0D5855F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6" w15:restartNumberingAfterBreak="0">
    <w:nsid w:val="335A332E"/>
    <w:multiLevelType w:val="multilevel"/>
    <w:tmpl w:val="C380ACEA"/>
    <w:lvl w:ilvl="0">
      <w:start w:val="1"/>
      <w:numFmt w:val="bullet"/>
      <w:pStyle w:val="Bullet1"/>
      <w:lvlText w:val=""/>
      <w:lvlJc w:val="left"/>
      <w:pPr>
        <w:ind w:left="284" w:hanging="284"/>
      </w:pPr>
      <w:rPr>
        <w:rFonts w:ascii="Symbol" w:hAnsi="Symbol" w:hint="default"/>
        <w:color w:val="auto"/>
      </w:rPr>
    </w:lvl>
    <w:lvl w:ilvl="1">
      <w:start w:val="1"/>
      <w:numFmt w:val="bullet"/>
      <w:pStyle w:val="Bullet2"/>
      <w:lvlText w:val="–"/>
      <w:lvlJc w:val="left"/>
      <w:pPr>
        <w:ind w:left="568" w:hanging="284"/>
      </w:pPr>
      <w:rPr>
        <w:rFonts w:ascii="Arial" w:hAnsi="Arial" w:hint="default"/>
        <w:color w:val="00847E" w:themeColor="accent1"/>
      </w:rPr>
    </w:lvl>
    <w:lvl w:ilvl="2">
      <w:start w:val="1"/>
      <w:numFmt w:val="bullet"/>
      <w:pStyle w:val="Bullet3"/>
      <w:lvlText w:val="»"/>
      <w:lvlJc w:val="left"/>
      <w:pPr>
        <w:ind w:left="852" w:hanging="284"/>
      </w:pPr>
      <w:rPr>
        <w:rFonts w:ascii="Arial" w:hAnsi="Arial" w:hint="default"/>
        <w:color w:val="00847E" w:themeColor="accent1"/>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381E09FA"/>
    <w:multiLevelType w:val="multilevel"/>
    <w:tmpl w:val="C90A0EB6"/>
    <w:lvl w:ilvl="0">
      <w:start w:val="1"/>
      <w:numFmt w:val="decimal"/>
      <w:lvlText w:val="%1."/>
      <w:lvlJc w:val="left"/>
      <w:pPr>
        <w:ind w:left="36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abstractNum w:abstractNumId="8" w15:restartNumberingAfterBreak="0">
    <w:nsid w:val="3C2D47AE"/>
    <w:multiLevelType w:val="hybridMultilevel"/>
    <w:tmpl w:val="43C43536"/>
    <w:lvl w:ilvl="0" w:tplc="93243402">
      <w:start w:val="1"/>
      <w:numFmt w:val="bullet"/>
      <w:pStyle w:val="PullOut-Yellow"/>
      <w:lvlText w:val=""/>
      <w:lvlPicBulletId w:val="2"/>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740E84"/>
    <w:multiLevelType w:val="hybridMultilevel"/>
    <w:tmpl w:val="01E85E12"/>
    <w:lvl w:ilvl="0" w:tplc="0C090015">
      <w:start w:val="1"/>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537D20E9"/>
    <w:multiLevelType w:val="hybridMultilevel"/>
    <w:tmpl w:val="896C68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8615703"/>
    <w:multiLevelType w:val="multilevel"/>
    <w:tmpl w:val="803CF862"/>
    <w:lvl w:ilvl="0">
      <w:start w:val="1"/>
      <w:numFmt w:val="decimal"/>
      <w:pStyle w:val="List1Numbered1"/>
      <w:lvlText w:val="%1."/>
      <w:lvlJc w:val="left"/>
      <w:pPr>
        <w:ind w:left="284" w:hanging="284"/>
      </w:pPr>
      <w:rPr>
        <w:rFonts w:hint="default"/>
        <w:b w:val="0"/>
        <w:i w:val="0"/>
        <w:color w:val="auto"/>
      </w:rPr>
    </w:lvl>
    <w:lvl w:ilvl="1">
      <w:start w:val="1"/>
      <w:numFmt w:val="lowerLetter"/>
      <w:pStyle w:val="List1Numbered2"/>
      <w:lvlText w:val="%2."/>
      <w:lvlJc w:val="left"/>
      <w:pPr>
        <w:ind w:left="568" w:hanging="284"/>
      </w:pPr>
      <w:rPr>
        <w:rFonts w:hint="default"/>
      </w:rPr>
    </w:lvl>
    <w:lvl w:ilvl="2">
      <w:start w:val="1"/>
      <w:numFmt w:val="lowerRoman"/>
      <w:pStyle w:val="List1Numbered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594F6627"/>
    <w:multiLevelType w:val="hybridMultilevel"/>
    <w:tmpl w:val="77D82B46"/>
    <w:lvl w:ilvl="0" w:tplc="B66A71E0">
      <w:start w:val="1"/>
      <w:numFmt w:val="bullet"/>
      <w:pStyle w:val="PullOut-Pink"/>
      <w:lvlText w:val=""/>
      <w:lvlPicBulletId w:val="1"/>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BF51665"/>
    <w:multiLevelType w:val="multilevel"/>
    <w:tmpl w:val="BA4CA9E6"/>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418" w:hanging="1418"/>
      </w:pPr>
      <w:rPr>
        <w:rFonts w:hint="default"/>
      </w:rPr>
    </w:lvl>
    <w:lvl w:ilvl="5">
      <w:start w:val="1"/>
      <w:numFmt w:val="decimal"/>
      <w:pStyle w:val="Heading6Numbered"/>
      <w:lvlText w:val="%1.%2.%3.%4.%5.%6"/>
      <w:lvlJc w:val="left"/>
      <w:pPr>
        <w:ind w:left="1701" w:hanging="1701"/>
      </w:pPr>
      <w:rPr>
        <w:rFonts w:hint="default"/>
      </w:rPr>
    </w:lvl>
    <w:lvl w:ilvl="6">
      <w:start w:val="1"/>
      <w:numFmt w:val="decimal"/>
      <w:pStyle w:val="Heading7Numbered"/>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C283B55"/>
    <w:multiLevelType w:val="multilevel"/>
    <w:tmpl w:val="B29223F6"/>
    <w:lvl w:ilvl="0">
      <w:start w:val="1"/>
      <w:numFmt w:val="decimal"/>
      <w:pStyle w:val="FigureTitle"/>
      <w:lvlText w:val="Figure %1."/>
      <w:lvlJc w:val="left"/>
      <w:pPr>
        <w:ind w:left="1134" w:hanging="1134"/>
      </w:pPr>
      <w:rPr>
        <w:rFonts w:hint="default"/>
        <w:b w:val="0"/>
        <w:i w:val="0"/>
        <w:caps w:val="0"/>
        <w:color w:val="00847E"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ABD1F96"/>
    <w:multiLevelType w:val="hybridMultilevel"/>
    <w:tmpl w:val="F08A96AA"/>
    <w:lvl w:ilvl="0" w:tplc="F402A412">
      <w:start w:val="1"/>
      <w:numFmt w:val="decimal"/>
      <w:pStyle w:val="41"/>
      <w:lvlText w:val="6.%1"/>
      <w:lvlJc w:val="left"/>
      <w:pPr>
        <w:ind w:left="1077" w:hanging="360"/>
      </w:pPr>
      <w:rPr>
        <w:rFonts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6" w15:restartNumberingAfterBreak="0">
    <w:nsid w:val="73FA1766"/>
    <w:multiLevelType w:val="hybridMultilevel"/>
    <w:tmpl w:val="746258E4"/>
    <w:lvl w:ilvl="0" w:tplc="BC92E43C">
      <w:start w:val="1"/>
      <w:numFmt w:val="decimal"/>
      <w:pStyle w:val="21"/>
      <w:lvlText w:val="2.%1"/>
      <w:lvlJc w:val="left"/>
      <w:pPr>
        <w:ind w:left="1077" w:hanging="360"/>
      </w:pPr>
      <w:rPr>
        <w:rFonts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7" w15:restartNumberingAfterBreak="0">
    <w:nsid w:val="790B67C4"/>
    <w:multiLevelType w:val="multilevel"/>
    <w:tmpl w:val="FE688822"/>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003B45" w:themeColor="text2"/>
      </w:rPr>
    </w:lvl>
    <w:lvl w:ilvl="3">
      <w:start w:val="1"/>
      <w:numFmt w:val="bullet"/>
      <w:lvlText w:val="»"/>
      <w:lvlJc w:val="left"/>
      <w:pPr>
        <w:ind w:left="794" w:hanging="510"/>
      </w:pPr>
      <w:rPr>
        <w:rFonts w:ascii="Arial" w:hAnsi="Arial" w:hint="default"/>
        <w:color w:val="003B45"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8" w15:restartNumberingAfterBreak="0">
    <w:nsid w:val="7A532020"/>
    <w:multiLevelType w:val="hybridMultilevel"/>
    <w:tmpl w:val="29F85706"/>
    <w:lvl w:ilvl="0" w:tplc="7922A8CC">
      <w:start w:val="1"/>
      <w:numFmt w:val="decimal"/>
      <w:pStyle w:val="31"/>
      <w:lvlText w:val="5.%1"/>
      <w:lvlJc w:val="left"/>
      <w:pPr>
        <w:ind w:left="928" w:hanging="360"/>
      </w:pPr>
      <w:rPr>
        <w:rFonts w:hint="default"/>
      </w:r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19" w15:restartNumberingAfterBreak="0">
    <w:nsid w:val="7C690EA3"/>
    <w:multiLevelType w:val="hybridMultilevel"/>
    <w:tmpl w:val="46580BF4"/>
    <w:lvl w:ilvl="0" w:tplc="AE92A3EC">
      <w:start w:val="1"/>
      <w:numFmt w:val="decimal"/>
      <w:lvlText w:val="2.%1"/>
      <w:lvlJc w:val="left"/>
      <w:pPr>
        <w:ind w:left="502" w:hanging="360"/>
      </w:pPr>
      <w:rPr>
        <w:rFonts w:cs="Times New Roman"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EE44065"/>
    <w:multiLevelType w:val="multilevel"/>
    <w:tmpl w:val="CC9AB0EE"/>
    <w:lvl w:ilvl="0">
      <w:start w:val="1"/>
      <w:numFmt w:val="upperLetter"/>
      <w:pStyle w:val="AppendixNumbered"/>
      <w:suff w:val="space"/>
      <w:lvlText w:val="Appendix %1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39790214">
    <w:abstractNumId w:val="20"/>
  </w:num>
  <w:num w:numId="2" w16cid:durableId="735473810">
    <w:abstractNumId w:val="17"/>
  </w:num>
  <w:num w:numId="3" w16cid:durableId="2064406192">
    <w:abstractNumId w:val="6"/>
  </w:num>
  <w:num w:numId="4" w16cid:durableId="778371678">
    <w:abstractNumId w:val="14"/>
  </w:num>
  <w:num w:numId="5" w16cid:durableId="1974603171">
    <w:abstractNumId w:val="13"/>
  </w:num>
  <w:num w:numId="6" w16cid:durableId="2112429937">
    <w:abstractNumId w:val="11"/>
  </w:num>
  <w:num w:numId="7" w16cid:durableId="1630431579">
    <w:abstractNumId w:val="0"/>
  </w:num>
  <w:num w:numId="8" w16cid:durableId="1346663802">
    <w:abstractNumId w:val="2"/>
  </w:num>
  <w:num w:numId="9" w16cid:durableId="1060713617">
    <w:abstractNumId w:val="3"/>
  </w:num>
  <w:num w:numId="10" w16cid:durableId="1166549807">
    <w:abstractNumId w:val="12"/>
  </w:num>
  <w:num w:numId="11" w16cid:durableId="79064136">
    <w:abstractNumId w:val="8"/>
  </w:num>
  <w:num w:numId="12" w16cid:durableId="932667492">
    <w:abstractNumId w:val="16"/>
  </w:num>
  <w:num w:numId="13" w16cid:durableId="1224172474">
    <w:abstractNumId w:val="18"/>
  </w:num>
  <w:num w:numId="14" w16cid:durableId="1761828322">
    <w:abstractNumId w:val="15"/>
  </w:num>
  <w:num w:numId="15" w16cid:durableId="329528780">
    <w:abstractNumId w:val="9"/>
  </w:num>
  <w:num w:numId="16" w16cid:durableId="1562012306">
    <w:abstractNumId w:val="7"/>
  </w:num>
  <w:num w:numId="17" w16cid:durableId="424806395">
    <w:abstractNumId w:val="4"/>
  </w:num>
  <w:num w:numId="18" w16cid:durableId="640891668">
    <w:abstractNumId w:val="19"/>
  </w:num>
  <w:num w:numId="19" w16cid:durableId="1625769771">
    <w:abstractNumId w:val="5"/>
  </w:num>
  <w:num w:numId="20" w16cid:durableId="1380397284">
    <w:abstractNumId w:val="10"/>
  </w:num>
  <w:num w:numId="21" w16cid:durableId="1982923779">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28D"/>
    <w:rsid w:val="00015770"/>
    <w:rsid w:val="000354BD"/>
    <w:rsid w:val="00054BF6"/>
    <w:rsid w:val="00061430"/>
    <w:rsid w:val="000630B6"/>
    <w:rsid w:val="000A1133"/>
    <w:rsid w:val="000A3AFD"/>
    <w:rsid w:val="000B33C5"/>
    <w:rsid w:val="000D1C06"/>
    <w:rsid w:val="000D2FD1"/>
    <w:rsid w:val="001049E2"/>
    <w:rsid w:val="0011679C"/>
    <w:rsid w:val="001213FD"/>
    <w:rsid w:val="00126FD4"/>
    <w:rsid w:val="001428D3"/>
    <w:rsid w:val="001676C5"/>
    <w:rsid w:val="001760F2"/>
    <w:rsid w:val="00180C52"/>
    <w:rsid w:val="00187A33"/>
    <w:rsid w:val="00192F20"/>
    <w:rsid w:val="001A5AF1"/>
    <w:rsid w:val="001D46BE"/>
    <w:rsid w:val="001D683F"/>
    <w:rsid w:val="001F23EF"/>
    <w:rsid w:val="001F39F5"/>
    <w:rsid w:val="001F49C7"/>
    <w:rsid w:val="00204E3F"/>
    <w:rsid w:val="00214531"/>
    <w:rsid w:val="002231BF"/>
    <w:rsid w:val="00242253"/>
    <w:rsid w:val="0027472A"/>
    <w:rsid w:val="0027645D"/>
    <w:rsid w:val="002C446C"/>
    <w:rsid w:val="002D71CC"/>
    <w:rsid w:val="002E7C8C"/>
    <w:rsid w:val="002E7EEA"/>
    <w:rsid w:val="003222C7"/>
    <w:rsid w:val="00331AF7"/>
    <w:rsid w:val="00333D7B"/>
    <w:rsid w:val="0033505F"/>
    <w:rsid w:val="0034231C"/>
    <w:rsid w:val="00352506"/>
    <w:rsid w:val="003621D9"/>
    <w:rsid w:val="00364BB5"/>
    <w:rsid w:val="003668ED"/>
    <w:rsid w:val="003725C6"/>
    <w:rsid w:val="00372FB2"/>
    <w:rsid w:val="003773D8"/>
    <w:rsid w:val="003817FA"/>
    <w:rsid w:val="00382536"/>
    <w:rsid w:val="00385819"/>
    <w:rsid w:val="003A22A2"/>
    <w:rsid w:val="003B635F"/>
    <w:rsid w:val="003C0653"/>
    <w:rsid w:val="003C0D9D"/>
    <w:rsid w:val="003D0960"/>
    <w:rsid w:val="003E40BA"/>
    <w:rsid w:val="003F073F"/>
    <w:rsid w:val="003F1C50"/>
    <w:rsid w:val="00415178"/>
    <w:rsid w:val="00415930"/>
    <w:rsid w:val="00420110"/>
    <w:rsid w:val="00424050"/>
    <w:rsid w:val="004320D7"/>
    <w:rsid w:val="004370B4"/>
    <w:rsid w:val="004727DA"/>
    <w:rsid w:val="00477F7A"/>
    <w:rsid w:val="004809BE"/>
    <w:rsid w:val="004A05CE"/>
    <w:rsid w:val="004A0833"/>
    <w:rsid w:val="004B30B6"/>
    <w:rsid w:val="004B56D0"/>
    <w:rsid w:val="004C0765"/>
    <w:rsid w:val="004D5B8E"/>
    <w:rsid w:val="004E4B74"/>
    <w:rsid w:val="004F6AAF"/>
    <w:rsid w:val="00504951"/>
    <w:rsid w:val="00510294"/>
    <w:rsid w:val="00536A03"/>
    <w:rsid w:val="00536E2E"/>
    <w:rsid w:val="0053709F"/>
    <w:rsid w:val="00537863"/>
    <w:rsid w:val="00544F28"/>
    <w:rsid w:val="00554138"/>
    <w:rsid w:val="005542B8"/>
    <w:rsid w:val="00557514"/>
    <w:rsid w:val="00573E77"/>
    <w:rsid w:val="00576B53"/>
    <w:rsid w:val="005842DC"/>
    <w:rsid w:val="00585555"/>
    <w:rsid w:val="00585EED"/>
    <w:rsid w:val="00597CEA"/>
    <w:rsid w:val="005A34A9"/>
    <w:rsid w:val="005A377B"/>
    <w:rsid w:val="005B458E"/>
    <w:rsid w:val="005C5F14"/>
    <w:rsid w:val="005E170C"/>
    <w:rsid w:val="005F5CB5"/>
    <w:rsid w:val="00601D62"/>
    <w:rsid w:val="00621BFD"/>
    <w:rsid w:val="006560B3"/>
    <w:rsid w:val="006934F1"/>
    <w:rsid w:val="006A55A2"/>
    <w:rsid w:val="006C2434"/>
    <w:rsid w:val="006C328D"/>
    <w:rsid w:val="006C3F77"/>
    <w:rsid w:val="006C6988"/>
    <w:rsid w:val="006D0B31"/>
    <w:rsid w:val="006F0ACC"/>
    <w:rsid w:val="00701BB0"/>
    <w:rsid w:val="00710AEB"/>
    <w:rsid w:val="00713555"/>
    <w:rsid w:val="00720A75"/>
    <w:rsid w:val="00724E16"/>
    <w:rsid w:val="00730404"/>
    <w:rsid w:val="00734BBF"/>
    <w:rsid w:val="00744CE1"/>
    <w:rsid w:val="007620B9"/>
    <w:rsid w:val="00770078"/>
    <w:rsid w:val="00781D48"/>
    <w:rsid w:val="0079330C"/>
    <w:rsid w:val="007B01C8"/>
    <w:rsid w:val="007D5FE9"/>
    <w:rsid w:val="007E244F"/>
    <w:rsid w:val="007F78F7"/>
    <w:rsid w:val="00803045"/>
    <w:rsid w:val="008402E0"/>
    <w:rsid w:val="008438BF"/>
    <w:rsid w:val="008448B6"/>
    <w:rsid w:val="00847F5C"/>
    <w:rsid w:val="00850C0A"/>
    <w:rsid w:val="008532C1"/>
    <w:rsid w:val="008668EC"/>
    <w:rsid w:val="008961C7"/>
    <w:rsid w:val="008A6C9C"/>
    <w:rsid w:val="008B7594"/>
    <w:rsid w:val="008C0821"/>
    <w:rsid w:val="008C3DFD"/>
    <w:rsid w:val="008C7287"/>
    <w:rsid w:val="008D375E"/>
    <w:rsid w:val="008F6A2F"/>
    <w:rsid w:val="008F7517"/>
    <w:rsid w:val="00913EA4"/>
    <w:rsid w:val="0091441C"/>
    <w:rsid w:val="00921BEE"/>
    <w:rsid w:val="00924020"/>
    <w:rsid w:val="0093384E"/>
    <w:rsid w:val="00943959"/>
    <w:rsid w:val="00982D76"/>
    <w:rsid w:val="00996F04"/>
    <w:rsid w:val="009B5F36"/>
    <w:rsid w:val="009B6DFC"/>
    <w:rsid w:val="009B769E"/>
    <w:rsid w:val="009C58B5"/>
    <w:rsid w:val="009D4A16"/>
    <w:rsid w:val="009D76DF"/>
    <w:rsid w:val="009E2911"/>
    <w:rsid w:val="009E2AB9"/>
    <w:rsid w:val="009E6619"/>
    <w:rsid w:val="00A06338"/>
    <w:rsid w:val="00A10C2E"/>
    <w:rsid w:val="00A215D2"/>
    <w:rsid w:val="00A302E5"/>
    <w:rsid w:val="00A43AB8"/>
    <w:rsid w:val="00A466EA"/>
    <w:rsid w:val="00A50CE7"/>
    <w:rsid w:val="00A60B13"/>
    <w:rsid w:val="00A6222F"/>
    <w:rsid w:val="00A839C5"/>
    <w:rsid w:val="00A91B37"/>
    <w:rsid w:val="00A92685"/>
    <w:rsid w:val="00AB7134"/>
    <w:rsid w:val="00AD234C"/>
    <w:rsid w:val="00AD406C"/>
    <w:rsid w:val="00AE2DE5"/>
    <w:rsid w:val="00B02D70"/>
    <w:rsid w:val="00B03032"/>
    <w:rsid w:val="00B35FA9"/>
    <w:rsid w:val="00B458AA"/>
    <w:rsid w:val="00B500EB"/>
    <w:rsid w:val="00B511BF"/>
    <w:rsid w:val="00B5474A"/>
    <w:rsid w:val="00B749CF"/>
    <w:rsid w:val="00B80DDA"/>
    <w:rsid w:val="00B81393"/>
    <w:rsid w:val="00B9042B"/>
    <w:rsid w:val="00BB5991"/>
    <w:rsid w:val="00BB7688"/>
    <w:rsid w:val="00BC39E9"/>
    <w:rsid w:val="00BD72BC"/>
    <w:rsid w:val="00BE59BF"/>
    <w:rsid w:val="00BF26BD"/>
    <w:rsid w:val="00BF4AF5"/>
    <w:rsid w:val="00C0613D"/>
    <w:rsid w:val="00C17975"/>
    <w:rsid w:val="00C2221C"/>
    <w:rsid w:val="00C277CC"/>
    <w:rsid w:val="00C32A2C"/>
    <w:rsid w:val="00C36F15"/>
    <w:rsid w:val="00C37BDF"/>
    <w:rsid w:val="00C40851"/>
    <w:rsid w:val="00C41BA0"/>
    <w:rsid w:val="00C4243D"/>
    <w:rsid w:val="00C447EB"/>
    <w:rsid w:val="00C460B2"/>
    <w:rsid w:val="00C465F7"/>
    <w:rsid w:val="00C67B3E"/>
    <w:rsid w:val="00C82F3B"/>
    <w:rsid w:val="00CA139B"/>
    <w:rsid w:val="00CB3FF0"/>
    <w:rsid w:val="00CD6CB3"/>
    <w:rsid w:val="00CF76B9"/>
    <w:rsid w:val="00D01439"/>
    <w:rsid w:val="00D06AEA"/>
    <w:rsid w:val="00D1407F"/>
    <w:rsid w:val="00D14F43"/>
    <w:rsid w:val="00D4245C"/>
    <w:rsid w:val="00D54369"/>
    <w:rsid w:val="00D56A06"/>
    <w:rsid w:val="00D621DC"/>
    <w:rsid w:val="00D77C19"/>
    <w:rsid w:val="00D83EDD"/>
    <w:rsid w:val="00D85873"/>
    <w:rsid w:val="00D85DA0"/>
    <w:rsid w:val="00DA6F43"/>
    <w:rsid w:val="00DC6603"/>
    <w:rsid w:val="00DD3EC2"/>
    <w:rsid w:val="00DD5D35"/>
    <w:rsid w:val="00DD6E89"/>
    <w:rsid w:val="00DE16A3"/>
    <w:rsid w:val="00DF26AD"/>
    <w:rsid w:val="00DF7925"/>
    <w:rsid w:val="00E01295"/>
    <w:rsid w:val="00E0244A"/>
    <w:rsid w:val="00E0516D"/>
    <w:rsid w:val="00E079A2"/>
    <w:rsid w:val="00E219CF"/>
    <w:rsid w:val="00E37624"/>
    <w:rsid w:val="00E44578"/>
    <w:rsid w:val="00E76677"/>
    <w:rsid w:val="00E90226"/>
    <w:rsid w:val="00E91800"/>
    <w:rsid w:val="00EA3618"/>
    <w:rsid w:val="00EA3D23"/>
    <w:rsid w:val="00EA5D86"/>
    <w:rsid w:val="00EB7E81"/>
    <w:rsid w:val="00EE1280"/>
    <w:rsid w:val="00EE271D"/>
    <w:rsid w:val="00EE6283"/>
    <w:rsid w:val="00F01401"/>
    <w:rsid w:val="00F01DFE"/>
    <w:rsid w:val="00F145DF"/>
    <w:rsid w:val="00F17460"/>
    <w:rsid w:val="00F20648"/>
    <w:rsid w:val="00F27D91"/>
    <w:rsid w:val="00F4563C"/>
    <w:rsid w:val="00F47E8E"/>
    <w:rsid w:val="00F5541F"/>
    <w:rsid w:val="00F56BEE"/>
    <w:rsid w:val="00F77FE2"/>
    <w:rsid w:val="00F91081"/>
    <w:rsid w:val="00FB030E"/>
    <w:rsid w:val="00FB60C6"/>
    <w:rsid w:val="00FC28D5"/>
    <w:rsid w:val="00FC5617"/>
    <w:rsid w:val="00FD2ADF"/>
    <w:rsid w:val="00FD6398"/>
    <w:rsid w:val="00FD6E53"/>
    <w:rsid w:val="00FE2285"/>
    <w:rsid w:val="00FF2540"/>
    <w:rsid w:val="00FF4185"/>
    <w:rsid w:val="00FF5DB4"/>
    <w:rsid w:val="0313420F"/>
    <w:rsid w:val="242F6834"/>
    <w:rsid w:val="468C51B5"/>
    <w:rsid w:val="507A410C"/>
    <w:rsid w:val="5BC99424"/>
    <w:rsid w:val="6E58FF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F32FF"/>
  <w15:docId w15:val="{877BB6AC-5699-4BD7-B26F-0CC13352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3" w:qFormat="1"/>
    <w:lsdException w:name="Emphasis" w:uiPriority="3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ADF"/>
  </w:style>
  <w:style w:type="paragraph" w:styleId="Heading1">
    <w:name w:val="heading 1"/>
    <w:basedOn w:val="Normal"/>
    <w:next w:val="Normal"/>
    <w:link w:val="Heading1Char"/>
    <w:uiPriority w:val="9"/>
    <w:qFormat/>
    <w:rsid w:val="008402E0"/>
    <w:pPr>
      <w:keepNext/>
      <w:keepLines/>
      <w:pageBreakBefore/>
      <w:spacing w:before="0" w:after="1800" w:line="540" w:lineRule="atLeast"/>
      <w:outlineLvl w:val="0"/>
    </w:pPr>
    <w:rPr>
      <w:rFonts w:asciiTheme="majorHAnsi" w:eastAsiaTheme="majorEastAsia" w:hAnsiTheme="majorHAnsi" w:cstheme="majorBidi"/>
      <w:b/>
      <w:color w:val="004E7D"/>
      <w:sz w:val="48"/>
      <w:szCs w:val="32"/>
    </w:rPr>
  </w:style>
  <w:style w:type="paragraph" w:styleId="Heading2">
    <w:name w:val="heading 2"/>
    <w:basedOn w:val="Normal"/>
    <w:next w:val="Normal"/>
    <w:link w:val="Heading2Char"/>
    <w:uiPriority w:val="9"/>
    <w:qFormat/>
    <w:rsid w:val="008402E0"/>
    <w:pPr>
      <w:keepNext/>
      <w:keepLines/>
      <w:spacing w:before="480" w:after="240" w:line="500" w:lineRule="atLeast"/>
      <w:outlineLvl w:val="1"/>
    </w:pPr>
    <w:rPr>
      <w:rFonts w:asciiTheme="majorHAnsi" w:eastAsiaTheme="majorEastAsia" w:hAnsiTheme="majorHAnsi" w:cstheme="majorBidi"/>
      <w:color w:val="004E7D"/>
      <w:sz w:val="44"/>
      <w:szCs w:val="26"/>
    </w:rPr>
  </w:style>
  <w:style w:type="paragraph" w:styleId="Heading3">
    <w:name w:val="heading 3"/>
    <w:basedOn w:val="Normal"/>
    <w:next w:val="Normal"/>
    <w:link w:val="Heading3Char"/>
    <w:uiPriority w:val="9"/>
    <w:qFormat/>
    <w:rsid w:val="008402E0"/>
    <w:pPr>
      <w:keepNext/>
      <w:keepLines/>
      <w:spacing w:before="480" w:after="240" w:line="380" w:lineRule="atLeast"/>
      <w:outlineLvl w:val="2"/>
    </w:pPr>
    <w:rPr>
      <w:rFonts w:asciiTheme="majorHAnsi" w:eastAsiaTheme="majorEastAsia" w:hAnsiTheme="majorHAnsi" w:cstheme="majorBidi"/>
      <w:color w:val="004E7D"/>
      <w:sz w:val="32"/>
      <w:szCs w:val="24"/>
    </w:rPr>
  </w:style>
  <w:style w:type="paragraph" w:styleId="Heading4">
    <w:name w:val="heading 4"/>
    <w:basedOn w:val="Normal"/>
    <w:next w:val="Normal"/>
    <w:link w:val="Heading4Char"/>
    <w:uiPriority w:val="9"/>
    <w:qFormat/>
    <w:rsid w:val="005B458E"/>
    <w:pPr>
      <w:keepNext/>
      <w:keepLines/>
      <w:spacing w:before="360" w:after="180" w:line="280" w:lineRule="exact"/>
      <w:outlineLvl w:val="3"/>
    </w:pPr>
    <w:rPr>
      <w:rFonts w:eastAsiaTheme="majorEastAsia" w:cstheme="majorBidi"/>
      <w:b/>
      <w:iCs/>
      <w:color w:val="auto"/>
      <w:sz w:val="24"/>
    </w:rPr>
  </w:style>
  <w:style w:type="paragraph" w:styleId="Heading5">
    <w:name w:val="heading 5"/>
    <w:basedOn w:val="Normal"/>
    <w:next w:val="Normal"/>
    <w:link w:val="Heading5Char"/>
    <w:uiPriority w:val="9"/>
    <w:qFormat/>
    <w:rsid w:val="005B458E"/>
    <w:pPr>
      <w:keepNext/>
      <w:keepLines/>
      <w:spacing w:before="240"/>
      <w:outlineLvl w:val="4"/>
    </w:pPr>
    <w:rPr>
      <w:rFonts w:eastAsiaTheme="majorEastAsia" w:cstheme="majorBidi"/>
      <w:b/>
      <w:i/>
      <w:color w:val="auto"/>
    </w:rPr>
  </w:style>
  <w:style w:type="paragraph" w:styleId="Heading6">
    <w:name w:val="heading 6"/>
    <w:basedOn w:val="Normal"/>
    <w:next w:val="Normal"/>
    <w:link w:val="Heading6Char"/>
    <w:uiPriority w:val="9"/>
    <w:qFormat/>
    <w:rsid w:val="005B458E"/>
    <w:pPr>
      <w:keepNext/>
      <w:keepLines/>
      <w:outlineLvl w:val="5"/>
    </w:pPr>
    <w:rPr>
      <w:rFonts w:eastAsiaTheme="majorEastAsia" w:cstheme="majorBidi"/>
      <w:b/>
      <w:i/>
      <w:sz w:val="20"/>
      <w:szCs w:val="20"/>
    </w:rPr>
  </w:style>
  <w:style w:type="paragraph" w:styleId="Heading7">
    <w:name w:val="heading 7"/>
    <w:basedOn w:val="Normal"/>
    <w:next w:val="Normal"/>
    <w:link w:val="Heading7Char"/>
    <w:uiPriority w:val="9"/>
    <w:qFormat/>
    <w:rsid w:val="005B458E"/>
    <w:pPr>
      <w:keepNext/>
      <w:keepLines/>
      <w:outlineLvl w:val="6"/>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Numbered">
    <w:name w:val="Appendix Numbered"/>
    <w:basedOn w:val="Heading2"/>
    <w:uiPriority w:val="11"/>
    <w:qFormat/>
    <w:rsid w:val="005B458E"/>
    <w:pPr>
      <w:pageBreakBefore/>
      <w:numPr>
        <w:numId w:val="1"/>
      </w:numPr>
    </w:pPr>
    <w:rPr>
      <w:b/>
    </w:rPr>
  </w:style>
  <w:style w:type="character" w:customStyle="1" w:styleId="Heading2Char">
    <w:name w:val="Heading 2 Char"/>
    <w:basedOn w:val="DefaultParagraphFont"/>
    <w:link w:val="Heading2"/>
    <w:uiPriority w:val="9"/>
    <w:rsid w:val="008402E0"/>
    <w:rPr>
      <w:rFonts w:asciiTheme="majorHAnsi" w:eastAsiaTheme="majorEastAsia" w:hAnsiTheme="majorHAnsi" w:cstheme="majorBidi"/>
      <w:color w:val="004E7D"/>
      <w:sz w:val="44"/>
      <w:szCs w:val="26"/>
    </w:rPr>
  </w:style>
  <w:style w:type="paragraph" w:customStyle="1" w:styleId="Boxed1Text">
    <w:name w:val="Boxed 1 Text"/>
    <w:basedOn w:val="Normal"/>
    <w:uiPriority w:val="29"/>
    <w:qFormat/>
    <w:rsid w:val="005B458E"/>
    <w:pPr>
      <w:pBdr>
        <w:top w:val="single" w:sz="4" w:space="14" w:color="B3FFFB" w:themeColor="accent1" w:themeTint="33"/>
        <w:left w:val="single" w:sz="4" w:space="14" w:color="B3FFFB" w:themeColor="accent1" w:themeTint="33"/>
        <w:bottom w:val="single" w:sz="4" w:space="14" w:color="B3FFFB" w:themeColor="accent1" w:themeTint="33"/>
        <w:right w:val="single" w:sz="4" w:space="14" w:color="B3FFFB" w:themeColor="accent1" w:themeTint="33"/>
      </w:pBdr>
      <w:shd w:val="clear" w:color="auto" w:fill="B3FFFB" w:themeFill="accent1" w:themeFillTint="33"/>
      <w:spacing w:after="60" w:line="240" w:lineRule="atLeast"/>
      <w:ind w:left="284" w:right="284"/>
    </w:pPr>
  </w:style>
  <w:style w:type="paragraph" w:customStyle="1" w:styleId="Boxed1Bullet">
    <w:name w:val="Boxed 1 Bullet"/>
    <w:basedOn w:val="Boxed1Text"/>
    <w:uiPriority w:val="30"/>
    <w:qFormat/>
    <w:rsid w:val="005B458E"/>
    <w:pPr>
      <w:numPr>
        <w:numId w:val="2"/>
      </w:numPr>
    </w:pPr>
  </w:style>
  <w:style w:type="paragraph" w:customStyle="1" w:styleId="Boxed1Heading">
    <w:name w:val="Boxed 1 Heading"/>
    <w:basedOn w:val="Boxed1Text"/>
    <w:uiPriority w:val="29"/>
    <w:qFormat/>
    <w:rsid w:val="005B458E"/>
    <w:pPr>
      <w:keepNext/>
    </w:pPr>
    <w:rPr>
      <w:b/>
    </w:rPr>
  </w:style>
  <w:style w:type="paragraph" w:customStyle="1" w:styleId="Boxed2Text">
    <w:name w:val="Boxed 2 Text"/>
    <w:basedOn w:val="Boxed1Text"/>
    <w:uiPriority w:val="31"/>
    <w:qFormat/>
    <w:rsid w:val="005B458E"/>
    <w:pPr>
      <w:pBdr>
        <w:top w:val="single" w:sz="4" w:space="14" w:color="00847E" w:themeColor="accent1"/>
        <w:left w:val="single" w:sz="4" w:space="14" w:color="00847E" w:themeColor="accent1"/>
        <w:bottom w:val="single" w:sz="4" w:space="14" w:color="00847E" w:themeColor="accent1"/>
        <w:right w:val="single" w:sz="4" w:space="14" w:color="00847E" w:themeColor="accent1"/>
      </w:pBdr>
      <w:shd w:val="clear" w:color="auto" w:fill="auto"/>
    </w:pPr>
  </w:style>
  <w:style w:type="paragraph" w:customStyle="1" w:styleId="Boxed2Bullet">
    <w:name w:val="Boxed 2 Bullet"/>
    <w:basedOn w:val="Boxed2Text"/>
    <w:uiPriority w:val="32"/>
    <w:qFormat/>
    <w:rsid w:val="005B458E"/>
    <w:pPr>
      <w:numPr>
        <w:ilvl w:val="1"/>
        <w:numId w:val="2"/>
      </w:numPr>
    </w:pPr>
  </w:style>
  <w:style w:type="paragraph" w:customStyle="1" w:styleId="Boxed2Heading">
    <w:name w:val="Boxed 2 Heading"/>
    <w:basedOn w:val="Boxed2Text"/>
    <w:uiPriority w:val="31"/>
    <w:qFormat/>
    <w:rsid w:val="005B458E"/>
    <w:pPr>
      <w:keepNext/>
    </w:pPr>
    <w:rPr>
      <w:b/>
    </w:rPr>
  </w:style>
  <w:style w:type="paragraph" w:customStyle="1" w:styleId="Bullet1">
    <w:name w:val="Bullet 1"/>
    <w:basedOn w:val="Normal"/>
    <w:uiPriority w:val="2"/>
    <w:qFormat/>
    <w:rsid w:val="005B458E"/>
    <w:pPr>
      <w:numPr>
        <w:numId w:val="3"/>
      </w:numPr>
    </w:pPr>
  </w:style>
  <w:style w:type="paragraph" w:customStyle="1" w:styleId="Bullet2">
    <w:name w:val="Bullet 2"/>
    <w:basedOn w:val="Normal"/>
    <w:uiPriority w:val="2"/>
    <w:qFormat/>
    <w:rsid w:val="005B458E"/>
    <w:pPr>
      <w:numPr>
        <w:ilvl w:val="1"/>
        <w:numId w:val="3"/>
      </w:numPr>
    </w:pPr>
  </w:style>
  <w:style w:type="paragraph" w:customStyle="1" w:styleId="Bullet3">
    <w:name w:val="Bullet 3"/>
    <w:basedOn w:val="Normal"/>
    <w:uiPriority w:val="2"/>
    <w:qFormat/>
    <w:rsid w:val="005B458E"/>
    <w:pPr>
      <w:numPr>
        <w:ilvl w:val="2"/>
        <w:numId w:val="3"/>
      </w:numPr>
    </w:pPr>
  </w:style>
  <w:style w:type="paragraph" w:customStyle="1" w:styleId="FigureTitle">
    <w:name w:val="Figure Title"/>
    <w:basedOn w:val="Normal"/>
    <w:uiPriority w:val="12"/>
    <w:qFormat/>
    <w:rsid w:val="005C5F14"/>
    <w:pPr>
      <w:keepNext/>
      <w:numPr>
        <w:numId w:val="4"/>
      </w:numPr>
      <w:spacing w:before="240"/>
    </w:pPr>
    <w:rPr>
      <w:rFonts w:asciiTheme="majorHAnsi" w:hAnsiTheme="majorHAnsi"/>
      <w:color w:val="004E7D"/>
    </w:rPr>
  </w:style>
  <w:style w:type="paragraph" w:customStyle="1" w:styleId="Heading1Numbered">
    <w:name w:val="Heading 1 Numbered"/>
    <w:basedOn w:val="Heading1"/>
    <w:uiPriority w:val="10"/>
    <w:qFormat/>
    <w:rsid w:val="005B458E"/>
    <w:pPr>
      <w:numPr>
        <w:numId w:val="5"/>
      </w:numPr>
    </w:pPr>
  </w:style>
  <w:style w:type="character" w:customStyle="1" w:styleId="Heading1Char">
    <w:name w:val="Heading 1 Char"/>
    <w:basedOn w:val="DefaultParagraphFont"/>
    <w:link w:val="Heading1"/>
    <w:uiPriority w:val="9"/>
    <w:rsid w:val="008402E0"/>
    <w:rPr>
      <w:rFonts w:asciiTheme="majorHAnsi" w:eastAsiaTheme="majorEastAsia" w:hAnsiTheme="majorHAnsi" w:cstheme="majorBidi"/>
      <w:b/>
      <w:color w:val="004E7D"/>
      <w:sz w:val="48"/>
      <w:szCs w:val="32"/>
    </w:rPr>
  </w:style>
  <w:style w:type="paragraph" w:customStyle="1" w:styleId="Heading2Numbered">
    <w:name w:val="Heading 2 Numbered"/>
    <w:basedOn w:val="Heading2"/>
    <w:uiPriority w:val="10"/>
    <w:qFormat/>
    <w:rsid w:val="005B458E"/>
    <w:pPr>
      <w:numPr>
        <w:ilvl w:val="1"/>
        <w:numId w:val="5"/>
      </w:numPr>
    </w:pPr>
  </w:style>
  <w:style w:type="paragraph" w:customStyle="1" w:styleId="Heading3Numbered">
    <w:name w:val="Heading 3 Numbered"/>
    <w:basedOn w:val="Heading3"/>
    <w:uiPriority w:val="10"/>
    <w:qFormat/>
    <w:rsid w:val="005B458E"/>
    <w:pPr>
      <w:numPr>
        <w:ilvl w:val="2"/>
        <w:numId w:val="5"/>
      </w:numPr>
    </w:pPr>
  </w:style>
  <w:style w:type="character" w:customStyle="1" w:styleId="Heading3Char">
    <w:name w:val="Heading 3 Char"/>
    <w:basedOn w:val="DefaultParagraphFont"/>
    <w:link w:val="Heading3"/>
    <w:uiPriority w:val="9"/>
    <w:rsid w:val="008402E0"/>
    <w:rPr>
      <w:rFonts w:asciiTheme="majorHAnsi" w:eastAsiaTheme="majorEastAsia" w:hAnsiTheme="majorHAnsi" w:cstheme="majorBidi"/>
      <w:color w:val="004E7D"/>
      <w:sz w:val="32"/>
      <w:szCs w:val="24"/>
    </w:rPr>
  </w:style>
  <w:style w:type="paragraph" w:customStyle="1" w:styleId="Heading4Numbered">
    <w:name w:val="Heading 4 Numbered"/>
    <w:basedOn w:val="Heading4"/>
    <w:uiPriority w:val="10"/>
    <w:qFormat/>
    <w:rsid w:val="005B458E"/>
    <w:pPr>
      <w:numPr>
        <w:ilvl w:val="3"/>
        <w:numId w:val="5"/>
      </w:numPr>
    </w:pPr>
  </w:style>
  <w:style w:type="character" w:customStyle="1" w:styleId="Heading4Char">
    <w:name w:val="Heading 4 Char"/>
    <w:basedOn w:val="DefaultParagraphFont"/>
    <w:link w:val="Heading4"/>
    <w:uiPriority w:val="9"/>
    <w:rsid w:val="005B458E"/>
    <w:rPr>
      <w:rFonts w:eastAsiaTheme="majorEastAsia" w:cstheme="majorBidi"/>
      <w:b/>
      <w:iCs/>
      <w:color w:val="auto"/>
      <w:sz w:val="24"/>
    </w:rPr>
  </w:style>
  <w:style w:type="paragraph" w:customStyle="1" w:styleId="Heading5Numbered">
    <w:name w:val="Heading 5 Numbered"/>
    <w:basedOn w:val="Heading5"/>
    <w:uiPriority w:val="10"/>
    <w:qFormat/>
    <w:rsid w:val="005B458E"/>
    <w:pPr>
      <w:keepNext w:val="0"/>
      <w:numPr>
        <w:ilvl w:val="4"/>
        <w:numId w:val="5"/>
      </w:numPr>
    </w:pPr>
  </w:style>
  <w:style w:type="character" w:customStyle="1" w:styleId="Heading5Char">
    <w:name w:val="Heading 5 Char"/>
    <w:basedOn w:val="DefaultParagraphFont"/>
    <w:link w:val="Heading5"/>
    <w:uiPriority w:val="9"/>
    <w:rsid w:val="005B458E"/>
    <w:rPr>
      <w:rFonts w:eastAsiaTheme="majorEastAsia" w:cstheme="majorBidi"/>
      <w:b/>
      <w:i/>
      <w:color w:val="auto"/>
    </w:rPr>
  </w:style>
  <w:style w:type="paragraph" w:customStyle="1" w:styleId="Heading6Numbered">
    <w:name w:val="Heading 6 Numbered"/>
    <w:basedOn w:val="Heading6"/>
    <w:uiPriority w:val="10"/>
    <w:qFormat/>
    <w:rsid w:val="005B458E"/>
    <w:pPr>
      <w:keepNext w:val="0"/>
      <w:numPr>
        <w:ilvl w:val="5"/>
        <w:numId w:val="5"/>
      </w:numPr>
    </w:pPr>
    <w:rPr>
      <w:sz w:val="22"/>
      <w:szCs w:val="22"/>
    </w:rPr>
  </w:style>
  <w:style w:type="character" w:customStyle="1" w:styleId="Heading6Char">
    <w:name w:val="Heading 6 Char"/>
    <w:basedOn w:val="DefaultParagraphFont"/>
    <w:link w:val="Heading6"/>
    <w:uiPriority w:val="9"/>
    <w:rsid w:val="005B458E"/>
    <w:rPr>
      <w:rFonts w:eastAsiaTheme="majorEastAsia" w:cstheme="majorBidi"/>
      <w:b/>
      <w:i/>
      <w:sz w:val="20"/>
      <w:szCs w:val="20"/>
    </w:rPr>
  </w:style>
  <w:style w:type="paragraph" w:customStyle="1" w:styleId="Heading7Numbered">
    <w:name w:val="Heading 7 Numbered"/>
    <w:basedOn w:val="Heading7"/>
    <w:uiPriority w:val="10"/>
    <w:qFormat/>
    <w:rsid w:val="005B458E"/>
    <w:pPr>
      <w:numPr>
        <w:ilvl w:val="6"/>
        <w:numId w:val="5"/>
      </w:numPr>
    </w:pPr>
    <w:rPr>
      <w:sz w:val="22"/>
      <w:szCs w:val="22"/>
    </w:rPr>
  </w:style>
  <w:style w:type="character" w:customStyle="1" w:styleId="Heading7Char">
    <w:name w:val="Heading 7 Char"/>
    <w:basedOn w:val="DefaultParagraphFont"/>
    <w:link w:val="Heading7"/>
    <w:uiPriority w:val="9"/>
    <w:rsid w:val="005B458E"/>
    <w:rPr>
      <w:rFonts w:eastAsiaTheme="majorEastAsia" w:cstheme="majorBidi"/>
      <w:i/>
      <w:iCs/>
      <w:sz w:val="20"/>
      <w:szCs w:val="20"/>
    </w:rPr>
  </w:style>
  <w:style w:type="paragraph" w:customStyle="1" w:styleId="IntroPara">
    <w:name w:val="Intro Para"/>
    <w:basedOn w:val="Normal"/>
    <w:uiPriority w:val="1"/>
    <w:qFormat/>
    <w:rsid w:val="00B5474A"/>
    <w:pPr>
      <w:spacing w:before="240" w:after="240"/>
      <w:contextualSpacing/>
    </w:pPr>
    <w:rPr>
      <w:rFonts w:asciiTheme="majorHAnsi" w:hAnsiTheme="majorHAnsi"/>
      <w:color w:val="004E7D"/>
    </w:rPr>
  </w:style>
  <w:style w:type="paragraph" w:customStyle="1" w:styleId="List1Numbered1">
    <w:name w:val="List 1 Numbered 1"/>
    <w:basedOn w:val="Normal"/>
    <w:uiPriority w:val="2"/>
    <w:qFormat/>
    <w:rsid w:val="005B458E"/>
    <w:pPr>
      <w:numPr>
        <w:numId w:val="6"/>
      </w:numPr>
    </w:pPr>
  </w:style>
  <w:style w:type="paragraph" w:customStyle="1" w:styleId="List1Numbered2">
    <w:name w:val="List 1 Numbered 2"/>
    <w:basedOn w:val="Normal"/>
    <w:uiPriority w:val="2"/>
    <w:qFormat/>
    <w:rsid w:val="005B458E"/>
    <w:pPr>
      <w:numPr>
        <w:ilvl w:val="1"/>
        <w:numId w:val="6"/>
      </w:numPr>
    </w:pPr>
  </w:style>
  <w:style w:type="paragraph" w:customStyle="1" w:styleId="List1Numbered3">
    <w:name w:val="List 1 Numbered 3"/>
    <w:basedOn w:val="Normal"/>
    <w:uiPriority w:val="2"/>
    <w:qFormat/>
    <w:rsid w:val="005B458E"/>
    <w:pPr>
      <w:numPr>
        <w:ilvl w:val="2"/>
        <w:numId w:val="6"/>
      </w:numPr>
    </w:pPr>
  </w:style>
  <w:style w:type="paragraph" w:customStyle="1" w:styleId="NormalIndent5mm">
    <w:name w:val="Normal Indent 5mm"/>
    <w:basedOn w:val="Normal"/>
    <w:qFormat/>
    <w:rsid w:val="005B458E"/>
    <w:pPr>
      <w:ind w:left="284"/>
    </w:pPr>
  </w:style>
  <w:style w:type="paragraph" w:customStyle="1" w:styleId="PullOut-Teal">
    <w:name w:val="Pull Out - Teal"/>
    <w:basedOn w:val="Normal"/>
    <w:uiPriority w:val="22"/>
    <w:rsid w:val="00D01439"/>
    <w:pPr>
      <w:numPr>
        <w:numId w:val="7"/>
      </w:numPr>
      <w:spacing w:before="480" w:after="480" w:line="340" w:lineRule="atLeast"/>
    </w:pPr>
    <w:rPr>
      <w:color w:val="004E7D"/>
      <w:sz w:val="28"/>
    </w:rPr>
  </w:style>
  <w:style w:type="paragraph" w:customStyle="1" w:styleId="SourceNotes">
    <w:name w:val="Source Notes"/>
    <w:basedOn w:val="Normal"/>
    <w:uiPriority w:val="21"/>
    <w:qFormat/>
    <w:rsid w:val="005B458E"/>
    <w:pPr>
      <w:spacing w:before="60" w:after="60"/>
    </w:pPr>
    <w:rPr>
      <w:sz w:val="16"/>
    </w:rPr>
  </w:style>
  <w:style w:type="paragraph" w:customStyle="1" w:styleId="SourceNotesHeading">
    <w:name w:val="Source Notes Heading"/>
    <w:basedOn w:val="SourceNotes"/>
    <w:uiPriority w:val="20"/>
    <w:qFormat/>
    <w:rsid w:val="005B458E"/>
    <w:pPr>
      <w:spacing w:before="120"/>
    </w:pPr>
    <w:rPr>
      <w:rFonts w:asciiTheme="majorHAnsi" w:hAnsiTheme="majorHAnsi"/>
      <w:b/>
    </w:rPr>
  </w:style>
  <w:style w:type="paragraph" w:customStyle="1" w:styleId="SourceNotesNumbered">
    <w:name w:val="Source Notes Numbered"/>
    <w:basedOn w:val="SourceNotes"/>
    <w:uiPriority w:val="21"/>
    <w:qFormat/>
    <w:rsid w:val="005B458E"/>
    <w:pPr>
      <w:numPr>
        <w:numId w:val="8"/>
      </w:numPr>
    </w:pPr>
  </w:style>
  <w:style w:type="paragraph" w:customStyle="1" w:styleId="TableTitle">
    <w:name w:val="Table Title"/>
    <w:basedOn w:val="FigureTitle"/>
    <w:uiPriority w:val="12"/>
    <w:qFormat/>
    <w:rsid w:val="005B458E"/>
    <w:pPr>
      <w:numPr>
        <w:numId w:val="9"/>
      </w:numPr>
    </w:pPr>
  </w:style>
  <w:style w:type="paragraph" w:customStyle="1" w:styleId="PullOut-Pink">
    <w:name w:val="Pull Out - Pink"/>
    <w:basedOn w:val="PullOut-Teal"/>
    <w:uiPriority w:val="22"/>
    <w:rsid w:val="005B458E"/>
    <w:pPr>
      <w:numPr>
        <w:numId w:val="10"/>
      </w:numPr>
    </w:pPr>
  </w:style>
  <w:style w:type="paragraph" w:customStyle="1" w:styleId="PullOut-Yellow">
    <w:name w:val="Pull Out - Yellow"/>
    <w:basedOn w:val="PullOut-Teal"/>
    <w:rsid w:val="005B458E"/>
    <w:pPr>
      <w:numPr>
        <w:numId w:val="11"/>
      </w:numPr>
    </w:pPr>
  </w:style>
  <w:style w:type="paragraph" w:styleId="Caption">
    <w:name w:val="caption"/>
    <w:basedOn w:val="Normal"/>
    <w:next w:val="Normal"/>
    <w:uiPriority w:val="19"/>
    <w:qFormat/>
    <w:rsid w:val="00557514"/>
    <w:pPr>
      <w:spacing w:before="180" w:after="480" w:line="200" w:lineRule="atLeast"/>
      <w:ind w:right="2268"/>
    </w:pPr>
    <w:rPr>
      <w:rFonts w:asciiTheme="majorHAnsi" w:hAnsiTheme="majorHAnsi"/>
      <w:iCs/>
      <w:color w:val="004E7D"/>
      <w:sz w:val="16"/>
      <w:szCs w:val="18"/>
    </w:rPr>
  </w:style>
  <w:style w:type="paragraph" w:styleId="Title">
    <w:name w:val="Title"/>
    <w:basedOn w:val="Normal"/>
    <w:next w:val="Normal"/>
    <w:link w:val="TitleChar"/>
    <w:uiPriority w:val="22"/>
    <w:qFormat/>
    <w:rsid w:val="008402E0"/>
    <w:pPr>
      <w:keepLines/>
      <w:spacing w:before="0" w:after="360" w:line="640" w:lineRule="exact"/>
      <w:contextualSpacing/>
      <w:outlineLvl w:val="0"/>
    </w:pPr>
    <w:rPr>
      <w:rFonts w:asciiTheme="majorHAnsi" w:eastAsiaTheme="majorEastAsia" w:hAnsiTheme="majorHAnsi" w:cstheme="majorBidi"/>
      <w:color w:val="004E7D"/>
      <w:kern w:val="28"/>
      <w:sz w:val="60"/>
      <w:szCs w:val="56"/>
    </w:rPr>
  </w:style>
  <w:style w:type="character" w:customStyle="1" w:styleId="TitleChar">
    <w:name w:val="Title Char"/>
    <w:basedOn w:val="DefaultParagraphFont"/>
    <w:link w:val="Title"/>
    <w:uiPriority w:val="22"/>
    <w:rsid w:val="008402E0"/>
    <w:rPr>
      <w:rFonts w:asciiTheme="majorHAnsi" w:eastAsiaTheme="majorEastAsia" w:hAnsiTheme="majorHAnsi" w:cstheme="majorBidi"/>
      <w:color w:val="004E7D"/>
      <w:kern w:val="28"/>
      <w:sz w:val="60"/>
      <w:szCs w:val="56"/>
    </w:rPr>
  </w:style>
  <w:style w:type="paragraph" w:styleId="Subtitle">
    <w:name w:val="Subtitle"/>
    <w:basedOn w:val="Normal"/>
    <w:next w:val="Normal"/>
    <w:link w:val="SubtitleChar"/>
    <w:uiPriority w:val="23"/>
    <w:qFormat/>
    <w:rsid w:val="00D01439"/>
    <w:pPr>
      <w:keepLines/>
      <w:numPr>
        <w:ilvl w:val="1"/>
      </w:numPr>
      <w:spacing w:before="360" w:after="360" w:line="280" w:lineRule="exact"/>
      <w:contextualSpacing/>
    </w:pPr>
    <w:rPr>
      <w:rFonts w:eastAsiaTheme="minorEastAsia"/>
      <w:color w:val="004E7D"/>
      <w:sz w:val="24"/>
    </w:rPr>
  </w:style>
  <w:style w:type="character" w:customStyle="1" w:styleId="SubtitleChar">
    <w:name w:val="Subtitle Char"/>
    <w:basedOn w:val="DefaultParagraphFont"/>
    <w:link w:val="Subtitle"/>
    <w:uiPriority w:val="23"/>
    <w:rsid w:val="00D01439"/>
    <w:rPr>
      <w:rFonts w:eastAsiaTheme="minorEastAsia"/>
      <w:color w:val="004E7D"/>
      <w:sz w:val="24"/>
    </w:rPr>
  </w:style>
  <w:style w:type="character" w:styleId="Strong">
    <w:name w:val="Strong"/>
    <w:basedOn w:val="DefaultParagraphFont"/>
    <w:uiPriority w:val="33"/>
    <w:qFormat/>
    <w:rsid w:val="005B458E"/>
    <w:rPr>
      <w:b/>
      <w:bCs/>
    </w:rPr>
  </w:style>
  <w:style w:type="character" w:styleId="Emphasis">
    <w:name w:val="Emphasis"/>
    <w:basedOn w:val="DefaultParagraphFont"/>
    <w:uiPriority w:val="33"/>
    <w:qFormat/>
    <w:rsid w:val="005B458E"/>
    <w:rPr>
      <w:i/>
      <w:iCs/>
    </w:rPr>
  </w:style>
  <w:style w:type="paragraph" w:styleId="NoSpacing">
    <w:name w:val="No Spacing"/>
    <w:uiPriority w:val="1"/>
    <w:qFormat/>
    <w:rsid w:val="005B458E"/>
    <w:pPr>
      <w:spacing w:after="0"/>
    </w:pPr>
  </w:style>
  <w:style w:type="character" w:styleId="IntenseEmphasis">
    <w:name w:val="Intense Emphasis"/>
    <w:basedOn w:val="DefaultParagraphFont"/>
    <w:uiPriority w:val="33"/>
    <w:qFormat/>
    <w:rsid w:val="005B458E"/>
    <w:rPr>
      <w:b/>
      <w:i/>
      <w:iCs/>
      <w:color w:val="000000" w:themeColor="text1"/>
    </w:rPr>
  </w:style>
  <w:style w:type="paragraph" w:styleId="TOCHeading">
    <w:name w:val="TOC Heading"/>
    <w:basedOn w:val="Heading1"/>
    <w:next w:val="Normal"/>
    <w:uiPriority w:val="39"/>
    <w:qFormat/>
    <w:rsid w:val="005B458E"/>
    <w:pPr>
      <w:outlineLvl w:val="9"/>
    </w:pPr>
  </w:style>
  <w:style w:type="paragraph" w:styleId="Header">
    <w:name w:val="header"/>
    <w:basedOn w:val="Normal"/>
    <w:link w:val="HeaderChar"/>
    <w:uiPriority w:val="99"/>
    <w:unhideWhenUsed/>
    <w:rsid w:val="006C328D"/>
    <w:pPr>
      <w:tabs>
        <w:tab w:val="center" w:pos="4513"/>
        <w:tab w:val="right" w:pos="9026"/>
      </w:tabs>
      <w:spacing w:before="0" w:after="0"/>
    </w:pPr>
  </w:style>
  <w:style w:type="character" w:customStyle="1" w:styleId="HeaderChar">
    <w:name w:val="Header Char"/>
    <w:basedOn w:val="DefaultParagraphFont"/>
    <w:link w:val="Header"/>
    <w:uiPriority w:val="99"/>
    <w:rsid w:val="006C328D"/>
  </w:style>
  <w:style w:type="paragraph" w:styleId="Footer">
    <w:name w:val="footer"/>
    <w:basedOn w:val="Normal"/>
    <w:link w:val="FooterChar"/>
    <w:uiPriority w:val="99"/>
    <w:unhideWhenUsed/>
    <w:rsid w:val="006C328D"/>
    <w:pPr>
      <w:tabs>
        <w:tab w:val="center" w:pos="4513"/>
        <w:tab w:val="right" w:pos="9026"/>
      </w:tabs>
      <w:spacing w:before="0" w:after="0"/>
    </w:pPr>
  </w:style>
  <w:style w:type="character" w:customStyle="1" w:styleId="FooterChar">
    <w:name w:val="Footer Char"/>
    <w:basedOn w:val="DefaultParagraphFont"/>
    <w:link w:val="Footer"/>
    <w:uiPriority w:val="99"/>
    <w:rsid w:val="006C328D"/>
  </w:style>
  <w:style w:type="paragraph" w:styleId="BalloonText">
    <w:name w:val="Balloon Text"/>
    <w:basedOn w:val="Normal"/>
    <w:link w:val="BalloonTextChar"/>
    <w:uiPriority w:val="99"/>
    <w:semiHidden/>
    <w:unhideWhenUsed/>
    <w:rsid w:val="006C328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328D"/>
    <w:rPr>
      <w:rFonts w:ascii="Tahoma" w:hAnsi="Tahoma" w:cs="Tahoma"/>
      <w:sz w:val="16"/>
      <w:szCs w:val="16"/>
    </w:rPr>
  </w:style>
  <w:style w:type="character" w:styleId="IntenseReference">
    <w:name w:val="Intense Reference"/>
    <w:basedOn w:val="DefaultParagraphFont"/>
    <w:uiPriority w:val="32"/>
    <w:qFormat/>
    <w:rsid w:val="00D01439"/>
    <w:rPr>
      <w:b/>
      <w:bCs/>
      <w:smallCaps/>
      <w:color w:val="004E7D"/>
      <w:spacing w:val="5"/>
    </w:rPr>
  </w:style>
  <w:style w:type="paragraph" w:styleId="IntenseQuote">
    <w:name w:val="Intense Quote"/>
    <w:basedOn w:val="Normal"/>
    <w:next w:val="Normal"/>
    <w:link w:val="IntenseQuoteChar"/>
    <w:uiPriority w:val="30"/>
    <w:qFormat/>
    <w:rsid w:val="00D01439"/>
    <w:pPr>
      <w:pBdr>
        <w:top w:val="single" w:sz="4" w:space="10" w:color="00847E" w:themeColor="accent1"/>
        <w:bottom w:val="single" w:sz="4" w:space="10" w:color="00847E" w:themeColor="accent1"/>
      </w:pBdr>
      <w:spacing w:before="360" w:after="360"/>
      <w:ind w:left="864" w:right="864"/>
      <w:jc w:val="center"/>
    </w:pPr>
    <w:rPr>
      <w:i/>
      <w:iCs/>
      <w:color w:val="004E7D"/>
    </w:rPr>
  </w:style>
  <w:style w:type="character" w:customStyle="1" w:styleId="IntenseQuoteChar">
    <w:name w:val="Intense Quote Char"/>
    <w:basedOn w:val="DefaultParagraphFont"/>
    <w:link w:val="IntenseQuote"/>
    <w:uiPriority w:val="30"/>
    <w:rsid w:val="00D01439"/>
    <w:rPr>
      <w:i/>
      <w:iCs/>
      <w:color w:val="004E7D"/>
    </w:rPr>
  </w:style>
  <w:style w:type="paragraph" w:styleId="ListParagraph">
    <w:name w:val="List Paragraph"/>
    <w:basedOn w:val="Normal"/>
    <w:uiPriority w:val="34"/>
    <w:qFormat/>
    <w:rsid w:val="00420110"/>
    <w:pPr>
      <w:ind w:left="720"/>
      <w:contextualSpacing/>
    </w:pPr>
  </w:style>
  <w:style w:type="character" w:styleId="Hyperlink">
    <w:name w:val="Hyperlink"/>
    <w:basedOn w:val="DefaultParagraphFont"/>
    <w:uiPriority w:val="99"/>
    <w:unhideWhenUsed/>
    <w:rsid w:val="00FD2ADF"/>
    <w:rPr>
      <w:color w:val="004E7D"/>
      <w:u w:val="single"/>
    </w:rPr>
  </w:style>
  <w:style w:type="character" w:customStyle="1" w:styleId="TEQSAbodytextbold">
    <w:name w:val="TEQSA_body text bold"/>
    <w:rsid w:val="00D621DC"/>
    <w:rPr>
      <w:rFonts w:ascii="Calibri" w:hAnsi="Calibri"/>
      <w:b/>
      <w:bCs/>
    </w:rPr>
  </w:style>
  <w:style w:type="paragraph" w:customStyle="1" w:styleId="TEQSAPullquote">
    <w:name w:val="TEQSA_Pull quote"/>
    <w:basedOn w:val="Normal"/>
    <w:qFormat/>
    <w:rsid w:val="005C5F14"/>
    <w:pPr>
      <w:suppressAutoHyphens/>
      <w:autoSpaceDE w:val="0"/>
      <w:autoSpaceDN w:val="0"/>
      <w:adjustRightInd w:val="0"/>
      <w:spacing w:before="0" w:after="150" w:line="280" w:lineRule="atLeast"/>
      <w:textAlignment w:val="center"/>
    </w:pPr>
    <w:rPr>
      <w:rFonts w:ascii="Calibri" w:eastAsia="Times New Roman" w:hAnsi="Calibri" w:cs="Garamond"/>
      <w:i/>
      <w:color w:val="004E7D"/>
      <w:lang w:val="en-GB" w:eastAsia="en-AU"/>
    </w:rPr>
  </w:style>
  <w:style w:type="table" w:styleId="TableGrid">
    <w:name w:val="Table Grid"/>
    <w:basedOn w:val="TableNormal"/>
    <w:rsid w:val="00D621DC"/>
    <w:pPr>
      <w:spacing w:before="0"/>
    </w:pPr>
    <w:rPr>
      <w:rFonts w:ascii="Times New Roman" w:eastAsia="Times New Roman" w:hAnsi="Times New Roman" w:cs="Times New Roman"/>
      <w:color w:val="auto"/>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1"/>
    <w:basedOn w:val="Normal"/>
    <w:qFormat/>
    <w:rsid w:val="00D621DC"/>
    <w:pPr>
      <w:numPr>
        <w:numId w:val="17"/>
      </w:numPr>
      <w:tabs>
        <w:tab w:val="left" w:pos="851"/>
      </w:tabs>
      <w:spacing w:before="0" w:after="0"/>
    </w:pPr>
    <w:rPr>
      <w:rFonts w:ascii="Arial" w:eastAsia="Times New Roman" w:hAnsi="Arial" w:cs="Times New Roman"/>
      <w:color w:val="auto"/>
      <w:lang w:eastAsia="en-AU"/>
    </w:rPr>
  </w:style>
  <w:style w:type="paragraph" w:customStyle="1" w:styleId="21">
    <w:name w:val="2.1"/>
    <w:basedOn w:val="11"/>
    <w:qFormat/>
    <w:rsid w:val="00D621DC"/>
    <w:pPr>
      <w:numPr>
        <w:numId w:val="12"/>
      </w:numPr>
      <w:tabs>
        <w:tab w:val="clear" w:pos="851"/>
      </w:tabs>
      <w:spacing w:after="120"/>
    </w:pPr>
  </w:style>
  <w:style w:type="paragraph" w:customStyle="1" w:styleId="31">
    <w:name w:val="3.1"/>
    <w:basedOn w:val="11"/>
    <w:qFormat/>
    <w:rsid w:val="00D621DC"/>
    <w:pPr>
      <w:numPr>
        <w:numId w:val="13"/>
      </w:numPr>
      <w:tabs>
        <w:tab w:val="clear" w:pos="851"/>
      </w:tabs>
      <w:spacing w:after="120"/>
    </w:pPr>
  </w:style>
  <w:style w:type="paragraph" w:customStyle="1" w:styleId="41">
    <w:name w:val="4.1"/>
    <w:basedOn w:val="11"/>
    <w:qFormat/>
    <w:rsid w:val="00D621DC"/>
    <w:pPr>
      <w:numPr>
        <w:numId w:val="14"/>
      </w:numPr>
      <w:spacing w:after="120"/>
    </w:pPr>
  </w:style>
  <w:style w:type="table" w:customStyle="1" w:styleId="TEQSAtables">
    <w:name w:val="TEQSA tables"/>
    <w:basedOn w:val="TableNormal"/>
    <w:uiPriority w:val="99"/>
    <w:rsid w:val="00CF76B9"/>
    <w:pPr>
      <w:spacing w:before="0" w:after="0"/>
      <w:jc w:val="center"/>
    </w:pPr>
    <w:rPr>
      <w:color w:val="auto"/>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Mar>
        <w:top w:w="57" w:type="dxa"/>
        <w:left w:w="142" w:type="dxa"/>
        <w:bottom w:w="57" w:type="dxa"/>
        <w:right w:w="142" w:type="dxa"/>
      </w:tcMar>
    </w:tcPr>
    <w:tblStylePr w:type="firstRow">
      <w:rPr>
        <w:rFonts w:ascii="Arial" w:hAnsi="Arial"/>
        <w:b/>
        <w:color w:val="E7E6E6" w:themeColor="background2"/>
        <w:sz w:val="2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000000" w:themeColor="text1"/>
          <w:tl2br w:val="nil"/>
          <w:tr2bl w:val="nil"/>
        </w:tcBorders>
        <w:shd w:val="clear" w:color="auto" w:fill="004855"/>
      </w:tcPr>
    </w:tblStylePr>
    <w:tblStylePr w:type="band2Horz">
      <w:tblPr/>
      <w:tcPr>
        <w:shd w:val="clear" w:color="auto" w:fill="FBE4D5" w:themeFill="accent6" w:themeFillTint="33"/>
      </w:tcPr>
    </w:tblStylePr>
  </w:style>
  <w:style w:type="character" w:styleId="CommentReference">
    <w:name w:val="annotation reference"/>
    <w:basedOn w:val="DefaultParagraphFont"/>
    <w:uiPriority w:val="99"/>
    <w:semiHidden/>
    <w:unhideWhenUsed/>
    <w:rsid w:val="00CF76B9"/>
    <w:rPr>
      <w:sz w:val="16"/>
      <w:szCs w:val="16"/>
    </w:rPr>
  </w:style>
  <w:style w:type="paragraph" w:styleId="CommentText">
    <w:name w:val="annotation text"/>
    <w:basedOn w:val="Normal"/>
    <w:link w:val="CommentTextChar"/>
    <w:uiPriority w:val="99"/>
    <w:unhideWhenUsed/>
    <w:rsid w:val="00CF76B9"/>
    <w:rPr>
      <w:sz w:val="20"/>
      <w:szCs w:val="20"/>
    </w:rPr>
  </w:style>
  <w:style w:type="character" w:customStyle="1" w:styleId="CommentTextChar">
    <w:name w:val="Comment Text Char"/>
    <w:basedOn w:val="DefaultParagraphFont"/>
    <w:link w:val="CommentText"/>
    <w:uiPriority w:val="99"/>
    <w:rsid w:val="00CF76B9"/>
    <w:rPr>
      <w:sz w:val="20"/>
      <w:szCs w:val="20"/>
    </w:rPr>
  </w:style>
  <w:style w:type="paragraph" w:styleId="BodyText">
    <w:name w:val="Body Text"/>
    <w:basedOn w:val="Normal"/>
    <w:link w:val="BodyTextChar"/>
    <w:uiPriority w:val="1"/>
    <w:qFormat/>
    <w:rsid w:val="00CF76B9"/>
    <w:pPr>
      <w:widowControl w:val="0"/>
      <w:autoSpaceDE w:val="0"/>
      <w:autoSpaceDN w:val="0"/>
      <w:spacing w:before="0" w:after="0"/>
    </w:pPr>
    <w:rPr>
      <w:rFonts w:ascii="Arial" w:eastAsia="Arial" w:hAnsi="Arial" w:cs="Arial"/>
      <w:color w:val="auto"/>
      <w:sz w:val="20"/>
      <w:szCs w:val="20"/>
      <w:lang w:val="en-US"/>
    </w:rPr>
  </w:style>
  <w:style w:type="character" w:customStyle="1" w:styleId="BodyTextChar">
    <w:name w:val="Body Text Char"/>
    <w:basedOn w:val="DefaultParagraphFont"/>
    <w:link w:val="BodyText"/>
    <w:uiPriority w:val="1"/>
    <w:rsid w:val="00CF76B9"/>
    <w:rPr>
      <w:rFonts w:ascii="Arial" w:eastAsia="Arial" w:hAnsi="Arial" w:cs="Arial"/>
      <w:color w:val="auto"/>
      <w:sz w:val="20"/>
      <w:szCs w:val="20"/>
      <w:lang w:val="en-US"/>
    </w:rPr>
  </w:style>
  <w:style w:type="paragraph" w:styleId="FootnoteText">
    <w:name w:val="footnote text"/>
    <w:basedOn w:val="Normal"/>
    <w:link w:val="FootnoteTextChar"/>
    <w:uiPriority w:val="99"/>
    <w:semiHidden/>
    <w:unhideWhenUsed/>
    <w:rsid w:val="00CF76B9"/>
    <w:pPr>
      <w:spacing w:before="0" w:after="0"/>
    </w:pPr>
    <w:rPr>
      <w:sz w:val="20"/>
      <w:szCs w:val="20"/>
    </w:rPr>
  </w:style>
  <w:style w:type="character" w:customStyle="1" w:styleId="FootnoteTextChar">
    <w:name w:val="Footnote Text Char"/>
    <w:basedOn w:val="DefaultParagraphFont"/>
    <w:link w:val="FootnoteText"/>
    <w:uiPriority w:val="99"/>
    <w:semiHidden/>
    <w:rsid w:val="00CF76B9"/>
    <w:rPr>
      <w:sz w:val="20"/>
      <w:szCs w:val="20"/>
    </w:rPr>
  </w:style>
  <w:style w:type="character" w:styleId="FootnoteReference">
    <w:name w:val="footnote reference"/>
    <w:basedOn w:val="DefaultParagraphFont"/>
    <w:uiPriority w:val="99"/>
    <w:semiHidden/>
    <w:unhideWhenUsed/>
    <w:rsid w:val="00CF76B9"/>
    <w:rPr>
      <w:vertAlign w:val="superscript"/>
    </w:rPr>
  </w:style>
  <w:style w:type="paragraph" w:styleId="CommentSubject">
    <w:name w:val="annotation subject"/>
    <w:basedOn w:val="CommentText"/>
    <w:next w:val="CommentText"/>
    <w:link w:val="CommentSubjectChar"/>
    <w:uiPriority w:val="99"/>
    <w:semiHidden/>
    <w:unhideWhenUsed/>
    <w:rsid w:val="009B5F36"/>
    <w:rPr>
      <w:b/>
      <w:bCs/>
    </w:rPr>
  </w:style>
  <w:style w:type="character" w:customStyle="1" w:styleId="CommentSubjectChar">
    <w:name w:val="Comment Subject Char"/>
    <w:basedOn w:val="CommentTextChar"/>
    <w:link w:val="CommentSubject"/>
    <w:uiPriority w:val="99"/>
    <w:semiHidden/>
    <w:rsid w:val="009B5F36"/>
    <w:rPr>
      <w:b/>
      <w:bCs/>
      <w:sz w:val="20"/>
      <w:szCs w:val="20"/>
    </w:rPr>
  </w:style>
  <w:style w:type="character" w:customStyle="1" w:styleId="fontstyle01">
    <w:name w:val="fontstyle01"/>
    <w:basedOn w:val="DefaultParagraphFont"/>
    <w:rsid w:val="009B5F36"/>
    <w:rPr>
      <w:rFonts w:ascii="Calibri" w:hAnsi="Calibri" w:cs="Calibri" w:hint="default"/>
      <w:b w:val="0"/>
      <w:bCs w:val="0"/>
      <w:i w:val="0"/>
      <w:iCs w:val="0"/>
      <w:color w:val="000000"/>
    </w:rPr>
  </w:style>
  <w:style w:type="paragraph" w:styleId="Revision">
    <w:name w:val="Revision"/>
    <w:hidden/>
    <w:uiPriority w:val="99"/>
    <w:semiHidden/>
    <w:rsid w:val="005A34A9"/>
    <w:pPr>
      <w:spacing w:before="0" w:after="0"/>
    </w:pPr>
  </w:style>
  <w:style w:type="character" w:styleId="FollowedHyperlink">
    <w:name w:val="FollowedHyperlink"/>
    <w:basedOn w:val="DefaultParagraphFont"/>
    <w:uiPriority w:val="99"/>
    <w:semiHidden/>
    <w:unhideWhenUsed/>
    <w:rsid w:val="00F01DFE"/>
    <w:rPr>
      <w:color w:val="00847E" w:themeColor="followedHyperlink"/>
      <w:u w:val="single"/>
    </w:rPr>
  </w:style>
  <w:style w:type="character" w:styleId="UnresolvedMention">
    <w:name w:val="Unresolved Mention"/>
    <w:basedOn w:val="DefaultParagraphFont"/>
    <w:uiPriority w:val="99"/>
    <w:semiHidden/>
    <w:unhideWhenUsed/>
    <w:rsid w:val="00585E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76494">
      <w:bodyDiv w:val="1"/>
      <w:marLeft w:val="0"/>
      <w:marRight w:val="0"/>
      <w:marTop w:val="0"/>
      <w:marBottom w:val="0"/>
      <w:divBdr>
        <w:top w:val="none" w:sz="0" w:space="0" w:color="auto"/>
        <w:left w:val="none" w:sz="0" w:space="0" w:color="auto"/>
        <w:bottom w:val="none" w:sz="0" w:space="0" w:color="auto"/>
        <w:right w:val="none" w:sz="0" w:space="0" w:color="auto"/>
      </w:divBdr>
    </w:div>
    <w:div w:id="1463235714">
      <w:bodyDiv w:val="1"/>
      <w:marLeft w:val="0"/>
      <w:marRight w:val="0"/>
      <w:marTop w:val="0"/>
      <w:marBottom w:val="0"/>
      <w:divBdr>
        <w:top w:val="none" w:sz="0" w:space="0" w:color="auto"/>
        <w:left w:val="none" w:sz="0" w:space="0" w:color="auto"/>
        <w:bottom w:val="none" w:sz="0" w:space="0" w:color="auto"/>
        <w:right w:val="none" w:sz="0" w:space="0" w:color="auto"/>
      </w:divBdr>
    </w:div>
    <w:div w:id="169931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eqsa.gov.au/esos-act" TargetMode="External"/><Relationship Id="rId18" Type="http://schemas.openxmlformats.org/officeDocument/2006/relationships/hyperlink" Target="https://www.ag.gov.au/integrity/publications/australian-government-investigations-standards-2011"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teqsa.gov.au/how-we-regulate/review-teqsa-decisions" TargetMode="External"/><Relationship Id="rId7" Type="http://schemas.openxmlformats.org/officeDocument/2006/relationships/settings" Target="settings.xml"/><Relationship Id="rId12" Type="http://schemas.openxmlformats.org/officeDocument/2006/relationships/hyperlink" Target="https://www.legislation.gov.au/C2014A00093/latest/text" TargetMode="External"/><Relationship Id="rId17" Type="http://schemas.openxmlformats.org/officeDocument/2006/relationships/hyperlink" Target="https://www.teqsa.gov.au/overview-compliance-monitoring-framework"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teqsa.gov.au/how-we-regulate/compliance-monitoring-approach/compliance-monitoring-framework" TargetMode="External"/><Relationship Id="rId20" Type="http://schemas.openxmlformats.org/officeDocument/2006/relationships/hyperlink" Target="https://www.teqsa.gov.au/guides-resources/resources/corporate-publications/policy-public-statements-teqsas-regulatory-decisions-and-processes"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eqsa.gov.au/teqsa-act"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teqsa.gov.au/national-code-practice" TargetMode="External"/><Relationship Id="rId23" Type="http://schemas.openxmlformats.org/officeDocument/2006/relationships/hyperlink" Target="mailto:compliance@teqsa.gov.au"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teqsa.gov.au/national-register"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eqsa.gov.au/how-we-regulate/higher-education-standards-framework-2021" TargetMode="External"/><Relationship Id="rId22" Type="http://schemas.openxmlformats.org/officeDocument/2006/relationships/hyperlink" Target="https://www.teqsa.gov.au/about-us/contact-us/complaints-about-teqsa"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EQSA">
      <a:dk1>
        <a:srgbClr val="000000"/>
      </a:dk1>
      <a:lt1>
        <a:sysClr val="window" lastClr="FFFFFF"/>
      </a:lt1>
      <a:dk2>
        <a:srgbClr val="003B45"/>
      </a:dk2>
      <a:lt2>
        <a:srgbClr val="E7E6E6"/>
      </a:lt2>
      <a:accent1>
        <a:srgbClr val="00847E"/>
      </a:accent1>
      <a:accent2>
        <a:srgbClr val="003B45"/>
      </a:accent2>
      <a:accent3>
        <a:srgbClr val="F37A8A"/>
      </a:accent3>
      <a:accent4>
        <a:srgbClr val="FEC553"/>
      </a:accent4>
      <a:accent5>
        <a:srgbClr val="A2DADD"/>
      </a:accent5>
      <a:accent6>
        <a:srgbClr val="ED7D31"/>
      </a:accent6>
      <a:hlink>
        <a:srgbClr val="00847E"/>
      </a:hlink>
      <a:folHlink>
        <a:srgbClr val="00847E"/>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6D213810AB84748B571669D3AF106EE" ma:contentTypeVersion="41" ma:contentTypeDescription="Create a new document." ma:contentTypeScope="" ma:versionID="ba0283fc68c82bc2bad292ca8cd124b9">
  <xsd:schema xmlns:xsd="http://www.w3.org/2001/XMLSchema" xmlns:xs="http://www.w3.org/2001/XMLSchema" xmlns:p="http://schemas.microsoft.com/office/2006/metadata/properties" xmlns:ns2="b7f04ed3-f036-4150-9168-827bf26947c9" xmlns:ns3="dfc3bdb7-02e2-4dcf-af5e-63e5e7c3a57a" targetNamespace="http://schemas.microsoft.com/office/2006/metadata/properties" ma:root="true" ma:fieldsID="bd9bbbc2bd4baad912389cd821dadafc" ns2:_="" ns3:_="">
    <xsd:import namespace="b7f04ed3-f036-4150-9168-827bf26947c9"/>
    <xsd:import namespace="dfc3bdb7-02e2-4dcf-af5e-63e5e7c3a57a"/>
    <xsd:element name="properties">
      <xsd:complexType>
        <xsd:sequence>
          <xsd:element name="documentManagement">
            <xsd:complexType>
              <xsd:all>
                <xsd:element ref="ns2:FOR_x0020_APPROVAL" minOccurs="0"/>
                <xsd:element ref="ns2:Changes_x0020_made_x0020_to_x0020_the_x0020_document_x0020__x0028_not_x0020_applicable_x0020_for_x0020_new_x0020_documents_x0029_" minOccurs="0"/>
                <xsd:element ref="ns2:Select_x0020_minor_x0020_updates" minOccurs="0"/>
                <xsd:element ref="ns2:U4_x002e__x0020_PRIORITY" minOccurs="0"/>
                <xsd:element ref="ns2:U4_x002e_2_x0020_Document_x0020_needs_x0020_to_x0020_also_x0020_be_x0020_uploaded_x0020_on_x0020_TEQSA_x0020_website" minOccurs="0"/>
                <xsd:element ref="ns2:U4_x002e__x0020_NAME_x0020_OF_x0020_REVIEWER_x0028_S_x0029_" minOccurs="0"/>
                <xsd:element ref="ns2:U4_x002e__x0020_DOCUMENT_x0020_OWNER_x002f_REVIEWER_x0020_ADDITIONAL_x0020_COMMENTS" minOccurs="0"/>
                <xsd:element ref="ns2:_Flow_SignoffStatus" minOccurs="0"/>
                <xsd:element ref="ns2:Send_x0020_to_x0020_approver" minOccurs="0"/>
                <xsd:element ref="ns2:Version_x0020_number" minOccurs="0"/>
                <xsd:element ref="ns2:New_x0020_version_x0020_number" minOccurs="0"/>
                <xsd:element ref="ns2:Additional_x0020_comments_x002f_notes" minOccurs="0"/>
                <xsd:element ref="ns2:b58c1a262783409686c363ca9e3a10f0" minOccurs="0"/>
                <xsd:element ref="ns3:TaxCatchAll" minOccurs="0"/>
                <xsd:element ref="ns2:ge13230b6ba24b1493ff9fbfab0ed674" minOccurs="0"/>
                <xsd:element ref="ns2:ae36bcfa396d4c429d188b5a38a1f1e5" minOccurs="0"/>
                <xsd:element ref="ns2:ke95e3a1c3c146278daad0ef72e96841" minOccurs="0"/>
                <xsd:element ref="ns2:j43951cfbf4f4691844c7f394ab92b7f" minOccurs="0"/>
                <xsd:element ref="ns2:pee90a82fd5f471ca49250cd169546d9"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f04ed3-f036-4150-9168-827bf26947c9" elementFormDefault="qualified">
    <xsd:import namespace="http://schemas.microsoft.com/office/2006/documentManagement/types"/>
    <xsd:import namespace="http://schemas.microsoft.com/office/infopath/2007/PartnerControls"/>
    <xsd:element name="FOR_x0020_APPROVAL" ma:index="2" nillable="true" ma:displayName="U1. FOR APPROVAL" ma:default="NO" ma:format="RadioButtons" ma:internalName="FOR_x0020_APPROVAL">
      <xsd:simpleType>
        <xsd:restriction base="dms:Choice">
          <xsd:enumeration value="YES"/>
          <xsd:enumeration value="NO"/>
        </xsd:restriction>
      </xsd:simpleType>
    </xsd:element>
    <xsd:element name="Changes_x0020_made_x0020_to_x0020_the_x0020_document_x0020__x0028_not_x0020_applicable_x0020_for_x0020_new_x0020_documents_x0029_" ma:index="3" nillable="true" ma:displayName="U2. CHANGES MADE TO THE DOCUMENT" ma:format="RadioButtons" ma:internalName="Changes_x0020_made_x0020_to_x0020_the_x0020_document_x0020__x0028_not_x0020_applicable_x0020_for_x0020_new_x0020_documents_x0029_">
      <xsd:simpleType>
        <xsd:restriction base="dms:Choice">
          <xsd:enumeration value="MINOR updates (complete section U3)"/>
          <xsd:enumeration value="MAJOR updates (these are substantial/material changes to the content)"/>
          <xsd:enumeration value="Reviewed - no changes/updates required"/>
          <xsd:enumeration value="Reviewed - document is obsolete and needs to be removed from circulation"/>
          <xsd:enumeration value="For review"/>
        </xsd:restriction>
      </xsd:simpleType>
    </xsd:element>
    <xsd:element name="Select_x0020_minor_x0020_updates" ma:index="4" nillable="true" ma:displayName="U3. SELECT MINOR UPDATES" ma:description="These are updates that DO NOT change the content. Select all that apply." ma:internalName="Select_x0020_minor_x0020_updates">
      <xsd:complexType>
        <xsd:complexContent>
          <xsd:extension base="dms:MultiChoiceFillIn">
            <xsd:sequence>
              <xsd:element name="Value" maxOccurs="unbounded" minOccurs="0" nillable="true">
                <xsd:simpleType>
                  <xsd:union memberTypes="dms:Text">
                    <xsd:simpleType>
                      <xsd:restriction base="dms:Choice">
                        <xsd:enumeration value="Names of committees/teams"/>
                        <xsd:enumeration value="Titles of staff/ contact details"/>
                        <xsd:enumeration value="Spelling/ numbering of sections"/>
                      </xsd:restriction>
                    </xsd:simpleType>
                  </xsd:union>
                </xsd:simpleType>
              </xsd:element>
            </xsd:sequence>
          </xsd:extension>
        </xsd:complexContent>
      </xsd:complexType>
    </xsd:element>
    <xsd:element name="U4_x002e__x0020_PRIORITY" ma:index="5" nillable="true" ma:displayName="U4.1 PRIORITY" ma:default="Low" ma:description="This will determine the due date for sign-off that will be given to the document approve (high priority - approve within 5 business days; normal priority - approve within 10 business days; low priority - approve within 20 business days)." ma:format="RadioButtons" ma:internalName="U4_x002e__x0020_PRIORITY">
      <xsd:simpleType>
        <xsd:restriction base="dms:Choice">
          <xsd:enumeration value="High"/>
          <xsd:enumeration value="Normal"/>
          <xsd:enumeration value="Low"/>
        </xsd:restriction>
      </xsd:simpleType>
    </xsd:element>
    <xsd:element name="U4_x002e_2_x0020_Document_x0020_needs_x0020_to_x0020_also_x0020_be_x0020_uploaded_x0020_on_x0020_TEQSA_x0020_website" ma:index="6" nillable="true" ma:displayName="U4.2 Document needs to also be uploaded on TEQSA website" ma:default="No" ma:description="NOTE: Documents uploaded on the TEQSA website are those that need to be shared with providers/higher education sector." ma:format="RadioButtons" ma:internalName="U4_x002e_2_x0020_Document_x0020_needs_x0020_to_x0020_also_x0020_be_x0020_uploaded_x0020_on_x0020_TEQSA_x0020_website">
      <xsd:simpleType>
        <xsd:restriction base="dms:Choice">
          <xsd:enumeration value="Yes"/>
          <xsd:enumeration value="No"/>
        </xsd:restriction>
      </xsd:simpleType>
    </xsd:element>
    <xsd:element name="U4_x002e__x0020_NAME_x0020_OF_x0020_REVIEWER_x0028_S_x0029_" ma:index="7" nillable="true" ma:displayName="U5. NAME OF REVIEWER(S)" ma:list="UserInfo" ma:SharePointGroup="0" ma:internalName="U4_x002e__x0020_NAME_x0020_OF_x0020_REVIEWER_x0028_S_x0029_"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4_x002e__x0020_DOCUMENT_x0020_OWNER_x002f_REVIEWER_x0020_ADDITIONAL_x0020_COMMENTS" ma:index="8" nillable="true" ma:displayName="U6. DOCUMENT OWNER/REVIEWER ADDITIONAL COMMENTS" ma:description="LEAVE BLANK IF NO COMMENTS" ma:internalName="U4_x002e__x0020_DOCUMENT_x0020_OWNER_x002f_REVIEWER_x0020_ADDITIONAL_x0020_COMMENTS">
      <xsd:simpleType>
        <xsd:restriction base="dms:Note">
          <xsd:maxLength value="255"/>
        </xsd:restriction>
      </xsd:simpleType>
    </xsd:element>
    <xsd:element name="_Flow_SignoffStatus" ma:index="9" nillable="true" ma:displayName="Sign-off status" ma:internalName="Sign_x002d_off_x0020_status">
      <xsd:simpleType>
        <xsd:restriction base="dms:Text"/>
      </xsd:simpleType>
    </xsd:element>
    <xsd:element name="Send_x0020_to_x0020_approver" ma:index="10" nillable="true" ma:displayName="TA1. Approval sent to" ma:list="UserInfo" ma:SharePointGroup="0" ma:internalName="Send_x0020_to_x0020_approv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sion_x0020_number" ma:index="14" nillable="true" ma:displayName="TA5. Current version number in TEQBis Published" ma:internalName="Version_x0020_number">
      <xsd:simpleType>
        <xsd:restriction base="dms:Text">
          <xsd:maxLength value="255"/>
        </xsd:restriction>
      </xsd:simpleType>
    </xsd:element>
    <xsd:element name="New_x0020_version_x0020_number" ma:index="18" nillable="true" ma:displayName="TA9. New version number for this review cycle" ma:description="NOTE: This will be the version number of the version that has been approved and will be published. NEW document (no existing version currently published) will start with Version 1. EXISTING document (current version is published) with major/material changes/updates in content and structure will be assigned the next whole number (e.g. current version is Version 1, revised will be Version 2). EXISTING document (current version is published) with only minor/cosmetic updates that do not affect the content will be assigned a minor version number (e.g. 1.1, 1.2, 2.1,)." ma:internalName="New_x0020_version_x0020_number">
      <xsd:simpleType>
        <xsd:restriction base="dms:Text">
          <xsd:maxLength value="255"/>
        </xsd:restriction>
      </xsd:simpleType>
    </xsd:element>
    <xsd:element name="Additional_x0020_comments_x002f_notes" ma:index="19" nillable="true" ma:displayName="TA10. Additional comments/notes" ma:internalName="Additional_x0020_comments_x002f_notes">
      <xsd:simpleType>
        <xsd:restriction base="dms:Note">
          <xsd:maxLength value="255"/>
        </xsd:restriction>
      </xsd:simpleType>
    </xsd:element>
    <xsd:element name="b58c1a262783409686c363ca9e3a10f0" ma:index="22" nillable="true" ma:taxonomy="true" ma:internalName="b58c1a262783409686c363ca9e3a10f0" ma:taxonomyFieldName="Document_x0020_type" ma:displayName="TA2. Document type" ma:default="" ma:fieldId="{b58c1a26-2783-4096-86c3-63ca9e3a10f0}" ma:sspId="645f8d4e-8f3a-4e65-808f-0c8f2d6bd45a" ma:termSetId="fd0a169c-3a83-48a6-911e-955acb039007" ma:anchorId="00000000-0000-0000-0000-000000000000" ma:open="false" ma:isKeyword="false">
      <xsd:complexType>
        <xsd:sequence>
          <xsd:element ref="pc:Terms" minOccurs="0" maxOccurs="1"/>
        </xsd:sequence>
      </xsd:complexType>
    </xsd:element>
    <xsd:element name="ge13230b6ba24b1493ff9fbfab0ed674" ma:index="24" nillable="true" ma:taxonomy="true" ma:internalName="ge13230b6ba24b1493ff9fbfab0ed674" ma:taxonomyFieldName="Document_x0020_category" ma:displayName="TA3. Document category" ma:readOnly="false" ma:default="" ma:fieldId="{0e13230b-6ba2-4b14-93ff-9fbfab0ed674}" ma:taxonomyMulti="true" ma:sspId="645f8d4e-8f3a-4e65-808f-0c8f2d6bd45a" ma:termSetId="98695a59-353d-4b0b-84da-2f8f934b713a" ma:anchorId="00000000-0000-0000-0000-000000000000" ma:open="false" ma:isKeyword="false">
      <xsd:complexType>
        <xsd:sequence>
          <xsd:element ref="pc:Terms" minOccurs="0" maxOccurs="1"/>
        </xsd:sequence>
      </xsd:complexType>
    </xsd:element>
    <xsd:element name="ae36bcfa396d4c429d188b5a38a1f1e5" ma:index="25" ma:taxonomy="true" ma:internalName="ae36bcfa396d4c429d188b5a38a1f1e5" ma:taxonomyFieldName="Document_x0020_status" ma:displayName="TA4. Document status" ma:readOnly="false" ma:default="" ma:fieldId="{ae36bcfa-396d-4c42-9d18-8b5a38a1f1e5}" ma:taxonomyMulti="true" ma:sspId="645f8d4e-8f3a-4e65-808f-0c8f2d6bd45a" ma:termSetId="a4c0bd67-b60e-4300-998f-b545044428e5" ma:anchorId="00000000-0000-0000-0000-000000000000" ma:open="false" ma:isKeyword="false">
      <xsd:complexType>
        <xsd:sequence>
          <xsd:element ref="pc:Terms" minOccurs="0" maxOccurs="1"/>
        </xsd:sequence>
      </xsd:complexType>
    </xsd:element>
    <xsd:element name="ke95e3a1c3c146278daad0ef72e96841" ma:index="26" ma:taxonomy="true" ma:internalName="ke95e3a1c3c146278daad0ef72e96841" ma:taxonomyFieldName="Document_x0020_owner" ma:displayName="TA6. Document owner" ma:readOnly="false" ma:default="" ma:fieldId="{4e95e3a1-c3c1-4627-8daa-d0ef72e96841}" ma:taxonomyMulti="true" ma:sspId="645f8d4e-8f3a-4e65-808f-0c8f2d6bd45a" ma:termSetId="386095d1-c68d-4c6d-b587-48ddaf1aecc9" ma:anchorId="00000000-0000-0000-0000-000000000000" ma:open="false" ma:isKeyword="false">
      <xsd:complexType>
        <xsd:sequence>
          <xsd:element ref="pc:Terms" minOccurs="0" maxOccurs="1"/>
        </xsd:sequence>
      </xsd:complexType>
    </xsd:element>
    <xsd:element name="j43951cfbf4f4691844c7f394ab92b7f" ma:index="27" nillable="true" ma:taxonomy="true" ma:internalName="j43951cfbf4f4691844c7f394ab92b7f" ma:taxonomyFieldName="Document_x0020_reviewers_x002f_SMEs" ma:displayName="TA7. Document reviewers/SMEs" ma:default="" ma:fieldId="{343951cf-bf4f-4691-844c-7f394ab92b7f}" ma:taxonomyMulti="true" ma:sspId="645f8d4e-8f3a-4e65-808f-0c8f2d6bd45a" ma:termSetId="386095d1-c68d-4c6d-b587-48ddaf1aecc9" ma:anchorId="00000000-0000-0000-0000-000000000000" ma:open="true" ma:isKeyword="false">
      <xsd:complexType>
        <xsd:sequence>
          <xsd:element ref="pc:Terms" minOccurs="0" maxOccurs="1"/>
        </xsd:sequence>
      </xsd:complexType>
    </xsd:element>
    <xsd:element name="pee90a82fd5f471ca49250cd169546d9" ma:index="28" nillable="true" ma:taxonomy="true" ma:internalName="pee90a82fd5f471ca49250cd169546d9" ma:taxonomyFieldName="Document_x0020_approver_x0020__x0028_primary_x0029_" ma:displayName="TA8. Document approver" ma:readOnly="false" ma:default="" ma:fieldId="{9ee90a82-fd5f-471c-a492-50cd169546d9}" ma:taxonomyMulti="true" ma:sspId="645f8d4e-8f3a-4e65-808f-0c8f2d6bd45a" ma:termSetId="386095d1-c68d-4c6d-b587-48ddaf1aecc9" ma:anchorId="00000000-0000-0000-0000-000000000000" ma:open="false" ma:isKeyword="false">
      <xsd:complexType>
        <xsd:sequence>
          <xsd:element ref="pc:Terms" minOccurs="0" maxOccurs="1"/>
        </xsd:sequence>
      </xsd:complexType>
    </xsd:element>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c3bdb7-02e2-4dcf-af5e-63e5e7c3a57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347e9f8-0aa1-42ee-891f-fb1073d8c983}" ma:internalName="TaxCatchAll" ma:showField="CatchAllData" ma:web="dfc3bdb7-02e2-4dcf-af5e-63e5e7c3a5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OR_x0020_APPROVAL xmlns="b7f04ed3-f036-4150-9168-827bf26947c9">NO</FOR_x0020_APPROVAL>
    <Changes_x0020_made_x0020_to_x0020_the_x0020_document_x0020__x0028_not_x0020_applicable_x0020_for_x0020_new_x0020_documents_x0029_ xmlns="b7f04ed3-f036-4150-9168-827bf26947c9">MINOR updates (complete section U3)</Changes_x0020_made_x0020_to_x0020_the_x0020_document_x0020__x0028_not_x0020_applicable_x0020_for_x0020_new_x0020_documents_x0029_>
    <Send_x0020_to_x0020_approver xmlns="b7f04ed3-f036-4150-9168-827bf26947c9">
      <UserInfo>
        <DisplayName>i:0#.f|membership|jen.bahen@teqsa.gov.au,#i:0#.f|membership|jen.bahen@teqsa.gov.au,#Jen.Bahen@teqsa.gov.au,#,#Jen Bahen,#,#Regulatory Operations,#Executive Director, Regulatory Operations</DisplayName>
        <AccountId>135</AccountId>
        <AccountType/>
      </UserInfo>
    </Send_x0020_to_x0020_approver>
    <Select_x0020_minor_x0020_updates xmlns="b7f04ed3-f036-4150-9168-827bf26947c9" xsi:nil="true"/>
    <_Flow_SignoffStatus xmlns="b7f04ed3-f036-4150-9168-827bf26947c9">Approved</_Flow_SignoffStatus>
    <Additional_x0020_comments_x002f_notes xmlns="b7f04ed3-f036-4150-9168-827bf26947c9" xsi:nil="true"/>
    <pee90a82fd5f471ca49250cd169546d9 xmlns="b7f04ed3-f036-4150-9168-827bf26947c9">
      <Terms xmlns="http://schemas.microsoft.com/office/infopath/2007/PartnerControls">
        <TermInfo xmlns="http://schemas.microsoft.com/office/infopath/2007/PartnerControls">
          <TermName xmlns="http://schemas.microsoft.com/office/infopath/2007/PartnerControls">Executive Director - Regulatory Operations</TermName>
          <TermId xmlns="http://schemas.microsoft.com/office/infopath/2007/PartnerControls">4978c5eb-7cab-4b79-821d-40e3c588dac6</TermId>
        </TermInfo>
      </Terms>
    </pee90a82fd5f471ca49250cd169546d9>
    <U4_x002e_2_x0020_Document_x0020_needs_x0020_to_x0020_also_x0020_be_x0020_uploaded_x0020_on_x0020_TEQSA_x0020_website xmlns="b7f04ed3-f036-4150-9168-827bf26947c9">Yes</U4_x002e_2_x0020_Document_x0020_needs_x0020_to_x0020_also_x0020_be_x0020_uploaded_x0020_on_x0020_TEQSA_x0020_website>
    <U4_x002e__x0020_DOCUMENT_x0020_OWNER_x002f_REVIEWER_x0020_ADDITIONAL_x0020_COMMENTS xmlns="b7f04ed3-f036-4150-9168-827bf26947c9" xsi:nil="true"/>
    <Version_x0020_number xmlns="b7f04ed3-f036-4150-9168-827bf26947c9">2.1</Version_x0020_number>
    <U4_x002e__x0020_PRIORITY xmlns="b7f04ed3-f036-4150-9168-827bf26947c9">Low</U4_x002e__x0020_PRIORITY>
    <ge13230b6ba24b1493ff9fbfab0ed674 xmlns="b7f04ed3-f036-4150-9168-827bf26947c9">
      <Terms xmlns="http://schemas.microsoft.com/office/infopath/2007/PartnerControls">
        <TermInfo xmlns="http://schemas.microsoft.com/office/infopath/2007/PartnerControls">
          <TermName xmlns="http://schemas.microsoft.com/office/infopath/2007/PartnerControls">Regulatory Operations</TermName>
          <TermId xmlns="http://schemas.microsoft.com/office/infopath/2007/PartnerControls">13109d15-9098-42f4-9203-59fdc1120f0b</TermId>
        </TermInfo>
        <TermInfo xmlns="http://schemas.microsoft.com/office/infopath/2007/PartnerControls">
          <TermName xmlns="http://schemas.microsoft.com/office/infopath/2007/PartnerControls">Compliance ＆ Investigations</TermName>
          <TermId xmlns="http://schemas.microsoft.com/office/infopath/2007/PartnerControls">f9b91453-0c87-4961-be28-09481d8cff40</TermId>
        </TermInfo>
      </Terms>
    </ge13230b6ba24b1493ff9fbfab0ed674>
    <ke95e3a1c3c146278daad0ef72e96841 xmlns="b7f04ed3-f036-4150-9168-827bf26947c9">
      <Terms xmlns="http://schemas.microsoft.com/office/infopath/2007/PartnerControls">
        <TermInfo xmlns="http://schemas.microsoft.com/office/infopath/2007/PartnerControls">
          <TermName xmlns="http://schemas.microsoft.com/office/infopath/2007/PartnerControls">Director - Sector Risk and Compliance</TermName>
          <TermId xmlns="http://schemas.microsoft.com/office/infopath/2007/PartnerControls">990b4028-99f6-416e-b2e3-e482fbe9f65a</TermId>
        </TermInfo>
      </Terms>
    </ke95e3a1c3c146278daad0ef72e96841>
    <j43951cfbf4f4691844c7f394ab92b7f xmlns="b7f04ed3-f036-4150-9168-827bf26947c9">
      <Terms xmlns="http://schemas.microsoft.com/office/infopath/2007/PartnerControls">
        <TermInfo xmlns="http://schemas.microsoft.com/office/infopath/2007/PartnerControls">
          <TermName xmlns="http://schemas.microsoft.com/office/infopath/2007/PartnerControls">Assistant Director - Compliance and Investigations</TermName>
          <TermId xmlns="http://schemas.microsoft.com/office/infopath/2007/PartnerControls">b3b8663b-7745-4cb0-a73f-dfe841d5bdca</TermId>
        </TermInfo>
        <TermInfo xmlns="http://schemas.microsoft.com/office/infopath/2007/PartnerControls">
          <TermName xmlns="http://schemas.microsoft.com/office/infopath/2007/PartnerControls">Lawyer</TermName>
          <TermId xmlns="http://schemas.microsoft.com/office/infopath/2007/PartnerControls">75575c98-e362-47cc-8a2b-bad8ad90ea34</TermId>
        </TermInfo>
        <TermInfo xmlns="http://schemas.microsoft.com/office/infopath/2007/PartnerControls">
          <TermName xmlns="http://schemas.microsoft.com/office/infopath/2007/PartnerControls">Senior Lawyer</TermName>
          <TermId xmlns="http://schemas.microsoft.com/office/infopath/2007/PartnerControls">03fce6e2-82cf-4755-9d90-6d7fe0d95edf</TermId>
        </TermInfo>
        <TermInfo xmlns="http://schemas.microsoft.com/office/infopath/2007/PartnerControls">
          <TermName xmlns="http://schemas.microsoft.com/office/infopath/2007/PartnerControls">Director - Sector Risk and Compliance</TermName>
          <TermId xmlns="http://schemas.microsoft.com/office/infopath/2007/PartnerControls">990b4028-99f6-416e-b2e3-e482fbe9f65a</TermId>
        </TermInfo>
      </Terms>
    </j43951cfbf4f4691844c7f394ab92b7f>
    <U4_x002e__x0020_NAME_x0020_OF_x0020_REVIEWER_x0028_S_x0029_ xmlns="b7f04ed3-f036-4150-9168-827bf26947c9">
      <UserInfo>
        <DisplayName/>
        <AccountId xsi:nil="true"/>
        <AccountType/>
      </UserInfo>
    </U4_x002e__x0020_NAME_x0020_OF_x0020_REVIEWER_x0028_S_x0029_>
    <New_x0020_version_x0020_number xmlns="b7f04ed3-f036-4150-9168-827bf26947c9" xsi:nil="true"/>
    <TaxCatchAll xmlns="dfc3bdb7-02e2-4dcf-af5e-63e5e7c3a57a">
      <Value>65</Value>
      <Value>64</Value>
      <Value>29</Value>
      <Value>34</Value>
      <Value>47</Value>
      <Value>40</Value>
      <Value>39</Value>
      <Value>2</Value>
      <Value>1</Value>
      <Value>19</Value>
    </TaxCatchAll>
    <ae36bcfa396d4c429d188b5a38a1f1e5 xmlns="b7f04ed3-f036-4150-9168-827bf26947c9">
      <Terms xmlns="http://schemas.microsoft.com/office/infopath/2007/PartnerControls">
        <TermInfo xmlns="http://schemas.microsoft.com/office/infopath/2007/PartnerControls">
          <TermName xmlns="http://schemas.microsoft.com/office/infopath/2007/PartnerControls">Published</TermName>
          <TermId xmlns="http://schemas.microsoft.com/office/infopath/2007/PartnerControls">7390afef-4e03-4de6-be77-9933c8526c0b</TermId>
        </TermInfo>
        <TermInfo xmlns="http://schemas.microsoft.com/office/infopath/2007/PartnerControls">
          <TermName xmlns="http://schemas.microsoft.com/office/infopath/2007/PartnerControls">Approved/Authorised</TermName>
          <TermId xmlns="http://schemas.microsoft.com/office/infopath/2007/PartnerControls">78f0c020-a4c9-4b3b-9f1b-590cb2ecefb0</TermId>
        </TermInfo>
      </Terms>
    </ae36bcfa396d4c429d188b5a38a1f1e5>
    <b58c1a262783409686c363ca9e3a10f0 xmlns="b7f04ed3-f036-4150-9168-827bf26947c9">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f90e447b-f780-432f-b51f-6acb9516abf7</TermId>
        </TermInfo>
      </Terms>
    </b58c1a262783409686c363ca9e3a10f0>
  </documentManagement>
</p:properties>
</file>

<file path=customXml/itemProps1.xml><?xml version="1.0" encoding="utf-8"?>
<ds:datastoreItem xmlns:ds="http://schemas.openxmlformats.org/officeDocument/2006/customXml" ds:itemID="{BC4DD838-36A7-4833-B73B-123CD7C6B7AC}">
  <ds:schemaRefs>
    <ds:schemaRef ds:uri="http://schemas.openxmlformats.org/officeDocument/2006/bibliography"/>
  </ds:schemaRefs>
</ds:datastoreItem>
</file>

<file path=customXml/itemProps2.xml><?xml version="1.0" encoding="utf-8"?>
<ds:datastoreItem xmlns:ds="http://schemas.openxmlformats.org/officeDocument/2006/customXml" ds:itemID="{CEE56D5C-D585-40CC-9429-B5E8C6C16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f04ed3-f036-4150-9168-827bf26947c9"/>
    <ds:schemaRef ds:uri="dfc3bdb7-02e2-4dcf-af5e-63e5e7c3a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6614D6-DA47-4A88-BB0E-7C89098DA12E}">
  <ds:schemaRefs>
    <ds:schemaRef ds:uri="http://schemas.microsoft.com/sharepoint/v3/contenttype/forms"/>
  </ds:schemaRefs>
</ds:datastoreItem>
</file>

<file path=customXml/itemProps4.xml><?xml version="1.0" encoding="utf-8"?>
<ds:datastoreItem xmlns:ds="http://schemas.openxmlformats.org/officeDocument/2006/customXml" ds:itemID="{A82E1C12-8773-409A-B29D-4FC4E6BF5F01}">
  <ds:schemaRefs>
    <ds:schemaRef ds:uri="http://schemas.microsoft.com/office/2006/metadata/properties"/>
    <ds:schemaRef ds:uri="http://schemas.microsoft.com/office/infopath/2007/PartnerControls"/>
    <ds:schemaRef ds:uri="b7f04ed3-f036-4150-9168-827bf26947c9"/>
    <ds:schemaRef ds:uri="dfc3bdb7-02e2-4dcf-af5e-63e5e7c3a57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2475</Words>
  <Characters>14286</Characters>
  <Application>Microsoft Office Word</Application>
  <DocSecurity>0</DocSecurity>
  <Lines>274</Lines>
  <Paragraphs>150</Paragraphs>
  <ScaleCrop>false</ScaleCrop>
  <Company>Tertiary Education Quality and Standards Agency</Company>
  <LinksUpToDate>false</LinksUpToDate>
  <CharactersWithSpaces>16611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and Enforcement Policy</dc:title>
  <dc:subject/>
  <dc:creator>Tom Hewitt-McManus</dc:creator>
  <cp:keywords>[SEC=OFFICIAL]</cp:keywords>
  <cp:lastModifiedBy>Tom Hewitt-McManus</cp:lastModifiedBy>
  <cp:revision>7</cp:revision>
  <cp:lastPrinted>2022-09-16T03:37:00Z</cp:lastPrinted>
  <dcterms:created xsi:type="dcterms:W3CDTF">2026-09-14T01:08:00Z</dcterms:created>
  <dcterms:modified xsi:type="dcterms:W3CDTF">2026-09-14T01:46:00Z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0x010100C6D213810AB84748B571669D3AF106EE</vt:lpwstr>
  </property>
  <property fmtid="{D5CDD505-2E9C-101B-9397-08002B2CF9AE}" pid="3" name="Team">
    <vt:lpwstr>45;#Comms and International|f1db5572-7306-443e-a442-d56c9f2c52d1</vt:lpwstr>
  </property>
  <property fmtid="{D5CDD505-2E9C-101B-9397-08002B2CF9AE}" pid="4" name="Document_x0020_status">
    <vt:lpwstr>1;#Published|7390afef-4e03-4de6-be77-9933c8526c0b;#19;#Approved/Authorised|78f0c020-a4c9-4b3b-9f1b-590cb2ecefb0</vt:lpwstr>
  </property>
  <property fmtid="{D5CDD505-2E9C-101B-9397-08002B2CF9AE}" pid="5" name="Document_x0020_approver_x0020__x0028_primary_x0029_">
    <vt:lpwstr>34;#Executive Director - Regulatory Operations|4978c5eb-7cab-4b79-821d-40e3c588dac6</vt:lpwstr>
  </property>
  <property fmtid="{D5CDD505-2E9C-101B-9397-08002B2CF9AE}" pid="6" name="Document status">
    <vt:lpwstr>1;#Published|7390afef-4e03-4de6-be77-9933c8526c0b;#19;#Approved/Authorised|78f0c020-a4c9-4b3b-9f1b-590cb2ecefb0</vt:lpwstr>
  </property>
  <property fmtid="{D5CDD505-2E9C-101B-9397-08002B2CF9AE}" pid="7" name="Document type">
    <vt:lpwstr>2;#Policy|f90e447b-f780-432f-b51f-6acb9516abf7</vt:lpwstr>
  </property>
  <property fmtid="{D5CDD505-2E9C-101B-9397-08002B2CF9AE}" pid="8" name="Document_x0020_owner">
    <vt:lpwstr>47;#Director - Sector Risk and Compliance|990b4028-99f6-416e-b2e3-e482fbe9f65a</vt:lpwstr>
  </property>
  <property fmtid="{D5CDD505-2E9C-101B-9397-08002B2CF9AE}" pid="9" name="Document category">
    <vt:lpwstr>40;#Regulatory Operations|13109d15-9098-42f4-9203-59fdc1120f0b;#64;#Compliance ＆ Investigations|f9b91453-0c87-4961-be28-09481d8cff40</vt:lpwstr>
  </property>
  <property fmtid="{D5CDD505-2E9C-101B-9397-08002B2CF9AE}" pid="10" name="Document approver (alternative)">
    <vt:lpwstr>11;#Commissioner|c34882d8-fe08-41ac-98cc-472a4dfcab42</vt:lpwstr>
  </property>
  <property fmtid="{D5CDD505-2E9C-101B-9397-08002B2CF9AE}" pid="11" name="Document_x0020_category">
    <vt:lpwstr>40;#Regulatory Operations|13109d15-9098-42f4-9203-59fdc1120f0b;#64;#Compliance ＆ Investigations|f9b91453-0c87-4961-be28-09481d8cff40</vt:lpwstr>
  </property>
  <property fmtid="{D5CDD505-2E9C-101B-9397-08002B2CF9AE}" pid="12" name="Document_x0020_approver_x0020__x0028_alternative_x0029_">
    <vt:lpwstr>11;#Commissioner|c34882d8-fe08-41ac-98cc-472a4dfcab42</vt:lpwstr>
  </property>
  <property fmtid="{D5CDD505-2E9C-101B-9397-08002B2CF9AE}" pid="13" name="Document_x0020_type">
    <vt:lpwstr>2;#Policy|f90e447b-f780-432f-b51f-6acb9516abf7</vt:lpwstr>
  </property>
  <property fmtid="{D5CDD505-2E9C-101B-9397-08002B2CF9AE}" pid="14" name="Document owner">
    <vt:lpwstr>47;#Director - Sector Risk and Compliance|990b4028-99f6-416e-b2e3-e482fbe9f65a</vt:lpwstr>
  </property>
  <property fmtid="{D5CDD505-2E9C-101B-9397-08002B2CF9AE}" pid="15" name="Document_x0020_reviewers_x002f_SMEs">
    <vt:lpwstr>65;#Assistant Director - Compliance and Investigations|b3b8663b-7745-4cb0-a73f-dfe841d5bdca;#39;#Lawyer|75575c98-e362-47cc-8a2b-bad8ad90ea34;#29;#Senior Lawyer|03fce6e2-82cf-4755-9d90-6d7fe0d95edf;#47;#Director - Sector Risk and Compliance|990b4028-99f6-416e-b2e3-e482fbe9f65a</vt:lpwstr>
  </property>
  <property fmtid="{D5CDD505-2E9C-101B-9397-08002B2CF9AE}" pid="16" name="Document reviewers/SMEs">
    <vt:lpwstr>65;#Assistant Director - Compliance and Investigations|b3b8663b-7745-4cb0-a73f-dfe841d5bdca;#39;#Lawyer|75575c98-e362-47cc-8a2b-bad8ad90ea34;#29;#Senior Lawyer|03fce6e2-82cf-4755-9d90-6d7fe0d95edf;#47;#Director - Sector Risk and Compliance|990b4028-99f6-416e-b2e3-e482fbe9f65a</vt:lpwstr>
  </property>
  <property fmtid="{D5CDD505-2E9C-101B-9397-08002B2CF9AE}" pid="17" name="hbe7af1532404427a290f92b0bc628b2">
    <vt:lpwstr>Commissioner|c34882d8-fe08-41ac-98cc-472a4dfcab42</vt:lpwstr>
  </property>
  <property fmtid="{D5CDD505-2E9C-101B-9397-08002B2CF9AE}" pid="18" name="Document approver (primary)">
    <vt:lpwstr>34;#Executive Director - Regulatory Operations|4978c5eb-7cab-4b79-821d-40e3c588dac6</vt:lpwstr>
  </property>
  <property fmtid="{D5CDD505-2E9C-101B-9397-08002B2CF9AE}" pid="19" name="PM_Namespace">
    <vt:lpwstr>gov.au</vt:lpwstr>
  </property>
  <property fmtid="{D5CDD505-2E9C-101B-9397-08002B2CF9AE}" pid="20" name="PM_Caveats_Count">
    <vt:lpwstr>0</vt:lpwstr>
  </property>
  <property fmtid="{D5CDD505-2E9C-101B-9397-08002B2CF9AE}" pid="21" name="PM_Version">
    <vt:lpwstr>2018.4</vt:lpwstr>
  </property>
  <property fmtid="{D5CDD505-2E9C-101B-9397-08002B2CF9AE}" pid="22" name="PM_Note">
    <vt:lpwstr/>
  </property>
  <property fmtid="{D5CDD505-2E9C-101B-9397-08002B2CF9AE}" pid="23" name="PMHMAC">
    <vt:lpwstr>v=2022.1;a=SHA256;h=98CA1DBDA271F71BA30EEF61CD0EEDD62F7F92C66087AAE9BDBCC62F479617C4</vt:lpwstr>
  </property>
  <property fmtid="{D5CDD505-2E9C-101B-9397-08002B2CF9AE}" pid="24" name="PM_Qualifier">
    <vt:lpwstr/>
  </property>
  <property fmtid="{D5CDD505-2E9C-101B-9397-08002B2CF9AE}" pid="25" name="PM_SecurityClassification">
    <vt:lpwstr>OFFICIAL</vt:lpwstr>
  </property>
  <property fmtid="{D5CDD505-2E9C-101B-9397-08002B2CF9AE}" pid="26" name="PM_ProtectiveMarkingValue_Header">
    <vt:lpwstr>OFFICIAL</vt:lpwstr>
  </property>
  <property fmtid="{D5CDD505-2E9C-101B-9397-08002B2CF9AE}" pid="27" name="PM_OriginationTimeStamp">
    <vt:lpwstr>2025-03-07T04:25:53Z</vt:lpwstr>
  </property>
  <property fmtid="{D5CDD505-2E9C-101B-9397-08002B2CF9AE}" pid="28" name="PM_Markers">
    <vt:lpwstr/>
  </property>
  <property fmtid="{D5CDD505-2E9C-101B-9397-08002B2CF9AE}" pid="29" name="PM_InsertionValue">
    <vt:lpwstr>OFFICIAL</vt:lpwstr>
  </property>
  <property fmtid="{D5CDD505-2E9C-101B-9397-08002B2CF9AE}" pid="30" name="PM_Originator_Hash_SHA1">
    <vt:lpwstr>62651C896F027337B0917591A88E0831BADB0F30</vt:lpwstr>
  </property>
  <property fmtid="{D5CDD505-2E9C-101B-9397-08002B2CF9AE}" pid="31" name="PM_DisplayValueSecClassificationWithQualifier">
    <vt:lpwstr>OFFICIAL</vt:lpwstr>
  </property>
  <property fmtid="{D5CDD505-2E9C-101B-9397-08002B2CF9AE}" pid="32" name="PM_Originating_FileId">
    <vt:lpwstr>1B924EDCD4A94CCC8B86D080A3060D98</vt:lpwstr>
  </property>
  <property fmtid="{D5CDD505-2E9C-101B-9397-08002B2CF9AE}" pid="33" name="PM_ProtectiveMarkingValue_Footer">
    <vt:lpwstr>OFFICIAL</vt:lpwstr>
  </property>
  <property fmtid="{D5CDD505-2E9C-101B-9397-08002B2CF9AE}" pid="34" name="PM_ProtectiveMarkingImage_Header">
    <vt:lpwstr>C:\Program Files\Common Files\janusNET Shared\janusSEAL\Images\DocumentSlashBlue.png</vt:lpwstr>
  </property>
  <property fmtid="{D5CDD505-2E9C-101B-9397-08002B2CF9AE}" pid="35" name="PM_ProtectiveMarkingImage_Footer">
    <vt:lpwstr>C:\Program Files\Common Files\janusNET Shared\janusSEAL\Images\DocumentSlashBlue.png</vt:lpwstr>
  </property>
  <property fmtid="{D5CDD505-2E9C-101B-9397-08002B2CF9AE}" pid="36" name="PM_Display">
    <vt:lpwstr>OFFICIAL</vt:lpwstr>
  </property>
  <property fmtid="{D5CDD505-2E9C-101B-9397-08002B2CF9AE}" pid="37" name="PM_OriginatorUserAccountName_SHA256">
    <vt:lpwstr>CFBE9EA95CBB88E2F7B8752707BAE6AEB1998AE5520D6094ECCC44AD28AAD5C8</vt:lpwstr>
  </property>
  <property fmtid="{D5CDD505-2E9C-101B-9397-08002B2CF9AE}" pid="38" name="PM_OriginatorDomainName_SHA256">
    <vt:lpwstr>0C3D4C92EC8F38444BA78741E5B5836F9817C3740155E164E6696E5C1131B3E3</vt:lpwstr>
  </property>
  <property fmtid="{D5CDD505-2E9C-101B-9397-08002B2CF9AE}" pid="39" name="PMUuid">
    <vt:lpwstr>v=2022.2;d=gov.au;g=46DD6D7C-8107-577B-BC6E-F348953B2E44</vt:lpwstr>
  </property>
  <property fmtid="{D5CDD505-2E9C-101B-9397-08002B2CF9AE}" pid="40" name="PM_Hash_Version">
    <vt:lpwstr>2022.1</vt:lpwstr>
  </property>
  <property fmtid="{D5CDD505-2E9C-101B-9397-08002B2CF9AE}" pid="41" name="PM_Hash_Salt_Prev">
    <vt:lpwstr>41BC614265525C3532B9BC09A2F249A1</vt:lpwstr>
  </property>
  <property fmtid="{D5CDD505-2E9C-101B-9397-08002B2CF9AE}" pid="42" name="PM_Hash_Salt">
    <vt:lpwstr>0134A7BDDC32B9A1A28D70E5AA620C17</vt:lpwstr>
  </property>
  <property fmtid="{D5CDD505-2E9C-101B-9397-08002B2CF9AE}" pid="43" name="PM_Hash_SHA1">
    <vt:lpwstr>9F9FEB5F73311210E729B77F4E4FA5359BEF8754</vt:lpwstr>
  </property>
  <property fmtid="{D5CDD505-2E9C-101B-9397-08002B2CF9AE}" pid="44" name="PM_SecurityClassification_Prev">
    <vt:lpwstr>OFFICIAL</vt:lpwstr>
  </property>
  <property fmtid="{D5CDD505-2E9C-101B-9397-08002B2CF9AE}" pid="45" name="PM_Qualifier_Prev">
    <vt:lpwstr/>
  </property>
</Properties>
</file>