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6C5" w14:textId="69EB5A2E" w:rsidR="00B759C1" w:rsidRPr="00DD6587" w:rsidRDefault="00524886" w:rsidP="00C95EAF">
      <w:pPr>
        <w:pStyle w:val="Heading1"/>
        <w:spacing w:after="600"/>
        <w:rPr>
          <w:i/>
        </w:rPr>
      </w:pPr>
      <w:r w:rsidRPr="00DD6587">
        <w:t xml:space="preserve">Guidance </w:t>
      </w:r>
      <w:r w:rsidR="005E412D">
        <w:t>n</w:t>
      </w:r>
      <w:r w:rsidRPr="00DD6587">
        <w:t>ote</w:t>
      </w:r>
      <w:r w:rsidR="00B759C1" w:rsidRPr="00DD6587">
        <w:t xml:space="preserve">: </w:t>
      </w:r>
      <w:r w:rsidR="00441B00">
        <w:rPr>
          <w:i/>
        </w:rPr>
        <w:t>Representation</w:t>
      </w:r>
    </w:p>
    <w:p w14:paraId="080CBC56" w14:textId="477A550C" w:rsidR="00772E72" w:rsidRPr="00DD6587" w:rsidRDefault="003C0410" w:rsidP="00AE1FDB">
      <w:pPr>
        <w:rPr>
          <w:rStyle w:val="SubtleEmphasis"/>
        </w:rPr>
      </w:pPr>
      <w:r w:rsidRPr="00DD6587">
        <w:rPr>
          <w:rStyle w:val="SubtleEmphasis"/>
          <w:highlight w:val="yellow"/>
        </w:rPr>
        <w:t xml:space="preserve"> </w:t>
      </w:r>
      <w:r w:rsidR="00B759C1" w:rsidRPr="00DD6587">
        <w:rPr>
          <w:rStyle w:val="SubtleEmphasis"/>
          <w:highlight w:val="yellow"/>
        </w:rPr>
        <w:t>(</w:t>
      </w:r>
      <w:r w:rsidR="00BD7004">
        <w:rPr>
          <w:rStyle w:val="SubtleEmphasis"/>
          <w:highlight w:val="yellow"/>
        </w:rPr>
        <w:t>June</w:t>
      </w:r>
      <w:r w:rsidRPr="00DD6587">
        <w:rPr>
          <w:rStyle w:val="SubtleEmphasis"/>
          <w:highlight w:val="yellow"/>
        </w:rPr>
        <w:t xml:space="preserve"> 202</w:t>
      </w:r>
      <w:r w:rsidR="000A4CC3">
        <w:rPr>
          <w:rStyle w:val="SubtleEmphasis"/>
          <w:highlight w:val="yellow"/>
        </w:rPr>
        <w:t>5</w:t>
      </w:r>
      <w:r w:rsidR="00B759C1"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002A6535">
        <w:trPr>
          <w:trHeight w:val="988"/>
        </w:trPr>
        <w:tc>
          <w:tcPr>
            <w:tcW w:w="9016" w:type="dxa"/>
            <w:shd w:val="clear" w:color="auto" w:fill="004D7D"/>
          </w:tcPr>
          <w:p w14:paraId="1FAC8B44" w14:textId="77777777" w:rsidR="00C1204D" w:rsidRPr="00DD6587" w:rsidRDefault="00C1204D" w:rsidP="002A6535">
            <w:pPr>
              <w:rPr>
                <w:rStyle w:val="SubtleEmphasis"/>
              </w:rPr>
            </w:pPr>
            <w:r w:rsidRPr="00DD6587">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48295110" w:rsidR="00B759C1" w:rsidRPr="00DD6587" w:rsidRDefault="00B759C1" w:rsidP="007942DA">
      <w:pPr>
        <w:pStyle w:val="Heading2"/>
        <w:numPr>
          <w:ilvl w:val="0"/>
          <w:numId w:val="14"/>
        </w:numPr>
      </w:pPr>
      <w:r w:rsidRPr="00DD6587">
        <w:t xml:space="preserve">What does </w:t>
      </w:r>
      <w:r w:rsidR="00974178">
        <w:t>Representation</w:t>
      </w:r>
      <w:r w:rsidRPr="00DD6587">
        <w:t xml:space="preserve"> encompass?</w:t>
      </w:r>
    </w:p>
    <w:p w14:paraId="1EE9FBA9" w14:textId="25E75370" w:rsidR="00155C35" w:rsidRDefault="00B759C1" w:rsidP="00EC5DD6">
      <w:r w:rsidRPr="00DD6587">
        <w:t xml:space="preserve">In the context of the </w:t>
      </w:r>
      <w:r w:rsidRPr="00DD6587">
        <w:rPr>
          <w:i/>
        </w:rPr>
        <w:t>Higher Education Standards Framework (Threshold Standards) 20</w:t>
      </w:r>
      <w:r w:rsidR="00513E63" w:rsidRPr="00DD6587">
        <w:rPr>
          <w:i/>
        </w:rPr>
        <w:t>21</w:t>
      </w:r>
      <w:r w:rsidRPr="00DD6587">
        <w:rPr>
          <w:i/>
        </w:rPr>
        <w:t xml:space="preserve"> </w:t>
      </w:r>
      <w:r w:rsidRPr="00DD6587">
        <w:t>(</w:t>
      </w:r>
      <w:r w:rsidR="00974178">
        <w:t>Threshold Standards</w:t>
      </w:r>
      <w:r w:rsidRPr="00DD6587">
        <w:t>)</w:t>
      </w:r>
      <w:r w:rsidR="00B74FF1">
        <w:t>,</w:t>
      </w:r>
      <w:r w:rsidRPr="00DD6587">
        <w:t xml:space="preserve"> </w:t>
      </w:r>
      <w:r w:rsidR="004B6BCA">
        <w:t xml:space="preserve">representation refers to </w:t>
      </w:r>
      <w:r w:rsidR="00155C35">
        <w:t xml:space="preserve">a </w:t>
      </w:r>
      <w:r w:rsidR="00812523">
        <w:t>provider’s</w:t>
      </w:r>
      <w:r w:rsidR="00155C35">
        <w:t xml:space="preserve"> obligations to</w:t>
      </w:r>
      <w:r w:rsidR="0085679C">
        <w:t xml:space="preserve"> ensure:</w:t>
      </w:r>
    </w:p>
    <w:p w14:paraId="40866734" w14:textId="525E5434" w:rsidR="009978F9" w:rsidRDefault="00081334" w:rsidP="007942DA">
      <w:pPr>
        <w:pStyle w:val="Bullet1"/>
      </w:pPr>
      <w:r>
        <w:t>representation</w:t>
      </w:r>
      <w:r w:rsidR="0066201E">
        <w:t>s</w:t>
      </w:r>
      <w:r>
        <w:t xml:space="preserve"> of its educational offerings and charges </w:t>
      </w:r>
      <w:r w:rsidR="00F3082D">
        <w:t xml:space="preserve">are </w:t>
      </w:r>
      <w:r>
        <w:t>accurate</w:t>
      </w:r>
    </w:p>
    <w:p w14:paraId="305D1010" w14:textId="3678B200" w:rsidR="00081334" w:rsidRDefault="00591E1F" w:rsidP="007942DA">
      <w:pPr>
        <w:pStyle w:val="Bullet1"/>
      </w:pPr>
      <w:r>
        <w:t xml:space="preserve">information for </w:t>
      </w:r>
      <w:r w:rsidR="009978F9">
        <w:t>current</w:t>
      </w:r>
      <w:r w:rsidR="00081334">
        <w:t xml:space="preserve"> and prospective students</w:t>
      </w:r>
      <w:r w:rsidR="009978F9">
        <w:t xml:space="preserve"> </w:t>
      </w:r>
      <w:r w:rsidR="0066201E">
        <w:t xml:space="preserve">about a </w:t>
      </w:r>
      <w:r w:rsidR="009978F9">
        <w:t>course</w:t>
      </w:r>
      <w:r w:rsidR="0066201E">
        <w:t xml:space="preserve"> of study</w:t>
      </w:r>
      <w:r w:rsidR="00674EFB">
        <w:t xml:space="preserve"> and</w:t>
      </w:r>
      <w:r w:rsidR="009978F9">
        <w:t xml:space="preserve"> </w:t>
      </w:r>
      <w:r w:rsidR="0046719A">
        <w:t xml:space="preserve">its </w:t>
      </w:r>
      <w:r w:rsidR="009978F9">
        <w:t>outcomes</w:t>
      </w:r>
      <w:r w:rsidR="0066201E">
        <w:t xml:space="preserve"> is not misleading.</w:t>
      </w:r>
    </w:p>
    <w:p w14:paraId="40737C20" w14:textId="03CE9135" w:rsidR="00307C10" w:rsidRDefault="002F6D7D" w:rsidP="00EC5DD6">
      <w:r>
        <w:t xml:space="preserve">The primary obligations </w:t>
      </w:r>
      <w:r w:rsidR="00574D5A">
        <w:t xml:space="preserve">regarding </w:t>
      </w:r>
      <w:r>
        <w:t xml:space="preserve">representation are found in </w:t>
      </w:r>
      <w:r w:rsidR="00B74FF1">
        <w:t>s</w:t>
      </w:r>
      <w:r>
        <w:t xml:space="preserve">ection 7.1 of the Threshold </w:t>
      </w:r>
      <w:r w:rsidR="001E5CE3">
        <w:t>S</w:t>
      </w:r>
      <w:r>
        <w:t xml:space="preserve">tandards. </w:t>
      </w:r>
    </w:p>
    <w:p w14:paraId="598D24D6" w14:textId="07583756" w:rsidR="00611D71" w:rsidRDefault="002F6D7D" w:rsidP="00EC5DD6">
      <w:r>
        <w:t xml:space="preserve">The purpose of </w:t>
      </w:r>
      <w:r w:rsidR="7CF9334D">
        <w:t>section</w:t>
      </w:r>
      <w:r w:rsidR="000D0801">
        <w:t xml:space="preserve"> 7.1</w:t>
      </w:r>
      <w:r w:rsidR="7CF9334D">
        <w:t xml:space="preserve"> </w:t>
      </w:r>
      <w:r>
        <w:t>is to</w:t>
      </w:r>
      <w:r w:rsidR="005E1BA3">
        <w:t xml:space="preserve"> ensure providers</w:t>
      </w:r>
      <w:r w:rsidR="00611D71">
        <w:t>:</w:t>
      </w:r>
      <w:r>
        <w:t xml:space="preserve"> </w:t>
      </w:r>
    </w:p>
    <w:p w14:paraId="6B1408CA" w14:textId="229D0915" w:rsidR="00611D71" w:rsidRDefault="00C05C64" w:rsidP="007942DA">
      <w:pPr>
        <w:pStyle w:val="Bullet1"/>
      </w:pPr>
      <w:r>
        <w:t>(</w:t>
      </w:r>
      <w:r w:rsidR="005E1BA3">
        <w:t>and their</w:t>
      </w:r>
      <w:r w:rsidR="002F6D7D">
        <w:t xml:space="preserve"> agents</w:t>
      </w:r>
      <w:r w:rsidR="47ADC124">
        <w:t xml:space="preserve"> or other parties</w:t>
      </w:r>
      <w:r w:rsidR="00B20E9A">
        <w:t xml:space="preserve"> acting on its behalf</w:t>
      </w:r>
      <w:r>
        <w:t>)</w:t>
      </w:r>
      <w:r w:rsidR="002F6D7D">
        <w:t xml:space="preserve"> </w:t>
      </w:r>
      <w:r w:rsidR="004D7C0F">
        <w:t>accurately portray</w:t>
      </w:r>
      <w:r w:rsidR="000313CA">
        <w:t xml:space="preserve"> the institution or</w:t>
      </w:r>
      <w:r w:rsidR="004D7C0F">
        <w:t xml:space="preserve"> </w:t>
      </w:r>
      <w:r w:rsidR="005E1BA3">
        <w:t>their</w:t>
      </w:r>
      <w:r w:rsidR="004D7C0F">
        <w:t xml:space="preserve"> educational offerings and charges</w:t>
      </w:r>
    </w:p>
    <w:p w14:paraId="13EDD3FA" w14:textId="025B3046" w:rsidR="008A3FA7" w:rsidRDefault="008A3FA7" w:rsidP="008A3FA7">
      <w:pPr>
        <w:pStyle w:val="Bullet1"/>
      </w:pPr>
      <w:r>
        <w:t>take</w:t>
      </w:r>
      <w:r w:rsidR="0066201E">
        <w:t xml:space="preserve"> prompt</w:t>
      </w:r>
      <w:r>
        <w:t xml:space="preserve"> corrective action in the event or likelihood of misrepresentation or unethical conduct occurring on its behalf</w:t>
      </w:r>
    </w:p>
    <w:p w14:paraId="281A39FF" w14:textId="5A515287" w:rsidR="002515AD" w:rsidRDefault="006403AA" w:rsidP="00C575BC">
      <w:pPr>
        <w:pStyle w:val="Bullet1"/>
      </w:pPr>
      <w:r>
        <w:t xml:space="preserve">protect students </w:t>
      </w:r>
      <w:r w:rsidR="0044738E">
        <w:t xml:space="preserve">from making decisions about their higher education based on </w:t>
      </w:r>
      <w:r w:rsidR="00006E63">
        <w:t>incorrect or misleading information.</w:t>
      </w:r>
      <w:r w:rsidR="003C16FC">
        <w:t xml:space="preserve"> </w:t>
      </w:r>
    </w:p>
    <w:p w14:paraId="7FE122E9" w14:textId="7DA4476F" w:rsidR="002E359C" w:rsidRDefault="6372179F" w:rsidP="005842F5">
      <w:r>
        <w:t>O</w:t>
      </w:r>
      <w:r w:rsidR="00231DD9">
        <w:t>verall</w:t>
      </w:r>
      <w:r w:rsidR="54E8F50D">
        <w:t>, the</w:t>
      </w:r>
      <w:r w:rsidR="00231DD9">
        <w:t xml:space="preserve"> </w:t>
      </w:r>
      <w:r w:rsidR="00E520F2">
        <w:t xml:space="preserve">intention </w:t>
      </w:r>
      <w:r w:rsidR="00D165A1">
        <w:t xml:space="preserve">of the </w:t>
      </w:r>
      <w:r w:rsidR="41CB5CE2">
        <w:t xml:space="preserve">section </w:t>
      </w:r>
      <w:r w:rsidR="00E520F2">
        <w:t xml:space="preserve">is to </w:t>
      </w:r>
      <w:r w:rsidR="774F8221">
        <w:t xml:space="preserve">reduce </w:t>
      </w:r>
      <w:r w:rsidR="003C07E7">
        <w:t>the risk of students</w:t>
      </w:r>
      <w:r w:rsidR="00AD0A90">
        <w:t xml:space="preserve"> not understanding what they are agreeing to </w:t>
      </w:r>
      <w:r w:rsidR="6BD0341C">
        <w:t>when choosing a course of</w:t>
      </w:r>
      <w:r w:rsidR="00AD0A90">
        <w:t xml:space="preserve"> study</w:t>
      </w:r>
      <w:r w:rsidR="143A1ABE">
        <w:t>.</w:t>
      </w:r>
    </w:p>
    <w:p w14:paraId="50FB992E" w14:textId="7BAE4B85" w:rsidR="000B4FB2" w:rsidRDefault="00FC2189" w:rsidP="005842F5">
      <w:r>
        <w:t xml:space="preserve">While </w:t>
      </w:r>
      <w:r w:rsidR="00C93F78">
        <w:t>issues of staff qualifications and research standing are relevant to r</w:t>
      </w:r>
      <w:r w:rsidR="000B4FB2">
        <w:t>epresentation</w:t>
      </w:r>
      <w:r w:rsidR="00C93F78">
        <w:t>s,</w:t>
      </w:r>
      <w:r w:rsidR="00A315F5">
        <w:t xml:space="preserve"> </w:t>
      </w:r>
      <w:r w:rsidR="00BA5614">
        <w:t xml:space="preserve">they are </w:t>
      </w:r>
      <w:r w:rsidR="00917554">
        <w:t>addressed in their own guidance notes</w:t>
      </w:r>
      <w:r w:rsidR="002B4404">
        <w:t>:</w:t>
      </w:r>
    </w:p>
    <w:p w14:paraId="757A85B0" w14:textId="4CD55CC9" w:rsidR="009D4AC5" w:rsidRDefault="009D4AC5" w:rsidP="009D4AC5">
      <w:pPr>
        <w:pStyle w:val="Bullet1"/>
      </w:pPr>
      <w:hyperlink r:id="rId11" w:history="1">
        <w:r w:rsidRPr="00301DC5">
          <w:rPr>
            <w:rStyle w:val="Hyperlink"/>
          </w:rPr>
          <w:t>Staffing</w:t>
        </w:r>
      </w:hyperlink>
    </w:p>
    <w:p w14:paraId="00623B67" w14:textId="26823651" w:rsidR="00C51929" w:rsidRDefault="00530C18" w:rsidP="009D4AC5">
      <w:pPr>
        <w:pStyle w:val="Bullet1"/>
      </w:pPr>
      <w:hyperlink r:id="rId12" w:history="1">
        <w:r w:rsidRPr="00FD4F55">
          <w:rPr>
            <w:rStyle w:val="Hyperlink"/>
          </w:rPr>
          <w:t xml:space="preserve">Research </w:t>
        </w:r>
        <w:r w:rsidR="00FD4F55" w:rsidRPr="00FD4F55">
          <w:rPr>
            <w:rStyle w:val="Hyperlink"/>
          </w:rPr>
          <w:t>r</w:t>
        </w:r>
        <w:r w:rsidRPr="00FD4F55">
          <w:rPr>
            <w:rStyle w:val="Hyperlink"/>
          </w:rPr>
          <w:t xml:space="preserve">equirements for Australian </w:t>
        </w:r>
        <w:r w:rsidR="00FD4F55" w:rsidRPr="00FD4F55">
          <w:rPr>
            <w:rStyle w:val="Hyperlink"/>
          </w:rPr>
          <w:t>u</w:t>
        </w:r>
        <w:r w:rsidRPr="00FD4F55">
          <w:rPr>
            <w:rStyle w:val="Hyperlink"/>
          </w:rPr>
          <w:t>niversit</w:t>
        </w:r>
        <w:r w:rsidR="00FD4F55" w:rsidRPr="00FD4F55">
          <w:rPr>
            <w:rStyle w:val="Hyperlink"/>
          </w:rPr>
          <w:t>ies</w:t>
        </w:r>
      </w:hyperlink>
      <w:r>
        <w:t xml:space="preserve"> </w:t>
      </w:r>
    </w:p>
    <w:p w14:paraId="7ACB39EA" w14:textId="69974BAA" w:rsidR="009D4AC5" w:rsidRDefault="00530C18" w:rsidP="009D4AC5">
      <w:pPr>
        <w:pStyle w:val="Bullet1"/>
      </w:pPr>
      <w:hyperlink r:id="rId13" w:history="1">
        <w:r w:rsidRPr="00FD4F55">
          <w:rPr>
            <w:rStyle w:val="Hyperlink"/>
          </w:rPr>
          <w:t xml:space="preserve">Research and </w:t>
        </w:r>
        <w:r w:rsidR="00FD4F55" w:rsidRPr="00FD4F55">
          <w:rPr>
            <w:rStyle w:val="Hyperlink"/>
          </w:rPr>
          <w:t>r</w:t>
        </w:r>
        <w:r w:rsidRPr="00FD4F55">
          <w:rPr>
            <w:rStyle w:val="Hyperlink"/>
          </w:rPr>
          <w:t xml:space="preserve">esearch </w:t>
        </w:r>
        <w:r w:rsidR="00FD4F55" w:rsidRPr="00FD4F55">
          <w:rPr>
            <w:rStyle w:val="Hyperlink"/>
          </w:rPr>
          <w:t>t</w:t>
        </w:r>
        <w:r w:rsidRPr="00FD4F55">
          <w:rPr>
            <w:rStyle w:val="Hyperlink"/>
          </w:rPr>
          <w:t>ra</w:t>
        </w:r>
        <w:r w:rsidR="00B61193" w:rsidRPr="00FD4F55">
          <w:rPr>
            <w:rStyle w:val="Hyperlink"/>
          </w:rPr>
          <w:t>ining</w:t>
        </w:r>
      </w:hyperlink>
    </w:p>
    <w:p w14:paraId="6503A80A" w14:textId="1C59CB5E" w:rsidR="000B3283" w:rsidRDefault="004A6BFE" w:rsidP="00CC1D6D">
      <w:r>
        <w:t>The following information is not dealt with in this guidance note</w:t>
      </w:r>
      <w:r w:rsidR="00CC1D6D">
        <w:t>, other than in a cursory manner</w:t>
      </w:r>
      <w:r w:rsidR="000B3283">
        <w:t>:</w:t>
      </w:r>
    </w:p>
    <w:p w14:paraId="6D90477B" w14:textId="3C2882FF" w:rsidR="003C16FC" w:rsidRPr="00B85BD4" w:rsidRDefault="000B3283" w:rsidP="007942DA">
      <w:pPr>
        <w:pStyle w:val="Bullet1"/>
      </w:pPr>
      <w:r>
        <w:t>student grievances and complaints</w:t>
      </w:r>
      <w:r w:rsidR="00E746F4">
        <w:t xml:space="preserve">, </w:t>
      </w:r>
      <w:r>
        <w:t>covered by section 2.4 of the Threshold Standards.</w:t>
      </w:r>
      <w:r w:rsidR="00AB46BF">
        <w:t xml:space="preserve"> G</w:t>
      </w:r>
      <w:r>
        <w:t xml:space="preserve">eneral information about dispute resolution mechanisms relating to higher education </w:t>
      </w:r>
      <w:r w:rsidRPr="00B85BD4">
        <w:t xml:space="preserve">providers and its agents is included in the Student Grievances and Complaints Guidance </w:t>
      </w:r>
      <w:r w:rsidR="00E20F00" w:rsidRPr="00B85BD4">
        <w:t>n</w:t>
      </w:r>
      <w:r w:rsidRPr="00B85BD4">
        <w:t>ote (</w:t>
      </w:r>
      <w:r w:rsidR="00FF6988" w:rsidRPr="00B85BD4">
        <w:t>revision under development</w:t>
      </w:r>
      <w:r w:rsidRPr="00B85BD4">
        <w:t>)</w:t>
      </w:r>
    </w:p>
    <w:p w14:paraId="1E11CF99" w14:textId="333B7756" w:rsidR="00096143" w:rsidRPr="00B85BD4" w:rsidRDefault="00FD5840" w:rsidP="00A56079">
      <w:pPr>
        <w:pStyle w:val="Bullet1"/>
      </w:pPr>
      <w:r w:rsidRPr="00B85BD4">
        <w:t xml:space="preserve">information providers give prospective and current students, covered by section 7.2 of the Threshold Standards. This information is discussed in the Information for Prospective and Current Students Guidance </w:t>
      </w:r>
      <w:r w:rsidR="00E20F00" w:rsidRPr="00B85BD4">
        <w:t>n</w:t>
      </w:r>
      <w:r w:rsidRPr="00B85BD4">
        <w:t>ote (</w:t>
      </w:r>
      <w:r w:rsidR="00FD3794" w:rsidRPr="00B85BD4">
        <w:t>for consultation</w:t>
      </w:r>
      <w:r w:rsidRPr="00B85BD4">
        <w:t xml:space="preserve">). </w:t>
      </w:r>
    </w:p>
    <w:p w14:paraId="608553FC" w14:textId="31839448" w:rsidR="00B759C1" w:rsidRPr="00DD6587" w:rsidRDefault="00B759C1" w:rsidP="007942DA">
      <w:pPr>
        <w:pStyle w:val="Heading2"/>
        <w:numPr>
          <w:ilvl w:val="0"/>
          <w:numId w:val="14"/>
        </w:numPr>
      </w:pPr>
      <w:r w:rsidRPr="00DD6587">
        <w:lastRenderedPageBreak/>
        <w:t>What TEQSA will look for</w:t>
      </w:r>
    </w:p>
    <w:p w14:paraId="1AF740B3" w14:textId="514840D9" w:rsidR="00524886" w:rsidRPr="00D44F9D" w:rsidRDefault="7271842D" w:rsidP="00D44F9D">
      <w:pPr>
        <w:spacing w:line="259" w:lineRule="auto"/>
      </w:pPr>
      <w:r w:rsidRPr="17E5FE08">
        <w:rPr>
          <w:rFonts w:ascii="Arial" w:eastAsia="Arial" w:hAnsi="Arial" w:cs="Arial"/>
        </w:rPr>
        <w:t>TEQSA considers the Threshold Standards in the context of representations, among which most notably are:</w:t>
      </w:r>
    </w:p>
    <w:tbl>
      <w:tblPr>
        <w:tblStyle w:val="TableGrid"/>
        <w:tblW w:w="9067" w:type="dxa"/>
        <w:tblLook w:val="04A0" w:firstRow="1" w:lastRow="0" w:firstColumn="1" w:lastColumn="0" w:noHBand="0" w:noVBand="1"/>
      </w:tblPr>
      <w:tblGrid>
        <w:gridCol w:w="3964"/>
        <w:gridCol w:w="5103"/>
      </w:tblGrid>
      <w:tr w:rsidR="009D3138" w:rsidRPr="0026792C" w14:paraId="0F6549F4" w14:textId="77777777" w:rsidTr="17E5FE08">
        <w:tc>
          <w:tcPr>
            <w:tcW w:w="3964" w:type="dxa"/>
            <w:shd w:val="clear" w:color="auto" w:fill="D9D9D9" w:themeFill="background1" w:themeFillShade="D9"/>
          </w:tcPr>
          <w:p w14:paraId="0C6B9A98" w14:textId="232DC6EA" w:rsidR="009D3138" w:rsidRPr="0026792C" w:rsidRDefault="002866BA" w:rsidP="00B759C1">
            <w:pPr>
              <w:rPr>
                <w:b/>
                <w:bCs/>
                <w:sz w:val="20"/>
                <w:szCs w:val="20"/>
              </w:rPr>
            </w:pPr>
            <w:r w:rsidRPr="0026792C">
              <w:rPr>
                <w:b/>
                <w:bCs/>
                <w:sz w:val="20"/>
                <w:szCs w:val="20"/>
              </w:rPr>
              <w:t xml:space="preserve">Part A: </w:t>
            </w:r>
            <w:r w:rsidR="009D3138" w:rsidRPr="0026792C">
              <w:rPr>
                <w:b/>
                <w:bCs/>
                <w:sz w:val="20"/>
                <w:szCs w:val="20"/>
              </w:rPr>
              <w:t>Standards for HE Providers</w:t>
            </w:r>
          </w:p>
        </w:tc>
        <w:tc>
          <w:tcPr>
            <w:tcW w:w="5103" w:type="dxa"/>
            <w:shd w:val="clear" w:color="auto" w:fill="D9D9D9" w:themeFill="background1" w:themeFillShade="D9"/>
          </w:tcPr>
          <w:p w14:paraId="17167564" w14:textId="0639ED17" w:rsidR="009D3138" w:rsidRPr="0026792C" w:rsidRDefault="00733596" w:rsidP="00B759C1">
            <w:pPr>
              <w:rPr>
                <w:b/>
                <w:bCs/>
                <w:sz w:val="20"/>
                <w:szCs w:val="20"/>
              </w:rPr>
            </w:pPr>
            <w:r w:rsidRPr="0026792C">
              <w:rPr>
                <w:b/>
                <w:bCs/>
                <w:sz w:val="20"/>
                <w:szCs w:val="20"/>
              </w:rPr>
              <w:t>Ke</w:t>
            </w:r>
            <w:r w:rsidR="001561CC" w:rsidRPr="0026792C">
              <w:rPr>
                <w:b/>
                <w:bCs/>
                <w:sz w:val="20"/>
                <w:szCs w:val="20"/>
              </w:rPr>
              <w:t>y considerations</w:t>
            </w:r>
          </w:p>
        </w:tc>
      </w:tr>
      <w:tr w:rsidR="008A3611" w:rsidRPr="0026792C" w14:paraId="3B35578C" w14:textId="77777777" w:rsidTr="17E5FE08">
        <w:trPr>
          <w:trHeight w:val="516"/>
        </w:trPr>
        <w:tc>
          <w:tcPr>
            <w:tcW w:w="3964" w:type="dxa"/>
          </w:tcPr>
          <w:p w14:paraId="3BD2C299" w14:textId="0CE37F1D" w:rsidR="008A3611" w:rsidRPr="0026792C" w:rsidRDefault="007220E2" w:rsidP="17E5FE08">
            <w:pPr>
              <w:tabs>
                <w:tab w:val="left" w:pos="2362"/>
              </w:tabs>
              <w:rPr>
                <w:sz w:val="20"/>
                <w:szCs w:val="20"/>
              </w:rPr>
            </w:pPr>
            <w:r>
              <w:rPr>
                <w:sz w:val="20"/>
                <w:szCs w:val="20"/>
              </w:rPr>
              <w:t>1.1</w:t>
            </w:r>
            <w:r w:rsidR="00130A47">
              <w:rPr>
                <w:sz w:val="20"/>
                <w:szCs w:val="20"/>
              </w:rPr>
              <w:t>: Admission</w:t>
            </w:r>
          </w:p>
        </w:tc>
        <w:tc>
          <w:tcPr>
            <w:tcW w:w="5103" w:type="dxa"/>
          </w:tcPr>
          <w:p w14:paraId="1F8040D3" w14:textId="22F9D6D8" w:rsidR="008A3611" w:rsidRPr="00F3588A" w:rsidRDefault="00D44F9D" w:rsidP="00F3588A">
            <w:pPr>
              <w:pStyle w:val="Bullet1"/>
              <w:rPr>
                <w:sz w:val="20"/>
                <w:szCs w:val="20"/>
              </w:rPr>
            </w:pPr>
            <w:r>
              <w:rPr>
                <w:sz w:val="20"/>
                <w:szCs w:val="20"/>
              </w:rPr>
              <w:t>a</w:t>
            </w:r>
            <w:r w:rsidR="00A94439">
              <w:rPr>
                <w:sz w:val="20"/>
                <w:szCs w:val="20"/>
              </w:rPr>
              <w:t xml:space="preserve">dmissions policies, requirements and procedures are </w:t>
            </w:r>
            <w:r w:rsidR="001E2EA5">
              <w:rPr>
                <w:sz w:val="20"/>
                <w:szCs w:val="20"/>
              </w:rPr>
              <w:t xml:space="preserve">well </w:t>
            </w:r>
            <w:r w:rsidR="00A94439">
              <w:rPr>
                <w:sz w:val="20"/>
                <w:szCs w:val="20"/>
              </w:rPr>
              <w:t xml:space="preserve">documented. </w:t>
            </w:r>
            <w:r w:rsidR="008A40E9">
              <w:rPr>
                <w:sz w:val="20"/>
                <w:szCs w:val="20"/>
              </w:rPr>
              <w:t xml:space="preserve">Documentation </w:t>
            </w:r>
            <w:r w:rsidR="00C22873">
              <w:rPr>
                <w:sz w:val="20"/>
                <w:szCs w:val="20"/>
              </w:rPr>
              <w:t>is</w:t>
            </w:r>
            <w:r w:rsidR="008A40E9">
              <w:rPr>
                <w:sz w:val="20"/>
                <w:szCs w:val="20"/>
              </w:rPr>
              <w:t xml:space="preserve"> </w:t>
            </w:r>
            <w:r w:rsidR="00AB693A">
              <w:rPr>
                <w:sz w:val="20"/>
                <w:szCs w:val="20"/>
              </w:rPr>
              <w:t xml:space="preserve">presented in an </w:t>
            </w:r>
            <w:r w:rsidR="008A40E9">
              <w:rPr>
                <w:sz w:val="20"/>
                <w:szCs w:val="20"/>
              </w:rPr>
              <w:t>easily understood</w:t>
            </w:r>
            <w:r w:rsidR="00AB693A">
              <w:rPr>
                <w:sz w:val="20"/>
                <w:szCs w:val="20"/>
              </w:rPr>
              <w:t xml:space="preserve"> manner</w:t>
            </w:r>
            <w:r w:rsidR="0014435A">
              <w:rPr>
                <w:sz w:val="20"/>
                <w:szCs w:val="20"/>
              </w:rPr>
              <w:t xml:space="preserve"> </w:t>
            </w:r>
            <w:r w:rsidR="00C22873">
              <w:rPr>
                <w:sz w:val="20"/>
                <w:szCs w:val="20"/>
              </w:rPr>
              <w:t>to</w:t>
            </w:r>
            <w:r w:rsidR="0014435A">
              <w:rPr>
                <w:sz w:val="20"/>
                <w:szCs w:val="20"/>
              </w:rPr>
              <w:t xml:space="preserve"> stud</w:t>
            </w:r>
            <w:r w:rsidR="001E2EA5">
              <w:rPr>
                <w:sz w:val="20"/>
                <w:szCs w:val="20"/>
              </w:rPr>
              <w:t>ents</w:t>
            </w:r>
            <w:r w:rsidR="008A40E9">
              <w:rPr>
                <w:sz w:val="20"/>
                <w:szCs w:val="20"/>
              </w:rPr>
              <w:t xml:space="preserve"> </w:t>
            </w:r>
            <w:r w:rsidR="001E2EA5">
              <w:rPr>
                <w:sz w:val="20"/>
                <w:szCs w:val="20"/>
              </w:rPr>
              <w:t xml:space="preserve">to ensure they are aware of their </w:t>
            </w:r>
            <w:r w:rsidR="003A372C">
              <w:rPr>
                <w:sz w:val="20"/>
                <w:szCs w:val="20"/>
              </w:rPr>
              <w:t xml:space="preserve">rights and obligations, as well as those of their provider. </w:t>
            </w:r>
            <w:r w:rsidR="008A40E9" w:rsidRPr="00F3588A">
              <w:rPr>
                <w:sz w:val="20"/>
                <w:szCs w:val="20"/>
              </w:rPr>
              <w:t xml:space="preserve"> </w:t>
            </w:r>
          </w:p>
        </w:tc>
      </w:tr>
      <w:tr w:rsidR="009466C0" w:rsidRPr="0026792C" w14:paraId="073E9323" w14:textId="77777777" w:rsidTr="17E5FE08">
        <w:trPr>
          <w:trHeight w:val="516"/>
        </w:trPr>
        <w:tc>
          <w:tcPr>
            <w:tcW w:w="3964" w:type="dxa"/>
          </w:tcPr>
          <w:p w14:paraId="69449422" w14:textId="77777777" w:rsidR="009466C0" w:rsidRPr="0026792C" w:rsidRDefault="009466C0" w:rsidP="009466C0">
            <w:pPr>
              <w:tabs>
                <w:tab w:val="left" w:pos="2362"/>
              </w:tabs>
              <w:rPr>
                <w:sz w:val="20"/>
                <w:szCs w:val="20"/>
              </w:rPr>
            </w:pPr>
            <w:r w:rsidRPr="17E5FE08">
              <w:rPr>
                <w:sz w:val="20"/>
                <w:szCs w:val="20"/>
              </w:rPr>
              <w:t>1.5.9: Qualifications and Certification</w:t>
            </w:r>
          </w:p>
          <w:p w14:paraId="3A07B2B9" w14:textId="2482E363" w:rsidR="009466C0" w:rsidRPr="17E5FE08" w:rsidRDefault="009466C0" w:rsidP="009466C0">
            <w:pPr>
              <w:tabs>
                <w:tab w:val="left" w:pos="2362"/>
              </w:tabs>
              <w:rPr>
                <w:sz w:val="20"/>
                <w:szCs w:val="20"/>
              </w:rPr>
            </w:pPr>
          </w:p>
        </w:tc>
        <w:tc>
          <w:tcPr>
            <w:tcW w:w="5103" w:type="dxa"/>
          </w:tcPr>
          <w:p w14:paraId="5460237F" w14:textId="4025F29A" w:rsidR="009466C0" w:rsidRPr="17E5FE08" w:rsidRDefault="00D44F9D" w:rsidP="009466C0">
            <w:pPr>
              <w:pStyle w:val="Bullet1"/>
              <w:rPr>
                <w:sz w:val="20"/>
                <w:szCs w:val="20"/>
              </w:rPr>
            </w:pPr>
            <w:r>
              <w:rPr>
                <w:sz w:val="20"/>
                <w:szCs w:val="20"/>
              </w:rPr>
              <w:t>e</w:t>
            </w:r>
            <w:r w:rsidR="009466C0" w:rsidRPr="17E5FE08">
              <w:rPr>
                <w:sz w:val="20"/>
                <w:szCs w:val="20"/>
              </w:rPr>
              <w:t>ntities offering or conferring higher education courses protected under the Australian Qualifications Framework (AQF) are registered higher education providers.</w:t>
            </w:r>
          </w:p>
        </w:tc>
      </w:tr>
      <w:tr w:rsidR="009466C0" w:rsidRPr="0026792C" w14:paraId="1F48DEC0" w14:textId="77777777" w:rsidTr="17E5FE08">
        <w:trPr>
          <w:trHeight w:val="516"/>
        </w:trPr>
        <w:tc>
          <w:tcPr>
            <w:tcW w:w="3964" w:type="dxa"/>
          </w:tcPr>
          <w:p w14:paraId="387CB473" w14:textId="58380900" w:rsidR="009466C0" w:rsidRPr="0026792C" w:rsidRDefault="009466C0" w:rsidP="009466C0">
            <w:pPr>
              <w:tabs>
                <w:tab w:val="left" w:pos="2362"/>
              </w:tabs>
              <w:rPr>
                <w:sz w:val="20"/>
                <w:szCs w:val="20"/>
              </w:rPr>
            </w:pPr>
            <w:r w:rsidRPr="0026792C">
              <w:rPr>
                <w:sz w:val="20"/>
                <w:szCs w:val="20"/>
              </w:rPr>
              <w:t>2.4: Student Grievances and Complaints</w:t>
            </w:r>
            <w:r w:rsidRPr="0026792C">
              <w:rPr>
                <w:sz w:val="20"/>
                <w:szCs w:val="20"/>
              </w:rPr>
              <w:tab/>
            </w:r>
          </w:p>
        </w:tc>
        <w:tc>
          <w:tcPr>
            <w:tcW w:w="5103" w:type="dxa"/>
          </w:tcPr>
          <w:p w14:paraId="232360E4" w14:textId="368D7451" w:rsidR="009466C0" w:rsidRPr="0026792C" w:rsidRDefault="009466C0" w:rsidP="009466C0">
            <w:pPr>
              <w:pStyle w:val="Bullet1"/>
              <w:rPr>
                <w:sz w:val="20"/>
                <w:szCs w:val="20"/>
              </w:rPr>
            </w:pPr>
            <w:r w:rsidRPr="17E5FE08">
              <w:rPr>
                <w:sz w:val="20"/>
                <w:szCs w:val="20"/>
              </w:rPr>
              <w:t xml:space="preserve">students have access to effective and fair complaints resolution and appeals processes with their provider, its agents and related parties. </w:t>
            </w:r>
          </w:p>
        </w:tc>
      </w:tr>
      <w:tr w:rsidR="009466C0" w:rsidRPr="0026792C" w14:paraId="10E99094" w14:textId="77777777" w:rsidTr="17E5FE08">
        <w:trPr>
          <w:trHeight w:val="516"/>
        </w:trPr>
        <w:tc>
          <w:tcPr>
            <w:tcW w:w="3964" w:type="dxa"/>
          </w:tcPr>
          <w:p w14:paraId="339805AA" w14:textId="0A682B4D" w:rsidR="009466C0" w:rsidRPr="0026792C" w:rsidRDefault="009466C0" w:rsidP="009466C0">
            <w:pPr>
              <w:tabs>
                <w:tab w:val="left" w:pos="2362"/>
              </w:tabs>
              <w:rPr>
                <w:sz w:val="20"/>
                <w:szCs w:val="20"/>
              </w:rPr>
            </w:pPr>
            <w:r w:rsidRPr="17E5FE08">
              <w:rPr>
                <w:sz w:val="20"/>
                <w:szCs w:val="20"/>
              </w:rPr>
              <w:t>6.2.1</w:t>
            </w:r>
            <w:r w:rsidR="00D10750">
              <w:rPr>
                <w:sz w:val="20"/>
                <w:szCs w:val="20"/>
              </w:rPr>
              <w:t xml:space="preserve">: </w:t>
            </w:r>
            <w:r w:rsidRPr="17E5FE08">
              <w:rPr>
                <w:sz w:val="20"/>
                <w:szCs w:val="20"/>
              </w:rPr>
              <w:t>Corporate Monitoring and Accountability</w:t>
            </w:r>
          </w:p>
          <w:p w14:paraId="5813D064" w14:textId="1F670FC1" w:rsidR="009466C0" w:rsidRPr="0026792C" w:rsidRDefault="009466C0" w:rsidP="009466C0">
            <w:pPr>
              <w:tabs>
                <w:tab w:val="left" w:pos="2362"/>
              </w:tabs>
              <w:rPr>
                <w:sz w:val="20"/>
                <w:szCs w:val="20"/>
              </w:rPr>
            </w:pPr>
          </w:p>
        </w:tc>
        <w:tc>
          <w:tcPr>
            <w:tcW w:w="5103" w:type="dxa"/>
          </w:tcPr>
          <w:p w14:paraId="117862F2" w14:textId="55767FD6" w:rsidR="009466C0" w:rsidRPr="0026792C" w:rsidRDefault="009466C0" w:rsidP="009466C0">
            <w:pPr>
              <w:pStyle w:val="Bullet1"/>
              <w:rPr>
                <w:sz w:val="20"/>
                <w:szCs w:val="20"/>
              </w:rPr>
            </w:pPr>
            <w:r w:rsidRPr="17E5FE08">
              <w:rPr>
                <w:sz w:val="20"/>
                <w:szCs w:val="20"/>
              </w:rPr>
              <w:t>corporate governing bodies ensure compliance with existing legislation, including Australian Consumer Law.</w:t>
            </w:r>
          </w:p>
          <w:p w14:paraId="59F1D43C" w14:textId="771D964E" w:rsidR="009466C0" w:rsidRDefault="009466C0" w:rsidP="009466C0">
            <w:pPr>
              <w:pStyle w:val="Bullet1"/>
              <w:rPr>
                <w:sz w:val="20"/>
                <w:szCs w:val="20"/>
              </w:rPr>
            </w:pPr>
            <w:r w:rsidRPr="0026792C">
              <w:rPr>
                <w:sz w:val="20"/>
                <w:szCs w:val="20"/>
              </w:rPr>
              <w:t>risks to higher education operations are identified and material risks are managed and mitigated, including monitoring of agents and third</w:t>
            </w:r>
            <w:r w:rsidR="002F3D85">
              <w:rPr>
                <w:sz w:val="20"/>
                <w:szCs w:val="20"/>
              </w:rPr>
              <w:t>-</w:t>
            </w:r>
            <w:r w:rsidRPr="0026792C">
              <w:rPr>
                <w:sz w:val="20"/>
                <w:szCs w:val="20"/>
              </w:rPr>
              <w:t>parties.</w:t>
            </w:r>
          </w:p>
          <w:p w14:paraId="0B2E7921" w14:textId="1C2FB048" w:rsidR="0083494A" w:rsidRPr="0026792C" w:rsidRDefault="00B54C31" w:rsidP="009466C0">
            <w:pPr>
              <w:pStyle w:val="Bullet1"/>
              <w:rPr>
                <w:sz w:val="20"/>
                <w:szCs w:val="20"/>
              </w:rPr>
            </w:pPr>
            <w:r>
              <w:rPr>
                <w:sz w:val="20"/>
                <w:szCs w:val="20"/>
              </w:rPr>
              <w:t>q</w:t>
            </w:r>
            <w:r w:rsidR="0083494A">
              <w:rPr>
                <w:sz w:val="20"/>
                <w:szCs w:val="20"/>
              </w:rPr>
              <w:t>ualifications are awarded legitimately.</w:t>
            </w:r>
          </w:p>
        </w:tc>
      </w:tr>
      <w:tr w:rsidR="009466C0" w:rsidRPr="0026792C" w14:paraId="58DCDC15" w14:textId="77777777" w:rsidTr="17E5FE08">
        <w:tc>
          <w:tcPr>
            <w:tcW w:w="3964" w:type="dxa"/>
          </w:tcPr>
          <w:p w14:paraId="2D2877E2" w14:textId="5B6AF684" w:rsidR="009466C0" w:rsidRPr="0026792C" w:rsidRDefault="009466C0" w:rsidP="009466C0">
            <w:pPr>
              <w:rPr>
                <w:sz w:val="20"/>
                <w:szCs w:val="20"/>
              </w:rPr>
            </w:pPr>
            <w:r w:rsidRPr="0026792C">
              <w:rPr>
                <w:sz w:val="20"/>
                <w:szCs w:val="20"/>
              </w:rPr>
              <w:t xml:space="preserve">7.1: Representation </w:t>
            </w:r>
          </w:p>
        </w:tc>
        <w:tc>
          <w:tcPr>
            <w:tcW w:w="5103" w:type="dxa"/>
          </w:tcPr>
          <w:p w14:paraId="6D6B5AD0" w14:textId="667F48E5" w:rsidR="009466C0" w:rsidRPr="0026792C" w:rsidRDefault="009466C0" w:rsidP="009466C0">
            <w:pPr>
              <w:pStyle w:val="Bullet1"/>
              <w:rPr>
                <w:sz w:val="20"/>
                <w:szCs w:val="20"/>
              </w:rPr>
            </w:pPr>
            <w:r w:rsidRPr="17E5FE08">
              <w:rPr>
                <w:sz w:val="20"/>
                <w:szCs w:val="20"/>
              </w:rPr>
              <w:t>information about educational offerings and charges, and outcomes associated with the course of study is accurate and not misleading.</w:t>
            </w:r>
          </w:p>
          <w:p w14:paraId="1A0501D6" w14:textId="16E1DE48" w:rsidR="009466C0" w:rsidRPr="0026792C" w:rsidRDefault="009466C0" w:rsidP="009466C0">
            <w:pPr>
              <w:pStyle w:val="Bullet1"/>
              <w:rPr>
                <w:sz w:val="20"/>
                <w:szCs w:val="20"/>
              </w:rPr>
            </w:pPr>
            <w:r w:rsidRPr="17E5FE08">
              <w:rPr>
                <w:sz w:val="20"/>
                <w:szCs w:val="20"/>
              </w:rPr>
              <w:t>representations about course accreditation</w:t>
            </w:r>
            <w:r w:rsidR="002F3D85">
              <w:rPr>
                <w:sz w:val="20"/>
                <w:szCs w:val="20"/>
              </w:rPr>
              <w:t>,</w:t>
            </w:r>
            <w:r w:rsidRPr="17E5FE08">
              <w:rPr>
                <w:sz w:val="20"/>
                <w:szCs w:val="20"/>
              </w:rPr>
              <w:t xml:space="preserve"> whether by TEQSA or </w:t>
            </w:r>
            <w:r w:rsidR="00F51A20">
              <w:rPr>
                <w:sz w:val="20"/>
                <w:szCs w:val="20"/>
              </w:rPr>
              <w:t>through</w:t>
            </w:r>
            <w:r w:rsidRPr="17E5FE08">
              <w:rPr>
                <w:sz w:val="20"/>
                <w:szCs w:val="20"/>
              </w:rPr>
              <w:t xml:space="preserve"> professional accreditation, are accurate and courses are not described as accredited until accreditation has been obtained</w:t>
            </w:r>
            <w:r w:rsidR="00F51A20">
              <w:rPr>
                <w:sz w:val="20"/>
                <w:szCs w:val="20"/>
              </w:rPr>
              <w:t>.</w:t>
            </w:r>
          </w:p>
          <w:p w14:paraId="0938AF47" w14:textId="4F0C7F01" w:rsidR="009466C0" w:rsidRPr="0026792C" w:rsidRDefault="009466C0" w:rsidP="009466C0">
            <w:pPr>
              <w:pStyle w:val="Bullet1"/>
              <w:rPr>
                <w:sz w:val="20"/>
                <w:szCs w:val="20"/>
              </w:rPr>
            </w:pPr>
            <w:r w:rsidRPr="17E5FE08">
              <w:rPr>
                <w:sz w:val="20"/>
                <w:szCs w:val="20"/>
              </w:rPr>
              <w:t>representations about units eligible for course credit are specified and the terms are defined.</w:t>
            </w:r>
          </w:p>
          <w:p w14:paraId="048BDAF8" w14:textId="575EEE41" w:rsidR="009466C0" w:rsidRPr="0026792C" w:rsidRDefault="00F51A20" w:rsidP="009466C0">
            <w:pPr>
              <w:pStyle w:val="Bullet1"/>
              <w:rPr>
                <w:sz w:val="20"/>
                <w:szCs w:val="20"/>
              </w:rPr>
            </w:pPr>
            <w:r>
              <w:rPr>
                <w:sz w:val="20"/>
                <w:szCs w:val="20"/>
              </w:rPr>
              <w:t>t</w:t>
            </w:r>
            <w:r w:rsidR="009466C0" w:rsidRPr="17E5FE08">
              <w:rPr>
                <w:sz w:val="20"/>
                <w:szCs w:val="20"/>
              </w:rPr>
              <w:t>here are formal contracts in place that bind agent</w:t>
            </w:r>
            <w:r>
              <w:rPr>
                <w:sz w:val="20"/>
                <w:szCs w:val="20"/>
              </w:rPr>
              <w:t>s</w:t>
            </w:r>
            <w:r w:rsidR="009466C0" w:rsidRPr="17E5FE08">
              <w:rPr>
                <w:sz w:val="20"/>
                <w:szCs w:val="20"/>
              </w:rPr>
              <w:t xml:space="preserve"> or other part</w:t>
            </w:r>
            <w:r>
              <w:rPr>
                <w:sz w:val="20"/>
                <w:szCs w:val="20"/>
              </w:rPr>
              <w:t>ies</w:t>
            </w:r>
            <w:r w:rsidR="009466C0" w:rsidRPr="17E5FE08">
              <w:rPr>
                <w:sz w:val="20"/>
                <w:szCs w:val="20"/>
              </w:rPr>
              <w:t xml:space="preserve"> to performance measures </w:t>
            </w:r>
            <w:r>
              <w:rPr>
                <w:sz w:val="20"/>
                <w:szCs w:val="20"/>
              </w:rPr>
              <w:t>that are</w:t>
            </w:r>
            <w:r w:rsidR="009466C0" w:rsidRPr="17E5FE08">
              <w:rPr>
                <w:sz w:val="20"/>
                <w:szCs w:val="20"/>
              </w:rPr>
              <w:t xml:space="preserve"> </w:t>
            </w:r>
            <w:r w:rsidRPr="17E5FE08">
              <w:rPr>
                <w:sz w:val="20"/>
                <w:szCs w:val="20"/>
              </w:rPr>
              <w:t>monitored,</w:t>
            </w:r>
            <w:r w:rsidR="009466C0" w:rsidRPr="17E5FE08">
              <w:rPr>
                <w:sz w:val="20"/>
                <w:szCs w:val="20"/>
              </w:rPr>
              <w:t xml:space="preserve"> and prompt corrective action is taken when unethical conduct occurs.</w:t>
            </w:r>
          </w:p>
        </w:tc>
      </w:tr>
      <w:tr w:rsidR="009466C0" w:rsidRPr="0026792C" w14:paraId="0716403E" w14:textId="77777777" w:rsidTr="17E5FE08">
        <w:tc>
          <w:tcPr>
            <w:tcW w:w="3964" w:type="dxa"/>
          </w:tcPr>
          <w:p w14:paraId="2D917885" w14:textId="054608C4" w:rsidR="009466C0" w:rsidRPr="0026792C" w:rsidRDefault="009466C0" w:rsidP="009466C0">
            <w:pPr>
              <w:rPr>
                <w:sz w:val="20"/>
                <w:szCs w:val="20"/>
              </w:rPr>
            </w:pPr>
            <w:r w:rsidRPr="0026792C">
              <w:rPr>
                <w:sz w:val="20"/>
                <w:szCs w:val="20"/>
              </w:rPr>
              <w:t xml:space="preserve">7.2: Information for Prospective and Current Students </w:t>
            </w:r>
          </w:p>
        </w:tc>
        <w:tc>
          <w:tcPr>
            <w:tcW w:w="5103" w:type="dxa"/>
          </w:tcPr>
          <w:p w14:paraId="40C956DD" w14:textId="0E15CBA7" w:rsidR="009466C0" w:rsidRPr="0026792C" w:rsidRDefault="009466C0" w:rsidP="009466C0">
            <w:pPr>
              <w:pStyle w:val="Bullet1"/>
              <w:rPr>
                <w:sz w:val="20"/>
                <w:szCs w:val="20"/>
              </w:rPr>
            </w:pPr>
            <w:r w:rsidRPr="0026792C">
              <w:rPr>
                <w:sz w:val="20"/>
                <w:szCs w:val="20"/>
              </w:rPr>
              <w:t>accurate information is publicly available and accessible to allow students to make informed decision</w:t>
            </w:r>
            <w:r w:rsidR="00F51A20">
              <w:rPr>
                <w:sz w:val="20"/>
                <w:szCs w:val="20"/>
              </w:rPr>
              <w:t>s</w:t>
            </w:r>
            <w:r w:rsidRPr="0026792C">
              <w:rPr>
                <w:sz w:val="20"/>
                <w:szCs w:val="20"/>
              </w:rPr>
              <w:t xml:space="preserve"> about educational offerings</w:t>
            </w:r>
            <w:r>
              <w:rPr>
                <w:sz w:val="20"/>
                <w:szCs w:val="20"/>
              </w:rPr>
              <w:t>.</w:t>
            </w:r>
          </w:p>
        </w:tc>
      </w:tr>
    </w:tbl>
    <w:p w14:paraId="249A751D" w14:textId="77777777" w:rsidR="00157D16" w:rsidRDefault="00157D16" w:rsidP="00157D16">
      <w:pPr>
        <w:pStyle w:val="Heading3"/>
      </w:pPr>
      <w:r>
        <w:t>Obligations of providers offering education to overseas students</w:t>
      </w:r>
    </w:p>
    <w:p w14:paraId="5A1E96BE" w14:textId="050E534F" w:rsidR="00F01C3B" w:rsidRDefault="00A66A69" w:rsidP="00F01C3B">
      <w:r>
        <w:t xml:space="preserve">Where </w:t>
      </w:r>
      <w:r w:rsidR="00157D16">
        <w:t>it applies to a provider</w:t>
      </w:r>
      <w:r>
        <w:t>,</w:t>
      </w:r>
      <w:r w:rsidR="00F01C3B">
        <w:t xml:space="preserve"> TEQSA considers the </w:t>
      </w:r>
      <w:hyperlink r:id="rId14" w:tgtFrame="_blank" w:tooltip="National Code 2018" w:history="1">
        <w:r w:rsidR="00F01C3B" w:rsidRPr="006A7F50">
          <w:rPr>
            <w:rStyle w:val="Hyperlink"/>
            <w:i/>
            <w:iCs/>
          </w:rPr>
          <w:t>National Code of Practice for Providers of Education and Training to Overseas Students 2018</w:t>
        </w:r>
        <w:r w:rsidR="00F01C3B" w:rsidRPr="006A7F50">
          <w:rPr>
            <w:rStyle w:val="Hyperlink"/>
          </w:rPr>
          <w:t> </w:t>
        </w:r>
      </w:hyperlink>
      <w:r w:rsidR="00F01C3B" w:rsidRPr="00215A66">
        <w:t>(National Code)</w:t>
      </w:r>
      <w:r w:rsidR="00F01C3B">
        <w:t xml:space="preserve"> and the </w:t>
      </w:r>
      <w:hyperlink r:id="rId15" w:history="1">
        <w:r w:rsidR="00F01C3B" w:rsidRPr="006A7F50">
          <w:rPr>
            <w:rStyle w:val="Hyperlink"/>
            <w:i/>
            <w:iCs/>
          </w:rPr>
          <w:t>Education Services for Overseas Students Act 2000</w:t>
        </w:r>
      </w:hyperlink>
      <w:r w:rsidR="00F01C3B">
        <w:rPr>
          <w:i/>
          <w:iCs/>
        </w:rPr>
        <w:t xml:space="preserve"> </w:t>
      </w:r>
      <w:r w:rsidR="00F01C3B">
        <w:t>(ESOS Act).</w:t>
      </w:r>
      <w:r w:rsidR="000A0970">
        <w:t xml:space="preserve"> </w:t>
      </w:r>
      <w:r w:rsidR="000A0970" w:rsidRPr="005E0F86">
        <w:t xml:space="preserve">TEQSA does so in its role as the ESOS </w:t>
      </w:r>
      <w:r w:rsidR="000A0970">
        <w:t>a</w:t>
      </w:r>
      <w:r w:rsidR="000A0970" w:rsidRPr="005E0F86">
        <w:t>gency for registered higher education providers.</w:t>
      </w:r>
    </w:p>
    <w:p w14:paraId="6289E1CB" w14:textId="2240FBF4" w:rsidR="00F01C3B" w:rsidRDefault="00F01C3B" w:rsidP="00F01C3B">
      <w:r>
        <w:t xml:space="preserve">Sections of the </w:t>
      </w:r>
      <w:r w:rsidRPr="00ED1694">
        <w:t>National Code</w:t>
      </w:r>
      <w:r>
        <w:t xml:space="preserve"> relevant to </w:t>
      </w:r>
      <w:r w:rsidR="006E646C">
        <w:t>representation</w:t>
      </w:r>
      <w:r w:rsidR="00281356">
        <w:t>s</w:t>
      </w:r>
      <w:r w:rsidR="006E646C">
        <w:t xml:space="preserve"> are:</w:t>
      </w:r>
    </w:p>
    <w:p w14:paraId="5EA822BA" w14:textId="77777777" w:rsidR="00F01C3B" w:rsidRPr="00D24263" w:rsidRDefault="00F01C3B" w:rsidP="00F01C3B">
      <w:pPr>
        <w:pStyle w:val="Bullet1"/>
        <w:rPr>
          <w:b/>
          <w:bCs/>
        </w:rPr>
      </w:pPr>
      <w:r>
        <w:rPr>
          <w:b/>
          <w:bCs/>
        </w:rPr>
        <w:t>1</w:t>
      </w:r>
      <w:r w:rsidRPr="008857B8">
        <w:rPr>
          <w:b/>
          <w:bCs/>
        </w:rPr>
        <w:t>.1</w:t>
      </w:r>
      <w:r w:rsidRPr="00117750">
        <w:t xml:space="preserve"> –</w:t>
      </w:r>
      <w:r>
        <w:t xml:space="preserve"> the marketing and promotion of a provider’s courses is not false or misleading.</w:t>
      </w:r>
    </w:p>
    <w:p w14:paraId="73492EAE" w14:textId="5192155D" w:rsidR="00F01C3B" w:rsidRPr="008857B8" w:rsidRDefault="00F01C3B" w:rsidP="00F01C3B">
      <w:pPr>
        <w:pStyle w:val="Bullet1"/>
        <w:rPr>
          <w:b/>
          <w:bCs/>
        </w:rPr>
      </w:pPr>
      <w:r>
        <w:rPr>
          <w:b/>
          <w:bCs/>
        </w:rPr>
        <w:t>1</w:t>
      </w:r>
      <w:r w:rsidRPr="008857B8">
        <w:rPr>
          <w:b/>
          <w:bCs/>
        </w:rPr>
        <w:t>.</w:t>
      </w:r>
      <w:r>
        <w:rPr>
          <w:b/>
          <w:bCs/>
        </w:rPr>
        <w:t>2</w:t>
      </w:r>
      <w:r w:rsidRPr="008857B8">
        <w:rPr>
          <w:b/>
          <w:bCs/>
        </w:rPr>
        <w:t xml:space="preserve"> </w:t>
      </w:r>
      <w:r w:rsidRPr="00117750">
        <w:t>–</w:t>
      </w:r>
      <w:r w:rsidRPr="008857B8">
        <w:rPr>
          <w:b/>
          <w:bCs/>
        </w:rPr>
        <w:t xml:space="preserve"> </w:t>
      </w:r>
      <w:r w:rsidRPr="00DE4780">
        <w:t>providers must not provide false or misleading information when</w:t>
      </w:r>
      <w:r w:rsidR="002F40D7">
        <w:t xml:space="preserve"> seeking to</w:t>
      </w:r>
      <w:r w:rsidRPr="00DE4780">
        <w:t xml:space="preserve"> enter into written agreements</w:t>
      </w:r>
      <w:r>
        <w:rPr>
          <w:b/>
          <w:bCs/>
        </w:rPr>
        <w:t xml:space="preserve"> </w:t>
      </w:r>
      <w:r>
        <w:t>with overseas students.</w:t>
      </w:r>
    </w:p>
    <w:p w14:paraId="5D63F170" w14:textId="3F79F339" w:rsidR="00F01C3B" w:rsidRDefault="00F01C3B" w:rsidP="00345731">
      <w:pPr>
        <w:pStyle w:val="Bullet1"/>
      </w:pPr>
      <w:r w:rsidRPr="17E5FE08">
        <w:rPr>
          <w:b/>
          <w:bCs/>
        </w:rPr>
        <w:lastRenderedPageBreak/>
        <w:t xml:space="preserve">1.3 </w:t>
      </w:r>
      <w:r w:rsidRPr="00117750">
        <w:t>–</w:t>
      </w:r>
      <w:r w:rsidRPr="17E5FE08">
        <w:rPr>
          <w:b/>
          <w:bCs/>
        </w:rPr>
        <w:t xml:space="preserve"> </w:t>
      </w:r>
      <w:r>
        <w:t xml:space="preserve">providers </w:t>
      </w:r>
      <w:r w:rsidR="00CF4C80">
        <w:t>must not claim to commit to secure for a</w:t>
      </w:r>
      <w:r>
        <w:t xml:space="preserve"> migration outcome for </w:t>
      </w:r>
      <w:r w:rsidR="00004F6D">
        <w:t>students who undertake</w:t>
      </w:r>
      <w:r>
        <w:t xml:space="preserve"> a course of study with </w:t>
      </w:r>
      <w:r w:rsidR="00A66A69">
        <w:t>the</w:t>
      </w:r>
      <w:r>
        <w:t xml:space="preserve"> provider.</w:t>
      </w:r>
    </w:p>
    <w:p w14:paraId="59FBDF51" w14:textId="4474A614" w:rsidR="004D3D9B" w:rsidRDefault="004D3D9B" w:rsidP="00345731">
      <w:pPr>
        <w:pStyle w:val="Bullet1"/>
      </w:pPr>
      <w:r>
        <w:rPr>
          <w:b/>
          <w:bCs/>
        </w:rPr>
        <w:t xml:space="preserve">3.1 </w:t>
      </w:r>
      <w:r w:rsidRPr="00117750">
        <w:t>–</w:t>
      </w:r>
      <w:r w:rsidR="00872C41">
        <w:t xml:space="preserve"> </w:t>
      </w:r>
      <w:r w:rsidR="00B62114">
        <w:t>provider</w:t>
      </w:r>
      <w:r w:rsidR="00872C41">
        <w:t>s</w:t>
      </w:r>
      <w:r w:rsidR="00B62114">
        <w:t xml:space="preserve"> should not mislead prospective overseas students about the contents of the</w:t>
      </w:r>
      <w:r w:rsidR="00872C41">
        <w:t xml:space="preserve"> written</w:t>
      </w:r>
      <w:r w:rsidR="00B62114">
        <w:t xml:space="preserve"> agreement</w:t>
      </w:r>
      <w:r w:rsidR="00CF4C80">
        <w:t>,</w:t>
      </w:r>
      <w:r w:rsidR="00872C41">
        <w:t xml:space="preserve"> especially regarding</w:t>
      </w:r>
      <w:r w:rsidR="00B62114">
        <w:t xml:space="preserve"> </w:t>
      </w:r>
      <w:r w:rsidR="00872C41">
        <w:t>tuition and non-tuition fees</w:t>
      </w:r>
    </w:p>
    <w:p w14:paraId="76BA6E11" w14:textId="7E2A71CD" w:rsidR="00F759AA" w:rsidRPr="0081422A" w:rsidRDefault="00F759AA" w:rsidP="00345731">
      <w:pPr>
        <w:pStyle w:val="Bullet1"/>
        <w:rPr>
          <w:b/>
          <w:bCs/>
        </w:rPr>
      </w:pPr>
      <w:r w:rsidRPr="0081422A">
        <w:rPr>
          <w:b/>
          <w:bCs/>
        </w:rPr>
        <w:t xml:space="preserve">4.4 </w:t>
      </w:r>
      <w:r w:rsidR="0081422A" w:rsidRPr="00117750">
        <w:t>–</w:t>
      </w:r>
      <w:r w:rsidRPr="0081422A">
        <w:rPr>
          <w:b/>
          <w:bCs/>
        </w:rPr>
        <w:t xml:space="preserve"> </w:t>
      </w:r>
      <w:r w:rsidR="00CC2856">
        <w:t xml:space="preserve">providers must take </w:t>
      </w:r>
      <w:r w:rsidR="00E24AA1">
        <w:t xml:space="preserve">immediate </w:t>
      </w:r>
      <w:r w:rsidR="00CC2856">
        <w:t>corrective</w:t>
      </w:r>
      <w:r w:rsidR="00E24AA1">
        <w:t xml:space="preserve"> action if it becomes aware</w:t>
      </w:r>
      <w:r w:rsidR="0082540F">
        <w:t>,</w:t>
      </w:r>
      <w:r w:rsidR="00E24AA1">
        <w:t xml:space="preserve"> or has reason to believe</w:t>
      </w:r>
      <w:r w:rsidR="00CD0033">
        <w:t>,</w:t>
      </w:r>
      <w:r w:rsidR="00E24AA1">
        <w:t xml:space="preserve"> an agent, or </w:t>
      </w:r>
      <w:r w:rsidR="00954C98">
        <w:t>the</w:t>
      </w:r>
      <w:r w:rsidR="008D679F">
        <w:t xml:space="preserve"> agent’s</w:t>
      </w:r>
      <w:r w:rsidR="00954C98">
        <w:t xml:space="preserve"> employee or subcontractor</w:t>
      </w:r>
      <w:r w:rsidR="006F3496">
        <w:t>,</w:t>
      </w:r>
      <w:r w:rsidR="00954C98">
        <w:t xml:space="preserve"> </w:t>
      </w:r>
      <w:r w:rsidR="001B7CDB">
        <w:t xml:space="preserve">has not complied with </w:t>
      </w:r>
      <w:r w:rsidR="00155751">
        <w:t xml:space="preserve">their </w:t>
      </w:r>
      <w:r w:rsidR="00BC28BF">
        <w:t xml:space="preserve">responsibilities </w:t>
      </w:r>
      <w:r w:rsidR="00697D21">
        <w:t xml:space="preserve">under the National Code. </w:t>
      </w:r>
    </w:p>
    <w:p w14:paraId="7807B68A" w14:textId="1E6B7B77" w:rsidR="00B62114" w:rsidRDefault="00B62114" w:rsidP="00345731">
      <w:pPr>
        <w:pStyle w:val="Bullet1"/>
      </w:pPr>
      <w:r w:rsidRPr="17E5FE08">
        <w:rPr>
          <w:b/>
          <w:bCs/>
        </w:rPr>
        <w:t xml:space="preserve">4.5 </w:t>
      </w:r>
      <w:r w:rsidRPr="00117750">
        <w:t>–</w:t>
      </w:r>
      <w:r>
        <w:t xml:space="preserve"> agents of a provider</w:t>
      </w:r>
      <w:r w:rsidR="007B1ADF">
        <w:t>,</w:t>
      </w:r>
      <w:r w:rsidR="00CC2856">
        <w:t xml:space="preserve"> </w:t>
      </w:r>
      <w:r>
        <w:t xml:space="preserve">their employees </w:t>
      </w:r>
      <w:r w:rsidR="000F1C21">
        <w:t xml:space="preserve">and subcontractors </w:t>
      </w:r>
      <w:r w:rsidR="006E646C">
        <w:t>have</w:t>
      </w:r>
      <w:r>
        <w:t xml:space="preserve"> obligations to </w:t>
      </w:r>
      <w:r w:rsidR="006E646C">
        <w:t xml:space="preserve">not </w:t>
      </w:r>
      <w:r w:rsidR="00A930C2">
        <w:t xml:space="preserve">engage in </w:t>
      </w:r>
      <w:r w:rsidR="001F3C95">
        <w:t xml:space="preserve">false or </w:t>
      </w:r>
      <w:r w:rsidR="00A930C2">
        <w:t xml:space="preserve">misleading </w:t>
      </w:r>
      <w:r w:rsidR="001F3C95">
        <w:t>recruitment practices</w:t>
      </w:r>
      <w:r>
        <w:t xml:space="preserve"> a</w:t>
      </w:r>
      <w:r w:rsidR="001C05F9">
        <w:t>nd act in good faith. Providers are to take corrective action when it becomes aware or has reason to believe these obligations have not been complied with.</w:t>
      </w:r>
      <w:r w:rsidR="00797748" w:rsidRPr="00BD5973">
        <w:rPr>
          <w:color w:val="FF0000"/>
        </w:rPr>
        <w:t xml:space="preserve"> </w:t>
      </w:r>
    </w:p>
    <w:p w14:paraId="6B73D4C8" w14:textId="6A3B3700" w:rsidR="00AD2A35" w:rsidRDefault="0074541A" w:rsidP="00165ACF">
      <w:pPr>
        <w:pStyle w:val="Heading3"/>
      </w:pPr>
      <w:r>
        <w:t>The TEQSA Act</w:t>
      </w:r>
    </w:p>
    <w:p w14:paraId="031B0BC5" w14:textId="5A3F11BA" w:rsidR="0074541A" w:rsidRDefault="001F4942" w:rsidP="0074541A">
      <w:r>
        <w:t xml:space="preserve">TEQSA also considers obligations </w:t>
      </w:r>
      <w:r w:rsidR="008C3808">
        <w:t>under</w:t>
      </w:r>
      <w:r>
        <w:t xml:space="preserve"> the </w:t>
      </w:r>
      <w:hyperlink r:id="rId16" w:history="1">
        <w:r w:rsidRPr="00A00D2C">
          <w:rPr>
            <w:rStyle w:val="Hyperlink"/>
            <w:i/>
            <w:iCs/>
          </w:rPr>
          <w:t>Tertiary Education Quality and Standards Agency Act 2011</w:t>
        </w:r>
      </w:hyperlink>
      <w:r>
        <w:t xml:space="preserve"> (TEQSA Act). The most relevant sections to representations are: </w:t>
      </w:r>
    </w:p>
    <w:p w14:paraId="5BE550EE" w14:textId="21CD7505" w:rsidR="001F4942" w:rsidRDefault="008C3808" w:rsidP="00F42950">
      <w:pPr>
        <w:pStyle w:val="Bullet1"/>
      </w:pPr>
      <w:r>
        <w:t>s</w:t>
      </w:r>
      <w:r w:rsidR="001F4942" w:rsidRPr="17E5FE08">
        <w:t>ection 105</w:t>
      </w:r>
      <w:r w:rsidR="00934213">
        <w:t xml:space="preserve">, </w:t>
      </w:r>
      <w:r w:rsidR="00154E3C">
        <w:t xml:space="preserve">which </w:t>
      </w:r>
      <w:r w:rsidR="00980A81">
        <w:t xml:space="preserve">makes it an offence for a higher education provider to </w:t>
      </w:r>
      <w:r w:rsidR="00136605">
        <w:t xml:space="preserve">offer </w:t>
      </w:r>
      <w:r w:rsidR="00FE7FF8">
        <w:t>a regulated higher education award if it is unregulated</w:t>
      </w:r>
      <w:r w:rsidR="00142273">
        <w:t>.</w:t>
      </w:r>
    </w:p>
    <w:p w14:paraId="0BD639E5" w14:textId="771FC07A" w:rsidR="00F42950" w:rsidRPr="0074541A" w:rsidRDefault="008C3808" w:rsidP="00F42950">
      <w:pPr>
        <w:pStyle w:val="Bullet1"/>
      </w:pPr>
      <w:r>
        <w:t>s</w:t>
      </w:r>
      <w:r w:rsidR="00F42950">
        <w:t>ection 106</w:t>
      </w:r>
      <w:r w:rsidR="00BE208D">
        <w:t xml:space="preserve">, which makes it an offence </w:t>
      </w:r>
      <w:r w:rsidR="009C3C8F">
        <w:t xml:space="preserve">for a higher education provider to </w:t>
      </w:r>
      <w:r w:rsidR="00241C3C">
        <w:t>re</w:t>
      </w:r>
      <w:r w:rsidR="00CC3955">
        <w:t xml:space="preserve">present itself as being able to offer </w:t>
      </w:r>
      <w:r w:rsidR="00241C3C">
        <w:t xml:space="preserve">a higher education award </w:t>
      </w:r>
      <w:r w:rsidR="00B038D8">
        <w:t xml:space="preserve">when it is unregulated. </w:t>
      </w:r>
    </w:p>
    <w:p w14:paraId="50481829" w14:textId="2547599D" w:rsidR="00165ACF" w:rsidRPr="004D3D9B" w:rsidRDefault="00165ACF" w:rsidP="00165ACF">
      <w:pPr>
        <w:pStyle w:val="Heading3"/>
        <w:rPr>
          <w:rStyle w:val="Hyperlink"/>
        </w:rPr>
      </w:pPr>
      <w:r>
        <w:t xml:space="preserve">False or </w:t>
      </w:r>
      <w:r w:rsidR="00E43D21">
        <w:t>m</w:t>
      </w:r>
      <w:r>
        <w:t xml:space="preserve">isleading </w:t>
      </w:r>
      <w:r w:rsidR="00E43D21">
        <w:t>r</w:t>
      </w:r>
      <w:r>
        <w:t>epresentations</w:t>
      </w:r>
    </w:p>
    <w:p w14:paraId="12B728C6" w14:textId="18280C1F" w:rsidR="0072613C" w:rsidRDefault="00664659" w:rsidP="00165ACF">
      <w:r>
        <w:t>Under</w:t>
      </w:r>
      <w:r w:rsidR="00A66A69">
        <w:t xml:space="preserve"> </w:t>
      </w:r>
      <w:r w:rsidR="00117750">
        <w:t>s</w:t>
      </w:r>
      <w:r w:rsidR="00A66A69">
        <w:t>ection</w:t>
      </w:r>
      <w:r>
        <w:t xml:space="preserve"> 7.1 of the Threshold Standards</w:t>
      </w:r>
      <w:r w:rsidR="008C3808">
        <w:t>,</w:t>
      </w:r>
      <w:r>
        <w:t xml:space="preserve"> a provider </w:t>
      </w:r>
      <w:r w:rsidR="0072613C">
        <w:t>must</w:t>
      </w:r>
      <w:r w:rsidR="00847812">
        <w:t xml:space="preserve"> ensure </w:t>
      </w:r>
      <w:r w:rsidR="005D2920">
        <w:t>all</w:t>
      </w:r>
      <w:r w:rsidR="00847812">
        <w:t xml:space="preserve"> its </w:t>
      </w:r>
      <w:r w:rsidR="0072613C">
        <w:t>educational offerings and charges, whether directly or through one of its agents or other parties, is accurate and not misleading</w:t>
      </w:r>
      <w:r w:rsidR="00847812">
        <w:t xml:space="preserve">. </w:t>
      </w:r>
    </w:p>
    <w:p w14:paraId="78D3C08C" w14:textId="5A9DFF0E" w:rsidR="00165ACF" w:rsidRDefault="00FC7327" w:rsidP="00165ACF">
      <w:r>
        <w:t>These requirements are complemented by those imposed on</w:t>
      </w:r>
      <w:r w:rsidR="00847812">
        <w:t xml:space="preserve"> providers</w:t>
      </w:r>
      <w:r>
        <w:t xml:space="preserve"> by</w:t>
      </w:r>
      <w:r w:rsidR="00165ACF">
        <w:t xml:space="preserve"> </w:t>
      </w:r>
      <w:hyperlink r:id="rId17" w:anchor="_Toc122366475" w:history="1">
        <w:r>
          <w:rPr>
            <w:rStyle w:val="Hyperlink"/>
          </w:rPr>
          <w:t>Australian Consumer Law (ACL).</w:t>
        </w:r>
      </w:hyperlink>
      <w:r w:rsidR="00165ACF">
        <w:t xml:space="preserve"> </w:t>
      </w:r>
      <w:r>
        <w:t xml:space="preserve">Under the ACL </w:t>
      </w:r>
      <w:r w:rsidR="00165ACF">
        <w:t>it is unlawful for a provider to:</w:t>
      </w:r>
    </w:p>
    <w:p w14:paraId="6E8EAB06" w14:textId="5F84C9E9" w:rsidR="00165ACF" w:rsidRDefault="00165ACF" w:rsidP="00165ACF">
      <w:pPr>
        <w:pStyle w:val="Bullet1"/>
      </w:pPr>
      <w:r>
        <w:t xml:space="preserve">make false or misleading representations </w:t>
      </w:r>
    </w:p>
    <w:p w14:paraId="7244023B" w14:textId="61F07AB9" w:rsidR="00165ACF" w:rsidRDefault="00165ACF" w:rsidP="00165ACF">
      <w:pPr>
        <w:pStyle w:val="Bullet1"/>
      </w:pPr>
      <w:r>
        <w:t>engage in misleading conduct</w:t>
      </w:r>
      <w:r w:rsidR="4F2F42A6">
        <w:t xml:space="preserve"> in trade and </w:t>
      </w:r>
      <w:r w:rsidR="692A73F0">
        <w:t>commerce.</w:t>
      </w:r>
      <w:r>
        <w:t xml:space="preserve"> </w:t>
      </w:r>
    </w:p>
    <w:p w14:paraId="37330CDD" w14:textId="3E0D6A09" w:rsidR="00115945" w:rsidRDefault="00115945" w:rsidP="00BD4954">
      <w:pPr>
        <w:pStyle w:val="Bullet1"/>
        <w:numPr>
          <w:ilvl w:val="0"/>
          <w:numId w:val="0"/>
        </w:numPr>
      </w:pPr>
      <w:r>
        <w:t>A misleading representation is a</w:t>
      </w:r>
      <w:r w:rsidRPr="00880495">
        <w:t xml:space="preserve"> </w:t>
      </w:r>
      <w:r>
        <w:t>c</w:t>
      </w:r>
      <w:r w:rsidRPr="00880495">
        <w:t xml:space="preserve">laim or representation likely to create a false impression </w:t>
      </w:r>
      <w:r>
        <w:t>of</w:t>
      </w:r>
      <w:r w:rsidRPr="00880495">
        <w:t xml:space="preserve"> the price, value</w:t>
      </w:r>
      <w:r>
        <w:t>,</w:t>
      </w:r>
      <w:r w:rsidRPr="00880495">
        <w:t xml:space="preserve"> or quality of goods or services</w:t>
      </w:r>
      <w:r>
        <w:t>.</w:t>
      </w:r>
      <w:r w:rsidRPr="00AC6C69">
        <w:t xml:space="preserve"> </w:t>
      </w:r>
      <w:r>
        <w:t xml:space="preserve">Representations can either be explicitly communicated (express) or implied. </w:t>
      </w:r>
    </w:p>
    <w:p w14:paraId="3482EB35" w14:textId="3FFBD5B7" w:rsidR="00CC1B60" w:rsidRDefault="00CC1B60" w:rsidP="00165ACF">
      <w:r>
        <w:t xml:space="preserve">For </w:t>
      </w:r>
      <w:r w:rsidR="006E0F2B">
        <w:t>up to date</w:t>
      </w:r>
      <w:r>
        <w:t xml:space="preserve"> information about obligations under the ACL</w:t>
      </w:r>
      <w:r w:rsidR="00115945">
        <w:t>, including information about express and implied representations,</w:t>
      </w:r>
      <w:r>
        <w:t xml:space="preserve">  refer to the </w:t>
      </w:r>
      <w:hyperlink r:id="rId18" w:anchor=":~:text=It%20is%20illegal%20for%20a,a%20result%20of%20your%20conduct.">
        <w:r w:rsidR="00481B27" w:rsidRPr="17E5FE08">
          <w:rPr>
            <w:rStyle w:val="Hyperlink"/>
          </w:rPr>
          <w:t>Australian Competition and Consumer Commission</w:t>
        </w:r>
      </w:hyperlink>
      <w:r w:rsidR="00481B27" w:rsidRPr="17E5FE08">
        <w:rPr>
          <w:rStyle w:val="Hyperlink"/>
        </w:rPr>
        <w:t xml:space="preserve"> (ACCC)</w:t>
      </w:r>
      <w:r>
        <w:t xml:space="preserve"> or state-based equivalent.</w:t>
      </w:r>
    </w:p>
    <w:p w14:paraId="749A2C47" w14:textId="3B429FE7" w:rsidR="00165ACF" w:rsidRDefault="00165ACF" w:rsidP="00165ACF">
      <w:r>
        <w:t xml:space="preserve">To limit the risk of making false or misleading representations, </w:t>
      </w:r>
      <w:r w:rsidR="26661D24">
        <w:t xml:space="preserve">a </w:t>
      </w:r>
      <w:r>
        <w:t>diligent provider will:</w:t>
      </w:r>
    </w:p>
    <w:p w14:paraId="59A19E0C" w14:textId="0AC5EC73" w:rsidR="00165ACF" w:rsidRDefault="00165ACF" w:rsidP="00165ACF">
      <w:pPr>
        <w:pStyle w:val="Bullet1"/>
      </w:pPr>
      <w:r>
        <w:t xml:space="preserve">implement proportionate processes or procedures to ensure significant or </w:t>
      </w:r>
      <w:r w:rsidR="00913600">
        <w:t>large-scale</w:t>
      </w:r>
      <w:r>
        <w:t xml:space="preserve"> representations</w:t>
      </w:r>
      <w:r w:rsidR="00C6544B">
        <w:t xml:space="preserve"> are given adequate scrutiny before being shared with </w:t>
      </w:r>
      <w:r>
        <w:t xml:space="preserve">students </w:t>
      </w:r>
      <w:r w:rsidR="008C3440">
        <w:t xml:space="preserve"> </w:t>
      </w:r>
    </w:p>
    <w:p w14:paraId="28390EBF" w14:textId="0793EF36" w:rsidR="00165ACF" w:rsidRDefault="00165ACF" w:rsidP="00165ACF">
      <w:pPr>
        <w:pStyle w:val="Bullet1"/>
      </w:pPr>
      <w:r>
        <w:t xml:space="preserve">ensure staff and agents are aware of and have access to reasonable information to make representations on behalf of the provider. What is reasonable information will depend on </w:t>
      </w:r>
      <w:r w:rsidR="00481B27">
        <w:t>context</w:t>
      </w:r>
      <w:r w:rsidR="195B654D">
        <w:t xml:space="preserve">. </w:t>
      </w:r>
      <w:r w:rsidR="45FC7378">
        <w:t>F</w:t>
      </w:r>
      <w:r>
        <w:t>or example, staff</w:t>
      </w:r>
      <w:r w:rsidR="00481B27">
        <w:t xml:space="preserve"> responsible for</w:t>
      </w:r>
      <w:r>
        <w:t xml:space="preserve"> giving students information about course costs should be aware of</w:t>
      </w:r>
      <w:r w:rsidR="45E7B7A6">
        <w:t>,</w:t>
      </w:r>
      <w:r>
        <w:t xml:space="preserve"> </w:t>
      </w:r>
      <w:r w:rsidR="00C6544B">
        <w:t xml:space="preserve">and be able </w:t>
      </w:r>
      <w:r w:rsidR="00172DE5">
        <w:t>to</w:t>
      </w:r>
      <w:r>
        <w:t xml:space="preserve"> access</w:t>
      </w:r>
      <w:r w:rsidR="6529AAA5">
        <w:t>,</w:t>
      </w:r>
      <w:r>
        <w:t xml:space="preserve"> the latest information about the cost of </w:t>
      </w:r>
      <w:r w:rsidR="00481B27">
        <w:t>the provider’s</w:t>
      </w:r>
      <w:r>
        <w:t xml:space="preserve"> course</w:t>
      </w:r>
      <w:r w:rsidR="00481B27">
        <w:t>s</w:t>
      </w:r>
    </w:p>
    <w:p w14:paraId="2E225989" w14:textId="7B98A876" w:rsidR="00115945" w:rsidRDefault="00165ACF" w:rsidP="00165ACF">
      <w:pPr>
        <w:pStyle w:val="Bullet1"/>
      </w:pPr>
      <w:r>
        <w:lastRenderedPageBreak/>
        <w:t>favour plain English communication</w:t>
      </w:r>
      <w:r w:rsidR="00172DE5">
        <w:t xml:space="preserve"> </w:t>
      </w:r>
      <w:r>
        <w:t xml:space="preserve">so all students, including those from diverse backgrounds and </w:t>
      </w:r>
      <w:r w:rsidR="00172DE5">
        <w:t xml:space="preserve">those with </w:t>
      </w:r>
      <w:r>
        <w:t>English as a second language, are less likely to be unintentionally misled by the provider’s representations</w:t>
      </w:r>
    </w:p>
    <w:p w14:paraId="2FF78DCE" w14:textId="7850DA85" w:rsidR="00165ACF" w:rsidRDefault="00115945" w:rsidP="00165ACF">
      <w:pPr>
        <w:pStyle w:val="Bullet1"/>
      </w:pPr>
      <w:r>
        <w:t>monitor for instances of inaccurate or misleading representations and use this to inform improvements proportionate to situation</w:t>
      </w:r>
      <w:r w:rsidR="00E72974">
        <w:t>.</w:t>
      </w:r>
    </w:p>
    <w:p w14:paraId="12FDF77E" w14:textId="66F7103F" w:rsidR="00165ACF" w:rsidRDefault="00165ACF" w:rsidP="00165ACF">
      <w:pPr>
        <w:pStyle w:val="Heading3"/>
      </w:pPr>
      <w:r>
        <w:t>Providers</w:t>
      </w:r>
      <w:r w:rsidR="008E293D">
        <w:t>’</w:t>
      </w:r>
      <w:r>
        <w:t xml:space="preserve"> responsib</w:t>
      </w:r>
      <w:r w:rsidR="00BA6587">
        <w:t>ility</w:t>
      </w:r>
      <w:r>
        <w:t xml:space="preserve"> for representations made by its agents</w:t>
      </w:r>
    </w:p>
    <w:p w14:paraId="5A60970A" w14:textId="77A283B5" w:rsidR="00165ACF" w:rsidRDefault="00165ACF" w:rsidP="00165ACF">
      <w:r>
        <w:t xml:space="preserve">To ensure students are not disadvantaged by </w:t>
      </w:r>
      <w:r w:rsidR="00847812">
        <w:t xml:space="preserve">the </w:t>
      </w:r>
      <w:r w:rsidR="00BA6587">
        <w:t xml:space="preserve">representations </w:t>
      </w:r>
      <w:r>
        <w:t>of</w:t>
      </w:r>
      <w:r w:rsidR="00BA6587">
        <w:t xml:space="preserve"> </w:t>
      </w:r>
      <w:r w:rsidR="039BAF30">
        <w:t xml:space="preserve">a provider’s </w:t>
      </w:r>
      <w:r w:rsidR="00C6544B">
        <w:t>agents</w:t>
      </w:r>
      <w:r w:rsidR="029CD04E">
        <w:t>,</w:t>
      </w:r>
      <w:r w:rsidR="00A43362">
        <w:t xml:space="preserve"> </w:t>
      </w:r>
      <w:r w:rsidR="00913EC1">
        <w:t>standard</w:t>
      </w:r>
      <w:r>
        <w:t xml:space="preserve"> 7.1.4</w:t>
      </w:r>
      <w:r w:rsidR="00BA6587">
        <w:t xml:space="preserve"> of the Threshold Standards </w:t>
      </w:r>
      <w:r>
        <w:t>places obligations on providers</w:t>
      </w:r>
      <w:r w:rsidR="00BA6587">
        <w:t xml:space="preserve"> to:</w:t>
      </w:r>
      <w:r>
        <w:t xml:space="preserve"> </w:t>
      </w:r>
    </w:p>
    <w:p w14:paraId="468F2E7A" w14:textId="3499DC0C" w:rsidR="00165ACF" w:rsidRDefault="00165ACF" w:rsidP="00165ACF">
      <w:pPr>
        <w:pStyle w:val="Bullet1"/>
      </w:pPr>
      <w:r>
        <w:t>enter formal contractual relationships with agents, or any other party who represents them</w:t>
      </w:r>
      <w:r w:rsidR="2E136AFC">
        <w:t xml:space="preserve"> (</w:t>
      </w:r>
      <w:r w:rsidR="00EB6066">
        <w:t xml:space="preserve">including but not limited to </w:t>
      </w:r>
      <w:r w:rsidR="2E136AFC">
        <w:t>sub-agents)</w:t>
      </w:r>
      <w:r>
        <w:t xml:space="preserve">. </w:t>
      </w:r>
      <w:r w:rsidR="00EC0B92">
        <w:t>T</w:t>
      </w:r>
      <w:r>
        <w:t xml:space="preserve">hese contracts </w:t>
      </w:r>
      <w:r w:rsidR="00EC0B92">
        <w:t xml:space="preserve">should </w:t>
      </w:r>
      <w:r>
        <w:t>contain provisions about how the provider will require the agent</w:t>
      </w:r>
      <w:r w:rsidR="00941ADE">
        <w:t xml:space="preserve"> or other party</w:t>
      </w:r>
      <w:r>
        <w:t xml:space="preserve"> conduct themselves, represent the provider and represent the provider’s educational offerings</w:t>
      </w:r>
    </w:p>
    <w:p w14:paraId="7DF6E1F9" w14:textId="59AEE7C6" w:rsidR="00165ACF" w:rsidRDefault="00165ACF" w:rsidP="00165ACF">
      <w:pPr>
        <w:pStyle w:val="Bullet1"/>
      </w:pPr>
      <w:r>
        <w:t>monitor the performance of agent</w:t>
      </w:r>
      <w:r w:rsidR="00BA6587">
        <w:t>s and</w:t>
      </w:r>
      <w:r>
        <w:t xml:space="preserve"> </w:t>
      </w:r>
      <w:r w:rsidR="00941ADE">
        <w:t xml:space="preserve">other </w:t>
      </w:r>
      <w:r>
        <w:t>part</w:t>
      </w:r>
      <w:r w:rsidR="00BA6587">
        <w:t>ies</w:t>
      </w:r>
      <w:r>
        <w:t xml:space="preserve">. This </w:t>
      </w:r>
      <w:r w:rsidR="0023350E">
        <w:t xml:space="preserve">can </w:t>
      </w:r>
      <w:r w:rsidR="0023668E">
        <w:t>include</w:t>
      </w:r>
      <w:r>
        <w:t xml:space="preserve">, but is not limited to monitoring claims by students about being misled by an agent or </w:t>
      </w:r>
      <w:r w:rsidR="00434C9E">
        <w:t xml:space="preserve">other </w:t>
      </w:r>
      <w:r>
        <w:t>party</w:t>
      </w:r>
      <w:r w:rsidR="0023668E">
        <w:t xml:space="preserve"> and surveying students about their experiences with agents or third</w:t>
      </w:r>
      <w:r w:rsidR="00913EC1">
        <w:t>-</w:t>
      </w:r>
      <w:r w:rsidR="0023668E">
        <w:t>parties</w:t>
      </w:r>
    </w:p>
    <w:p w14:paraId="7BC2E96F" w14:textId="3123EC3F" w:rsidR="00844427" w:rsidRDefault="00165ACF" w:rsidP="00345731">
      <w:pPr>
        <w:pStyle w:val="Bullet1"/>
      </w:pPr>
      <w:r>
        <w:t xml:space="preserve">take </w:t>
      </w:r>
      <w:r w:rsidR="00412C9C">
        <w:t>pr</w:t>
      </w:r>
      <w:r w:rsidR="006316EC">
        <w:t>ompt</w:t>
      </w:r>
      <w:r w:rsidR="00412C9C">
        <w:t xml:space="preserve"> </w:t>
      </w:r>
      <w:r>
        <w:t xml:space="preserve">corrective action where there is information to suggest an </w:t>
      </w:r>
      <w:r w:rsidR="00412C9C">
        <w:t>agent,</w:t>
      </w:r>
      <w:r>
        <w:t xml:space="preserve"> or</w:t>
      </w:r>
      <w:r w:rsidR="00C6544B">
        <w:t xml:space="preserve"> other</w:t>
      </w:r>
      <w:r>
        <w:t xml:space="preserve"> party is engaging in misrepresentations or unethical conduct. This may include ending contractual relationships with </w:t>
      </w:r>
      <w:r w:rsidR="00E43D21">
        <w:t>an agent or other party</w:t>
      </w:r>
      <w:r>
        <w:t xml:space="preserve">. </w:t>
      </w:r>
    </w:p>
    <w:p w14:paraId="7D27BA0D" w14:textId="24F6B82F" w:rsidR="00844427" w:rsidRDefault="00844427" w:rsidP="00844427">
      <w:pPr>
        <w:pStyle w:val="Heading3"/>
      </w:pPr>
      <w:r>
        <w:t xml:space="preserve">Representing </w:t>
      </w:r>
      <w:r w:rsidR="00117750">
        <w:t>m</w:t>
      </w:r>
      <w:r>
        <w:t>icrocredentials</w:t>
      </w:r>
    </w:p>
    <w:p w14:paraId="10B24656" w14:textId="25FE6F6C" w:rsidR="00281356" w:rsidRPr="00CD3877" w:rsidRDefault="00674EFB" w:rsidP="00844427">
      <w:r>
        <w:t>A m</w:t>
      </w:r>
      <w:r w:rsidR="006E646C">
        <w:t xml:space="preserve">icrocredential </w:t>
      </w:r>
      <w:r w:rsidR="0021260E">
        <w:t>as defined</w:t>
      </w:r>
      <w:r w:rsidR="006E646C">
        <w:t xml:space="preserve"> in the</w:t>
      </w:r>
      <w:r w:rsidR="00A80786">
        <w:t xml:space="preserve"> </w:t>
      </w:r>
      <w:hyperlink r:id="rId19">
        <w:r w:rsidR="00A80786" w:rsidRPr="1379720F">
          <w:rPr>
            <w:rStyle w:val="Hyperlink"/>
          </w:rPr>
          <w:t xml:space="preserve">National </w:t>
        </w:r>
        <w:r w:rsidR="0073527E" w:rsidRPr="1379720F">
          <w:rPr>
            <w:rStyle w:val="Hyperlink"/>
          </w:rPr>
          <w:t>Microcredentials</w:t>
        </w:r>
        <w:r w:rsidR="00A80786" w:rsidRPr="1379720F">
          <w:rPr>
            <w:rStyle w:val="Hyperlink"/>
          </w:rPr>
          <w:t xml:space="preserve"> Framework</w:t>
        </w:r>
      </w:hyperlink>
      <w:r w:rsidR="00281356">
        <w:t xml:space="preserve"> </w:t>
      </w:r>
      <w:r w:rsidR="002639FD">
        <w:t>i</w:t>
      </w:r>
      <w:r w:rsidR="7B9B0AE7">
        <w:t xml:space="preserve">s </w:t>
      </w:r>
      <w:r>
        <w:t xml:space="preserve">a </w:t>
      </w:r>
      <w:r w:rsidR="00117750">
        <w:t>‘</w:t>
      </w:r>
      <w:r w:rsidR="00281356">
        <w:t xml:space="preserve">certification of assessed learning or competence…less than an AQF award qualification, that is additional, </w:t>
      </w:r>
      <w:r w:rsidR="00281356" w:rsidRPr="00CD3877">
        <w:t>alternate, complementary to or a component part of an AQF award qualification</w:t>
      </w:r>
      <w:r w:rsidR="00117750" w:rsidRPr="00CD3877">
        <w:t>’</w:t>
      </w:r>
      <w:r w:rsidR="00281356" w:rsidRPr="00CD3877">
        <w:t xml:space="preserve">. </w:t>
      </w:r>
    </w:p>
    <w:p w14:paraId="479650C9" w14:textId="0A7C6617" w:rsidR="00FA4858" w:rsidRPr="00CD3877" w:rsidRDefault="003A6EF8" w:rsidP="00844427">
      <w:r w:rsidRPr="00CD3877">
        <w:t>TEQSA</w:t>
      </w:r>
      <w:r w:rsidR="00DF715A" w:rsidRPr="00CD3877">
        <w:t>’s</w:t>
      </w:r>
      <w:r w:rsidR="00EB40B5" w:rsidRPr="00CD3877">
        <w:t xml:space="preserve"> regulatory remit</w:t>
      </w:r>
      <w:r w:rsidRPr="00CD3877">
        <w:t xml:space="preserve"> </w:t>
      </w:r>
      <w:r w:rsidR="00856B05" w:rsidRPr="00CD3877">
        <w:t>for</w:t>
      </w:r>
      <w:r w:rsidRPr="00CD3877">
        <w:t xml:space="preserve"> microcredentials </w:t>
      </w:r>
      <w:r w:rsidR="00AE50E6" w:rsidRPr="00CD3877">
        <w:t>includes, but is not limited to:</w:t>
      </w:r>
    </w:p>
    <w:p w14:paraId="1008510A" w14:textId="572A3639" w:rsidR="0079094B" w:rsidRPr="00CD3877" w:rsidRDefault="005D61DF" w:rsidP="0079094B">
      <w:pPr>
        <w:pStyle w:val="Bullet1"/>
      </w:pPr>
      <w:r w:rsidRPr="00CD3877">
        <w:t xml:space="preserve">the offering and conferring of higher education awards based solely on a </w:t>
      </w:r>
      <w:r w:rsidR="00DF715A" w:rsidRPr="00CD3877">
        <w:t>student’s</w:t>
      </w:r>
      <w:r w:rsidRPr="00CD3877">
        <w:t xml:space="preserve"> completion of microcredentials </w:t>
      </w:r>
      <w:r w:rsidR="006318D4" w:rsidRPr="00CD3877">
        <w:t>as opposed to</w:t>
      </w:r>
      <w:r w:rsidR="00720564" w:rsidRPr="00CD3877">
        <w:t xml:space="preserve"> the completion of a course of study</w:t>
      </w:r>
      <w:r w:rsidR="00315BAF" w:rsidRPr="00CD3877">
        <w:t xml:space="preserve"> </w:t>
      </w:r>
      <w:r w:rsidR="001D4138" w:rsidRPr="00CD3877">
        <w:t xml:space="preserve">(section 107 </w:t>
      </w:r>
      <w:r w:rsidR="001D4138" w:rsidRPr="00AA3722">
        <w:t>TEQSA Act</w:t>
      </w:r>
      <w:r w:rsidR="00C634A4" w:rsidRPr="00CD3877">
        <w:t>)</w:t>
      </w:r>
      <w:r w:rsidR="008E3388" w:rsidRPr="00CD3877">
        <w:t>,</w:t>
      </w:r>
    </w:p>
    <w:p w14:paraId="09484894" w14:textId="5261AF40" w:rsidR="005D61DF" w:rsidRPr="00CD3877" w:rsidRDefault="00091632" w:rsidP="0079094B">
      <w:pPr>
        <w:pStyle w:val="Bullet1"/>
      </w:pPr>
      <w:r w:rsidRPr="00CD3877">
        <w:t>courses</w:t>
      </w:r>
      <w:r w:rsidR="0072555A" w:rsidRPr="00CD3877">
        <w:t xml:space="preserve"> of study wholly made up of </w:t>
      </w:r>
      <w:r w:rsidR="00DF715A" w:rsidRPr="00CD3877">
        <w:t>microcredentials,</w:t>
      </w:r>
      <w:r w:rsidR="00986674" w:rsidRPr="00CD3877">
        <w:t xml:space="preserve"> which result </w:t>
      </w:r>
      <w:r w:rsidR="00DF715A" w:rsidRPr="00CD3877">
        <w:t>in</w:t>
      </w:r>
      <w:r w:rsidR="00986674" w:rsidRPr="00CD3877">
        <w:t xml:space="preserve"> the conferral of a higher educati</w:t>
      </w:r>
      <w:r w:rsidR="00DF715A" w:rsidRPr="00CD3877">
        <w:t xml:space="preserve">on </w:t>
      </w:r>
      <w:r w:rsidR="00A579C9" w:rsidRPr="00CD3877">
        <w:t>award that is not accredited by TEQSA</w:t>
      </w:r>
      <w:r w:rsidR="00F36400" w:rsidRPr="00CD3877">
        <w:t xml:space="preserve"> </w:t>
      </w:r>
      <w:r w:rsidR="00357F78" w:rsidRPr="00CD3877">
        <w:t>or by a provider with</w:t>
      </w:r>
      <w:r w:rsidR="00771925" w:rsidRPr="00CD3877">
        <w:t xml:space="preserve"> </w:t>
      </w:r>
      <w:r w:rsidR="00CD3877" w:rsidRPr="00CD3877">
        <w:t>s</w:t>
      </w:r>
      <w:r w:rsidR="00DC27A8" w:rsidRPr="00CD3877">
        <w:t>elf</w:t>
      </w:r>
      <w:r w:rsidR="00CD3877" w:rsidRPr="00CD3877">
        <w:t>-a</w:t>
      </w:r>
      <w:r w:rsidR="00F36400" w:rsidRPr="00CD3877">
        <w:t xml:space="preserve">ccrediting </w:t>
      </w:r>
      <w:r w:rsidR="00CD3877" w:rsidRPr="00CD3877">
        <w:t>authority</w:t>
      </w:r>
    </w:p>
    <w:p w14:paraId="3B499397" w14:textId="26192B3B" w:rsidR="00FA4858" w:rsidRPr="00CD3877" w:rsidRDefault="00CB128E" w:rsidP="00844427">
      <w:pPr>
        <w:pStyle w:val="Bullet1"/>
      </w:pPr>
      <w:r w:rsidRPr="00CD3877">
        <w:t xml:space="preserve">the accuracy of representations to students about </w:t>
      </w:r>
      <w:r w:rsidR="002B312A" w:rsidRPr="00CD3877">
        <w:t>a provider</w:t>
      </w:r>
      <w:r w:rsidR="00CD3877" w:rsidRPr="00CD3877">
        <w:t>’</w:t>
      </w:r>
      <w:r w:rsidR="002B312A" w:rsidRPr="00CD3877">
        <w:t xml:space="preserve">s microcredentials bearing credit toward a course at AQF level 5 or greater. </w:t>
      </w:r>
    </w:p>
    <w:p w14:paraId="05134C1A" w14:textId="226D8148" w:rsidR="00844427" w:rsidRDefault="00844427" w:rsidP="00844427">
      <w:r>
        <w:t>TEQSA expect</w:t>
      </w:r>
      <w:r w:rsidR="00281356">
        <w:t xml:space="preserve">s </w:t>
      </w:r>
      <w:r>
        <w:t xml:space="preserve">providers not to mislead students </w:t>
      </w:r>
      <w:r w:rsidR="00004ACF">
        <w:t>when representing</w:t>
      </w:r>
      <w:r w:rsidR="00674EFB">
        <w:t xml:space="preserve"> microcredential</w:t>
      </w:r>
      <w:r w:rsidR="00004ACF">
        <w:t>s</w:t>
      </w:r>
      <w:r w:rsidR="6EF32141">
        <w:t>. In particular,</w:t>
      </w:r>
      <w:r w:rsidR="00EE65E7">
        <w:t xml:space="preserve"> providers should not</w:t>
      </w:r>
      <w:r w:rsidR="6EF32141">
        <w:t xml:space="preserve"> represent that </w:t>
      </w:r>
      <w:r w:rsidR="00EE65E7">
        <w:t>a microcredential</w:t>
      </w:r>
      <w:r w:rsidR="00E63299">
        <w:t>:</w:t>
      </w:r>
    </w:p>
    <w:p w14:paraId="505B3FB6" w14:textId="16102D2A" w:rsidR="00844427" w:rsidRDefault="007212B3" w:rsidP="00844427">
      <w:pPr>
        <w:pStyle w:val="Bullet1"/>
      </w:pPr>
      <w:r>
        <w:t>is</w:t>
      </w:r>
      <w:r w:rsidR="00674EFB">
        <w:t xml:space="preserve"> </w:t>
      </w:r>
      <w:r w:rsidR="00844427">
        <w:t xml:space="preserve">accredited </w:t>
      </w:r>
      <w:r w:rsidR="000E74E7">
        <w:t xml:space="preserve">by </w:t>
      </w:r>
      <w:r w:rsidR="00674EFB">
        <w:t>TEQSA</w:t>
      </w:r>
      <w:r w:rsidR="000E74E7">
        <w:t xml:space="preserve"> </w:t>
      </w:r>
      <w:r w:rsidR="002744B4">
        <w:t xml:space="preserve">or </w:t>
      </w:r>
      <w:r w:rsidR="00674EFB">
        <w:t xml:space="preserve">another </w:t>
      </w:r>
      <w:r w:rsidR="002744B4">
        <w:t xml:space="preserve">accrediting body </w:t>
      </w:r>
      <w:r w:rsidR="00844427">
        <w:t>if it is not</w:t>
      </w:r>
    </w:p>
    <w:p w14:paraId="57A800C8" w14:textId="13570086" w:rsidR="00844427" w:rsidRDefault="00844427" w:rsidP="00844427">
      <w:pPr>
        <w:pStyle w:val="Bullet1"/>
      </w:pPr>
      <w:r>
        <w:t>lead</w:t>
      </w:r>
      <w:r w:rsidR="007212B3">
        <w:t>s</w:t>
      </w:r>
      <w:r>
        <w:t xml:space="preserve"> to a credit</w:t>
      </w:r>
      <w:r w:rsidR="00674EFB">
        <w:t xml:space="preserve"> toward</w:t>
      </w:r>
      <w:r>
        <w:t>, or admission to, a course of study if it does not</w:t>
      </w:r>
    </w:p>
    <w:p w14:paraId="0B291E65" w14:textId="180BC339" w:rsidR="00844427" w:rsidRDefault="00844427" w:rsidP="00B17D63">
      <w:pPr>
        <w:pStyle w:val="Bullet1"/>
      </w:pPr>
      <w:r>
        <w:t>lead</w:t>
      </w:r>
      <w:r w:rsidR="007212B3">
        <w:t>s</w:t>
      </w:r>
      <w:r>
        <w:t xml:space="preserve"> to a regulated higher education award</w:t>
      </w:r>
      <w:r w:rsidR="00674EFB">
        <w:t>,</w:t>
      </w:r>
      <w:r w:rsidR="002744B4">
        <w:t xml:space="preserve"> for example</w:t>
      </w:r>
      <w:r>
        <w:t xml:space="preserve"> by naming a microcredential a ‘semi-Diploma of </w:t>
      </w:r>
      <w:r w:rsidR="00000915">
        <w:t>Business’ or</w:t>
      </w:r>
      <w:r>
        <w:t xml:space="preserve"> representing</w:t>
      </w:r>
      <w:r w:rsidR="000E74E7">
        <w:t xml:space="preserve"> the microcredential as </w:t>
      </w:r>
      <w:r w:rsidR="00674EFB">
        <w:t xml:space="preserve">like </w:t>
      </w:r>
      <w:r w:rsidR="007719EA">
        <w:t>an AQF award.</w:t>
      </w:r>
    </w:p>
    <w:p w14:paraId="11962617" w14:textId="6273FE94" w:rsidR="00F469C0" w:rsidRPr="00DD6587" w:rsidRDefault="005B5392" w:rsidP="007942DA">
      <w:pPr>
        <w:pStyle w:val="Heading2"/>
        <w:numPr>
          <w:ilvl w:val="0"/>
          <w:numId w:val="14"/>
        </w:numPr>
      </w:pPr>
      <w:r w:rsidRPr="00DD6587">
        <w:t>Identified issues</w:t>
      </w:r>
    </w:p>
    <w:p w14:paraId="47EC1402" w14:textId="14025478" w:rsidR="00991949" w:rsidRPr="00AE482A" w:rsidRDefault="00991949" w:rsidP="00991949">
      <w:r w:rsidRPr="00AE482A">
        <w:t xml:space="preserve">Within the context of the </w:t>
      </w:r>
      <w:r>
        <w:t>Threshold Standards</w:t>
      </w:r>
      <w:r w:rsidRPr="00AE482A">
        <w:t>, TEQSA has identified a range of issues</w:t>
      </w:r>
      <w:r w:rsidR="00771DA4">
        <w:t xml:space="preserve"> regarding representations</w:t>
      </w:r>
      <w:r w:rsidRPr="00AE482A">
        <w:t xml:space="preserve"> </w:t>
      </w:r>
      <w:r w:rsidR="00107F2E">
        <w:t>that</w:t>
      </w:r>
      <w:r w:rsidRPr="00AE482A">
        <w:t xml:space="preserve"> </w:t>
      </w:r>
      <w:r w:rsidR="0001781C">
        <w:t>indicate potential</w:t>
      </w:r>
      <w:r w:rsidRPr="00AE482A">
        <w:t xml:space="preserve"> </w:t>
      </w:r>
      <w:r w:rsidR="00771DA4">
        <w:t>risk</w:t>
      </w:r>
      <w:r w:rsidR="0001781C">
        <w:t>s</w:t>
      </w:r>
      <w:r w:rsidR="00771DA4">
        <w:t xml:space="preserve"> to students.</w:t>
      </w:r>
      <w:r w:rsidRPr="00AE482A">
        <w:t xml:space="preserve"> These include, but are not limited to: </w:t>
      </w:r>
      <w:r w:rsidR="00771DA4">
        <w:t xml:space="preserve"> </w:t>
      </w:r>
    </w:p>
    <w:p w14:paraId="5EDA2D79" w14:textId="3AE3F088" w:rsidR="00F17802" w:rsidRDefault="00352B79" w:rsidP="00991949">
      <w:pPr>
        <w:pStyle w:val="Bullet1"/>
      </w:pPr>
      <w:r>
        <w:t>M</w:t>
      </w:r>
      <w:r w:rsidR="00C00533">
        <w:t>isleading claims about educational offering</w:t>
      </w:r>
      <w:r>
        <w:t>s</w:t>
      </w:r>
      <w:r w:rsidR="00C00533">
        <w:t xml:space="preserve"> and charges</w:t>
      </w:r>
    </w:p>
    <w:p w14:paraId="42FDB6D9" w14:textId="49DAA43C" w:rsidR="0023668E" w:rsidRDefault="0023668E" w:rsidP="00345731">
      <w:pPr>
        <w:pStyle w:val="Bullet1"/>
        <w:numPr>
          <w:ilvl w:val="1"/>
          <w:numId w:val="15"/>
        </w:numPr>
      </w:pPr>
      <w:r>
        <w:t>claiming a course is accredited by TEQSA or a professional accreditation body when it does not hold accreditation</w:t>
      </w:r>
      <w:r w:rsidR="00050A2A">
        <w:t>, or is still undertaking the relevant assessment</w:t>
      </w:r>
    </w:p>
    <w:p w14:paraId="695881F5" w14:textId="351F9D99" w:rsidR="0023668E" w:rsidRDefault="0023668E" w:rsidP="00345731">
      <w:pPr>
        <w:pStyle w:val="Bullet1"/>
        <w:numPr>
          <w:ilvl w:val="1"/>
          <w:numId w:val="15"/>
        </w:numPr>
      </w:pPr>
      <w:r>
        <w:t>making false claims about being able to guarantee</w:t>
      </w:r>
      <w:r w:rsidR="001E01A5">
        <w:t xml:space="preserve"> migration outcomes and/or</w:t>
      </w:r>
      <w:r>
        <w:t xml:space="preserve"> visas to students for studying with the provider</w:t>
      </w:r>
    </w:p>
    <w:p w14:paraId="037E7411" w14:textId="5DF0E48C" w:rsidR="0023668E" w:rsidRDefault="0023668E" w:rsidP="00345731">
      <w:pPr>
        <w:pStyle w:val="Bullet1"/>
        <w:numPr>
          <w:ilvl w:val="1"/>
          <w:numId w:val="15"/>
        </w:numPr>
      </w:pPr>
      <w:r>
        <w:t xml:space="preserve">claiming to be in </w:t>
      </w:r>
      <w:r w:rsidR="001E01A5">
        <w:t xml:space="preserve">a certain percentage of </w:t>
      </w:r>
      <w:r w:rsidR="00A07372">
        <w:t xml:space="preserve">education providers, e.g., </w:t>
      </w:r>
      <w:r>
        <w:t xml:space="preserve">the </w:t>
      </w:r>
      <w:r w:rsidR="001E01A5">
        <w:t>‘</w:t>
      </w:r>
      <w:r>
        <w:t>top 1% of higher education providers</w:t>
      </w:r>
      <w:r w:rsidR="001E01A5">
        <w:t>’</w:t>
      </w:r>
      <w:r w:rsidR="00A07372">
        <w:t>,</w:t>
      </w:r>
      <w:r>
        <w:t xml:space="preserve"> in a particular field, in contrast to existing data or without any reliable data to make this claim</w:t>
      </w:r>
    </w:p>
    <w:p w14:paraId="27CC5E8A" w14:textId="1038E0EC" w:rsidR="00C00533" w:rsidRDefault="00352B79" w:rsidP="00C00533">
      <w:pPr>
        <w:pStyle w:val="Bullet1"/>
        <w:numPr>
          <w:ilvl w:val="1"/>
          <w:numId w:val="15"/>
        </w:numPr>
      </w:pPr>
      <w:r>
        <w:t xml:space="preserve">claiming students will achieve specified learning </w:t>
      </w:r>
      <w:r w:rsidR="00C00533">
        <w:t xml:space="preserve">outcomes </w:t>
      </w:r>
      <w:r>
        <w:t xml:space="preserve">via a course when the </w:t>
      </w:r>
      <w:r w:rsidR="0001781C">
        <w:t xml:space="preserve">specific </w:t>
      </w:r>
      <w:r>
        <w:t xml:space="preserve">learning outcomes do not form part of the course </w:t>
      </w:r>
    </w:p>
    <w:p w14:paraId="5287E862" w14:textId="0CD96ECD" w:rsidR="00C00533" w:rsidRDefault="006E1F59" w:rsidP="00C00533">
      <w:pPr>
        <w:pStyle w:val="Bullet1"/>
        <w:numPr>
          <w:ilvl w:val="1"/>
          <w:numId w:val="15"/>
        </w:numPr>
      </w:pPr>
      <w:r>
        <w:t>making false claims about course credit and its transferability</w:t>
      </w:r>
      <w:r w:rsidR="00050A2A">
        <w:t xml:space="preserve"> to another provider</w:t>
      </w:r>
    </w:p>
    <w:p w14:paraId="50C1A54A" w14:textId="0A98E7A8" w:rsidR="0023668E" w:rsidRDefault="006E1F59" w:rsidP="0023668E">
      <w:pPr>
        <w:pStyle w:val="Bullet1"/>
        <w:numPr>
          <w:ilvl w:val="1"/>
          <w:numId w:val="15"/>
        </w:numPr>
      </w:pPr>
      <w:r>
        <w:t>incorrectly</w:t>
      </w:r>
      <w:r w:rsidR="00352B79">
        <w:t xml:space="preserve"> representing the costs of a </w:t>
      </w:r>
      <w:r w:rsidR="00B038D8">
        <w:t>course,</w:t>
      </w:r>
      <w:r>
        <w:t xml:space="preserve"> regardless of whether it was unintentional</w:t>
      </w:r>
    </w:p>
    <w:p w14:paraId="465C30BC" w14:textId="1DF27461" w:rsidR="00E6092C" w:rsidRDefault="5CF5DE0A" w:rsidP="00050A2A">
      <w:pPr>
        <w:pStyle w:val="Bullet1"/>
        <w:numPr>
          <w:ilvl w:val="1"/>
          <w:numId w:val="15"/>
        </w:numPr>
      </w:pPr>
      <w:r>
        <w:t xml:space="preserve">making false claims about the career outcomes of its graduates </w:t>
      </w:r>
    </w:p>
    <w:p w14:paraId="32567137" w14:textId="4E76BDB3" w:rsidR="00E6092C" w:rsidRDefault="00050A2A" w:rsidP="00050A2A">
      <w:pPr>
        <w:pStyle w:val="Bullet1"/>
        <w:numPr>
          <w:ilvl w:val="1"/>
          <w:numId w:val="15"/>
        </w:numPr>
      </w:pPr>
      <w:r>
        <w:t>failing to give students additional information about a course in circumstances where it would be reasonable to do so</w:t>
      </w:r>
      <w:r w:rsidR="008B488A">
        <w:t xml:space="preserve">. For </w:t>
      </w:r>
      <w:r w:rsidR="00282F85">
        <w:t>example,</w:t>
      </w:r>
      <w:r w:rsidR="00E6092C">
        <w:t xml:space="preserve"> not telling a student that a legal studies course will not enable them to practice as a lawyer despite the student telling the provider this is why they want to do the course.</w:t>
      </w:r>
    </w:p>
    <w:p w14:paraId="70ED027B" w14:textId="3738218E" w:rsidR="00C00533" w:rsidRDefault="0001781C" w:rsidP="00C00533">
      <w:pPr>
        <w:pStyle w:val="Bullet1"/>
      </w:pPr>
      <w:r>
        <w:t>R</w:t>
      </w:r>
      <w:r w:rsidR="00C00533">
        <w:t>epresentations of agent</w:t>
      </w:r>
      <w:r>
        <w:t>s</w:t>
      </w:r>
      <w:r w:rsidR="00C00533">
        <w:t xml:space="preserve"> or other </w:t>
      </w:r>
      <w:r>
        <w:t>parties</w:t>
      </w:r>
      <w:r w:rsidR="00C00533">
        <w:t xml:space="preserve"> acting </w:t>
      </w:r>
      <w:r w:rsidR="0023668E">
        <w:t>on behalf of the provider</w:t>
      </w:r>
    </w:p>
    <w:p w14:paraId="7F4179E6" w14:textId="64D09AB1" w:rsidR="00C00533" w:rsidRDefault="0001781C" w:rsidP="00C00533">
      <w:pPr>
        <w:pStyle w:val="Bullet1"/>
        <w:numPr>
          <w:ilvl w:val="1"/>
          <w:numId w:val="15"/>
        </w:numPr>
      </w:pPr>
      <w:r>
        <w:t>lack of clear</w:t>
      </w:r>
      <w:r w:rsidR="0023668E">
        <w:t xml:space="preserve"> or enforceable</w:t>
      </w:r>
      <w:r>
        <w:t xml:space="preserve"> contractual arrangements with </w:t>
      </w:r>
      <w:r w:rsidR="0023668E">
        <w:t>agents or third</w:t>
      </w:r>
      <w:r w:rsidR="0098384F">
        <w:t>-</w:t>
      </w:r>
      <w:r w:rsidR="0023668E">
        <w:t>parties about how the agent or third</w:t>
      </w:r>
      <w:r w:rsidR="0098384F">
        <w:t>-</w:t>
      </w:r>
      <w:r w:rsidR="0023668E">
        <w:t>party should represent the provider or conduct themselves</w:t>
      </w:r>
    </w:p>
    <w:p w14:paraId="6B78FE9B" w14:textId="603D7F32" w:rsidR="0023668E" w:rsidRDefault="0023668E" w:rsidP="00C00533">
      <w:pPr>
        <w:pStyle w:val="Bullet1"/>
        <w:numPr>
          <w:ilvl w:val="1"/>
          <w:numId w:val="15"/>
        </w:numPr>
      </w:pPr>
      <w:r>
        <w:t>lack of monitoring, and/or process for monitoring concerns about agents' or third</w:t>
      </w:r>
      <w:r w:rsidR="0098384F">
        <w:t>-</w:t>
      </w:r>
      <w:r>
        <w:t>parties’ conduct and representations</w:t>
      </w:r>
    </w:p>
    <w:p w14:paraId="24E669A8" w14:textId="3291B8BD" w:rsidR="48835F3D" w:rsidRDefault="0098384F" w:rsidP="17E5FE08">
      <w:pPr>
        <w:pStyle w:val="Bullet1"/>
        <w:numPr>
          <w:ilvl w:val="1"/>
          <w:numId w:val="15"/>
        </w:numPr>
      </w:pPr>
      <w:r>
        <w:t>l</w:t>
      </w:r>
      <w:r w:rsidR="48835F3D">
        <w:t>ack of monitoring of student engagement and progression for students coming through these pathways</w:t>
      </w:r>
    </w:p>
    <w:p w14:paraId="0C8F5241" w14:textId="2C47265D" w:rsidR="00EC5DD6" w:rsidRDefault="0023668E" w:rsidP="00567AD4">
      <w:pPr>
        <w:pStyle w:val="Bullet1"/>
        <w:numPr>
          <w:ilvl w:val="1"/>
          <w:numId w:val="15"/>
        </w:numPr>
      </w:pPr>
      <w:r>
        <w:t>maintaining arrangements with</w:t>
      </w:r>
      <w:r w:rsidR="008406FF">
        <w:t xml:space="preserve"> </w:t>
      </w:r>
      <w:r w:rsidR="005C3B63">
        <w:t xml:space="preserve">agents and </w:t>
      </w:r>
      <w:r>
        <w:t>third</w:t>
      </w:r>
      <w:r w:rsidR="00300A90">
        <w:t>-</w:t>
      </w:r>
      <w:r>
        <w:t xml:space="preserve">parties </w:t>
      </w:r>
      <w:r w:rsidR="008406FF">
        <w:t xml:space="preserve">who have </w:t>
      </w:r>
      <w:r>
        <w:t>a history of</w:t>
      </w:r>
      <w:r w:rsidR="008406FF">
        <w:t xml:space="preserve"> misrepresentation. </w:t>
      </w:r>
    </w:p>
    <w:p w14:paraId="21762E60" w14:textId="484FFE26" w:rsidR="00EC5DD6" w:rsidRPr="00DD6587" w:rsidRDefault="00A25716" w:rsidP="00A25716">
      <w:pPr>
        <w:pStyle w:val="Heading2"/>
      </w:pPr>
      <w:r>
        <w:t xml:space="preserve">Related </w:t>
      </w:r>
      <w:r w:rsidR="00DC47EE">
        <w:t>r</w:t>
      </w:r>
      <w:r>
        <w:t>esources</w:t>
      </w:r>
    </w:p>
    <w:p w14:paraId="51AD6217" w14:textId="7766B803" w:rsidR="00EC5DD6" w:rsidRPr="00E20F00" w:rsidRDefault="0032182A" w:rsidP="007942DA">
      <w:pPr>
        <w:pStyle w:val="Bullet1"/>
        <w:rPr>
          <w:rFonts w:ascii="Arial" w:hAnsi="Arial" w:cs="Arial"/>
          <w:iCs/>
          <w:color w:val="252B2B"/>
        </w:rPr>
      </w:pPr>
      <w:r w:rsidRPr="00BD4954">
        <w:t xml:space="preserve">Guidance </w:t>
      </w:r>
      <w:r w:rsidR="00E20F00">
        <w:t>n</w:t>
      </w:r>
      <w:r w:rsidRPr="00BD4954">
        <w:t>ote</w:t>
      </w:r>
      <w:r w:rsidR="00EC4628" w:rsidRPr="00BD4954">
        <w:t xml:space="preserve">: Student Grievances and </w:t>
      </w:r>
      <w:r w:rsidR="00EC4628" w:rsidRPr="00E20F00">
        <w:t>Complaints</w:t>
      </w:r>
      <w:r w:rsidR="008F6C87" w:rsidRPr="00E20F00">
        <w:t xml:space="preserve"> (revision under development)</w:t>
      </w:r>
    </w:p>
    <w:p w14:paraId="5C37ADF4" w14:textId="006795D1" w:rsidR="00D713D8" w:rsidRPr="00E20F00" w:rsidRDefault="00D713D8" w:rsidP="00D713D8">
      <w:pPr>
        <w:pStyle w:val="Bullet1"/>
        <w:rPr>
          <w:rFonts w:ascii="Arial" w:hAnsi="Arial" w:cs="Arial"/>
          <w:iCs/>
          <w:color w:val="252B2B"/>
        </w:rPr>
      </w:pPr>
      <w:r w:rsidRPr="00E20F00">
        <w:t xml:space="preserve">Guidance </w:t>
      </w:r>
      <w:r w:rsidR="00E20F00">
        <w:t>n</w:t>
      </w:r>
      <w:r w:rsidRPr="00E20F00">
        <w:t xml:space="preserve">ote: </w:t>
      </w:r>
      <w:r w:rsidR="00061902" w:rsidRPr="00E20F00">
        <w:t xml:space="preserve">Information for </w:t>
      </w:r>
      <w:r w:rsidRPr="00E20F00">
        <w:t>Prospective and Current Students (</w:t>
      </w:r>
      <w:r w:rsidR="00061902" w:rsidRPr="00E20F00">
        <w:t>for consultation</w:t>
      </w:r>
      <w:r w:rsidRPr="00E20F00">
        <w:t>)</w:t>
      </w:r>
    </w:p>
    <w:p w14:paraId="601D36B4" w14:textId="558DFF28" w:rsidR="00D713D8" w:rsidRPr="00E20F00" w:rsidRDefault="00D713D8" w:rsidP="00D713D8">
      <w:pPr>
        <w:pStyle w:val="Bullet1"/>
        <w:rPr>
          <w:rStyle w:val="Hyperlink"/>
          <w:color w:val="auto"/>
          <w:u w:val="none"/>
        </w:rPr>
      </w:pPr>
      <w:r w:rsidRPr="00E20F00">
        <w:rPr>
          <w:rStyle w:val="Hyperlink"/>
          <w:color w:val="auto"/>
          <w:u w:val="none"/>
        </w:rPr>
        <w:t xml:space="preserve">Guidance </w:t>
      </w:r>
      <w:r w:rsidR="00E20F00">
        <w:rPr>
          <w:rStyle w:val="Hyperlink"/>
          <w:color w:val="auto"/>
          <w:u w:val="none"/>
        </w:rPr>
        <w:t>n</w:t>
      </w:r>
      <w:r w:rsidRPr="00E20F00">
        <w:rPr>
          <w:rStyle w:val="Hyperlink"/>
          <w:color w:val="auto"/>
          <w:u w:val="none"/>
        </w:rPr>
        <w:t>ote: Information Management (</w:t>
      </w:r>
      <w:r w:rsidR="00237566" w:rsidRPr="00E20F00">
        <w:rPr>
          <w:rStyle w:val="Hyperlink"/>
          <w:color w:val="auto"/>
          <w:u w:val="none"/>
        </w:rPr>
        <w:t>for consultation)</w:t>
      </w:r>
    </w:p>
    <w:p w14:paraId="291E15F4" w14:textId="76989902" w:rsidR="00674EFB" w:rsidRPr="00DA724D" w:rsidRDefault="00674EFB" w:rsidP="00D713D8">
      <w:pPr>
        <w:pStyle w:val="Bullet1"/>
        <w:rPr>
          <w:rStyle w:val="Hyperlink"/>
          <w:color w:val="auto"/>
          <w:u w:val="none"/>
        </w:rPr>
      </w:pPr>
      <w:r w:rsidRPr="00DA724D">
        <w:rPr>
          <w:rStyle w:val="Hyperlink"/>
          <w:color w:val="auto"/>
          <w:u w:val="none"/>
        </w:rPr>
        <w:t xml:space="preserve">Guidance </w:t>
      </w:r>
      <w:r w:rsidR="00E20F00" w:rsidRPr="00DA724D">
        <w:rPr>
          <w:rStyle w:val="Hyperlink"/>
          <w:color w:val="auto"/>
          <w:u w:val="none"/>
        </w:rPr>
        <w:t>n</w:t>
      </w:r>
      <w:r w:rsidRPr="00DA724D">
        <w:rPr>
          <w:rStyle w:val="Hyperlink"/>
          <w:color w:val="auto"/>
          <w:u w:val="none"/>
        </w:rPr>
        <w:t>ote: Monitoring, Review and Improvement (under development)</w:t>
      </w:r>
    </w:p>
    <w:p w14:paraId="4C0BB920" w14:textId="61730144" w:rsidR="00304281" w:rsidRPr="00BD4954" w:rsidRDefault="00304281" w:rsidP="00304281">
      <w:pPr>
        <w:pStyle w:val="Bullet1"/>
      </w:pPr>
      <w:hyperlink r:id="rId20" w:anchor=":~:text=It%20is%20illegal%20for%20a,a%20result%20of%20your%20conduct." w:history="1">
        <w:r w:rsidRPr="00674EFB">
          <w:rPr>
            <w:rStyle w:val="Hyperlink"/>
          </w:rPr>
          <w:t xml:space="preserve">ACCC: Advertising and selling guide </w:t>
        </w:r>
        <w:r w:rsidR="00863927">
          <w:rPr>
            <w:rStyle w:val="Hyperlink"/>
          </w:rPr>
          <w:t>–</w:t>
        </w:r>
        <w:r w:rsidRPr="00674EFB">
          <w:rPr>
            <w:rStyle w:val="Hyperlink"/>
          </w:rPr>
          <w:t xml:space="preserve"> Misleading or deceptive conduct</w:t>
        </w:r>
      </w:hyperlink>
    </w:p>
    <w:p w14:paraId="08A952E3" w14:textId="7C4C2D4A" w:rsidR="00991949" w:rsidRPr="00BD4954" w:rsidRDefault="00991949" w:rsidP="00991949">
      <w:pPr>
        <w:pStyle w:val="Bullet1"/>
        <w:rPr>
          <w:rStyle w:val="Hyperlink"/>
          <w:color w:val="000000" w:themeColor="text1"/>
          <w:u w:val="none"/>
        </w:rPr>
      </w:pPr>
      <w:hyperlink r:id="rId21" w:history="1">
        <w:r w:rsidRPr="00BD4954">
          <w:rPr>
            <w:rStyle w:val="Hyperlink"/>
          </w:rPr>
          <w:t>Australian Consumer Law Website</w:t>
        </w:r>
      </w:hyperlink>
    </w:p>
    <w:p w14:paraId="49976737" w14:textId="3AA05966" w:rsidR="00FF70B7" w:rsidRPr="004D7A5D" w:rsidRDefault="0026792C" w:rsidP="00FF70B7">
      <w:pPr>
        <w:pStyle w:val="Bullet1"/>
        <w:rPr>
          <w:rStyle w:val="Hyperlink"/>
          <w:color w:val="000000" w:themeColor="text1"/>
          <w:u w:val="none"/>
        </w:rPr>
      </w:pPr>
      <w:hyperlink r:id="rId22" w:history="1">
        <w:r w:rsidRPr="00674EFB">
          <w:rPr>
            <w:rStyle w:val="Hyperlink"/>
          </w:rPr>
          <w:t>National Microcredentials Framework</w:t>
        </w:r>
      </w:hyperlink>
    </w:p>
    <w:p w14:paraId="06FB2D07" w14:textId="6CFB0F20" w:rsidR="00DB6A43" w:rsidRPr="00BD4954" w:rsidRDefault="00DB6A43" w:rsidP="00FF70B7">
      <w:pPr>
        <w:pStyle w:val="Bullet1"/>
      </w:pPr>
      <w:hyperlink r:id="rId23" w:history="1">
        <w:r w:rsidRPr="00A00D2C">
          <w:rPr>
            <w:rStyle w:val="Hyperlink"/>
            <w:i/>
            <w:iCs/>
          </w:rPr>
          <w:t>Tertiary Education Quality and Standards Agency Act 2011</w:t>
        </w:r>
      </w:hyperlink>
      <w:r>
        <w:t xml:space="preserve"> (TEQSA Act).</w:t>
      </w:r>
    </w:p>
    <w:p w14:paraId="795BB8C7" w14:textId="77777777" w:rsidR="00FF70B7" w:rsidRPr="00DD658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1C6A9656" w:rsidR="00B759C1" w:rsidRPr="00DD6587"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398EA8B"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DD6587" w:rsidRDefault="00B759C1" w:rsidP="009F5D9A">
            <w:pPr>
              <w:pStyle w:val="Normal1"/>
              <w:spacing w:line="240" w:lineRule="auto"/>
              <w:rPr>
                <w:sz w:val="20"/>
                <w:szCs w:val="20"/>
              </w:rPr>
            </w:pPr>
          </w:p>
        </w:tc>
      </w:tr>
      <w:tr w:rsidR="00B759C1" w:rsidRPr="00DD6587"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247726EC"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2E80F657" w:rsidR="00B759C1" w:rsidRPr="00DD6587" w:rsidRDefault="00B759C1"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401631CA" w:rsidR="00B759C1" w:rsidRPr="00DD6587" w:rsidRDefault="00B759C1" w:rsidP="009F5D9A">
            <w:pPr>
              <w:pStyle w:val="Normal1"/>
              <w:spacing w:line="240" w:lineRule="auto"/>
              <w:rPr>
                <w:sz w:val="20"/>
                <w:szCs w:val="20"/>
              </w:rPr>
            </w:pPr>
          </w:p>
        </w:tc>
      </w:tr>
      <w:tr w:rsidR="00B759C1" w:rsidRPr="00DD6587"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111AB0B"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1377AC17"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0A1CF1DF" w:rsidR="00B759C1" w:rsidRPr="00DD6587" w:rsidRDefault="00B759C1" w:rsidP="009F5D9A">
            <w:pPr>
              <w:pStyle w:val="Normal1"/>
              <w:spacing w:line="240" w:lineRule="auto"/>
              <w:rPr>
                <w:sz w:val="20"/>
                <w:szCs w:val="20"/>
              </w:rPr>
            </w:pPr>
          </w:p>
        </w:tc>
      </w:tr>
      <w:tr w:rsidR="00B759C1" w:rsidRPr="00DD6587"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46303592"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03E6BEBE"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4DDBCA25" w:rsidR="00B759C1" w:rsidRPr="00DD6587" w:rsidRDefault="00B759C1" w:rsidP="009F5D9A">
            <w:pPr>
              <w:pStyle w:val="Normal1"/>
              <w:spacing w:line="240" w:lineRule="auto"/>
              <w:rPr>
                <w:sz w:val="20"/>
                <w:szCs w:val="20"/>
              </w:rPr>
            </w:pPr>
          </w:p>
        </w:tc>
      </w:tr>
    </w:tbl>
    <w:p w14:paraId="5101D4CC" w14:textId="6A98D8ED" w:rsidR="00B759C1" w:rsidRPr="00DD6587" w:rsidRDefault="00B759C1" w:rsidP="00122F7A">
      <w:pPr>
        <w:pStyle w:val="BulletsL1"/>
        <w:numPr>
          <w:ilvl w:val="0"/>
          <w:numId w:val="0"/>
        </w:numPr>
        <w:rPr>
          <w:rFonts w:cs="Arial"/>
          <w:lang w:val="en-AU"/>
        </w:rPr>
      </w:pPr>
    </w:p>
    <w:sectPr w:rsidR="00B759C1" w:rsidRPr="00DD6587" w:rsidSect="00EC5DD6">
      <w:headerReference w:type="even" r:id="rId24"/>
      <w:headerReference w:type="default" r:id="rId25"/>
      <w:footerReference w:type="even" r:id="rId26"/>
      <w:footerReference w:type="default" r:id="rId27"/>
      <w:headerReference w:type="first" r:id="rId28"/>
      <w:footerReference w:type="first" r:id="rId29"/>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9CE0" w14:textId="77777777" w:rsidR="00FA0555" w:rsidRDefault="00FA0555" w:rsidP="006C328D">
      <w:pPr>
        <w:spacing w:before="0" w:after="0"/>
      </w:pPr>
      <w:r>
        <w:separator/>
      </w:r>
    </w:p>
  </w:endnote>
  <w:endnote w:type="continuationSeparator" w:id="0">
    <w:p w14:paraId="0B6F4E9C" w14:textId="77777777" w:rsidR="00FA0555" w:rsidRDefault="00FA0555" w:rsidP="006C328D">
      <w:pPr>
        <w:spacing w:before="0" w:after="0"/>
      </w:pPr>
      <w:r>
        <w:continuationSeparator/>
      </w:r>
    </w:p>
  </w:endnote>
  <w:endnote w:type="continuationNotice" w:id="1">
    <w:p w14:paraId="2A458F4F" w14:textId="77777777" w:rsidR="00FA0555" w:rsidRDefault="00FA05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6735" w14:textId="200DA86F" w:rsidR="00C93F78" w:rsidRDefault="00C93F78">
    <w:pPr>
      <w:pStyle w:val="Footer"/>
    </w:pPr>
    <w:r>
      <w:rPr>
        <w:noProof/>
      </w:rPr>
      <mc:AlternateContent>
        <mc:Choice Requires="wps">
          <w:drawing>
            <wp:anchor distT="0" distB="0" distL="114300" distR="114300" simplePos="0" relativeHeight="251659776" behindDoc="0" locked="1" layoutInCell="0" allowOverlap="1" wp14:anchorId="47037674" wp14:editId="543983FE">
              <wp:simplePos x="0" y="0"/>
              <wp:positionH relativeFrom="margin">
                <wp:align>center</wp:align>
              </wp:positionH>
              <wp:positionV relativeFrom="bottomMargin">
                <wp:align>center</wp:align>
              </wp:positionV>
              <wp:extent cx="892175" cy="273050"/>
              <wp:effectExtent l="0" t="0" r="0" b="0"/>
              <wp:wrapNone/>
              <wp:docPr id="8"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04B78" w14:textId="308515C0"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PM_ProtectiveMarkingValue_Footer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037674"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5977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03904B78" w14:textId="308515C0"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PM_ProtectiveMarkingValue_Footer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057" w14:textId="7A9C0A59" w:rsidR="009F5D9A" w:rsidRPr="00FF2540" w:rsidRDefault="00C93F78">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57728" behindDoc="0" locked="1" layoutInCell="0" allowOverlap="1" wp14:anchorId="4F460186" wp14:editId="5437C645">
              <wp:simplePos x="0" y="0"/>
              <wp:positionH relativeFrom="margin">
                <wp:align>center</wp:align>
              </wp:positionH>
              <wp:positionV relativeFrom="bottomMargin">
                <wp:align>center</wp:align>
              </wp:positionV>
              <wp:extent cx="892175" cy="273050"/>
              <wp:effectExtent l="0" t="0" r="0" b="0"/>
              <wp:wrapNone/>
              <wp:docPr id="6"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D2080" w14:textId="76148879"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PM_ProtectiveMarkingValue_Footer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460186"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4BAD2080" w14:textId="76148879"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PM_ProtectiveMarkingValue_Footer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F00A" w14:textId="5AD2D161" w:rsidR="00C93F78" w:rsidRDefault="00C93F78">
    <w:pPr>
      <w:pStyle w:val="Footer"/>
    </w:pPr>
    <w:r>
      <w:rPr>
        <w:noProof/>
      </w:rPr>
      <mc:AlternateContent>
        <mc:Choice Requires="wps">
          <w:drawing>
            <wp:anchor distT="0" distB="0" distL="114300" distR="114300" simplePos="0" relativeHeight="251658752" behindDoc="0" locked="1" layoutInCell="0" allowOverlap="1" wp14:anchorId="64B7577E" wp14:editId="095B555E">
              <wp:simplePos x="0" y="0"/>
              <wp:positionH relativeFrom="margin">
                <wp:align>center</wp:align>
              </wp:positionH>
              <wp:positionV relativeFrom="bottomMargin">
                <wp:align>center</wp:align>
              </wp:positionV>
              <wp:extent cx="892175" cy="273050"/>
              <wp:effectExtent l="0" t="0" r="0" b="0"/>
              <wp:wrapNone/>
              <wp:docPr id="7"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07011" w14:textId="6A5F9F5D"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PM_ProtectiveMarkingValue_Footer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B7577E" id="_x0000_t202" coordsize="21600,21600" o:spt="202" path="m,l,21600r21600,l21600,xe">
              <v:stroke joinstyle="miter"/>
              <v:path gradientshapeok="t" o:connecttype="rect"/>
            </v:shapetype>
            <v:shape id="janusSEAL SC F_FirstPage" o:spid="_x0000_s1031" type="#_x0000_t202" style="position:absolute;margin-left:0;margin-top:0;width:70.25pt;height:21.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3B507011" w14:textId="6A5F9F5D"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PM_ProtectiveMarkingValue_Footer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25A8" w14:textId="77777777" w:rsidR="00FA0555" w:rsidRDefault="00FA0555" w:rsidP="006C328D">
      <w:pPr>
        <w:spacing w:before="0" w:after="0"/>
      </w:pPr>
      <w:r>
        <w:separator/>
      </w:r>
    </w:p>
  </w:footnote>
  <w:footnote w:type="continuationSeparator" w:id="0">
    <w:p w14:paraId="0CC3195E" w14:textId="77777777" w:rsidR="00FA0555" w:rsidRDefault="00FA0555" w:rsidP="006C328D">
      <w:pPr>
        <w:spacing w:before="0" w:after="0"/>
      </w:pPr>
      <w:r>
        <w:continuationSeparator/>
      </w:r>
    </w:p>
  </w:footnote>
  <w:footnote w:type="continuationNotice" w:id="1">
    <w:p w14:paraId="25929831" w14:textId="77777777" w:rsidR="00FA0555" w:rsidRDefault="00FA05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4E3D" w14:textId="52670EC0" w:rsidR="00C93F78" w:rsidRDefault="00C93F78">
    <w:pPr>
      <w:pStyle w:val="Header"/>
    </w:pPr>
    <w:r>
      <w:rPr>
        <w:noProof/>
      </w:rPr>
      <mc:AlternateContent>
        <mc:Choice Requires="wps">
          <w:drawing>
            <wp:anchor distT="0" distB="0" distL="114300" distR="114300" simplePos="0" relativeHeight="251656704" behindDoc="0" locked="1" layoutInCell="0" allowOverlap="1" wp14:anchorId="56ADCA0B" wp14:editId="32E30F05">
              <wp:simplePos x="0" y="0"/>
              <wp:positionH relativeFrom="margin">
                <wp:align>center</wp:align>
              </wp:positionH>
              <wp:positionV relativeFrom="topMargin">
                <wp:align>center</wp:align>
              </wp:positionV>
              <wp:extent cx="892175" cy="273050"/>
              <wp:effectExtent l="0" t="0" r="0" b="0"/>
              <wp:wrapNone/>
              <wp:docPr id="5"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646E9" w14:textId="4DE1CE5C"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PM_ProtectiveMarkingValue_Header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ADCA0B"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014646E9" w14:textId="4DE1CE5C"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PM_ProtectiveMarkingValue_Header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9C76" w14:textId="33D235BE" w:rsidR="009F5D9A" w:rsidRPr="006C328D" w:rsidRDefault="00DC47EE" w:rsidP="006C328D">
    <w:pPr>
      <w:pStyle w:val="Header"/>
      <w:spacing w:after="240"/>
      <w:jc w:val="right"/>
      <w:rPr>
        <w:rFonts w:ascii="Georgia" w:hAnsi="Georgia" w:cs="Arial"/>
        <w:b/>
        <w:noProof/>
        <w:color w:val="004855"/>
        <w:sz w:val="28"/>
        <w:szCs w:val="28"/>
        <w:lang w:eastAsia="en-AU"/>
      </w:rPr>
    </w:pPr>
    <w:sdt>
      <w:sdtPr>
        <w:rPr>
          <w:rFonts w:ascii="Georgia" w:hAnsi="Georgia" w:cs="Arial"/>
          <w:b/>
          <w:noProof/>
          <w:color w:val="004855"/>
          <w:sz w:val="28"/>
          <w:szCs w:val="28"/>
          <w:lang w:eastAsia="en-AU"/>
        </w:rPr>
        <w:id w:val="1153959958"/>
        <w:docPartObj>
          <w:docPartGallery w:val="Watermarks"/>
          <w:docPartUnique/>
        </w:docPartObj>
      </w:sdtPr>
      <w:sdtEndPr/>
      <w:sdtContent>
        <w:r>
          <w:rPr>
            <w:rFonts w:ascii="Georgia" w:hAnsi="Georgia" w:cs="Arial"/>
            <w:b/>
            <w:noProof/>
            <w:color w:val="004855"/>
            <w:sz w:val="28"/>
            <w:szCs w:val="28"/>
            <w:lang w:eastAsia="en-AU"/>
          </w:rPr>
          <w:pict w14:anchorId="3E5A1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93F78">
      <w:rPr>
        <w:rFonts w:ascii="Georgia" w:hAnsi="Georgia" w:cs="Arial"/>
        <w:b/>
        <w:noProof/>
        <w:color w:val="004855"/>
        <w:sz w:val="28"/>
        <w:szCs w:val="28"/>
        <w:lang w:eastAsia="en-AU"/>
      </w:rPr>
      <mc:AlternateContent>
        <mc:Choice Requires="wps">
          <w:drawing>
            <wp:anchor distT="0" distB="0" distL="114300" distR="114300" simplePos="0" relativeHeight="251654656" behindDoc="0" locked="1" layoutInCell="0" allowOverlap="1" wp14:anchorId="3DF26BF5" wp14:editId="7FD2555A">
              <wp:simplePos x="0" y="0"/>
              <wp:positionH relativeFrom="margin">
                <wp:align>center</wp:align>
              </wp:positionH>
              <wp:positionV relativeFrom="topMargin">
                <wp:align>center</wp:align>
              </wp:positionV>
              <wp:extent cx="892175" cy="27305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3FE3B" w14:textId="077408A7"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PM_ProtectiveMarkingValue_Header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F26BF5"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1.5pt;z-index:2516546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4443FE3B" w14:textId="077408A7"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PM_ProtectiveMarkingValue_Header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C1D1" w14:textId="673C961C" w:rsidR="00C93F78" w:rsidRDefault="00C93F78">
    <w:pPr>
      <w:pStyle w:val="Header"/>
    </w:pPr>
    <w:r>
      <w:rPr>
        <w:noProof/>
      </w:rPr>
      <mc:AlternateContent>
        <mc:Choice Requires="wps">
          <w:drawing>
            <wp:anchor distT="0" distB="0" distL="114300" distR="114300" simplePos="0" relativeHeight="251655680" behindDoc="0" locked="1" layoutInCell="0" allowOverlap="1" wp14:anchorId="1A579062" wp14:editId="03E318B9">
              <wp:simplePos x="0" y="0"/>
              <wp:positionH relativeFrom="margin">
                <wp:align>center</wp:align>
              </wp:positionH>
              <wp:positionV relativeFrom="topMargin">
                <wp:align>center</wp:align>
              </wp:positionV>
              <wp:extent cx="892175" cy="273050"/>
              <wp:effectExtent l="0" t="0" r="0" b="0"/>
              <wp:wrapNone/>
              <wp:docPr id="4"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4E6E5" w14:textId="0F2B62AF"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PM_ProtectiveMarkingValue_Header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579062" id="_x0000_t202" coordsize="21600,21600" o:spt="202" path="m,l,21600r21600,l21600,xe">
              <v:stroke joinstyle="miter"/>
              <v:path gradientshapeok="t" o:connecttype="rect"/>
            </v:shapetype>
            <v:shape id="janusSEAL SC H_FirstPage" o:spid="_x0000_s1030" type="#_x0000_t202" style="position:absolute;margin-left:0;margin-top:0;width:70.25pt;height:21.5pt;z-index:2516556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3A84E6E5" w14:textId="0F2B62AF" w:rsidR="00C93F78" w:rsidRPr="00C93F78" w:rsidRDefault="00C93F78" w:rsidP="00C93F78">
                    <w:pPr>
                      <w:spacing w:before="0" w:after="0"/>
                      <w:jc w:val="center"/>
                      <w:rPr>
                        <w:b/>
                        <w:color w:val="FF0000"/>
                        <w:sz w:val="24"/>
                      </w:rPr>
                    </w:pPr>
                    <w:r w:rsidRPr="00C93F78">
                      <w:rPr>
                        <w:b/>
                        <w:color w:val="FF0000"/>
                        <w:sz w:val="24"/>
                      </w:rPr>
                      <w:fldChar w:fldCharType="begin"/>
                    </w:r>
                    <w:r w:rsidRPr="00C93F78">
                      <w:rPr>
                        <w:b/>
                        <w:color w:val="FF0000"/>
                        <w:sz w:val="24"/>
                      </w:rPr>
                      <w:instrText xml:space="preserve"> DOCPROPERTY PM_ProtectiveMarkingValue_Header \* MERGEFORMAT </w:instrText>
                    </w:r>
                    <w:r w:rsidRPr="00C93F78">
                      <w:rPr>
                        <w:b/>
                        <w:color w:val="FF0000"/>
                        <w:sz w:val="24"/>
                      </w:rPr>
                      <w:fldChar w:fldCharType="separate"/>
                    </w:r>
                    <w:r w:rsidR="00DC47EE">
                      <w:rPr>
                        <w:b/>
                        <w:color w:val="FF0000"/>
                        <w:sz w:val="24"/>
                      </w:rPr>
                      <w:t>OFFICIAL</w:t>
                    </w:r>
                    <w:r w:rsidRPr="00C93F78">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DEA6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7992891" o:spid="_x0000_i1025" type="#_x0000_t75" style="width:1in;height:36pt;visibility:visible;mso-wrap-style:square">
            <v:imagedata r:id="rId1" o:title=""/>
          </v:shape>
        </w:pict>
      </mc:Choice>
      <mc:Fallback>
        <w:drawing>
          <wp:inline distT="0" distB="0" distL="0" distR="0" wp14:anchorId="646E06F2" wp14:editId="646E06F3">
            <wp:extent cx="914400" cy="457200"/>
            <wp:effectExtent l="0" t="0" r="0" b="0"/>
            <wp:docPr id="1397992891" name="Picture 139799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mc:Fallback>
    </mc:AlternateContent>
  </w:numPicBullet>
  <w:numPicBullet w:numPicBulletId="1">
    <mc:AlternateContent>
      <mc:Choice Requires="v">
        <w:pict>
          <v:shape w14:anchorId="00C6479C" id="Picture 1744486352" o:spid="_x0000_i1025" type="#_x0000_t75" style="width:1in;height:36pt;visibility:visible;mso-wrap-style:square">
            <v:imagedata r:id="rId3" o:title=""/>
          </v:shape>
        </w:pict>
      </mc:Choice>
      <mc:Fallback>
        <w:drawing>
          <wp:inline distT="0" distB="0" distL="0" distR="0" wp14:anchorId="646E06F4" wp14:editId="646E06F5">
            <wp:extent cx="914400" cy="457200"/>
            <wp:effectExtent l="0" t="0" r="0" b="0"/>
            <wp:docPr id="1744486352" name="Picture 174448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mc:Fallback>
    </mc:AlternateContent>
  </w:numPicBullet>
  <w:numPicBullet w:numPicBulletId="2">
    <mc:AlternateContent>
      <mc:Choice Requires="v">
        <w:pict>
          <v:shape w14:anchorId="3C0E20E2" id="Picture 1116402222" o:spid="_x0000_i1025" type="#_x0000_t75" style="width:1in;height:36pt;visibility:visible;mso-wrap-style:square">
            <v:imagedata r:id="rId5" o:title=""/>
          </v:shape>
        </w:pict>
      </mc:Choice>
      <mc:Fallback>
        <w:drawing>
          <wp:inline distT="0" distB="0" distL="0" distR="0" wp14:anchorId="646E06F6" wp14:editId="646E06F7">
            <wp:extent cx="914400" cy="457200"/>
            <wp:effectExtent l="0" t="0" r="0" b="0"/>
            <wp:docPr id="1116402222" name="Picture 111640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mc:Fallback>
    </mc:AlternateContent>
  </w:numPicBullet>
  <w:abstractNum w:abstractNumId="0" w15:restartNumberingAfterBreak="0">
    <w:nsid w:val="0F7E74D4"/>
    <w:multiLevelType w:val="hybridMultilevel"/>
    <w:tmpl w:val="5F2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E541A5"/>
    <w:multiLevelType w:val="multilevel"/>
    <w:tmpl w:val="2206812C"/>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727EA"/>
    <w:multiLevelType w:val="hybridMultilevel"/>
    <w:tmpl w:val="E31A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5418F"/>
    <w:multiLevelType w:val="hybridMultilevel"/>
    <w:tmpl w:val="ADFC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54264"/>
    <w:multiLevelType w:val="hybridMultilevel"/>
    <w:tmpl w:val="5BF2B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C70AA1"/>
    <w:multiLevelType w:val="hybridMultilevel"/>
    <w:tmpl w:val="0104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9" w15:restartNumberingAfterBreak="0">
    <w:nsid w:val="70EF4A17"/>
    <w:multiLevelType w:val="hybridMultilevel"/>
    <w:tmpl w:val="2DFE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94CFD"/>
    <w:multiLevelType w:val="hybridMultilevel"/>
    <w:tmpl w:val="A948D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61233"/>
    <w:multiLevelType w:val="hybridMultilevel"/>
    <w:tmpl w:val="A5A0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23"/>
  </w:num>
  <w:num w:numId="2" w16cid:durableId="1454596241">
    <w:abstractNumId w:val="22"/>
  </w:num>
  <w:num w:numId="3" w16cid:durableId="1615096026">
    <w:abstractNumId w:val="17"/>
  </w:num>
  <w:num w:numId="4" w16cid:durableId="474376293">
    <w:abstractNumId w:val="16"/>
  </w:num>
  <w:num w:numId="5" w16cid:durableId="1738548158">
    <w:abstractNumId w:val="14"/>
  </w:num>
  <w:num w:numId="6" w16cid:durableId="227151088">
    <w:abstractNumId w:val="4"/>
  </w:num>
  <w:num w:numId="7" w16cid:durableId="120194778">
    <w:abstractNumId w:val="6"/>
  </w:num>
  <w:num w:numId="8" w16cid:durableId="1232084426">
    <w:abstractNumId w:val="7"/>
  </w:num>
  <w:num w:numId="9" w16cid:durableId="2018917101">
    <w:abstractNumId w:val="15"/>
  </w:num>
  <w:num w:numId="10" w16cid:durableId="124588575">
    <w:abstractNumId w:val="10"/>
  </w:num>
  <w:num w:numId="11" w16cid:durableId="1633095877">
    <w:abstractNumId w:val="3"/>
  </w:num>
  <w:num w:numId="12" w16cid:durableId="1014379581">
    <w:abstractNumId w:val="2"/>
  </w:num>
  <w:num w:numId="13" w16cid:durableId="776604904">
    <w:abstractNumId w:val="9"/>
  </w:num>
  <w:num w:numId="14" w16cid:durableId="1150905779">
    <w:abstractNumId w:val="18"/>
  </w:num>
  <w:num w:numId="15" w16cid:durableId="381056798">
    <w:abstractNumId w:val="1"/>
  </w:num>
  <w:num w:numId="16" w16cid:durableId="741606906">
    <w:abstractNumId w:val="8"/>
  </w:num>
  <w:num w:numId="17" w16cid:durableId="1332179644">
    <w:abstractNumId w:val="19"/>
  </w:num>
  <w:num w:numId="18" w16cid:durableId="1162046162">
    <w:abstractNumId w:val="12"/>
  </w:num>
  <w:num w:numId="19" w16cid:durableId="1848058966">
    <w:abstractNumId w:val="5"/>
  </w:num>
  <w:num w:numId="20" w16cid:durableId="1132746994">
    <w:abstractNumId w:val="0"/>
  </w:num>
  <w:num w:numId="21" w16cid:durableId="1077821385">
    <w:abstractNumId w:val="11"/>
  </w:num>
  <w:num w:numId="22" w16cid:durableId="1679502762">
    <w:abstractNumId w:val="1"/>
  </w:num>
  <w:num w:numId="23" w16cid:durableId="1898205423">
    <w:abstractNumId w:val="1"/>
  </w:num>
  <w:num w:numId="24" w16cid:durableId="2130005205">
    <w:abstractNumId w:val="1"/>
  </w:num>
  <w:num w:numId="25" w16cid:durableId="55400206">
    <w:abstractNumId w:val="21"/>
  </w:num>
  <w:num w:numId="26" w16cid:durableId="1962105124">
    <w:abstractNumId w:val="1"/>
  </w:num>
  <w:num w:numId="27" w16cid:durableId="1773475367">
    <w:abstractNumId w:val="1"/>
  </w:num>
  <w:num w:numId="28" w16cid:durableId="353925220">
    <w:abstractNumId w:val="1"/>
  </w:num>
  <w:num w:numId="29" w16cid:durableId="152376190">
    <w:abstractNumId w:val="1"/>
  </w:num>
  <w:num w:numId="30" w16cid:durableId="342441548">
    <w:abstractNumId w:val="1"/>
  </w:num>
  <w:num w:numId="31" w16cid:durableId="45225890">
    <w:abstractNumId w:val="1"/>
  </w:num>
  <w:num w:numId="32" w16cid:durableId="1186015301">
    <w:abstractNumId w:val="1"/>
  </w:num>
  <w:num w:numId="33" w16cid:durableId="915089331">
    <w:abstractNumId w:val="13"/>
  </w:num>
  <w:num w:numId="34" w16cid:durableId="149510375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0915"/>
    <w:rsid w:val="000018C1"/>
    <w:rsid w:val="00002015"/>
    <w:rsid w:val="00004ACF"/>
    <w:rsid w:val="00004F6D"/>
    <w:rsid w:val="00005BFD"/>
    <w:rsid w:val="00006E63"/>
    <w:rsid w:val="000103BA"/>
    <w:rsid w:val="00012984"/>
    <w:rsid w:val="0001781C"/>
    <w:rsid w:val="0002032A"/>
    <w:rsid w:val="00022B45"/>
    <w:rsid w:val="00027873"/>
    <w:rsid w:val="000313CA"/>
    <w:rsid w:val="000342DB"/>
    <w:rsid w:val="00040A3A"/>
    <w:rsid w:val="00044F84"/>
    <w:rsid w:val="00047FB3"/>
    <w:rsid w:val="00050A2A"/>
    <w:rsid w:val="00055F9D"/>
    <w:rsid w:val="00056406"/>
    <w:rsid w:val="0005741A"/>
    <w:rsid w:val="00061902"/>
    <w:rsid w:val="0007028B"/>
    <w:rsid w:val="00071592"/>
    <w:rsid w:val="000766E4"/>
    <w:rsid w:val="00080B59"/>
    <w:rsid w:val="00081334"/>
    <w:rsid w:val="00082CF7"/>
    <w:rsid w:val="00083910"/>
    <w:rsid w:val="00084A68"/>
    <w:rsid w:val="00085102"/>
    <w:rsid w:val="00091632"/>
    <w:rsid w:val="000944B4"/>
    <w:rsid w:val="00096143"/>
    <w:rsid w:val="00097AD5"/>
    <w:rsid w:val="000A0970"/>
    <w:rsid w:val="000A3B1C"/>
    <w:rsid w:val="000A4CC3"/>
    <w:rsid w:val="000A60F3"/>
    <w:rsid w:val="000B0BA9"/>
    <w:rsid w:val="000B0D37"/>
    <w:rsid w:val="000B3283"/>
    <w:rsid w:val="000B3FA9"/>
    <w:rsid w:val="000B49DC"/>
    <w:rsid w:val="000B4FB2"/>
    <w:rsid w:val="000B6A01"/>
    <w:rsid w:val="000B7D25"/>
    <w:rsid w:val="000C0AB6"/>
    <w:rsid w:val="000C1F5D"/>
    <w:rsid w:val="000C3BB1"/>
    <w:rsid w:val="000C4D9B"/>
    <w:rsid w:val="000C5ED3"/>
    <w:rsid w:val="000C7E8E"/>
    <w:rsid w:val="000D03F5"/>
    <w:rsid w:val="000D0801"/>
    <w:rsid w:val="000D2C11"/>
    <w:rsid w:val="000D32D1"/>
    <w:rsid w:val="000D4F10"/>
    <w:rsid w:val="000E1BEC"/>
    <w:rsid w:val="000E4B1A"/>
    <w:rsid w:val="000E510F"/>
    <w:rsid w:val="000E5FBD"/>
    <w:rsid w:val="000E688F"/>
    <w:rsid w:val="000E74E7"/>
    <w:rsid w:val="000E7ED2"/>
    <w:rsid w:val="000F00DE"/>
    <w:rsid w:val="000F117B"/>
    <w:rsid w:val="000F1845"/>
    <w:rsid w:val="000F1C21"/>
    <w:rsid w:val="000F26A9"/>
    <w:rsid w:val="00107D1B"/>
    <w:rsid w:val="00107F2E"/>
    <w:rsid w:val="00111923"/>
    <w:rsid w:val="001126FD"/>
    <w:rsid w:val="00115945"/>
    <w:rsid w:val="00116A17"/>
    <w:rsid w:val="00117750"/>
    <w:rsid w:val="00120AEC"/>
    <w:rsid w:val="00122F7A"/>
    <w:rsid w:val="00126D4B"/>
    <w:rsid w:val="00126E4D"/>
    <w:rsid w:val="00130A47"/>
    <w:rsid w:val="0013224B"/>
    <w:rsid w:val="00132555"/>
    <w:rsid w:val="0013286E"/>
    <w:rsid w:val="0013298A"/>
    <w:rsid w:val="00134DD1"/>
    <w:rsid w:val="00136402"/>
    <w:rsid w:val="0013657A"/>
    <w:rsid w:val="00136605"/>
    <w:rsid w:val="00140C7F"/>
    <w:rsid w:val="00140F62"/>
    <w:rsid w:val="00142273"/>
    <w:rsid w:val="001440A7"/>
    <w:rsid w:val="0014435A"/>
    <w:rsid w:val="001447C2"/>
    <w:rsid w:val="001473A3"/>
    <w:rsid w:val="00152986"/>
    <w:rsid w:val="00152D17"/>
    <w:rsid w:val="00154E3C"/>
    <w:rsid w:val="00155751"/>
    <w:rsid w:val="00155C35"/>
    <w:rsid w:val="001561CC"/>
    <w:rsid w:val="00157D16"/>
    <w:rsid w:val="00164942"/>
    <w:rsid w:val="001656A9"/>
    <w:rsid w:val="00165ACF"/>
    <w:rsid w:val="001707A3"/>
    <w:rsid w:val="00171319"/>
    <w:rsid w:val="00171A8B"/>
    <w:rsid w:val="00172DE5"/>
    <w:rsid w:val="0018171C"/>
    <w:rsid w:val="00181F0E"/>
    <w:rsid w:val="001845B1"/>
    <w:rsid w:val="001902C4"/>
    <w:rsid w:val="001910C8"/>
    <w:rsid w:val="001937CF"/>
    <w:rsid w:val="00194220"/>
    <w:rsid w:val="00194387"/>
    <w:rsid w:val="00194D16"/>
    <w:rsid w:val="00196F2D"/>
    <w:rsid w:val="001A24C7"/>
    <w:rsid w:val="001A24CE"/>
    <w:rsid w:val="001A6EAF"/>
    <w:rsid w:val="001A7601"/>
    <w:rsid w:val="001A7DEF"/>
    <w:rsid w:val="001B2E2D"/>
    <w:rsid w:val="001B4CEB"/>
    <w:rsid w:val="001B7510"/>
    <w:rsid w:val="001B7CDB"/>
    <w:rsid w:val="001C05F9"/>
    <w:rsid w:val="001C1EC9"/>
    <w:rsid w:val="001C43A2"/>
    <w:rsid w:val="001C68AB"/>
    <w:rsid w:val="001D4138"/>
    <w:rsid w:val="001E01A5"/>
    <w:rsid w:val="001E2EA5"/>
    <w:rsid w:val="001E3F32"/>
    <w:rsid w:val="001E5CE3"/>
    <w:rsid w:val="001E6D0C"/>
    <w:rsid w:val="001F1065"/>
    <w:rsid w:val="001F205F"/>
    <w:rsid w:val="001F2D49"/>
    <w:rsid w:val="001F39F5"/>
    <w:rsid w:val="001F3B80"/>
    <w:rsid w:val="001F3C95"/>
    <w:rsid w:val="001F4942"/>
    <w:rsid w:val="001F5BE9"/>
    <w:rsid w:val="001F643B"/>
    <w:rsid w:val="002019A1"/>
    <w:rsid w:val="00202B89"/>
    <w:rsid w:val="00204BC7"/>
    <w:rsid w:val="00204CBB"/>
    <w:rsid w:val="002067F8"/>
    <w:rsid w:val="002075C2"/>
    <w:rsid w:val="002108DA"/>
    <w:rsid w:val="00210D74"/>
    <w:rsid w:val="0021165D"/>
    <w:rsid w:val="0021260E"/>
    <w:rsid w:val="0021736D"/>
    <w:rsid w:val="00221665"/>
    <w:rsid w:val="002238DF"/>
    <w:rsid w:val="00224523"/>
    <w:rsid w:val="0022469E"/>
    <w:rsid w:val="00231DD9"/>
    <w:rsid w:val="0023350E"/>
    <w:rsid w:val="00233FDD"/>
    <w:rsid w:val="002363AF"/>
    <w:rsid w:val="0023668E"/>
    <w:rsid w:val="00236B0E"/>
    <w:rsid w:val="00237566"/>
    <w:rsid w:val="00241C3C"/>
    <w:rsid w:val="0024219C"/>
    <w:rsid w:val="002424AD"/>
    <w:rsid w:val="00244814"/>
    <w:rsid w:val="00244D59"/>
    <w:rsid w:val="00250EBC"/>
    <w:rsid w:val="002512B6"/>
    <w:rsid w:val="002515AD"/>
    <w:rsid w:val="00253EE0"/>
    <w:rsid w:val="00255EA2"/>
    <w:rsid w:val="0025685A"/>
    <w:rsid w:val="00257BF4"/>
    <w:rsid w:val="002639FD"/>
    <w:rsid w:val="00264988"/>
    <w:rsid w:val="0026792C"/>
    <w:rsid w:val="002744B4"/>
    <w:rsid w:val="00276729"/>
    <w:rsid w:val="002770FF"/>
    <w:rsid w:val="00281356"/>
    <w:rsid w:val="0028229D"/>
    <w:rsid w:val="00282F85"/>
    <w:rsid w:val="00285003"/>
    <w:rsid w:val="00286198"/>
    <w:rsid w:val="002866BA"/>
    <w:rsid w:val="002933BF"/>
    <w:rsid w:val="002955EE"/>
    <w:rsid w:val="002A08F7"/>
    <w:rsid w:val="002A0F67"/>
    <w:rsid w:val="002A56DB"/>
    <w:rsid w:val="002A6535"/>
    <w:rsid w:val="002A7000"/>
    <w:rsid w:val="002A73B1"/>
    <w:rsid w:val="002B23DF"/>
    <w:rsid w:val="002B312A"/>
    <w:rsid w:val="002B4404"/>
    <w:rsid w:val="002B4967"/>
    <w:rsid w:val="002B6910"/>
    <w:rsid w:val="002C5F51"/>
    <w:rsid w:val="002C794A"/>
    <w:rsid w:val="002C7E4F"/>
    <w:rsid w:val="002E1025"/>
    <w:rsid w:val="002E359C"/>
    <w:rsid w:val="002E5D7C"/>
    <w:rsid w:val="002E6B64"/>
    <w:rsid w:val="002F06CD"/>
    <w:rsid w:val="002F1FD6"/>
    <w:rsid w:val="002F204F"/>
    <w:rsid w:val="002F3D85"/>
    <w:rsid w:val="002F40D7"/>
    <w:rsid w:val="002F5B6C"/>
    <w:rsid w:val="002F5E05"/>
    <w:rsid w:val="002F6D7D"/>
    <w:rsid w:val="002F7389"/>
    <w:rsid w:val="002F786E"/>
    <w:rsid w:val="0030065D"/>
    <w:rsid w:val="00300A90"/>
    <w:rsid w:val="00301DC5"/>
    <w:rsid w:val="00302C26"/>
    <w:rsid w:val="00304281"/>
    <w:rsid w:val="0030651C"/>
    <w:rsid w:val="00306EDD"/>
    <w:rsid w:val="00307C10"/>
    <w:rsid w:val="00312BE4"/>
    <w:rsid w:val="00312D99"/>
    <w:rsid w:val="00315BAF"/>
    <w:rsid w:val="003204C6"/>
    <w:rsid w:val="00320CC1"/>
    <w:rsid w:val="0032182A"/>
    <w:rsid w:val="0032329A"/>
    <w:rsid w:val="00334C2A"/>
    <w:rsid w:val="0034020D"/>
    <w:rsid w:val="00340768"/>
    <w:rsid w:val="00343A0A"/>
    <w:rsid w:val="00345122"/>
    <w:rsid w:val="00345731"/>
    <w:rsid w:val="00345AA5"/>
    <w:rsid w:val="00350C0A"/>
    <w:rsid w:val="00350F2E"/>
    <w:rsid w:val="00352408"/>
    <w:rsid w:val="00352B79"/>
    <w:rsid w:val="00355B8D"/>
    <w:rsid w:val="00356EE4"/>
    <w:rsid w:val="00357F78"/>
    <w:rsid w:val="00363AA3"/>
    <w:rsid w:val="003678F1"/>
    <w:rsid w:val="00367C15"/>
    <w:rsid w:val="00370759"/>
    <w:rsid w:val="003716A4"/>
    <w:rsid w:val="0037189D"/>
    <w:rsid w:val="00373648"/>
    <w:rsid w:val="003778EB"/>
    <w:rsid w:val="003823FE"/>
    <w:rsid w:val="00384709"/>
    <w:rsid w:val="00386918"/>
    <w:rsid w:val="00386D2E"/>
    <w:rsid w:val="00394632"/>
    <w:rsid w:val="003962CC"/>
    <w:rsid w:val="003977F6"/>
    <w:rsid w:val="003A0BD3"/>
    <w:rsid w:val="003A372C"/>
    <w:rsid w:val="003A56EB"/>
    <w:rsid w:val="003A6A18"/>
    <w:rsid w:val="003A6EF8"/>
    <w:rsid w:val="003B1090"/>
    <w:rsid w:val="003B29D9"/>
    <w:rsid w:val="003B5CBC"/>
    <w:rsid w:val="003B7A87"/>
    <w:rsid w:val="003C0410"/>
    <w:rsid w:val="003C07E7"/>
    <w:rsid w:val="003C16FC"/>
    <w:rsid w:val="003C23CE"/>
    <w:rsid w:val="003C32AF"/>
    <w:rsid w:val="003C559A"/>
    <w:rsid w:val="003D549B"/>
    <w:rsid w:val="003D5815"/>
    <w:rsid w:val="003E02F2"/>
    <w:rsid w:val="003E0BCC"/>
    <w:rsid w:val="003E0DFA"/>
    <w:rsid w:val="003E4D06"/>
    <w:rsid w:val="003F0602"/>
    <w:rsid w:val="003F1520"/>
    <w:rsid w:val="003F2338"/>
    <w:rsid w:val="003F2713"/>
    <w:rsid w:val="003F581D"/>
    <w:rsid w:val="003F7443"/>
    <w:rsid w:val="003F75C3"/>
    <w:rsid w:val="00402296"/>
    <w:rsid w:val="004025FE"/>
    <w:rsid w:val="00402E02"/>
    <w:rsid w:val="00402F32"/>
    <w:rsid w:val="004065B1"/>
    <w:rsid w:val="00411901"/>
    <w:rsid w:val="004126B0"/>
    <w:rsid w:val="00412C9C"/>
    <w:rsid w:val="0041348B"/>
    <w:rsid w:val="00417384"/>
    <w:rsid w:val="00417B39"/>
    <w:rsid w:val="00420725"/>
    <w:rsid w:val="00421DF9"/>
    <w:rsid w:val="00422ABB"/>
    <w:rsid w:val="004240B5"/>
    <w:rsid w:val="004304A0"/>
    <w:rsid w:val="00434C9E"/>
    <w:rsid w:val="00435362"/>
    <w:rsid w:val="00436E67"/>
    <w:rsid w:val="00441B00"/>
    <w:rsid w:val="0044410E"/>
    <w:rsid w:val="004448FB"/>
    <w:rsid w:val="0044652F"/>
    <w:rsid w:val="0044738E"/>
    <w:rsid w:val="004473B1"/>
    <w:rsid w:val="00447DDD"/>
    <w:rsid w:val="00451687"/>
    <w:rsid w:val="00452B38"/>
    <w:rsid w:val="00455DEF"/>
    <w:rsid w:val="0045740F"/>
    <w:rsid w:val="00465A13"/>
    <w:rsid w:val="0046719A"/>
    <w:rsid w:val="004677FD"/>
    <w:rsid w:val="004756B4"/>
    <w:rsid w:val="00476DC9"/>
    <w:rsid w:val="00481393"/>
    <w:rsid w:val="0048160D"/>
    <w:rsid w:val="00481B27"/>
    <w:rsid w:val="00484490"/>
    <w:rsid w:val="004909C5"/>
    <w:rsid w:val="004A0419"/>
    <w:rsid w:val="004A076E"/>
    <w:rsid w:val="004A09F6"/>
    <w:rsid w:val="004A14AB"/>
    <w:rsid w:val="004A28B5"/>
    <w:rsid w:val="004A438F"/>
    <w:rsid w:val="004A5FF1"/>
    <w:rsid w:val="004A6BFE"/>
    <w:rsid w:val="004A6C5E"/>
    <w:rsid w:val="004B0EA6"/>
    <w:rsid w:val="004B6BCA"/>
    <w:rsid w:val="004C020E"/>
    <w:rsid w:val="004C13CD"/>
    <w:rsid w:val="004C20B3"/>
    <w:rsid w:val="004C39E3"/>
    <w:rsid w:val="004C569B"/>
    <w:rsid w:val="004C6C45"/>
    <w:rsid w:val="004D2C3F"/>
    <w:rsid w:val="004D3825"/>
    <w:rsid w:val="004D3D9B"/>
    <w:rsid w:val="004D4C5D"/>
    <w:rsid w:val="004D7A5D"/>
    <w:rsid w:val="004D7C0F"/>
    <w:rsid w:val="004E0C9A"/>
    <w:rsid w:val="004E15B2"/>
    <w:rsid w:val="004E4D0B"/>
    <w:rsid w:val="004E5C4D"/>
    <w:rsid w:val="004E6B09"/>
    <w:rsid w:val="004E7A10"/>
    <w:rsid w:val="004F0130"/>
    <w:rsid w:val="004F09A5"/>
    <w:rsid w:val="004F190C"/>
    <w:rsid w:val="004F1B3E"/>
    <w:rsid w:val="004F2D42"/>
    <w:rsid w:val="004F3048"/>
    <w:rsid w:val="004F5D9C"/>
    <w:rsid w:val="00502103"/>
    <w:rsid w:val="00511505"/>
    <w:rsid w:val="00512B6C"/>
    <w:rsid w:val="00513E63"/>
    <w:rsid w:val="00516F60"/>
    <w:rsid w:val="0052151B"/>
    <w:rsid w:val="0052314F"/>
    <w:rsid w:val="00524886"/>
    <w:rsid w:val="00525720"/>
    <w:rsid w:val="005300D5"/>
    <w:rsid w:val="00530C18"/>
    <w:rsid w:val="005410A8"/>
    <w:rsid w:val="00541321"/>
    <w:rsid w:val="005424C2"/>
    <w:rsid w:val="00543277"/>
    <w:rsid w:val="00545A37"/>
    <w:rsid w:val="00550D0B"/>
    <w:rsid w:val="00552A2D"/>
    <w:rsid w:val="00555161"/>
    <w:rsid w:val="00556A33"/>
    <w:rsid w:val="00562952"/>
    <w:rsid w:val="00562EE5"/>
    <w:rsid w:val="00563CE9"/>
    <w:rsid w:val="00566BAA"/>
    <w:rsid w:val="00567AD4"/>
    <w:rsid w:val="00567B50"/>
    <w:rsid w:val="00571736"/>
    <w:rsid w:val="00574D5A"/>
    <w:rsid w:val="00577502"/>
    <w:rsid w:val="005842F5"/>
    <w:rsid w:val="005852D0"/>
    <w:rsid w:val="00587D67"/>
    <w:rsid w:val="00587DDA"/>
    <w:rsid w:val="00591E1F"/>
    <w:rsid w:val="0059539E"/>
    <w:rsid w:val="0059693A"/>
    <w:rsid w:val="005A26CF"/>
    <w:rsid w:val="005B458E"/>
    <w:rsid w:val="005B4983"/>
    <w:rsid w:val="005B5392"/>
    <w:rsid w:val="005B6A0C"/>
    <w:rsid w:val="005C14BD"/>
    <w:rsid w:val="005C3B63"/>
    <w:rsid w:val="005C51B5"/>
    <w:rsid w:val="005C5C91"/>
    <w:rsid w:val="005D09B1"/>
    <w:rsid w:val="005D2920"/>
    <w:rsid w:val="005D3C28"/>
    <w:rsid w:val="005D52D0"/>
    <w:rsid w:val="005D61DF"/>
    <w:rsid w:val="005E1BA3"/>
    <w:rsid w:val="005E1D7E"/>
    <w:rsid w:val="005E2D28"/>
    <w:rsid w:val="005E3F68"/>
    <w:rsid w:val="005E412D"/>
    <w:rsid w:val="005F1025"/>
    <w:rsid w:val="005F253B"/>
    <w:rsid w:val="005F65E4"/>
    <w:rsid w:val="005F760D"/>
    <w:rsid w:val="006009B0"/>
    <w:rsid w:val="00600C9C"/>
    <w:rsid w:val="00603532"/>
    <w:rsid w:val="00603684"/>
    <w:rsid w:val="0060404A"/>
    <w:rsid w:val="00611D71"/>
    <w:rsid w:val="0061483F"/>
    <w:rsid w:val="00614871"/>
    <w:rsid w:val="00620435"/>
    <w:rsid w:val="00620E25"/>
    <w:rsid w:val="00622730"/>
    <w:rsid w:val="00622FA1"/>
    <w:rsid w:val="006262D8"/>
    <w:rsid w:val="00627B74"/>
    <w:rsid w:val="00631335"/>
    <w:rsid w:val="006316EC"/>
    <w:rsid w:val="006318D4"/>
    <w:rsid w:val="00634003"/>
    <w:rsid w:val="00634F2A"/>
    <w:rsid w:val="006358D6"/>
    <w:rsid w:val="006403AA"/>
    <w:rsid w:val="0064328F"/>
    <w:rsid w:val="00643D8B"/>
    <w:rsid w:val="0065066F"/>
    <w:rsid w:val="00652D87"/>
    <w:rsid w:val="00654C93"/>
    <w:rsid w:val="00654F16"/>
    <w:rsid w:val="0065605F"/>
    <w:rsid w:val="00656932"/>
    <w:rsid w:val="0066201E"/>
    <w:rsid w:val="00663306"/>
    <w:rsid w:val="00664659"/>
    <w:rsid w:val="0066741F"/>
    <w:rsid w:val="00674EFB"/>
    <w:rsid w:val="00687BDA"/>
    <w:rsid w:val="006908BA"/>
    <w:rsid w:val="00690BE7"/>
    <w:rsid w:val="00691462"/>
    <w:rsid w:val="00696B8F"/>
    <w:rsid w:val="00697D21"/>
    <w:rsid w:val="006A1746"/>
    <w:rsid w:val="006A3536"/>
    <w:rsid w:val="006A420F"/>
    <w:rsid w:val="006B0B86"/>
    <w:rsid w:val="006B1F26"/>
    <w:rsid w:val="006B2B2D"/>
    <w:rsid w:val="006B5C78"/>
    <w:rsid w:val="006B6F69"/>
    <w:rsid w:val="006C328D"/>
    <w:rsid w:val="006C5AC7"/>
    <w:rsid w:val="006C6BE6"/>
    <w:rsid w:val="006D17A1"/>
    <w:rsid w:val="006D257A"/>
    <w:rsid w:val="006D3402"/>
    <w:rsid w:val="006D35A3"/>
    <w:rsid w:val="006E0F2B"/>
    <w:rsid w:val="006E10DF"/>
    <w:rsid w:val="006E1F59"/>
    <w:rsid w:val="006E3AA7"/>
    <w:rsid w:val="006E3F85"/>
    <w:rsid w:val="006E5177"/>
    <w:rsid w:val="006E646C"/>
    <w:rsid w:val="006E6C94"/>
    <w:rsid w:val="006F1957"/>
    <w:rsid w:val="006F2A3F"/>
    <w:rsid w:val="006F3496"/>
    <w:rsid w:val="006F6519"/>
    <w:rsid w:val="006F7275"/>
    <w:rsid w:val="006F79B0"/>
    <w:rsid w:val="00703469"/>
    <w:rsid w:val="00703B30"/>
    <w:rsid w:val="007067CB"/>
    <w:rsid w:val="007121BF"/>
    <w:rsid w:val="00712247"/>
    <w:rsid w:val="00713B43"/>
    <w:rsid w:val="007148AD"/>
    <w:rsid w:val="007149B7"/>
    <w:rsid w:val="00714E21"/>
    <w:rsid w:val="00715DDF"/>
    <w:rsid w:val="007162D7"/>
    <w:rsid w:val="00717693"/>
    <w:rsid w:val="00720564"/>
    <w:rsid w:val="007212B3"/>
    <w:rsid w:val="0072176E"/>
    <w:rsid w:val="007220E2"/>
    <w:rsid w:val="0072555A"/>
    <w:rsid w:val="0072613C"/>
    <w:rsid w:val="00726AC2"/>
    <w:rsid w:val="00726CC7"/>
    <w:rsid w:val="00727494"/>
    <w:rsid w:val="00733596"/>
    <w:rsid w:val="0073416B"/>
    <w:rsid w:val="00734B93"/>
    <w:rsid w:val="0073527E"/>
    <w:rsid w:val="0073562F"/>
    <w:rsid w:val="00743092"/>
    <w:rsid w:val="0074541A"/>
    <w:rsid w:val="00754A18"/>
    <w:rsid w:val="00754FB9"/>
    <w:rsid w:val="0076372D"/>
    <w:rsid w:val="00770C2B"/>
    <w:rsid w:val="00771925"/>
    <w:rsid w:val="007719EA"/>
    <w:rsid w:val="00771DA4"/>
    <w:rsid w:val="00772E72"/>
    <w:rsid w:val="0077567E"/>
    <w:rsid w:val="007760B8"/>
    <w:rsid w:val="00781191"/>
    <w:rsid w:val="007822F4"/>
    <w:rsid w:val="0079094B"/>
    <w:rsid w:val="00792976"/>
    <w:rsid w:val="00793A7D"/>
    <w:rsid w:val="007942DA"/>
    <w:rsid w:val="007952AF"/>
    <w:rsid w:val="0079561B"/>
    <w:rsid w:val="00797748"/>
    <w:rsid w:val="007B01C8"/>
    <w:rsid w:val="007B13B9"/>
    <w:rsid w:val="007B1ADF"/>
    <w:rsid w:val="007B36ED"/>
    <w:rsid w:val="007B4E65"/>
    <w:rsid w:val="007B7234"/>
    <w:rsid w:val="007B74F3"/>
    <w:rsid w:val="007B77C7"/>
    <w:rsid w:val="007B78C4"/>
    <w:rsid w:val="007C26BF"/>
    <w:rsid w:val="007C32EE"/>
    <w:rsid w:val="007C4501"/>
    <w:rsid w:val="007C5EE1"/>
    <w:rsid w:val="007D115E"/>
    <w:rsid w:val="007D4F47"/>
    <w:rsid w:val="007D51C7"/>
    <w:rsid w:val="007E73E4"/>
    <w:rsid w:val="007F00B4"/>
    <w:rsid w:val="007F12EC"/>
    <w:rsid w:val="007F3A02"/>
    <w:rsid w:val="007F3D0D"/>
    <w:rsid w:val="007F59E6"/>
    <w:rsid w:val="007F78F7"/>
    <w:rsid w:val="00801A19"/>
    <w:rsid w:val="008053FE"/>
    <w:rsid w:val="00805B6F"/>
    <w:rsid w:val="00807918"/>
    <w:rsid w:val="00807BDA"/>
    <w:rsid w:val="008109BC"/>
    <w:rsid w:val="00812523"/>
    <w:rsid w:val="00813DF0"/>
    <w:rsid w:val="0081422A"/>
    <w:rsid w:val="00815FCA"/>
    <w:rsid w:val="00817324"/>
    <w:rsid w:val="00821762"/>
    <w:rsid w:val="00822714"/>
    <w:rsid w:val="00823257"/>
    <w:rsid w:val="0082540F"/>
    <w:rsid w:val="00827A7E"/>
    <w:rsid w:val="00827AFD"/>
    <w:rsid w:val="00834890"/>
    <w:rsid w:val="0083494A"/>
    <w:rsid w:val="00836815"/>
    <w:rsid w:val="00837FCD"/>
    <w:rsid w:val="00840199"/>
    <w:rsid w:val="008406FF"/>
    <w:rsid w:val="008440B1"/>
    <w:rsid w:val="00844427"/>
    <w:rsid w:val="00844EE8"/>
    <w:rsid w:val="00847812"/>
    <w:rsid w:val="00853F0B"/>
    <w:rsid w:val="00854F82"/>
    <w:rsid w:val="00855823"/>
    <w:rsid w:val="00855952"/>
    <w:rsid w:val="0085679C"/>
    <w:rsid w:val="00856B05"/>
    <w:rsid w:val="0085734C"/>
    <w:rsid w:val="0086120F"/>
    <w:rsid w:val="00863927"/>
    <w:rsid w:val="0086426F"/>
    <w:rsid w:val="00866E01"/>
    <w:rsid w:val="008709DD"/>
    <w:rsid w:val="008724D7"/>
    <w:rsid w:val="00872C41"/>
    <w:rsid w:val="00880495"/>
    <w:rsid w:val="00880DE1"/>
    <w:rsid w:val="00880FD1"/>
    <w:rsid w:val="00883173"/>
    <w:rsid w:val="00893420"/>
    <w:rsid w:val="00897E0B"/>
    <w:rsid w:val="008A1197"/>
    <w:rsid w:val="008A2F33"/>
    <w:rsid w:val="008A3611"/>
    <w:rsid w:val="008A3FA7"/>
    <w:rsid w:val="008A40E9"/>
    <w:rsid w:val="008A4806"/>
    <w:rsid w:val="008A4FD1"/>
    <w:rsid w:val="008A781D"/>
    <w:rsid w:val="008B2322"/>
    <w:rsid w:val="008B33E7"/>
    <w:rsid w:val="008B488A"/>
    <w:rsid w:val="008C08FB"/>
    <w:rsid w:val="008C3440"/>
    <w:rsid w:val="008C3808"/>
    <w:rsid w:val="008C64D2"/>
    <w:rsid w:val="008C6E4F"/>
    <w:rsid w:val="008C7FA0"/>
    <w:rsid w:val="008D0EB4"/>
    <w:rsid w:val="008D57F8"/>
    <w:rsid w:val="008D679F"/>
    <w:rsid w:val="008E293D"/>
    <w:rsid w:val="008E3388"/>
    <w:rsid w:val="008E5BF5"/>
    <w:rsid w:val="008F01AB"/>
    <w:rsid w:val="008F0AA3"/>
    <w:rsid w:val="008F4CD9"/>
    <w:rsid w:val="008F6C87"/>
    <w:rsid w:val="008F78F4"/>
    <w:rsid w:val="0090146D"/>
    <w:rsid w:val="00901AC1"/>
    <w:rsid w:val="009037B6"/>
    <w:rsid w:val="00903D86"/>
    <w:rsid w:val="00912B44"/>
    <w:rsid w:val="00913600"/>
    <w:rsid w:val="009136B7"/>
    <w:rsid w:val="00913EC1"/>
    <w:rsid w:val="00914B6F"/>
    <w:rsid w:val="00917554"/>
    <w:rsid w:val="009223B4"/>
    <w:rsid w:val="009228D2"/>
    <w:rsid w:val="00922B59"/>
    <w:rsid w:val="00923803"/>
    <w:rsid w:val="00924597"/>
    <w:rsid w:val="00924600"/>
    <w:rsid w:val="00931BE8"/>
    <w:rsid w:val="00932319"/>
    <w:rsid w:val="00933C31"/>
    <w:rsid w:val="00934213"/>
    <w:rsid w:val="0093647A"/>
    <w:rsid w:val="0093760C"/>
    <w:rsid w:val="00941ADE"/>
    <w:rsid w:val="00945FD0"/>
    <w:rsid w:val="009466C0"/>
    <w:rsid w:val="009471C5"/>
    <w:rsid w:val="00947774"/>
    <w:rsid w:val="0095183D"/>
    <w:rsid w:val="00954C98"/>
    <w:rsid w:val="00956850"/>
    <w:rsid w:val="00956D57"/>
    <w:rsid w:val="00960383"/>
    <w:rsid w:val="00962BC8"/>
    <w:rsid w:val="00964E4D"/>
    <w:rsid w:val="0097044A"/>
    <w:rsid w:val="00970CE3"/>
    <w:rsid w:val="00974178"/>
    <w:rsid w:val="00975A20"/>
    <w:rsid w:val="00980A19"/>
    <w:rsid w:val="00980A81"/>
    <w:rsid w:val="009815F5"/>
    <w:rsid w:val="00981786"/>
    <w:rsid w:val="0098384F"/>
    <w:rsid w:val="00984790"/>
    <w:rsid w:val="00986674"/>
    <w:rsid w:val="0098743F"/>
    <w:rsid w:val="00987AEF"/>
    <w:rsid w:val="00990AF5"/>
    <w:rsid w:val="00991949"/>
    <w:rsid w:val="00992443"/>
    <w:rsid w:val="009926AF"/>
    <w:rsid w:val="00993CB9"/>
    <w:rsid w:val="00994E52"/>
    <w:rsid w:val="00995E51"/>
    <w:rsid w:val="00996534"/>
    <w:rsid w:val="009978F9"/>
    <w:rsid w:val="009A10F5"/>
    <w:rsid w:val="009A1C01"/>
    <w:rsid w:val="009A56DC"/>
    <w:rsid w:val="009B123B"/>
    <w:rsid w:val="009B2881"/>
    <w:rsid w:val="009B3173"/>
    <w:rsid w:val="009B4C7E"/>
    <w:rsid w:val="009B6319"/>
    <w:rsid w:val="009B75DC"/>
    <w:rsid w:val="009B769E"/>
    <w:rsid w:val="009C2BE6"/>
    <w:rsid w:val="009C3C8F"/>
    <w:rsid w:val="009C3DAC"/>
    <w:rsid w:val="009C4D7D"/>
    <w:rsid w:val="009C5126"/>
    <w:rsid w:val="009C6277"/>
    <w:rsid w:val="009D3138"/>
    <w:rsid w:val="009D4AC5"/>
    <w:rsid w:val="009D53A7"/>
    <w:rsid w:val="009D64A4"/>
    <w:rsid w:val="009D71C7"/>
    <w:rsid w:val="009D7F26"/>
    <w:rsid w:val="009E3D2A"/>
    <w:rsid w:val="009E73BE"/>
    <w:rsid w:val="009F5D9A"/>
    <w:rsid w:val="009F5DE5"/>
    <w:rsid w:val="00A00536"/>
    <w:rsid w:val="00A00D2C"/>
    <w:rsid w:val="00A02574"/>
    <w:rsid w:val="00A02CF3"/>
    <w:rsid w:val="00A05020"/>
    <w:rsid w:val="00A0583F"/>
    <w:rsid w:val="00A07372"/>
    <w:rsid w:val="00A103B4"/>
    <w:rsid w:val="00A158E8"/>
    <w:rsid w:val="00A20C23"/>
    <w:rsid w:val="00A211EA"/>
    <w:rsid w:val="00A21EC6"/>
    <w:rsid w:val="00A25716"/>
    <w:rsid w:val="00A315F5"/>
    <w:rsid w:val="00A40155"/>
    <w:rsid w:val="00A402CC"/>
    <w:rsid w:val="00A4252F"/>
    <w:rsid w:val="00A43362"/>
    <w:rsid w:val="00A437F8"/>
    <w:rsid w:val="00A43E34"/>
    <w:rsid w:val="00A43EC1"/>
    <w:rsid w:val="00A43F4F"/>
    <w:rsid w:val="00A4586F"/>
    <w:rsid w:val="00A46EDF"/>
    <w:rsid w:val="00A52DE7"/>
    <w:rsid w:val="00A53E55"/>
    <w:rsid w:val="00A56079"/>
    <w:rsid w:val="00A577B8"/>
    <w:rsid w:val="00A579C9"/>
    <w:rsid w:val="00A61EE1"/>
    <w:rsid w:val="00A61FC6"/>
    <w:rsid w:val="00A63509"/>
    <w:rsid w:val="00A66A69"/>
    <w:rsid w:val="00A74724"/>
    <w:rsid w:val="00A7681E"/>
    <w:rsid w:val="00A80786"/>
    <w:rsid w:val="00A83322"/>
    <w:rsid w:val="00A8389A"/>
    <w:rsid w:val="00A930C2"/>
    <w:rsid w:val="00A94439"/>
    <w:rsid w:val="00A960CC"/>
    <w:rsid w:val="00AA03FC"/>
    <w:rsid w:val="00AA3722"/>
    <w:rsid w:val="00AB46BF"/>
    <w:rsid w:val="00AB5079"/>
    <w:rsid w:val="00AB5F25"/>
    <w:rsid w:val="00AB693A"/>
    <w:rsid w:val="00AC0A72"/>
    <w:rsid w:val="00AC0C85"/>
    <w:rsid w:val="00AC6C69"/>
    <w:rsid w:val="00AD0A90"/>
    <w:rsid w:val="00AD204E"/>
    <w:rsid w:val="00AD2A35"/>
    <w:rsid w:val="00AD3F3A"/>
    <w:rsid w:val="00AD5166"/>
    <w:rsid w:val="00AD5366"/>
    <w:rsid w:val="00AD584F"/>
    <w:rsid w:val="00AE0ACA"/>
    <w:rsid w:val="00AE1FDB"/>
    <w:rsid w:val="00AE50E6"/>
    <w:rsid w:val="00AF0044"/>
    <w:rsid w:val="00AF028D"/>
    <w:rsid w:val="00AF21BB"/>
    <w:rsid w:val="00B00CC6"/>
    <w:rsid w:val="00B038D8"/>
    <w:rsid w:val="00B07A9E"/>
    <w:rsid w:val="00B07C49"/>
    <w:rsid w:val="00B10E22"/>
    <w:rsid w:val="00B16252"/>
    <w:rsid w:val="00B17D63"/>
    <w:rsid w:val="00B20E9A"/>
    <w:rsid w:val="00B20F47"/>
    <w:rsid w:val="00B21B00"/>
    <w:rsid w:val="00B21B26"/>
    <w:rsid w:val="00B256D1"/>
    <w:rsid w:val="00B26360"/>
    <w:rsid w:val="00B32128"/>
    <w:rsid w:val="00B3245D"/>
    <w:rsid w:val="00B329B4"/>
    <w:rsid w:val="00B339BC"/>
    <w:rsid w:val="00B3402D"/>
    <w:rsid w:val="00B37572"/>
    <w:rsid w:val="00B37A5B"/>
    <w:rsid w:val="00B4364A"/>
    <w:rsid w:val="00B43705"/>
    <w:rsid w:val="00B43F7F"/>
    <w:rsid w:val="00B44995"/>
    <w:rsid w:val="00B44CF4"/>
    <w:rsid w:val="00B4578F"/>
    <w:rsid w:val="00B53A98"/>
    <w:rsid w:val="00B54C31"/>
    <w:rsid w:val="00B556BD"/>
    <w:rsid w:val="00B57928"/>
    <w:rsid w:val="00B60271"/>
    <w:rsid w:val="00B61193"/>
    <w:rsid w:val="00B62114"/>
    <w:rsid w:val="00B6454D"/>
    <w:rsid w:val="00B65F2D"/>
    <w:rsid w:val="00B67858"/>
    <w:rsid w:val="00B7099C"/>
    <w:rsid w:val="00B71DA1"/>
    <w:rsid w:val="00B72B92"/>
    <w:rsid w:val="00B733BE"/>
    <w:rsid w:val="00B74FF1"/>
    <w:rsid w:val="00B7567C"/>
    <w:rsid w:val="00B759C1"/>
    <w:rsid w:val="00B77578"/>
    <w:rsid w:val="00B77BDC"/>
    <w:rsid w:val="00B8295E"/>
    <w:rsid w:val="00B8518D"/>
    <w:rsid w:val="00B85AEE"/>
    <w:rsid w:val="00B85BD4"/>
    <w:rsid w:val="00B87357"/>
    <w:rsid w:val="00B92110"/>
    <w:rsid w:val="00B930BB"/>
    <w:rsid w:val="00B93C66"/>
    <w:rsid w:val="00B94827"/>
    <w:rsid w:val="00B94C6C"/>
    <w:rsid w:val="00BA369E"/>
    <w:rsid w:val="00BA5614"/>
    <w:rsid w:val="00BA6587"/>
    <w:rsid w:val="00BA674C"/>
    <w:rsid w:val="00BA6E2F"/>
    <w:rsid w:val="00BB040F"/>
    <w:rsid w:val="00BB1263"/>
    <w:rsid w:val="00BB35DC"/>
    <w:rsid w:val="00BB42CD"/>
    <w:rsid w:val="00BC073D"/>
    <w:rsid w:val="00BC28BF"/>
    <w:rsid w:val="00BC7B67"/>
    <w:rsid w:val="00BD2C7B"/>
    <w:rsid w:val="00BD4954"/>
    <w:rsid w:val="00BD5973"/>
    <w:rsid w:val="00BD7004"/>
    <w:rsid w:val="00BE09FA"/>
    <w:rsid w:val="00BE208D"/>
    <w:rsid w:val="00BE22D8"/>
    <w:rsid w:val="00BE287E"/>
    <w:rsid w:val="00BF0FB6"/>
    <w:rsid w:val="00BF607D"/>
    <w:rsid w:val="00C00533"/>
    <w:rsid w:val="00C02630"/>
    <w:rsid w:val="00C026A8"/>
    <w:rsid w:val="00C05C64"/>
    <w:rsid w:val="00C061FC"/>
    <w:rsid w:val="00C06C40"/>
    <w:rsid w:val="00C10712"/>
    <w:rsid w:val="00C1204D"/>
    <w:rsid w:val="00C14D46"/>
    <w:rsid w:val="00C22873"/>
    <w:rsid w:val="00C24719"/>
    <w:rsid w:val="00C33D87"/>
    <w:rsid w:val="00C347B4"/>
    <w:rsid w:val="00C35923"/>
    <w:rsid w:val="00C4037E"/>
    <w:rsid w:val="00C41185"/>
    <w:rsid w:val="00C416C9"/>
    <w:rsid w:val="00C41AA7"/>
    <w:rsid w:val="00C42699"/>
    <w:rsid w:val="00C46CBF"/>
    <w:rsid w:val="00C51929"/>
    <w:rsid w:val="00C52425"/>
    <w:rsid w:val="00C52982"/>
    <w:rsid w:val="00C565B3"/>
    <w:rsid w:val="00C575BC"/>
    <w:rsid w:val="00C6109E"/>
    <w:rsid w:val="00C634A4"/>
    <w:rsid w:val="00C63BB9"/>
    <w:rsid w:val="00C6544B"/>
    <w:rsid w:val="00C66C0D"/>
    <w:rsid w:val="00C728EC"/>
    <w:rsid w:val="00C72C89"/>
    <w:rsid w:val="00C8002C"/>
    <w:rsid w:val="00C820D0"/>
    <w:rsid w:val="00C8278A"/>
    <w:rsid w:val="00C828BB"/>
    <w:rsid w:val="00C82945"/>
    <w:rsid w:val="00C8318A"/>
    <w:rsid w:val="00C83D07"/>
    <w:rsid w:val="00C87D84"/>
    <w:rsid w:val="00C87F53"/>
    <w:rsid w:val="00C91FB3"/>
    <w:rsid w:val="00C9218B"/>
    <w:rsid w:val="00C93F78"/>
    <w:rsid w:val="00C95EAF"/>
    <w:rsid w:val="00CA0240"/>
    <w:rsid w:val="00CA06A2"/>
    <w:rsid w:val="00CA07CD"/>
    <w:rsid w:val="00CA199B"/>
    <w:rsid w:val="00CA6EBF"/>
    <w:rsid w:val="00CB128E"/>
    <w:rsid w:val="00CB19E1"/>
    <w:rsid w:val="00CB2D60"/>
    <w:rsid w:val="00CB54E3"/>
    <w:rsid w:val="00CB6C8E"/>
    <w:rsid w:val="00CC0241"/>
    <w:rsid w:val="00CC15CB"/>
    <w:rsid w:val="00CC1B60"/>
    <w:rsid w:val="00CC1D6D"/>
    <w:rsid w:val="00CC2856"/>
    <w:rsid w:val="00CC3955"/>
    <w:rsid w:val="00CD0033"/>
    <w:rsid w:val="00CD2CED"/>
    <w:rsid w:val="00CD32F7"/>
    <w:rsid w:val="00CD3877"/>
    <w:rsid w:val="00CD4682"/>
    <w:rsid w:val="00CD70AF"/>
    <w:rsid w:val="00CE0702"/>
    <w:rsid w:val="00CE0F8D"/>
    <w:rsid w:val="00CE27CE"/>
    <w:rsid w:val="00CE2DB2"/>
    <w:rsid w:val="00CE2E60"/>
    <w:rsid w:val="00CE2F24"/>
    <w:rsid w:val="00CE46E5"/>
    <w:rsid w:val="00CE56E5"/>
    <w:rsid w:val="00CE6DDB"/>
    <w:rsid w:val="00CF0121"/>
    <w:rsid w:val="00CF0246"/>
    <w:rsid w:val="00CF0684"/>
    <w:rsid w:val="00CF0DFE"/>
    <w:rsid w:val="00CF0F9B"/>
    <w:rsid w:val="00CF4C80"/>
    <w:rsid w:val="00D00F07"/>
    <w:rsid w:val="00D00FC0"/>
    <w:rsid w:val="00D062E8"/>
    <w:rsid w:val="00D10750"/>
    <w:rsid w:val="00D139A6"/>
    <w:rsid w:val="00D165A1"/>
    <w:rsid w:val="00D16F4C"/>
    <w:rsid w:val="00D17090"/>
    <w:rsid w:val="00D22E10"/>
    <w:rsid w:val="00D24F75"/>
    <w:rsid w:val="00D2650E"/>
    <w:rsid w:val="00D267A4"/>
    <w:rsid w:val="00D278B6"/>
    <w:rsid w:val="00D30406"/>
    <w:rsid w:val="00D33E7A"/>
    <w:rsid w:val="00D37DA5"/>
    <w:rsid w:val="00D410F0"/>
    <w:rsid w:val="00D4364F"/>
    <w:rsid w:val="00D44659"/>
    <w:rsid w:val="00D44F9D"/>
    <w:rsid w:val="00D45057"/>
    <w:rsid w:val="00D52530"/>
    <w:rsid w:val="00D55511"/>
    <w:rsid w:val="00D571D4"/>
    <w:rsid w:val="00D574B0"/>
    <w:rsid w:val="00D608EE"/>
    <w:rsid w:val="00D63766"/>
    <w:rsid w:val="00D713D8"/>
    <w:rsid w:val="00D747B9"/>
    <w:rsid w:val="00D76A5D"/>
    <w:rsid w:val="00D76C7F"/>
    <w:rsid w:val="00D812CC"/>
    <w:rsid w:val="00D8448C"/>
    <w:rsid w:val="00D85C53"/>
    <w:rsid w:val="00D865A4"/>
    <w:rsid w:val="00D87C67"/>
    <w:rsid w:val="00D87D77"/>
    <w:rsid w:val="00D91C3A"/>
    <w:rsid w:val="00D93571"/>
    <w:rsid w:val="00D94E92"/>
    <w:rsid w:val="00D95637"/>
    <w:rsid w:val="00D95764"/>
    <w:rsid w:val="00D95877"/>
    <w:rsid w:val="00D974AF"/>
    <w:rsid w:val="00D97FAA"/>
    <w:rsid w:val="00DA05CA"/>
    <w:rsid w:val="00DA4F8F"/>
    <w:rsid w:val="00DA724D"/>
    <w:rsid w:val="00DA7E28"/>
    <w:rsid w:val="00DB55A1"/>
    <w:rsid w:val="00DB6A43"/>
    <w:rsid w:val="00DC27A8"/>
    <w:rsid w:val="00DC2BDE"/>
    <w:rsid w:val="00DC2CF5"/>
    <w:rsid w:val="00DC39CB"/>
    <w:rsid w:val="00DC3AB7"/>
    <w:rsid w:val="00DC4422"/>
    <w:rsid w:val="00DC47EE"/>
    <w:rsid w:val="00DC4E6E"/>
    <w:rsid w:val="00DD0218"/>
    <w:rsid w:val="00DD1115"/>
    <w:rsid w:val="00DD201C"/>
    <w:rsid w:val="00DD2D1B"/>
    <w:rsid w:val="00DD48FB"/>
    <w:rsid w:val="00DD4FE2"/>
    <w:rsid w:val="00DD5042"/>
    <w:rsid w:val="00DD6587"/>
    <w:rsid w:val="00DE1ADF"/>
    <w:rsid w:val="00DE23E8"/>
    <w:rsid w:val="00DE3ABE"/>
    <w:rsid w:val="00DE4780"/>
    <w:rsid w:val="00DE633F"/>
    <w:rsid w:val="00DE71D8"/>
    <w:rsid w:val="00DF03D7"/>
    <w:rsid w:val="00DF18A0"/>
    <w:rsid w:val="00DF342B"/>
    <w:rsid w:val="00DF715A"/>
    <w:rsid w:val="00E03042"/>
    <w:rsid w:val="00E03EB9"/>
    <w:rsid w:val="00E04008"/>
    <w:rsid w:val="00E04924"/>
    <w:rsid w:val="00E05BCD"/>
    <w:rsid w:val="00E060F7"/>
    <w:rsid w:val="00E075D0"/>
    <w:rsid w:val="00E14487"/>
    <w:rsid w:val="00E203D3"/>
    <w:rsid w:val="00E20E31"/>
    <w:rsid w:val="00E20F00"/>
    <w:rsid w:val="00E218A3"/>
    <w:rsid w:val="00E22B06"/>
    <w:rsid w:val="00E24AA1"/>
    <w:rsid w:val="00E25C65"/>
    <w:rsid w:val="00E25DEF"/>
    <w:rsid w:val="00E269A8"/>
    <w:rsid w:val="00E270DB"/>
    <w:rsid w:val="00E2779C"/>
    <w:rsid w:val="00E27998"/>
    <w:rsid w:val="00E31551"/>
    <w:rsid w:val="00E33109"/>
    <w:rsid w:val="00E338C7"/>
    <w:rsid w:val="00E3424A"/>
    <w:rsid w:val="00E43D21"/>
    <w:rsid w:val="00E47080"/>
    <w:rsid w:val="00E5209B"/>
    <w:rsid w:val="00E520F2"/>
    <w:rsid w:val="00E537A2"/>
    <w:rsid w:val="00E54B52"/>
    <w:rsid w:val="00E5586B"/>
    <w:rsid w:val="00E55D63"/>
    <w:rsid w:val="00E60002"/>
    <w:rsid w:val="00E6092C"/>
    <w:rsid w:val="00E63299"/>
    <w:rsid w:val="00E63EF5"/>
    <w:rsid w:val="00E644A8"/>
    <w:rsid w:val="00E65302"/>
    <w:rsid w:val="00E66AE9"/>
    <w:rsid w:val="00E71234"/>
    <w:rsid w:val="00E718D5"/>
    <w:rsid w:val="00E72974"/>
    <w:rsid w:val="00E7435A"/>
    <w:rsid w:val="00E746F4"/>
    <w:rsid w:val="00E823FA"/>
    <w:rsid w:val="00E86881"/>
    <w:rsid w:val="00E90A04"/>
    <w:rsid w:val="00E929A0"/>
    <w:rsid w:val="00E92B8C"/>
    <w:rsid w:val="00E93A2B"/>
    <w:rsid w:val="00E9410F"/>
    <w:rsid w:val="00E94D7E"/>
    <w:rsid w:val="00EA0B30"/>
    <w:rsid w:val="00EA3ED9"/>
    <w:rsid w:val="00EA4D67"/>
    <w:rsid w:val="00EA69A0"/>
    <w:rsid w:val="00EB2087"/>
    <w:rsid w:val="00EB40B5"/>
    <w:rsid w:val="00EB6066"/>
    <w:rsid w:val="00EC0B92"/>
    <w:rsid w:val="00EC1846"/>
    <w:rsid w:val="00EC4628"/>
    <w:rsid w:val="00EC4A0B"/>
    <w:rsid w:val="00EC5DD6"/>
    <w:rsid w:val="00EC632F"/>
    <w:rsid w:val="00EC6571"/>
    <w:rsid w:val="00EC7DC7"/>
    <w:rsid w:val="00ED2C0D"/>
    <w:rsid w:val="00ED6B47"/>
    <w:rsid w:val="00ED78D8"/>
    <w:rsid w:val="00ED7DC8"/>
    <w:rsid w:val="00EE0396"/>
    <w:rsid w:val="00EE0454"/>
    <w:rsid w:val="00EE0522"/>
    <w:rsid w:val="00EE2440"/>
    <w:rsid w:val="00EE3047"/>
    <w:rsid w:val="00EE375E"/>
    <w:rsid w:val="00EE3BF8"/>
    <w:rsid w:val="00EE65E7"/>
    <w:rsid w:val="00EF36D7"/>
    <w:rsid w:val="00EF3FDA"/>
    <w:rsid w:val="00EF4D66"/>
    <w:rsid w:val="00EF7145"/>
    <w:rsid w:val="00EF7220"/>
    <w:rsid w:val="00F01541"/>
    <w:rsid w:val="00F01C3B"/>
    <w:rsid w:val="00F022D5"/>
    <w:rsid w:val="00F02D59"/>
    <w:rsid w:val="00F0397C"/>
    <w:rsid w:val="00F039F7"/>
    <w:rsid w:val="00F0763F"/>
    <w:rsid w:val="00F078BD"/>
    <w:rsid w:val="00F14CCE"/>
    <w:rsid w:val="00F15AFA"/>
    <w:rsid w:val="00F15E29"/>
    <w:rsid w:val="00F1608B"/>
    <w:rsid w:val="00F17802"/>
    <w:rsid w:val="00F20CC8"/>
    <w:rsid w:val="00F20E6C"/>
    <w:rsid w:val="00F21C3A"/>
    <w:rsid w:val="00F21FC0"/>
    <w:rsid w:val="00F22638"/>
    <w:rsid w:val="00F3082D"/>
    <w:rsid w:val="00F33742"/>
    <w:rsid w:val="00F3588A"/>
    <w:rsid w:val="00F36400"/>
    <w:rsid w:val="00F36C3B"/>
    <w:rsid w:val="00F4006F"/>
    <w:rsid w:val="00F400FF"/>
    <w:rsid w:val="00F4141F"/>
    <w:rsid w:val="00F416B7"/>
    <w:rsid w:val="00F42950"/>
    <w:rsid w:val="00F469C0"/>
    <w:rsid w:val="00F475C3"/>
    <w:rsid w:val="00F50823"/>
    <w:rsid w:val="00F5104A"/>
    <w:rsid w:val="00F51A20"/>
    <w:rsid w:val="00F539B4"/>
    <w:rsid w:val="00F542DC"/>
    <w:rsid w:val="00F553CF"/>
    <w:rsid w:val="00F60B9E"/>
    <w:rsid w:val="00F61176"/>
    <w:rsid w:val="00F61353"/>
    <w:rsid w:val="00F64126"/>
    <w:rsid w:val="00F64D75"/>
    <w:rsid w:val="00F65426"/>
    <w:rsid w:val="00F67EE5"/>
    <w:rsid w:val="00F70E64"/>
    <w:rsid w:val="00F759AA"/>
    <w:rsid w:val="00F77ACD"/>
    <w:rsid w:val="00F77E3B"/>
    <w:rsid w:val="00F80666"/>
    <w:rsid w:val="00F83297"/>
    <w:rsid w:val="00F8675F"/>
    <w:rsid w:val="00F90363"/>
    <w:rsid w:val="00F95593"/>
    <w:rsid w:val="00F96D7E"/>
    <w:rsid w:val="00F973D4"/>
    <w:rsid w:val="00FA0555"/>
    <w:rsid w:val="00FA3577"/>
    <w:rsid w:val="00FA382F"/>
    <w:rsid w:val="00FA4858"/>
    <w:rsid w:val="00FB1EC7"/>
    <w:rsid w:val="00FB2B29"/>
    <w:rsid w:val="00FC2189"/>
    <w:rsid w:val="00FC2F3B"/>
    <w:rsid w:val="00FC38AD"/>
    <w:rsid w:val="00FC7327"/>
    <w:rsid w:val="00FC7686"/>
    <w:rsid w:val="00FD0682"/>
    <w:rsid w:val="00FD1349"/>
    <w:rsid w:val="00FD3794"/>
    <w:rsid w:val="00FD4F55"/>
    <w:rsid w:val="00FD5840"/>
    <w:rsid w:val="00FD5AF6"/>
    <w:rsid w:val="00FD5F80"/>
    <w:rsid w:val="00FE3B57"/>
    <w:rsid w:val="00FE4951"/>
    <w:rsid w:val="00FE77D4"/>
    <w:rsid w:val="00FE7FF8"/>
    <w:rsid w:val="00FF2540"/>
    <w:rsid w:val="00FF29C7"/>
    <w:rsid w:val="00FF5E0F"/>
    <w:rsid w:val="00FF6988"/>
    <w:rsid w:val="00FF70B7"/>
    <w:rsid w:val="029CD04E"/>
    <w:rsid w:val="039BAF30"/>
    <w:rsid w:val="03FA7679"/>
    <w:rsid w:val="043DB293"/>
    <w:rsid w:val="059646DA"/>
    <w:rsid w:val="05AFC8AC"/>
    <w:rsid w:val="05B455A4"/>
    <w:rsid w:val="0C483136"/>
    <w:rsid w:val="0CAF6599"/>
    <w:rsid w:val="0E9822C3"/>
    <w:rsid w:val="0F7FD1F8"/>
    <w:rsid w:val="10FD1225"/>
    <w:rsid w:val="122C16C9"/>
    <w:rsid w:val="1379720F"/>
    <w:rsid w:val="143A1ABE"/>
    <w:rsid w:val="14614DEB"/>
    <w:rsid w:val="15342CD8"/>
    <w:rsid w:val="15FD1E4C"/>
    <w:rsid w:val="17E5FE08"/>
    <w:rsid w:val="195B654D"/>
    <w:rsid w:val="1A00C7AA"/>
    <w:rsid w:val="1A5F6C92"/>
    <w:rsid w:val="1B158F53"/>
    <w:rsid w:val="1C3536FE"/>
    <w:rsid w:val="1DF19195"/>
    <w:rsid w:val="1E810F19"/>
    <w:rsid w:val="1FF70535"/>
    <w:rsid w:val="20C6B350"/>
    <w:rsid w:val="21F21EBF"/>
    <w:rsid w:val="250D1768"/>
    <w:rsid w:val="260E485E"/>
    <w:rsid w:val="2612AF41"/>
    <w:rsid w:val="26661D24"/>
    <w:rsid w:val="2A546D39"/>
    <w:rsid w:val="2AE62064"/>
    <w:rsid w:val="2D2C2942"/>
    <w:rsid w:val="2E136AFC"/>
    <w:rsid w:val="32031625"/>
    <w:rsid w:val="32095C26"/>
    <w:rsid w:val="3265A63C"/>
    <w:rsid w:val="3889323B"/>
    <w:rsid w:val="3EF05FF6"/>
    <w:rsid w:val="3FF6E2B7"/>
    <w:rsid w:val="408C3057"/>
    <w:rsid w:val="40FE2025"/>
    <w:rsid w:val="41CB5CE2"/>
    <w:rsid w:val="423A04DD"/>
    <w:rsid w:val="42E7CA2A"/>
    <w:rsid w:val="45BC4B5B"/>
    <w:rsid w:val="45E7B7A6"/>
    <w:rsid w:val="45FC7378"/>
    <w:rsid w:val="46615CB8"/>
    <w:rsid w:val="470AE37A"/>
    <w:rsid w:val="475AA3B2"/>
    <w:rsid w:val="47ADC124"/>
    <w:rsid w:val="483131BD"/>
    <w:rsid w:val="48835F3D"/>
    <w:rsid w:val="4A4032E2"/>
    <w:rsid w:val="4B2C5F98"/>
    <w:rsid w:val="4CE15F89"/>
    <w:rsid w:val="4F2F42A6"/>
    <w:rsid w:val="504398BA"/>
    <w:rsid w:val="5471535F"/>
    <w:rsid w:val="54E8F50D"/>
    <w:rsid w:val="58BA4ABF"/>
    <w:rsid w:val="58C757B1"/>
    <w:rsid w:val="59BF017C"/>
    <w:rsid w:val="5BF1EB81"/>
    <w:rsid w:val="5C6B5D3E"/>
    <w:rsid w:val="5CF5DE0A"/>
    <w:rsid w:val="61EEC955"/>
    <w:rsid w:val="6372179F"/>
    <w:rsid w:val="63DE2680"/>
    <w:rsid w:val="6529AAA5"/>
    <w:rsid w:val="66C23A78"/>
    <w:rsid w:val="692A73F0"/>
    <w:rsid w:val="6930B7E9"/>
    <w:rsid w:val="6A4164F2"/>
    <w:rsid w:val="6BD0341C"/>
    <w:rsid w:val="6EF32141"/>
    <w:rsid w:val="6F479D93"/>
    <w:rsid w:val="70EF1925"/>
    <w:rsid w:val="7271842D"/>
    <w:rsid w:val="727F3E55"/>
    <w:rsid w:val="735EF857"/>
    <w:rsid w:val="75B6DF17"/>
    <w:rsid w:val="774F8221"/>
    <w:rsid w:val="7752AF78"/>
    <w:rsid w:val="7B9B0AE7"/>
    <w:rsid w:val="7CF9334D"/>
    <w:rsid w:val="7D943090"/>
    <w:rsid w:val="7E949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4D83CAB1-BEC6-4429-B495-1EB3A2F1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15"/>
      </w:numPr>
    </w:pPr>
  </w:style>
  <w:style w:type="paragraph" w:customStyle="1" w:styleId="Bullet2">
    <w:name w:val="Bullet 2"/>
    <w:basedOn w:val="Normal"/>
    <w:uiPriority w:val="2"/>
    <w:qFormat/>
    <w:rsid w:val="00990AF5"/>
    <w:pPr>
      <w:numPr>
        <w:ilvl w:val="1"/>
        <w:numId w:val="16"/>
      </w:numPr>
    </w:pPr>
  </w:style>
  <w:style w:type="paragraph" w:customStyle="1" w:styleId="Bullet3">
    <w:name w:val="Bullet 3"/>
    <w:basedOn w:val="Normal"/>
    <w:uiPriority w:val="2"/>
    <w:qFormat/>
    <w:rsid w:val="00990AF5"/>
    <w:pPr>
      <w:numPr>
        <w:ilvl w:val="2"/>
        <w:numId w:val="16"/>
      </w:numPr>
    </w:pPr>
  </w:style>
  <w:style w:type="paragraph" w:customStyle="1" w:styleId="FigureTitle">
    <w:name w:val="Figure Title"/>
    <w:basedOn w:val="Normal"/>
    <w:uiPriority w:val="12"/>
    <w:qFormat/>
    <w:rsid w:val="005B458E"/>
    <w:pPr>
      <w:keepNext/>
      <w:numPr>
        <w:numId w:val="3"/>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4"/>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4"/>
      </w:numPr>
    </w:pPr>
  </w:style>
  <w:style w:type="paragraph" w:customStyle="1" w:styleId="Heading3Numbered">
    <w:name w:val="Heading 3 Numbered"/>
    <w:basedOn w:val="Heading3"/>
    <w:uiPriority w:val="10"/>
    <w:qFormat/>
    <w:rsid w:val="005B458E"/>
    <w:pPr>
      <w:numPr>
        <w:ilvl w:val="2"/>
        <w:numId w:val="4"/>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4"/>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4"/>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4"/>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4"/>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5"/>
      </w:numPr>
    </w:pPr>
  </w:style>
  <w:style w:type="paragraph" w:customStyle="1" w:styleId="List1Numbered2">
    <w:name w:val="List 1 Numbered 2"/>
    <w:basedOn w:val="Normal"/>
    <w:uiPriority w:val="2"/>
    <w:qFormat/>
    <w:rsid w:val="005B458E"/>
    <w:pPr>
      <w:numPr>
        <w:ilvl w:val="1"/>
        <w:numId w:val="5"/>
      </w:numPr>
    </w:pPr>
  </w:style>
  <w:style w:type="paragraph" w:customStyle="1" w:styleId="List1Numbered3">
    <w:name w:val="List 1 Numbered 3"/>
    <w:basedOn w:val="Normal"/>
    <w:uiPriority w:val="2"/>
    <w:qFormat/>
    <w:rsid w:val="005B458E"/>
    <w:pPr>
      <w:numPr>
        <w:ilvl w:val="2"/>
        <w:numId w:val="5"/>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6"/>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7"/>
      </w:numPr>
    </w:pPr>
  </w:style>
  <w:style w:type="paragraph" w:customStyle="1" w:styleId="TableTitle">
    <w:name w:val="Table Title"/>
    <w:basedOn w:val="FigureTitle"/>
    <w:uiPriority w:val="12"/>
    <w:qFormat/>
    <w:rsid w:val="005B458E"/>
    <w:pPr>
      <w:numPr>
        <w:numId w:val="8"/>
      </w:numPr>
    </w:pPr>
  </w:style>
  <w:style w:type="paragraph" w:customStyle="1" w:styleId="PullOut-Pink">
    <w:name w:val="Pull Out - Pink"/>
    <w:basedOn w:val="PullOut-Teal"/>
    <w:uiPriority w:val="22"/>
    <w:qFormat/>
    <w:rsid w:val="005B458E"/>
    <w:pPr>
      <w:numPr>
        <w:numId w:val="9"/>
      </w:numPr>
    </w:pPr>
  </w:style>
  <w:style w:type="paragraph" w:customStyle="1" w:styleId="PullOut-Yellow">
    <w:name w:val="Pull Out - Yellow"/>
    <w:basedOn w:val="PullOut-Teal"/>
    <w:qFormat/>
    <w:rsid w:val="005B458E"/>
    <w:pPr>
      <w:numPr>
        <w:numId w:val="10"/>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1"/>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2"/>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080B59"/>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guides-resources/resources/guidance-notes/guidance-note-research-and-research-training" TargetMode="External"/><Relationship Id="rId18" Type="http://schemas.openxmlformats.org/officeDocument/2006/relationships/hyperlink" Target="https://www.accc.gov.au/publications/advertising-and-selling-guide/advertising-and-selling-guide/avoid-misleading-or-deceptive-claims-or-conduct/misleading-or-deceptive-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nsumer.gov.au/resources-and-guides" TargetMode="External"/><Relationship Id="rId7" Type="http://schemas.openxmlformats.org/officeDocument/2006/relationships/settings" Target="settings.xml"/><Relationship Id="rId12" Type="http://schemas.openxmlformats.org/officeDocument/2006/relationships/hyperlink" Target="https://www.teqsa.gov.au/guides-resources/resources/guidance-notes/guidance-note-research-requirements-australian-universities" TargetMode="External"/><Relationship Id="rId17" Type="http://schemas.openxmlformats.org/officeDocument/2006/relationships/hyperlink" Target="https://www.legislation.gov.au/Details/C2022C00365/Html/Volume_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au/Details/C2022C00004" TargetMode="External"/><Relationship Id="rId20" Type="http://schemas.openxmlformats.org/officeDocument/2006/relationships/hyperlink" Target="https://www.accc.gov.au/publications/advertising-and-selling-guide/advertising-and-selling-guide/avoid-misleading-or-deceptive-claims-or-conduct/misleading-or-deceptive-conduc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guides-resources/resources/guidance-notes/guidance-note-staffin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Details/C2022C00066" TargetMode="External"/><Relationship Id="rId23" Type="http://schemas.openxmlformats.org/officeDocument/2006/relationships/hyperlink" Target="https://www.legislation.gov.au/Details/C2022C0000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ducation.gov.au/higher-education-publications/resources/national-microcredentials-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7L01182" TargetMode="External"/><Relationship Id="rId22" Type="http://schemas.openxmlformats.org/officeDocument/2006/relationships/hyperlink" Target="https://www.education.gov.au/higher-education-publications/resources/national-microcredentials-framewor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9961C9A23A4442A62258A3F11C8FF8" ma:contentTypeVersion="7" ma:contentTypeDescription="Create a new document." ma:contentTypeScope="" ma:versionID="9de423daa17dbea78c003bbb97713d8b">
  <xsd:schema xmlns:xsd="http://www.w3.org/2001/XMLSchema" xmlns:xs="http://www.w3.org/2001/XMLSchema" xmlns:p="http://schemas.microsoft.com/office/2006/metadata/properties" xmlns:ns2="020a7fae-d602-49e6-a244-980bb4ff8f92" targetNamespace="http://schemas.microsoft.com/office/2006/metadata/properties" ma:root="true" ma:fieldsID="6d7b8ead0d1a9136f59112f72d078e12" ns2:_="">
    <xsd:import namespace="020a7fae-d602-49e6-a244-980bb4ff8f92"/>
    <xsd:element name="properties">
      <xsd:complexType>
        <xsd:sequence>
          <xsd:element name="documentManagement">
            <xsd:complexType>
              <xsd:all>
                <xsd:element ref="ns2:ContextualStatus" minOccurs="0"/>
                <xsd:element ref="ns2:Assignedto" minOccurs="0"/>
                <xsd:element ref="ns2:Statu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7fae-d602-49e6-a244-980bb4ff8f92" elementFormDefault="qualified">
    <xsd:import namespace="http://schemas.microsoft.com/office/2006/documentManagement/types"/>
    <xsd:import namespace="http://schemas.microsoft.com/office/infopath/2007/PartnerControls"/>
    <xsd:element name="ContextualStatus" ma:index="8" nillable="true" ma:displayName="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Assignedto" ma:index="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In Progress"/>
          <xsd:enumeration value="Published"/>
          <xsd:enumeration value="Awaiting Publication"/>
          <xsd:enumeration value="Obsolete"/>
          <xsd:enumeration value="TB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to xmlns="020a7fae-d602-49e6-a244-980bb4ff8f92">
      <UserInfo>
        <DisplayName>i:0#.f|membership|rodny.macamay@teqsa.gov.au,#i:0#.f|membership|rodny.macamay@teqsa.gov.au,#Rodny.Macamay@teqsa.gov.au,#,#Rodny Macamay,#,#Policy, Research &amp; Engagement - Policy &amp; Research,#Project Officer</DisplayName>
        <AccountId>13</AccountId>
        <AccountType/>
      </UserInfo>
    </Assignedto>
    <ContextualStatus xmlns="020a7fae-d602-49e6-a244-980bb4ff8f92">8. Ready for Consultation (external)</ContextualStatus>
    <Status xmlns="020a7fae-d602-49e6-a244-980bb4ff8f92">In Progress</Status>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19F6DF1C-C29A-4D4C-A809-46E3006CD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7fae-d602-49e6-a244-980bb4ff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E1C12-8773-409A-B29D-4FC4E6BF5F01}">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020a7fae-d602-49e6-a244-980bb4ff8f9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11152</Characters>
  <Application>Microsoft Office Word</Application>
  <DocSecurity>0</DocSecurity>
  <Lines>230</Lines>
  <Paragraphs>109</Paragraphs>
  <ScaleCrop>false</ScaleCrop>
  <HeadingPairs>
    <vt:vector size="2" baseType="variant">
      <vt:variant>
        <vt:lpstr>Title</vt:lpstr>
      </vt:variant>
      <vt:variant>
        <vt:i4>1</vt:i4>
      </vt:variant>
    </vt:vector>
  </HeadingPairs>
  <TitlesOfParts>
    <vt:vector size="1" baseType="lpstr">
      <vt:lpstr>Guidance Note: Scholarship</vt:lpstr>
    </vt:vector>
  </TitlesOfParts>
  <Company>Tertiary Education Quality and Standards Agency</Company>
  <LinksUpToDate>false</LinksUpToDate>
  <CharactersWithSpaces>13036</CharactersWithSpaces>
  <SharedDoc>false</SharedDoc>
  <HLinks>
    <vt:vector size="60" baseType="variant">
      <vt:variant>
        <vt:i4>7733285</vt:i4>
      </vt:variant>
      <vt:variant>
        <vt:i4>27</vt:i4>
      </vt:variant>
      <vt:variant>
        <vt:i4>0</vt:i4>
      </vt:variant>
      <vt:variant>
        <vt:i4>5</vt:i4>
      </vt:variant>
      <vt:variant>
        <vt:lpwstr>https://www.legislation.gov.au/Details/C2022C00004</vt:lpwstr>
      </vt:variant>
      <vt:variant>
        <vt:lpwstr/>
      </vt:variant>
      <vt:variant>
        <vt:i4>983117</vt:i4>
      </vt:variant>
      <vt:variant>
        <vt:i4>24</vt:i4>
      </vt:variant>
      <vt:variant>
        <vt:i4>0</vt:i4>
      </vt:variant>
      <vt:variant>
        <vt:i4>5</vt:i4>
      </vt:variant>
      <vt:variant>
        <vt:lpwstr>https://www.education.gov.au/higher-education-publications/resources/national-microcredentials-framework</vt:lpwstr>
      </vt:variant>
      <vt:variant>
        <vt:lpwstr/>
      </vt:variant>
      <vt:variant>
        <vt:i4>6029389</vt:i4>
      </vt:variant>
      <vt:variant>
        <vt:i4>21</vt:i4>
      </vt:variant>
      <vt:variant>
        <vt:i4>0</vt:i4>
      </vt:variant>
      <vt:variant>
        <vt:i4>5</vt:i4>
      </vt:variant>
      <vt:variant>
        <vt:lpwstr>https://consumer.gov.au/resources-and-guides</vt:lpwstr>
      </vt:variant>
      <vt:variant>
        <vt:lpwstr/>
      </vt:variant>
      <vt:variant>
        <vt:i4>1769498</vt:i4>
      </vt:variant>
      <vt:variant>
        <vt:i4>18</vt:i4>
      </vt:variant>
      <vt:variant>
        <vt:i4>0</vt:i4>
      </vt:variant>
      <vt:variant>
        <vt:i4>5</vt:i4>
      </vt:variant>
      <vt:variant>
        <vt:lpwstr>https://www.accc.gov.au/publications/advertising-and-selling-guide/advertising-and-selling-guide/avoid-misleading-or-deceptive-claims-or-conduct/misleading-or-deceptive-conduct</vt:lpwstr>
      </vt:variant>
      <vt:variant>
        <vt:lpwstr>:~:text=It%20is%20illegal%20for%20a,a%20result%20of%20your%20conduct.</vt:lpwstr>
      </vt:variant>
      <vt:variant>
        <vt:i4>983117</vt:i4>
      </vt:variant>
      <vt:variant>
        <vt:i4>15</vt:i4>
      </vt:variant>
      <vt:variant>
        <vt:i4>0</vt:i4>
      </vt:variant>
      <vt:variant>
        <vt:i4>5</vt:i4>
      </vt:variant>
      <vt:variant>
        <vt:lpwstr>https://www.education.gov.au/higher-education-publications/resources/national-microcredentials-framework</vt:lpwstr>
      </vt:variant>
      <vt:variant>
        <vt:lpwstr/>
      </vt:variant>
      <vt:variant>
        <vt:i4>1769498</vt:i4>
      </vt:variant>
      <vt:variant>
        <vt:i4>12</vt:i4>
      </vt:variant>
      <vt:variant>
        <vt:i4>0</vt:i4>
      </vt:variant>
      <vt:variant>
        <vt:i4>5</vt:i4>
      </vt:variant>
      <vt:variant>
        <vt:lpwstr>https://www.accc.gov.au/publications/advertising-and-selling-guide/advertising-and-selling-guide/avoid-misleading-or-deceptive-claims-or-conduct/misleading-or-deceptive-conduct</vt:lpwstr>
      </vt:variant>
      <vt:variant>
        <vt:lpwstr>:~:text=It%20is%20illegal%20for%20a,a%20result%20of%20your%20conduct.</vt:lpwstr>
      </vt:variant>
      <vt:variant>
        <vt:i4>327693</vt:i4>
      </vt:variant>
      <vt:variant>
        <vt:i4>9</vt:i4>
      </vt:variant>
      <vt:variant>
        <vt:i4>0</vt:i4>
      </vt:variant>
      <vt:variant>
        <vt:i4>5</vt:i4>
      </vt:variant>
      <vt:variant>
        <vt:lpwstr>https://www.legislation.gov.au/Details/C2022C00365/Html/Volume_3</vt:lpwstr>
      </vt:variant>
      <vt:variant>
        <vt:lpwstr>_Toc122366475</vt:lpwstr>
      </vt:variant>
      <vt:variant>
        <vt:i4>7733285</vt:i4>
      </vt:variant>
      <vt:variant>
        <vt:i4>6</vt:i4>
      </vt:variant>
      <vt:variant>
        <vt:i4>0</vt:i4>
      </vt:variant>
      <vt:variant>
        <vt:i4>5</vt:i4>
      </vt:variant>
      <vt:variant>
        <vt:lpwstr>https://www.legislation.gov.au/Details/C2022C00004</vt:lpwstr>
      </vt:variant>
      <vt:variant>
        <vt:lpwstr/>
      </vt:variant>
      <vt:variant>
        <vt:i4>7602211</vt:i4>
      </vt:variant>
      <vt:variant>
        <vt:i4>3</vt:i4>
      </vt:variant>
      <vt:variant>
        <vt:i4>0</vt:i4>
      </vt:variant>
      <vt:variant>
        <vt:i4>5</vt:i4>
      </vt:variant>
      <vt:variant>
        <vt:lpwstr>https://www.legislation.gov.au/Details/C2022C00066</vt:lpwstr>
      </vt:variant>
      <vt:variant>
        <vt:lpwstr/>
      </vt:variant>
      <vt:variant>
        <vt:i4>7405600</vt:i4>
      </vt:variant>
      <vt:variant>
        <vt:i4>0</vt:i4>
      </vt:variant>
      <vt:variant>
        <vt:i4>0</vt:i4>
      </vt:variant>
      <vt:variant>
        <vt:i4>5</vt:i4>
      </vt:variant>
      <vt:variant>
        <vt:lpwstr>https://www.legislation.gov.au/Details/F2017L01182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Representation - consultation</dc:title>
  <dc:subject/>
  <dc:creator>May, Raphael</dc:creator>
  <cp:keywords>[SEC=OFFICIAL]</cp:keywords>
  <cp:lastModifiedBy>Tom Hewitt-McManus</cp:lastModifiedBy>
  <cp:revision>5</cp:revision>
  <cp:lastPrinted>2023-03-09T12:24:00Z</cp:lastPrinted>
  <dcterms:created xsi:type="dcterms:W3CDTF">2025-06-19T01:27:00Z</dcterms:created>
  <dcterms:modified xsi:type="dcterms:W3CDTF">2025-06-19T01:28:00Z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0x0101003C9961C9A23A4442A62258A3F11C8FF8</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PM_Namespace">
    <vt:lpwstr>gov.au</vt:lpwstr>
  </property>
  <property fmtid="{D5CDD505-2E9C-101B-9397-08002B2CF9AE}" pid="8" name="PM_Caveats_Count">
    <vt:lpwstr>0</vt:lpwstr>
  </property>
  <property fmtid="{D5CDD505-2E9C-101B-9397-08002B2CF9AE}" pid="9" name="PM_Version">
    <vt:lpwstr>2018.4</vt:lpwstr>
  </property>
  <property fmtid="{D5CDD505-2E9C-101B-9397-08002B2CF9AE}" pid="10" name="PM_Note">
    <vt:lpwstr/>
  </property>
  <property fmtid="{D5CDD505-2E9C-101B-9397-08002B2CF9AE}" pid="11" name="PMHMAC">
    <vt:lpwstr>v=2022.1;a=SHA256;h=5439D2AB0068BE3D6C836CE0F86BCC26DA84AA4D11BCDC160A29005230C42C94</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2023-05-23T02:10:21Z</vt:lpwstr>
  </property>
  <property fmtid="{D5CDD505-2E9C-101B-9397-08002B2CF9AE}" pid="16" name="PM_Markers">
    <vt:lpwstr/>
  </property>
  <property fmtid="{D5CDD505-2E9C-101B-9397-08002B2CF9AE}" pid="17" name="PM_InsertionValue">
    <vt:lpwstr>OFFICIAL</vt:lpwstr>
  </property>
  <property fmtid="{D5CDD505-2E9C-101B-9397-08002B2CF9AE}" pid="18" name="PM_Originator_Hash_SHA1">
    <vt:lpwstr>62651C896F027337B0917591A88E0831BADB0F30</vt:lpwstr>
  </property>
  <property fmtid="{D5CDD505-2E9C-101B-9397-08002B2CF9AE}" pid="19" name="PM_DisplayValueSecClassificationWithQualifier">
    <vt:lpwstr>OFFICIAL</vt:lpwstr>
  </property>
  <property fmtid="{D5CDD505-2E9C-101B-9397-08002B2CF9AE}" pid="20" name="PM_Originating_FileId">
    <vt:lpwstr>6CA4D6BFDDB44FC3B31DCB968DCD11C9</vt:lpwstr>
  </property>
  <property fmtid="{D5CDD505-2E9C-101B-9397-08002B2CF9AE}" pid="21" name="PM_ProtectiveMarkingValue_Footer">
    <vt:lpwstr>OFFICIAL</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Display">
    <vt:lpwstr>OFFICIAL</vt:lpwstr>
  </property>
  <property fmtid="{D5CDD505-2E9C-101B-9397-08002B2CF9AE}" pid="25" name="PM_OriginatorUserAccountName_SHA256">
    <vt:lpwstr>CFBE9EA95CBB88E2F7B8752707BAE6AEB1998AE5520D6094ECCC44AD28AAD5C8</vt:lpwstr>
  </property>
  <property fmtid="{D5CDD505-2E9C-101B-9397-08002B2CF9AE}" pid="26" name="PM_OriginatorDomainName_SHA256">
    <vt:lpwstr>0C3D4C92EC8F38444BA78741E5B5836F9817C3740155E164E6696E5C1131B3E3</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Hash_Salt_Prev">
    <vt:lpwstr>50D3C7EDAA12397EE28EB7338050F755</vt:lpwstr>
  </property>
  <property fmtid="{D5CDD505-2E9C-101B-9397-08002B2CF9AE}" pid="30" name="PM_Hash_Salt">
    <vt:lpwstr>B3AC9026740DE5E56D7F61A6AAFE583A</vt:lpwstr>
  </property>
  <property fmtid="{D5CDD505-2E9C-101B-9397-08002B2CF9AE}" pid="31" name="PM_Hash_SHA1">
    <vt:lpwstr>0521F45755CA71E6D1ECE6CC3516D0494963485C</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p2841a2f4f0e46edb9ade446fe7c03eb">
    <vt:lpwstr>External Relations|8003538d-cbbc-40ec-a138-45260a67bcf5</vt:lpwstr>
  </property>
  <property fmtid="{D5CDD505-2E9C-101B-9397-08002B2CF9AE}" pid="35" name="lf00f7cae6154b588c712167af0e92c2">
    <vt:lpwstr>Guidance Note|ebf409d7-0b48-4543-bcde-c43c4066fc8c</vt:lpwstr>
  </property>
  <property fmtid="{D5CDD505-2E9C-101B-9397-08002B2CF9AE}" pid="36" name="Date">
    <vt:filetime>2023-06-07T14:00:00Z</vt:filetime>
  </property>
  <property fmtid="{D5CDD505-2E9C-101B-9397-08002B2CF9AE}" pid="37" name="j5c7243103eb4a8f8bdb102a5810412a">
    <vt:lpwstr>Projects|ea2fedc5-f041-4824-a983-f8f3eeeb6dfc</vt:lpwstr>
  </property>
  <property fmtid="{D5CDD505-2E9C-101B-9397-08002B2CF9AE}" pid="38" name="Category">
    <vt:lpwstr>Guidance</vt:lpwstr>
  </property>
  <property fmtid="{D5CDD505-2E9C-101B-9397-08002B2CF9AE}" pid="39" name="Assignedto">
    <vt:lpwstr>Rodny</vt:lpwstr>
  </property>
  <property fmtid="{D5CDD505-2E9C-101B-9397-08002B2CF9AE}" pid="40" name="TaxCatchAll">
    <vt:lpwstr>3;#;#2;#;#1;#</vt:lpwstr>
  </property>
  <property fmtid="{D5CDD505-2E9C-101B-9397-08002B2CF9AE}" pid="41" name="Status">
    <vt:lpwstr>Draft</vt:lpwstr>
  </property>
  <property fmtid="{D5CDD505-2E9C-101B-9397-08002B2CF9AE}" pid="42" name="ContextualStatus">
    <vt:lpwstr>8. Ready for Consultation (external)</vt:lpwstr>
  </property>
</Properties>
</file>