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6C5" w14:textId="764DD622" w:rsidR="00B759C1" w:rsidRPr="00DD6587" w:rsidRDefault="00524886" w:rsidP="00C95EAF">
      <w:pPr>
        <w:pStyle w:val="Heading1"/>
        <w:spacing w:after="600"/>
        <w:rPr>
          <w:i/>
        </w:rPr>
      </w:pPr>
      <w:r w:rsidRPr="00DD6587">
        <w:t xml:space="preserve">Guidance </w:t>
      </w:r>
      <w:r w:rsidR="009F68CD">
        <w:t>n</w:t>
      </w:r>
      <w:r w:rsidRPr="00DD6587">
        <w:t>ote</w:t>
      </w:r>
      <w:r w:rsidR="00B759C1" w:rsidRPr="00DD6587">
        <w:t xml:space="preserve">: </w:t>
      </w:r>
      <w:r w:rsidR="008364AC">
        <w:rPr>
          <w:i/>
        </w:rPr>
        <w:t xml:space="preserve">Information for Prospective and Current Students </w:t>
      </w:r>
    </w:p>
    <w:p w14:paraId="080CBC56" w14:textId="176B4CBA" w:rsidR="00772E72" w:rsidRPr="00DD6587" w:rsidRDefault="003C0410" w:rsidP="00AE1FDB">
      <w:pPr>
        <w:rPr>
          <w:rStyle w:val="SubtleEmphasis"/>
        </w:rPr>
      </w:pPr>
      <w:r w:rsidRPr="00DD6587">
        <w:rPr>
          <w:rStyle w:val="SubtleEmphasis"/>
          <w:highlight w:val="yellow"/>
        </w:rPr>
        <w:t xml:space="preserve"> </w:t>
      </w:r>
      <w:r w:rsidR="00B759C1" w:rsidRPr="00DD6587">
        <w:rPr>
          <w:rStyle w:val="SubtleEmphasis"/>
          <w:highlight w:val="yellow"/>
        </w:rPr>
        <w:t>(</w:t>
      </w:r>
      <w:r w:rsidR="008A580A">
        <w:rPr>
          <w:rStyle w:val="SubtleEmphasis"/>
          <w:highlight w:val="yellow"/>
        </w:rPr>
        <w:t>June</w:t>
      </w:r>
      <w:r w:rsidRPr="00DD6587">
        <w:rPr>
          <w:rStyle w:val="SubtleEmphasis"/>
          <w:highlight w:val="yellow"/>
        </w:rPr>
        <w:t xml:space="preserve"> 202</w:t>
      </w:r>
      <w:r w:rsidR="00C607AB">
        <w:rPr>
          <w:rStyle w:val="SubtleEmphasis"/>
          <w:highlight w:val="yellow"/>
        </w:rPr>
        <w:t>5</w:t>
      </w:r>
      <w:r w:rsidR="00B759C1"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00FC0A4F">
        <w:trPr>
          <w:trHeight w:val="988"/>
        </w:trPr>
        <w:tc>
          <w:tcPr>
            <w:tcW w:w="9016" w:type="dxa"/>
            <w:shd w:val="clear" w:color="auto" w:fill="004D7D"/>
          </w:tcPr>
          <w:p w14:paraId="1FAC8B44" w14:textId="77777777" w:rsidR="00C1204D" w:rsidRPr="00DD6587" w:rsidRDefault="00C1204D" w:rsidP="00FC0A4F">
            <w:pPr>
              <w:rPr>
                <w:rStyle w:val="SubtleEmphasis"/>
              </w:rPr>
            </w:pPr>
            <w:r w:rsidRPr="00DD6587">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63F9864D" w:rsidR="00B759C1" w:rsidRPr="00DD6587" w:rsidRDefault="00B759C1" w:rsidP="00B64A91">
      <w:pPr>
        <w:pStyle w:val="Heading2"/>
        <w:numPr>
          <w:ilvl w:val="0"/>
          <w:numId w:val="13"/>
        </w:numPr>
      </w:pPr>
      <w:r w:rsidRPr="00DD6587">
        <w:t xml:space="preserve">What does </w:t>
      </w:r>
      <w:r w:rsidR="008364AC">
        <w:t>Information for Prospective and Current Students</w:t>
      </w:r>
      <w:r w:rsidRPr="00DD6587">
        <w:t xml:space="preserve"> encompass?</w:t>
      </w:r>
    </w:p>
    <w:p w14:paraId="435A3FD1" w14:textId="1510CE4F" w:rsidR="002F3244" w:rsidRDefault="00B759C1" w:rsidP="00E71365">
      <w:r w:rsidRPr="00DD6587">
        <w:t xml:space="preserve">In the context of the </w:t>
      </w:r>
      <w:r w:rsidRPr="00DD6587">
        <w:rPr>
          <w:i/>
        </w:rPr>
        <w:t>Higher Education Standards Framework (Threshold Standards) 20</w:t>
      </w:r>
      <w:r w:rsidR="00513E63" w:rsidRPr="00DD6587">
        <w:rPr>
          <w:i/>
        </w:rPr>
        <w:t>21</w:t>
      </w:r>
      <w:r w:rsidRPr="00DD6587">
        <w:rPr>
          <w:i/>
        </w:rPr>
        <w:t xml:space="preserve"> </w:t>
      </w:r>
      <w:r w:rsidRPr="00DD6587">
        <w:t>(</w:t>
      </w:r>
      <w:r w:rsidR="00554336">
        <w:t>Threshold Standards</w:t>
      </w:r>
      <w:r w:rsidR="008364AC">
        <w:t>)</w:t>
      </w:r>
      <w:r w:rsidR="009E2BDA">
        <w:t xml:space="preserve"> </w:t>
      </w:r>
      <w:r w:rsidR="00E71365">
        <w:t xml:space="preserve">a provider is required to make relevant information publicly available to current and prospective students. </w:t>
      </w:r>
    </w:p>
    <w:p w14:paraId="2E4BB44F" w14:textId="780C70D9" w:rsidR="00A24D71" w:rsidRDefault="005B6563" w:rsidP="005B6563">
      <w:r>
        <w:t xml:space="preserve">The primary obligations around the provision of information can be found in </w:t>
      </w:r>
      <w:r w:rsidR="00FD5A65">
        <w:t>S</w:t>
      </w:r>
      <w:r>
        <w:t xml:space="preserve">ection 7.2 of the </w:t>
      </w:r>
      <w:r w:rsidR="00554336">
        <w:t>Threshold Standards</w:t>
      </w:r>
      <w:r>
        <w:t>. The purpose of the</w:t>
      </w:r>
      <w:r w:rsidR="003B1515">
        <w:t>se</w:t>
      </w:r>
      <w:r>
        <w:t xml:space="preserve"> </w:t>
      </w:r>
      <w:r w:rsidR="003B1515">
        <w:t>s</w:t>
      </w:r>
      <w:r w:rsidR="00A76007">
        <w:t xml:space="preserve">tandards </w:t>
      </w:r>
      <w:r>
        <w:t xml:space="preserve">is to ensure a provider </w:t>
      </w:r>
      <w:r w:rsidR="00FD5A65">
        <w:t>offers the following</w:t>
      </w:r>
      <w:r>
        <w:t>:</w:t>
      </w:r>
    </w:p>
    <w:p w14:paraId="5B5F69C3" w14:textId="78533277" w:rsidR="00A945DD" w:rsidRDefault="00A945DD" w:rsidP="00A945DD">
      <w:pPr>
        <w:pStyle w:val="Bullet1"/>
      </w:pPr>
      <w:r>
        <w:t>adequate information for potential students in plain English before they accept any offers, so students can make informed decisions about whether to enter a course</w:t>
      </w:r>
      <w:r w:rsidR="00B33DD8">
        <w:t>. Providers are also encouraged to provide information in other language</w:t>
      </w:r>
      <w:r w:rsidR="002B38F6">
        <w:t>s</w:t>
      </w:r>
      <w:r w:rsidR="00B33DD8">
        <w:t xml:space="preserve"> to suit the needs of the</w:t>
      </w:r>
      <w:r w:rsidR="003335CE">
        <w:t>ir cohorts.</w:t>
      </w:r>
    </w:p>
    <w:p w14:paraId="5B6C15E6" w14:textId="5465E0E8" w:rsidR="005B6563" w:rsidRDefault="008F40DD" w:rsidP="00B64A91">
      <w:pPr>
        <w:pStyle w:val="Bullet1"/>
      </w:pPr>
      <w:r>
        <w:t>accurate and timely information that is publicly accessible</w:t>
      </w:r>
      <w:r w:rsidR="00A945DD">
        <w:t xml:space="preserve"> and in formats all students, including those with </w:t>
      </w:r>
      <w:r w:rsidR="002B38F6">
        <w:t>diverse</w:t>
      </w:r>
      <w:r w:rsidR="002601FE">
        <w:t xml:space="preserve"> needs</w:t>
      </w:r>
      <w:r w:rsidR="00A945DD">
        <w:t xml:space="preserve"> can access. This is </w:t>
      </w:r>
      <w:r w:rsidR="00B25515">
        <w:t xml:space="preserve">to ensure </w:t>
      </w:r>
      <w:r w:rsidR="00A945DD">
        <w:t>students are aware of resources,</w:t>
      </w:r>
      <w:r w:rsidR="00953079">
        <w:t xml:space="preserve"> policies,</w:t>
      </w:r>
      <w:r w:rsidR="00A945DD">
        <w:t xml:space="preserve"> processes, and support services</w:t>
      </w:r>
      <w:r w:rsidR="002B38F6">
        <w:t xml:space="preserve"> available</w:t>
      </w:r>
      <w:r w:rsidR="00A945DD">
        <w:t xml:space="preserve"> relevant to their studies at the provider</w:t>
      </w:r>
    </w:p>
    <w:p w14:paraId="677495BE" w14:textId="2F2A583D" w:rsidR="00A945DD" w:rsidRDefault="00A945DD" w:rsidP="00A945DD">
      <w:pPr>
        <w:pStyle w:val="Bullet1"/>
      </w:pPr>
      <w:r>
        <w:t>reasonable notice of changes to a higher education provider’s operation</w:t>
      </w:r>
      <w:r w:rsidR="00E71365">
        <w:t>, such as fees and costs</w:t>
      </w:r>
      <w:r>
        <w:t>, so students can make timely and informed decisions about how to respond to those changes</w:t>
      </w:r>
    </w:p>
    <w:p w14:paraId="73269573" w14:textId="741D3BCD" w:rsidR="00044114" w:rsidRDefault="00044114" w:rsidP="00B64A91">
      <w:pPr>
        <w:pStyle w:val="Bullet1"/>
      </w:pPr>
      <w:r>
        <w:t>policies</w:t>
      </w:r>
      <w:r w:rsidR="00A945DD">
        <w:t xml:space="preserve"> and procedures</w:t>
      </w:r>
      <w:r>
        <w:t xml:space="preserve"> to ensure information provided to international students and those applying for an Australian student visa</w:t>
      </w:r>
      <w:r w:rsidR="00A945DD">
        <w:t xml:space="preserve"> </w:t>
      </w:r>
      <w:r>
        <w:t>meet statutory requirements</w:t>
      </w:r>
      <w:r w:rsidR="00A945DD">
        <w:t>. In ensuring this, a provider should consider</w:t>
      </w:r>
      <w:r w:rsidR="00953079">
        <w:t xml:space="preserve"> how its work can best support its</w:t>
      </w:r>
      <w:r w:rsidR="00A945DD">
        <w:t xml:space="preserve"> international students, </w:t>
      </w:r>
      <w:r w:rsidR="00953079">
        <w:t>acknowledging they may be</w:t>
      </w:r>
      <w:r w:rsidR="00A945DD">
        <w:t xml:space="preserve"> unfamiliar with Australian laws, </w:t>
      </w:r>
      <w:r w:rsidR="00953079">
        <w:t>and need to be</w:t>
      </w:r>
      <w:r w:rsidR="00A945DD">
        <w:t xml:space="preserve"> kept </w:t>
      </w:r>
      <w:r w:rsidR="00A76781">
        <w:t>up to date</w:t>
      </w:r>
      <w:r w:rsidR="00A945DD">
        <w:t xml:space="preserve"> on issues affecting </w:t>
      </w:r>
      <w:r w:rsidR="00953079">
        <w:t>their ability to study in Australia</w:t>
      </w:r>
    </w:p>
    <w:p w14:paraId="664F7BEE" w14:textId="18AC5C39" w:rsidR="00702FA8" w:rsidRDefault="00702FA8" w:rsidP="00B64A91">
      <w:pPr>
        <w:pStyle w:val="Bullet1"/>
      </w:pPr>
      <w:r>
        <w:t>information to assist international students to study in Australia, such as the indicative cost of living and studying in Australian, health care and accommodation.</w:t>
      </w:r>
    </w:p>
    <w:p w14:paraId="36135CDE" w14:textId="7F914D8E" w:rsidR="00FB404C" w:rsidRDefault="00FB404C" w:rsidP="00E71365">
      <w:r>
        <w:t xml:space="preserve">The following information is </w:t>
      </w:r>
      <w:r w:rsidR="00E71365">
        <w:t>briefly</w:t>
      </w:r>
      <w:r>
        <w:t xml:space="preserve"> </w:t>
      </w:r>
      <w:r w:rsidR="00A76007">
        <w:t>covered by</w:t>
      </w:r>
      <w:r>
        <w:t xml:space="preserve"> this guidance note</w:t>
      </w:r>
      <w:r w:rsidR="00E71365">
        <w:t>, however additional information</w:t>
      </w:r>
      <w:r w:rsidR="00B84222">
        <w:t xml:space="preserve"> is available in their individual guidance notes</w:t>
      </w:r>
      <w:r>
        <w:t>:</w:t>
      </w:r>
    </w:p>
    <w:p w14:paraId="3A896755" w14:textId="21F2F345" w:rsidR="00FB404C" w:rsidRPr="009F68CD" w:rsidRDefault="00666CB8" w:rsidP="00846114">
      <w:pPr>
        <w:pStyle w:val="Bullet1"/>
      </w:pPr>
      <w:r>
        <w:t>S</w:t>
      </w:r>
      <w:r w:rsidR="00FB404C">
        <w:t>ection 7.1 of the Threshold Standards</w:t>
      </w:r>
      <w:r w:rsidR="00A76007">
        <w:t xml:space="preserve"> – r</w:t>
      </w:r>
      <w:r w:rsidR="0096018C">
        <w:t>epresentations and the accuracy of educational offerings and charges</w:t>
      </w:r>
      <w:r w:rsidR="00FB404C">
        <w:t>. This information is</w:t>
      </w:r>
      <w:r w:rsidR="0096018C">
        <w:t xml:space="preserve"> </w:t>
      </w:r>
      <w:r w:rsidR="00FB404C">
        <w:t>discussed</w:t>
      </w:r>
      <w:r w:rsidR="0096018C">
        <w:t xml:space="preserve"> in the Representation Guidance </w:t>
      </w:r>
      <w:r w:rsidR="009F68CD" w:rsidRPr="009F68CD">
        <w:t>n</w:t>
      </w:r>
      <w:r w:rsidR="0096018C" w:rsidRPr="009F68CD">
        <w:t>ote (</w:t>
      </w:r>
      <w:r w:rsidR="005805AA" w:rsidRPr="009F68CD">
        <w:t>for consultation</w:t>
      </w:r>
      <w:r w:rsidR="0096018C" w:rsidRPr="009F68CD">
        <w:t xml:space="preserve">) </w:t>
      </w:r>
    </w:p>
    <w:p w14:paraId="25990F09" w14:textId="32491A78" w:rsidR="0096018C" w:rsidRPr="009F68CD" w:rsidRDefault="00666CB8" w:rsidP="00846114">
      <w:pPr>
        <w:pStyle w:val="Bullet1"/>
      </w:pPr>
      <w:r w:rsidRPr="009F68CD">
        <w:t>S</w:t>
      </w:r>
      <w:r w:rsidR="00FB404C" w:rsidRPr="009F68CD">
        <w:t>ection 7.3 of the Threshold Standards</w:t>
      </w:r>
      <w:r w:rsidR="00A76007" w:rsidRPr="009F68CD">
        <w:t xml:space="preserve"> – p</w:t>
      </w:r>
      <w:r w:rsidR="00746A41" w:rsidRPr="009F68CD">
        <w:t>roviders</w:t>
      </w:r>
      <w:r w:rsidR="00FB404C" w:rsidRPr="009F68CD">
        <w:t>’</w:t>
      </w:r>
      <w:r w:rsidR="00746A41" w:rsidRPr="009F68CD">
        <w:t xml:space="preserve"> information management processes</w:t>
      </w:r>
      <w:r w:rsidR="00E0024C" w:rsidRPr="009F68CD">
        <w:t xml:space="preserve">, </w:t>
      </w:r>
      <w:r w:rsidR="00FB404C" w:rsidRPr="009F68CD">
        <w:t xml:space="preserve">their </w:t>
      </w:r>
      <w:r w:rsidR="00E0024C" w:rsidRPr="009F68CD">
        <w:t>operation and</w:t>
      </w:r>
      <w:r w:rsidR="00746A41" w:rsidRPr="009F68CD">
        <w:t xml:space="preserve"> how </w:t>
      </w:r>
      <w:r w:rsidR="00FB404C" w:rsidRPr="009F68CD">
        <w:t xml:space="preserve">they </w:t>
      </w:r>
      <w:r w:rsidR="00746A41" w:rsidRPr="009F68CD">
        <w:t>protect student information</w:t>
      </w:r>
      <w:r w:rsidR="00FB404C" w:rsidRPr="009F68CD">
        <w:t xml:space="preserve">. This information is discussed in the Information Management Guidance </w:t>
      </w:r>
      <w:r w:rsidR="009F68CD" w:rsidRPr="009F68CD">
        <w:t>n</w:t>
      </w:r>
      <w:r w:rsidR="00FB404C" w:rsidRPr="009F68CD">
        <w:t>ote</w:t>
      </w:r>
      <w:r w:rsidR="00554336" w:rsidRPr="009F68CD">
        <w:t xml:space="preserve"> (</w:t>
      </w:r>
      <w:r w:rsidR="005805AA" w:rsidRPr="009F68CD">
        <w:t>for consultation</w:t>
      </w:r>
      <w:r w:rsidR="00554336" w:rsidRPr="009F68CD">
        <w:t>)</w:t>
      </w:r>
      <w:r w:rsidR="00746A41" w:rsidRPr="009F68CD">
        <w:t xml:space="preserve">. </w:t>
      </w:r>
    </w:p>
    <w:p w14:paraId="608553FC" w14:textId="31839448" w:rsidR="00B759C1" w:rsidRPr="00DD6587" w:rsidRDefault="00B759C1" w:rsidP="00B64A91">
      <w:pPr>
        <w:pStyle w:val="Heading2"/>
        <w:numPr>
          <w:ilvl w:val="0"/>
          <w:numId w:val="13"/>
        </w:numPr>
      </w:pPr>
      <w:r w:rsidRPr="00DD6587">
        <w:lastRenderedPageBreak/>
        <w:t>What TEQSA will look for</w:t>
      </w:r>
    </w:p>
    <w:p w14:paraId="4925AD58" w14:textId="3ACCB5C0" w:rsidR="00C620FA" w:rsidRPr="005C6946" w:rsidRDefault="00554336" w:rsidP="00B369EB">
      <w:pPr>
        <w:ind w:left="141"/>
        <w:rPr>
          <w:noProof/>
        </w:rPr>
      </w:pPr>
      <w:r w:rsidRPr="00C95EAF">
        <w:rPr>
          <w:noProof/>
        </w:rPr>
        <w:t xml:space="preserve">The </w:t>
      </w:r>
      <w:r>
        <w:rPr>
          <w:noProof/>
        </w:rPr>
        <w:t>Threshold Standards</w:t>
      </w:r>
      <w:r w:rsidRPr="00C95EAF">
        <w:rPr>
          <w:noProof/>
        </w:rPr>
        <w:t xml:space="preserve"> </w:t>
      </w:r>
      <w:r>
        <w:rPr>
          <w:noProof/>
        </w:rPr>
        <w:t>place requirements on a provider</w:t>
      </w:r>
      <w:r w:rsidR="008F37AF">
        <w:rPr>
          <w:noProof/>
        </w:rPr>
        <w:t xml:space="preserve"> about</w:t>
      </w:r>
      <w:r w:rsidRPr="00554336">
        <w:rPr>
          <w:noProof/>
        </w:rPr>
        <w:t xml:space="preserve"> information </w:t>
      </w:r>
      <w:r w:rsidR="008F37AF">
        <w:rPr>
          <w:noProof/>
        </w:rPr>
        <w:t xml:space="preserve">they make </w:t>
      </w:r>
      <w:r w:rsidRPr="00554336">
        <w:rPr>
          <w:noProof/>
        </w:rPr>
        <w:t xml:space="preserve">available to prospective and current students. </w:t>
      </w:r>
      <w:r w:rsidRPr="007C4501">
        <w:rPr>
          <w:noProof/>
        </w:rPr>
        <w:t>These include the following:</w:t>
      </w:r>
    </w:p>
    <w:tbl>
      <w:tblPr>
        <w:tblStyle w:val="TableGrid"/>
        <w:tblW w:w="9067" w:type="dxa"/>
        <w:tblLook w:val="04A0" w:firstRow="1" w:lastRow="0" w:firstColumn="1" w:lastColumn="0" w:noHBand="0" w:noVBand="1"/>
      </w:tblPr>
      <w:tblGrid>
        <w:gridCol w:w="3964"/>
        <w:gridCol w:w="5103"/>
      </w:tblGrid>
      <w:tr w:rsidR="009D3138" w:rsidRPr="00DD6587" w14:paraId="0F6549F4" w14:textId="77777777" w:rsidTr="007C4501">
        <w:tc>
          <w:tcPr>
            <w:tcW w:w="3964" w:type="dxa"/>
            <w:shd w:val="clear" w:color="auto" w:fill="D9D9D9" w:themeFill="background1" w:themeFillShade="D9"/>
          </w:tcPr>
          <w:p w14:paraId="0C6B9A98" w14:textId="232DC6EA" w:rsidR="009D3138" w:rsidRPr="00DD6587" w:rsidRDefault="002866BA" w:rsidP="00B759C1">
            <w:pPr>
              <w:rPr>
                <w:b/>
                <w:bCs/>
              </w:rPr>
            </w:pPr>
            <w:r w:rsidRPr="00DD6587">
              <w:rPr>
                <w:b/>
                <w:bCs/>
              </w:rPr>
              <w:t xml:space="preserve">Part A: </w:t>
            </w:r>
            <w:r w:rsidR="009D3138" w:rsidRPr="00DD6587">
              <w:rPr>
                <w:b/>
                <w:bCs/>
              </w:rPr>
              <w:t>Standards for HE Providers</w:t>
            </w:r>
          </w:p>
        </w:tc>
        <w:tc>
          <w:tcPr>
            <w:tcW w:w="5103" w:type="dxa"/>
            <w:shd w:val="clear" w:color="auto" w:fill="D9D9D9" w:themeFill="background1" w:themeFillShade="D9"/>
          </w:tcPr>
          <w:p w14:paraId="17167564" w14:textId="0639ED17" w:rsidR="009D3138" w:rsidRPr="00DD6587" w:rsidRDefault="00733596" w:rsidP="00B759C1">
            <w:pPr>
              <w:rPr>
                <w:b/>
                <w:bCs/>
              </w:rPr>
            </w:pPr>
            <w:r w:rsidRPr="00DD6587">
              <w:rPr>
                <w:b/>
                <w:bCs/>
              </w:rPr>
              <w:t>Ke</w:t>
            </w:r>
            <w:r w:rsidR="001561CC" w:rsidRPr="00DD6587">
              <w:rPr>
                <w:b/>
                <w:bCs/>
              </w:rPr>
              <w:t>y considerations</w:t>
            </w:r>
          </w:p>
        </w:tc>
      </w:tr>
      <w:tr w:rsidR="000B7674" w:rsidRPr="00DD6587" w14:paraId="13228EB5" w14:textId="77777777" w:rsidTr="000B7674">
        <w:tc>
          <w:tcPr>
            <w:tcW w:w="3964" w:type="dxa"/>
            <w:shd w:val="clear" w:color="auto" w:fill="FFFFFF" w:themeFill="background1"/>
          </w:tcPr>
          <w:p w14:paraId="2ECF0261" w14:textId="24179AE2" w:rsidR="000B7674" w:rsidRPr="00702FA8" w:rsidRDefault="00702FA8" w:rsidP="00702FA8">
            <w:pPr>
              <w:jc w:val="both"/>
              <w:rPr>
                <w:sz w:val="20"/>
                <w:szCs w:val="20"/>
              </w:rPr>
            </w:pPr>
            <w:r w:rsidRPr="00702FA8">
              <w:rPr>
                <w:sz w:val="20"/>
                <w:szCs w:val="20"/>
              </w:rPr>
              <w:t>1.1: Admission</w:t>
            </w:r>
          </w:p>
        </w:tc>
        <w:tc>
          <w:tcPr>
            <w:tcW w:w="5103" w:type="dxa"/>
            <w:shd w:val="clear" w:color="auto" w:fill="FFFFFF" w:themeFill="background1"/>
          </w:tcPr>
          <w:p w14:paraId="0EA70B9A" w14:textId="179BB47F" w:rsidR="000B7674" w:rsidRDefault="00702FA8" w:rsidP="0036546B">
            <w:pPr>
              <w:pStyle w:val="Bullet1"/>
              <w:rPr>
                <w:sz w:val="20"/>
                <w:szCs w:val="20"/>
              </w:rPr>
            </w:pPr>
            <w:r>
              <w:rPr>
                <w:sz w:val="20"/>
                <w:szCs w:val="20"/>
              </w:rPr>
              <w:t>students are informed of their rights and obligations prior to admission, includ</w:t>
            </w:r>
            <w:r w:rsidR="00A76781">
              <w:rPr>
                <w:sz w:val="20"/>
                <w:szCs w:val="20"/>
              </w:rPr>
              <w:t>ing</w:t>
            </w:r>
            <w:r>
              <w:rPr>
                <w:sz w:val="20"/>
                <w:szCs w:val="20"/>
              </w:rPr>
              <w:t xml:space="preserve">, charges, policies </w:t>
            </w:r>
            <w:r w:rsidR="00027615">
              <w:rPr>
                <w:sz w:val="20"/>
                <w:szCs w:val="20"/>
              </w:rPr>
              <w:t>covering</w:t>
            </w:r>
            <w:r>
              <w:rPr>
                <w:sz w:val="20"/>
                <w:szCs w:val="20"/>
              </w:rPr>
              <w:t xml:space="preserve"> </w:t>
            </w:r>
            <w:r w:rsidR="00976F49">
              <w:rPr>
                <w:sz w:val="20"/>
                <w:szCs w:val="20"/>
              </w:rPr>
              <w:t>r</w:t>
            </w:r>
            <w:r w:rsidR="00D16490">
              <w:rPr>
                <w:sz w:val="20"/>
                <w:szCs w:val="20"/>
              </w:rPr>
              <w:t>ecog</w:t>
            </w:r>
            <w:r w:rsidR="00976F49">
              <w:rPr>
                <w:sz w:val="20"/>
                <w:szCs w:val="20"/>
              </w:rPr>
              <w:t>nition of</w:t>
            </w:r>
            <w:r w:rsidR="00D16490">
              <w:rPr>
                <w:sz w:val="20"/>
                <w:szCs w:val="20"/>
              </w:rPr>
              <w:t xml:space="preserve"> </w:t>
            </w:r>
            <w:r w:rsidR="00976F49">
              <w:rPr>
                <w:sz w:val="20"/>
                <w:szCs w:val="20"/>
              </w:rPr>
              <w:t>p</w:t>
            </w:r>
            <w:r w:rsidR="00D16490">
              <w:rPr>
                <w:sz w:val="20"/>
                <w:szCs w:val="20"/>
              </w:rPr>
              <w:t xml:space="preserve">rior </w:t>
            </w:r>
            <w:r w:rsidR="00976F49">
              <w:rPr>
                <w:sz w:val="20"/>
                <w:szCs w:val="20"/>
              </w:rPr>
              <w:t>l</w:t>
            </w:r>
            <w:r w:rsidR="00D16490">
              <w:rPr>
                <w:sz w:val="20"/>
                <w:szCs w:val="20"/>
              </w:rPr>
              <w:t>earning</w:t>
            </w:r>
            <w:r>
              <w:rPr>
                <w:sz w:val="20"/>
                <w:szCs w:val="20"/>
              </w:rPr>
              <w:t xml:space="preserve"> and </w:t>
            </w:r>
            <w:r w:rsidR="00BD7B4F">
              <w:rPr>
                <w:sz w:val="20"/>
                <w:szCs w:val="20"/>
              </w:rPr>
              <w:t>policies</w:t>
            </w:r>
            <w:r>
              <w:rPr>
                <w:sz w:val="20"/>
                <w:szCs w:val="20"/>
              </w:rPr>
              <w:t xml:space="preserve"> on changes and withdrawal from offers, enrolment, tuition protection and refunds.</w:t>
            </w:r>
          </w:p>
          <w:p w14:paraId="569AFE81" w14:textId="4B6817AB" w:rsidR="00B36005" w:rsidRPr="00A945DD" w:rsidRDefault="00D3089C" w:rsidP="0036546B">
            <w:pPr>
              <w:pStyle w:val="Bullet1"/>
              <w:rPr>
                <w:sz w:val="20"/>
                <w:szCs w:val="20"/>
              </w:rPr>
            </w:pPr>
            <w:r>
              <w:rPr>
                <w:sz w:val="20"/>
                <w:szCs w:val="20"/>
              </w:rPr>
              <w:t>a</w:t>
            </w:r>
            <w:r w:rsidR="00B36005">
              <w:rPr>
                <w:sz w:val="20"/>
                <w:szCs w:val="20"/>
              </w:rPr>
              <w:t>dmissions</w:t>
            </w:r>
            <w:r w:rsidR="00F31BE4">
              <w:rPr>
                <w:sz w:val="20"/>
                <w:szCs w:val="20"/>
              </w:rPr>
              <w:t xml:space="preserve"> policies, requirements and procedures are documented </w:t>
            </w:r>
            <w:r>
              <w:rPr>
                <w:sz w:val="20"/>
                <w:szCs w:val="20"/>
              </w:rPr>
              <w:t xml:space="preserve">and </w:t>
            </w:r>
            <w:r w:rsidR="00F31BE4">
              <w:rPr>
                <w:sz w:val="20"/>
                <w:szCs w:val="20"/>
              </w:rPr>
              <w:t>applied fair</w:t>
            </w:r>
            <w:r>
              <w:rPr>
                <w:sz w:val="20"/>
                <w:szCs w:val="20"/>
              </w:rPr>
              <w:t xml:space="preserve">ly and </w:t>
            </w:r>
            <w:r w:rsidR="00027615">
              <w:rPr>
                <w:sz w:val="20"/>
                <w:szCs w:val="20"/>
              </w:rPr>
              <w:t>consistently to</w:t>
            </w:r>
            <w:r>
              <w:rPr>
                <w:sz w:val="20"/>
                <w:szCs w:val="20"/>
              </w:rPr>
              <w:t xml:space="preserve"> ensure transparency</w:t>
            </w:r>
            <w:r w:rsidR="007E23E6">
              <w:rPr>
                <w:sz w:val="20"/>
                <w:szCs w:val="20"/>
              </w:rPr>
              <w:t xml:space="preserve">. </w:t>
            </w:r>
          </w:p>
        </w:tc>
      </w:tr>
      <w:tr w:rsidR="00702FA8" w:rsidRPr="00DD6587" w14:paraId="311FE665" w14:textId="77777777" w:rsidTr="000B7674">
        <w:tc>
          <w:tcPr>
            <w:tcW w:w="3964" w:type="dxa"/>
            <w:shd w:val="clear" w:color="auto" w:fill="FFFFFF" w:themeFill="background1"/>
          </w:tcPr>
          <w:p w14:paraId="7E6D58E7" w14:textId="43EF305F" w:rsidR="00702FA8" w:rsidRPr="00A945DD" w:rsidRDefault="00702FA8" w:rsidP="00702FA8">
            <w:pPr>
              <w:rPr>
                <w:sz w:val="20"/>
                <w:szCs w:val="20"/>
              </w:rPr>
            </w:pPr>
            <w:r w:rsidRPr="00A945DD">
              <w:rPr>
                <w:sz w:val="20"/>
                <w:szCs w:val="20"/>
              </w:rPr>
              <w:t>2.3: Wellbeing and Safety</w:t>
            </w:r>
          </w:p>
        </w:tc>
        <w:tc>
          <w:tcPr>
            <w:tcW w:w="5103" w:type="dxa"/>
            <w:shd w:val="clear" w:color="auto" w:fill="FFFFFF" w:themeFill="background1"/>
          </w:tcPr>
          <w:p w14:paraId="43F88C01" w14:textId="7DBF42E0" w:rsidR="00702FA8" w:rsidRPr="00A945DD" w:rsidRDefault="00A20949" w:rsidP="00702FA8">
            <w:pPr>
              <w:pStyle w:val="Bullet1"/>
              <w:rPr>
                <w:sz w:val="20"/>
                <w:szCs w:val="20"/>
              </w:rPr>
            </w:pPr>
            <w:r>
              <w:rPr>
                <w:sz w:val="20"/>
                <w:szCs w:val="20"/>
              </w:rPr>
              <w:t>students are informed</w:t>
            </w:r>
            <w:r w:rsidR="00CE0301">
              <w:rPr>
                <w:sz w:val="20"/>
                <w:szCs w:val="20"/>
              </w:rPr>
              <w:t xml:space="preserve"> </w:t>
            </w:r>
            <w:r w:rsidR="00702FA8" w:rsidRPr="00A945DD">
              <w:rPr>
                <w:sz w:val="20"/>
                <w:szCs w:val="20"/>
              </w:rPr>
              <w:t xml:space="preserve">about the services available to support </w:t>
            </w:r>
            <w:r>
              <w:rPr>
                <w:sz w:val="20"/>
                <w:szCs w:val="20"/>
              </w:rPr>
              <w:t>their</w:t>
            </w:r>
            <w:r w:rsidR="00702FA8">
              <w:rPr>
                <w:sz w:val="20"/>
                <w:szCs w:val="20"/>
              </w:rPr>
              <w:t xml:space="preserve"> </w:t>
            </w:r>
            <w:r w:rsidR="00702FA8" w:rsidRPr="00A945DD">
              <w:rPr>
                <w:sz w:val="20"/>
                <w:szCs w:val="20"/>
              </w:rPr>
              <w:t>wellbeing and safety</w:t>
            </w:r>
            <w:r>
              <w:rPr>
                <w:sz w:val="20"/>
                <w:szCs w:val="20"/>
              </w:rPr>
              <w:t>,</w:t>
            </w:r>
            <w:r w:rsidR="00702FA8">
              <w:rPr>
                <w:sz w:val="20"/>
                <w:szCs w:val="20"/>
              </w:rPr>
              <w:t xml:space="preserve"> including</w:t>
            </w:r>
            <w:r w:rsidR="00702FA8" w:rsidRPr="00A945DD">
              <w:rPr>
                <w:sz w:val="20"/>
                <w:szCs w:val="20"/>
              </w:rPr>
              <w:t xml:space="preserve"> how </w:t>
            </w:r>
            <w:r w:rsidR="00702FA8">
              <w:rPr>
                <w:sz w:val="20"/>
                <w:szCs w:val="20"/>
              </w:rPr>
              <w:t>student</w:t>
            </w:r>
            <w:r w:rsidR="006B4F48">
              <w:rPr>
                <w:sz w:val="20"/>
                <w:szCs w:val="20"/>
              </w:rPr>
              <w:t xml:space="preserve"> feedback</w:t>
            </w:r>
            <w:r w:rsidR="00702FA8" w:rsidRPr="00A945DD">
              <w:rPr>
                <w:sz w:val="20"/>
                <w:szCs w:val="20"/>
              </w:rPr>
              <w:t xml:space="preserve"> can </w:t>
            </w:r>
            <w:r w:rsidR="00702FA8">
              <w:rPr>
                <w:sz w:val="20"/>
                <w:szCs w:val="20"/>
              </w:rPr>
              <w:t>improve</w:t>
            </w:r>
            <w:r w:rsidR="00702FA8" w:rsidRPr="00A945DD">
              <w:rPr>
                <w:sz w:val="20"/>
                <w:szCs w:val="20"/>
              </w:rPr>
              <w:t xml:space="preserve"> </w:t>
            </w:r>
            <w:r w:rsidR="00702FA8">
              <w:rPr>
                <w:sz w:val="20"/>
                <w:szCs w:val="20"/>
              </w:rPr>
              <w:t xml:space="preserve">related </w:t>
            </w:r>
            <w:r w:rsidR="00702FA8" w:rsidRPr="00A945DD">
              <w:rPr>
                <w:sz w:val="20"/>
                <w:szCs w:val="20"/>
              </w:rPr>
              <w:t>policies</w:t>
            </w:r>
            <w:r w:rsidR="00EB706A">
              <w:rPr>
                <w:sz w:val="20"/>
                <w:szCs w:val="20"/>
              </w:rPr>
              <w:t xml:space="preserve"> and procedures</w:t>
            </w:r>
            <w:r w:rsidR="00702FA8" w:rsidRPr="00A945DD">
              <w:rPr>
                <w:sz w:val="20"/>
                <w:szCs w:val="20"/>
              </w:rPr>
              <w:t xml:space="preserve">. </w:t>
            </w:r>
          </w:p>
        </w:tc>
      </w:tr>
      <w:tr w:rsidR="00702FA8" w:rsidRPr="00DD6587" w14:paraId="4AC258CF" w14:textId="77777777" w:rsidTr="000B7674">
        <w:tc>
          <w:tcPr>
            <w:tcW w:w="3964" w:type="dxa"/>
            <w:shd w:val="clear" w:color="auto" w:fill="FFFFFF" w:themeFill="background1"/>
          </w:tcPr>
          <w:p w14:paraId="07F2CC0C" w14:textId="6A760796" w:rsidR="00702FA8" w:rsidRPr="00A945DD" w:rsidRDefault="00702FA8" w:rsidP="00702FA8">
            <w:pPr>
              <w:rPr>
                <w:sz w:val="20"/>
                <w:szCs w:val="20"/>
              </w:rPr>
            </w:pPr>
            <w:r w:rsidRPr="00A945DD">
              <w:rPr>
                <w:sz w:val="20"/>
                <w:szCs w:val="20"/>
              </w:rPr>
              <w:t>2.4: Student Grievances</w:t>
            </w:r>
            <w:r w:rsidR="00BA7F81">
              <w:rPr>
                <w:sz w:val="20"/>
                <w:szCs w:val="20"/>
              </w:rPr>
              <w:t xml:space="preserve"> and Complaints</w:t>
            </w:r>
          </w:p>
        </w:tc>
        <w:tc>
          <w:tcPr>
            <w:tcW w:w="5103" w:type="dxa"/>
            <w:shd w:val="clear" w:color="auto" w:fill="FFFFFF" w:themeFill="background1"/>
          </w:tcPr>
          <w:p w14:paraId="088AAAAD" w14:textId="5F90E811" w:rsidR="00702FA8" w:rsidRPr="00A945DD" w:rsidRDefault="00702FA8" w:rsidP="00702FA8">
            <w:pPr>
              <w:pStyle w:val="Bullet1"/>
              <w:rPr>
                <w:sz w:val="20"/>
                <w:szCs w:val="20"/>
              </w:rPr>
            </w:pPr>
            <w:r w:rsidRPr="00A945DD">
              <w:rPr>
                <w:sz w:val="20"/>
                <w:szCs w:val="20"/>
              </w:rPr>
              <w:t xml:space="preserve">policies and procedures </w:t>
            </w:r>
            <w:r>
              <w:rPr>
                <w:sz w:val="20"/>
                <w:szCs w:val="20"/>
              </w:rPr>
              <w:t xml:space="preserve">for </w:t>
            </w:r>
            <w:r w:rsidRPr="00A945DD">
              <w:rPr>
                <w:sz w:val="20"/>
                <w:szCs w:val="20"/>
              </w:rPr>
              <w:t>resolving grievances</w:t>
            </w:r>
            <w:r w:rsidR="00BA7F81">
              <w:rPr>
                <w:sz w:val="20"/>
                <w:szCs w:val="20"/>
              </w:rPr>
              <w:t xml:space="preserve"> and complaints</w:t>
            </w:r>
            <w:r w:rsidRPr="00A945DD">
              <w:rPr>
                <w:sz w:val="20"/>
                <w:szCs w:val="20"/>
              </w:rPr>
              <w:t xml:space="preserve"> are made available to students.</w:t>
            </w:r>
          </w:p>
        </w:tc>
      </w:tr>
      <w:tr w:rsidR="00702FA8" w:rsidRPr="00DD6587" w14:paraId="13440C0A" w14:textId="77777777" w:rsidTr="0098170E">
        <w:tc>
          <w:tcPr>
            <w:tcW w:w="3964" w:type="dxa"/>
            <w:shd w:val="clear" w:color="auto" w:fill="FFFFFF" w:themeFill="background1"/>
          </w:tcPr>
          <w:p w14:paraId="477A2F68" w14:textId="6BC11228" w:rsidR="00702FA8" w:rsidRPr="00A945DD" w:rsidRDefault="00702FA8" w:rsidP="00702FA8">
            <w:pPr>
              <w:rPr>
                <w:sz w:val="20"/>
                <w:szCs w:val="20"/>
              </w:rPr>
            </w:pPr>
            <w:r w:rsidRPr="00A945DD">
              <w:rPr>
                <w:sz w:val="20"/>
                <w:szCs w:val="20"/>
              </w:rPr>
              <w:t>7.1.1 – 3: Representation</w:t>
            </w:r>
          </w:p>
        </w:tc>
        <w:tc>
          <w:tcPr>
            <w:tcW w:w="5103" w:type="dxa"/>
            <w:shd w:val="clear" w:color="auto" w:fill="FFFFFF" w:themeFill="background1"/>
          </w:tcPr>
          <w:p w14:paraId="2C13906B" w14:textId="612A3FE5" w:rsidR="00702FA8" w:rsidRPr="00A945DD" w:rsidRDefault="00702FA8" w:rsidP="00702FA8">
            <w:pPr>
              <w:pStyle w:val="Bullet1"/>
              <w:rPr>
                <w:sz w:val="20"/>
                <w:szCs w:val="20"/>
              </w:rPr>
            </w:pPr>
            <w:r w:rsidRPr="00A945DD">
              <w:rPr>
                <w:sz w:val="20"/>
                <w:szCs w:val="20"/>
              </w:rPr>
              <w:t>representations of educational offerings, whether made directly with a provider or through an agent are not misleading. This includes information about accreditation by agencies such as TEQSA, or by a professional accreditation body</w:t>
            </w:r>
            <w:r w:rsidR="00361E23">
              <w:rPr>
                <w:sz w:val="20"/>
                <w:szCs w:val="20"/>
              </w:rPr>
              <w:t>.</w:t>
            </w:r>
          </w:p>
          <w:p w14:paraId="6278FA5C" w14:textId="2CE20C15" w:rsidR="00702FA8" w:rsidRDefault="00702FA8" w:rsidP="00702FA8">
            <w:pPr>
              <w:pStyle w:val="Bullet1"/>
              <w:rPr>
                <w:sz w:val="20"/>
                <w:szCs w:val="20"/>
              </w:rPr>
            </w:pPr>
            <w:r w:rsidRPr="00A945DD">
              <w:rPr>
                <w:sz w:val="20"/>
                <w:szCs w:val="20"/>
              </w:rPr>
              <w:t>information about units of study offered as eligible for credit (when separated from a course of study) are specified and defined</w:t>
            </w:r>
            <w:r w:rsidR="00361E23">
              <w:rPr>
                <w:sz w:val="20"/>
                <w:szCs w:val="20"/>
              </w:rPr>
              <w:t>.</w:t>
            </w:r>
          </w:p>
          <w:p w14:paraId="35798DDC" w14:textId="76F65DF0" w:rsidR="00CB5E2F" w:rsidRPr="00A945DD" w:rsidRDefault="00CB5E2F" w:rsidP="00D31D64">
            <w:pPr>
              <w:pStyle w:val="Bullet1"/>
              <w:rPr>
                <w:sz w:val="20"/>
                <w:szCs w:val="20"/>
              </w:rPr>
            </w:pPr>
            <w:r>
              <w:rPr>
                <w:sz w:val="20"/>
                <w:szCs w:val="20"/>
              </w:rPr>
              <w:t>r</w:t>
            </w:r>
            <w:r w:rsidR="00E745E7">
              <w:rPr>
                <w:sz w:val="20"/>
                <w:szCs w:val="20"/>
              </w:rPr>
              <w:t xml:space="preserve">epresentations around work integrated learning </w:t>
            </w:r>
            <w:r>
              <w:rPr>
                <w:sz w:val="20"/>
                <w:szCs w:val="20"/>
              </w:rPr>
              <w:t>should be clearly communicated to students</w:t>
            </w:r>
            <w:r w:rsidR="00361E23">
              <w:rPr>
                <w:sz w:val="20"/>
                <w:szCs w:val="20"/>
              </w:rPr>
              <w:t>.</w:t>
            </w:r>
          </w:p>
        </w:tc>
      </w:tr>
      <w:tr w:rsidR="00702FA8" w:rsidRPr="00DD6587" w14:paraId="3B35578C" w14:textId="77777777" w:rsidTr="00EB3438">
        <w:tc>
          <w:tcPr>
            <w:tcW w:w="3964" w:type="dxa"/>
          </w:tcPr>
          <w:p w14:paraId="3BD2C299" w14:textId="2CBEB8CC" w:rsidR="00702FA8" w:rsidRPr="00A945DD" w:rsidRDefault="00702FA8" w:rsidP="00702FA8">
            <w:pPr>
              <w:rPr>
                <w:sz w:val="20"/>
                <w:szCs w:val="20"/>
              </w:rPr>
            </w:pPr>
            <w:r w:rsidRPr="00A945DD">
              <w:rPr>
                <w:sz w:val="20"/>
                <w:szCs w:val="20"/>
              </w:rPr>
              <w:t xml:space="preserve">7.2.1 – 4: Information for Prospective and Current Students </w:t>
            </w:r>
          </w:p>
        </w:tc>
        <w:tc>
          <w:tcPr>
            <w:tcW w:w="5103" w:type="dxa"/>
          </w:tcPr>
          <w:p w14:paraId="7CDFC024" w14:textId="647EB7FF" w:rsidR="00702FA8" w:rsidRPr="00A945DD" w:rsidRDefault="00702FA8" w:rsidP="00702FA8">
            <w:pPr>
              <w:pStyle w:val="Bullet1"/>
              <w:rPr>
                <w:sz w:val="20"/>
                <w:szCs w:val="20"/>
              </w:rPr>
            </w:pPr>
            <w:r w:rsidRPr="00A945DD">
              <w:rPr>
                <w:sz w:val="20"/>
                <w:szCs w:val="20"/>
              </w:rPr>
              <w:t>accurate, relevant, and timely information for students is publicly available and accessible</w:t>
            </w:r>
            <w:r w:rsidR="00361E23">
              <w:rPr>
                <w:sz w:val="20"/>
                <w:szCs w:val="20"/>
              </w:rPr>
              <w:t>.</w:t>
            </w:r>
          </w:p>
          <w:p w14:paraId="740EF49A" w14:textId="5163AA71" w:rsidR="00702FA8" w:rsidRPr="00A945DD" w:rsidRDefault="00702FA8" w:rsidP="00702FA8">
            <w:pPr>
              <w:pStyle w:val="Bullet1"/>
              <w:rPr>
                <w:sz w:val="20"/>
                <w:szCs w:val="20"/>
              </w:rPr>
            </w:pPr>
            <w:r w:rsidRPr="00A945DD">
              <w:rPr>
                <w:sz w:val="20"/>
                <w:szCs w:val="20"/>
              </w:rPr>
              <w:t>sufficient information is publicly available for a student to make informed decision</w:t>
            </w:r>
            <w:r w:rsidR="00496AC5">
              <w:rPr>
                <w:sz w:val="20"/>
                <w:szCs w:val="20"/>
              </w:rPr>
              <w:t>s</w:t>
            </w:r>
            <w:r w:rsidRPr="00A945DD">
              <w:rPr>
                <w:sz w:val="20"/>
                <w:szCs w:val="20"/>
              </w:rPr>
              <w:t xml:space="preserve"> about an educational offering</w:t>
            </w:r>
            <w:r w:rsidR="00361E23">
              <w:rPr>
                <w:sz w:val="20"/>
                <w:szCs w:val="20"/>
              </w:rPr>
              <w:t>.</w:t>
            </w:r>
          </w:p>
          <w:p w14:paraId="6A976B5C" w14:textId="3036704D" w:rsidR="00702FA8" w:rsidRPr="00A945DD" w:rsidRDefault="00702FA8" w:rsidP="00702FA8">
            <w:pPr>
              <w:pStyle w:val="Bullet1"/>
              <w:rPr>
                <w:sz w:val="20"/>
                <w:szCs w:val="20"/>
              </w:rPr>
            </w:pPr>
            <w:r w:rsidRPr="00A945DD">
              <w:rPr>
                <w:sz w:val="20"/>
                <w:szCs w:val="20"/>
              </w:rPr>
              <w:t xml:space="preserve">written communications to students are in plain English with explanations </w:t>
            </w:r>
            <w:r w:rsidR="00496AC5">
              <w:rPr>
                <w:sz w:val="20"/>
                <w:szCs w:val="20"/>
              </w:rPr>
              <w:t>of</w:t>
            </w:r>
            <w:r w:rsidRPr="00A945DD">
              <w:rPr>
                <w:sz w:val="20"/>
                <w:szCs w:val="20"/>
              </w:rPr>
              <w:t xml:space="preserve"> any technical or specialised language used</w:t>
            </w:r>
            <w:r>
              <w:rPr>
                <w:sz w:val="20"/>
                <w:szCs w:val="20"/>
              </w:rPr>
              <w:t xml:space="preserve"> to improve the likelihood of understanding</w:t>
            </w:r>
            <w:r w:rsidR="00361E23">
              <w:rPr>
                <w:sz w:val="20"/>
                <w:szCs w:val="20"/>
              </w:rPr>
              <w:t>.</w:t>
            </w:r>
          </w:p>
          <w:p w14:paraId="3C3643B4" w14:textId="2B8716FD" w:rsidR="00702FA8" w:rsidRPr="00A945DD" w:rsidRDefault="00702FA8" w:rsidP="00702FA8">
            <w:pPr>
              <w:pStyle w:val="Bullet1"/>
              <w:rPr>
                <w:sz w:val="20"/>
                <w:szCs w:val="20"/>
              </w:rPr>
            </w:pPr>
            <w:r w:rsidRPr="00A945DD">
              <w:rPr>
                <w:sz w:val="20"/>
                <w:szCs w:val="20"/>
              </w:rPr>
              <w:t>policies and processes are in place to ensure information and advice given to international students, or those holding or applying for a student visa meet statutory requirements</w:t>
            </w:r>
            <w:r w:rsidR="00361E23">
              <w:rPr>
                <w:sz w:val="20"/>
                <w:szCs w:val="20"/>
              </w:rPr>
              <w:t>.</w:t>
            </w:r>
          </w:p>
          <w:p w14:paraId="1F8040D3" w14:textId="5A0C3863" w:rsidR="00702FA8" w:rsidRPr="00A945DD" w:rsidRDefault="00702FA8" w:rsidP="00702FA8">
            <w:pPr>
              <w:pStyle w:val="Bullet1"/>
              <w:rPr>
                <w:sz w:val="20"/>
                <w:szCs w:val="20"/>
              </w:rPr>
            </w:pPr>
            <w:r w:rsidRPr="00A945DD">
              <w:rPr>
                <w:sz w:val="20"/>
                <w:szCs w:val="20"/>
              </w:rPr>
              <w:t xml:space="preserve">processes are in place to provide students with reasonable notice of changes to operations, which may affect their choice of </w:t>
            </w:r>
            <w:r>
              <w:rPr>
                <w:sz w:val="20"/>
                <w:szCs w:val="20"/>
              </w:rPr>
              <w:t xml:space="preserve">course of </w:t>
            </w:r>
            <w:r w:rsidRPr="00A945DD">
              <w:rPr>
                <w:sz w:val="20"/>
                <w:szCs w:val="20"/>
              </w:rPr>
              <w:t xml:space="preserve">study, or ability to participate in it.    </w:t>
            </w:r>
          </w:p>
        </w:tc>
      </w:tr>
      <w:tr w:rsidR="00702FA8" w:rsidRPr="00DD6587" w14:paraId="0508E267" w14:textId="77777777" w:rsidTr="00EB3438">
        <w:tc>
          <w:tcPr>
            <w:tcW w:w="3964" w:type="dxa"/>
          </w:tcPr>
          <w:p w14:paraId="08212EC8" w14:textId="5E69BD2A" w:rsidR="00702FA8" w:rsidRPr="00A945DD" w:rsidRDefault="00702FA8" w:rsidP="00702FA8">
            <w:pPr>
              <w:rPr>
                <w:sz w:val="20"/>
                <w:szCs w:val="20"/>
              </w:rPr>
            </w:pPr>
            <w:r w:rsidRPr="00A945DD">
              <w:rPr>
                <w:sz w:val="20"/>
                <w:szCs w:val="20"/>
              </w:rPr>
              <w:t>7.3.1: Information Management</w:t>
            </w:r>
          </w:p>
        </w:tc>
        <w:tc>
          <w:tcPr>
            <w:tcW w:w="5103" w:type="dxa"/>
          </w:tcPr>
          <w:p w14:paraId="7C0C759C" w14:textId="48B76326" w:rsidR="00702FA8" w:rsidRPr="00A945DD" w:rsidRDefault="00702FA8" w:rsidP="00702FA8">
            <w:pPr>
              <w:pStyle w:val="Bullet1"/>
              <w:rPr>
                <w:sz w:val="20"/>
                <w:szCs w:val="20"/>
              </w:rPr>
            </w:pPr>
            <w:r w:rsidRPr="00A945DD">
              <w:rPr>
                <w:sz w:val="20"/>
                <w:szCs w:val="20"/>
              </w:rPr>
              <w:t xml:space="preserve">current information about the provider’s operations </w:t>
            </w:r>
            <w:r>
              <w:rPr>
                <w:sz w:val="20"/>
                <w:szCs w:val="20"/>
              </w:rPr>
              <w:t xml:space="preserve">is </w:t>
            </w:r>
            <w:r w:rsidRPr="00A945DD">
              <w:rPr>
                <w:sz w:val="20"/>
                <w:szCs w:val="20"/>
              </w:rPr>
              <w:t>in a publicly available repository</w:t>
            </w:r>
            <w:r w:rsidR="00F65257">
              <w:rPr>
                <w:sz w:val="20"/>
                <w:szCs w:val="20"/>
              </w:rPr>
              <w:t xml:space="preserve"> (t</w:t>
            </w:r>
            <w:r>
              <w:rPr>
                <w:sz w:val="20"/>
                <w:szCs w:val="20"/>
              </w:rPr>
              <w:t xml:space="preserve">his information will </w:t>
            </w:r>
            <w:r w:rsidR="00B25515">
              <w:rPr>
                <w:sz w:val="20"/>
                <w:szCs w:val="20"/>
              </w:rPr>
              <w:t xml:space="preserve">commonly </w:t>
            </w:r>
            <w:r>
              <w:rPr>
                <w:sz w:val="20"/>
                <w:szCs w:val="20"/>
              </w:rPr>
              <w:t>be found on the provider’s website</w:t>
            </w:r>
            <w:r w:rsidR="00F65257">
              <w:rPr>
                <w:sz w:val="20"/>
                <w:szCs w:val="20"/>
              </w:rPr>
              <w:t>).</w:t>
            </w:r>
            <w:r w:rsidRPr="00A945DD">
              <w:rPr>
                <w:sz w:val="20"/>
                <w:szCs w:val="20"/>
              </w:rPr>
              <w:t xml:space="preserve"> </w:t>
            </w:r>
          </w:p>
        </w:tc>
      </w:tr>
    </w:tbl>
    <w:p w14:paraId="00FE5E52" w14:textId="2A86350D" w:rsidR="00A72DEE" w:rsidRDefault="00543290" w:rsidP="00A72DEE">
      <w:pPr>
        <w:pStyle w:val="Heading3"/>
      </w:pPr>
      <w:r>
        <w:t>Provider i</w:t>
      </w:r>
      <w:r w:rsidR="00A72DEE">
        <w:t xml:space="preserve">nformation should inform </w:t>
      </w:r>
      <w:r>
        <w:t>student decision making</w:t>
      </w:r>
    </w:p>
    <w:p w14:paraId="7C28CF54" w14:textId="0ACEB647" w:rsidR="00F04F06" w:rsidRDefault="00F04F06" w:rsidP="00F26189">
      <w:r>
        <w:t xml:space="preserve">The primary purpose of </w:t>
      </w:r>
      <w:r w:rsidR="00FE2C61">
        <w:t>providing this information</w:t>
      </w:r>
      <w:r w:rsidR="00A71030">
        <w:t xml:space="preserve"> </w:t>
      </w:r>
      <w:r>
        <w:t>is to ensure all students have</w:t>
      </w:r>
      <w:r w:rsidR="008C7AC1">
        <w:t xml:space="preserve"> </w:t>
      </w:r>
      <w:r>
        <w:t xml:space="preserve">access to </w:t>
      </w:r>
      <w:r w:rsidR="008F37AF">
        <w:t>quality</w:t>
      </w:r>
      <w:r>
        <w:t xml:space="preserve"> information to make informed decision</w:t>
      </w:r>
      <w:r w:rsidR="008F37AF">
        <w:t>s</w:t>
      </w:r>
      <w:r>
        <w:t xml:space="preserve"> abou</w:t>
      </w:r>
      <w:r w:rsidR="00F26189">
        <w:t xml:space="preserve">t a provider’s </w:t>
      </w:r>
      <w:r>
        <w:t>educational offering</w:t>
      </w:r>
      <w:r w:rsidR="008F37AF">
        <w:t>s</w:t>
      </w:r>
      <w:r w:rsidR="00DE52C6">
        <w:t xml:space="preserve"> and experiences, and how they may best suit </w:t>
      </w:r>
      <w:r w:rsidR="00D50199">
        <w:t>a</w:t>
      </w:r>
      <w:r w:rsidR="00DE52C6">
        <w:t xml:space="preserve"> student</w:t>
      </w:r>
      <w:r w:rsidR="542FBE39">
        <w:t>’</w:t>
      </w:r>
      <w:r w:rsidR="00DE52C6">
        <w:t xml:space="preserve">s needs. </w:t>
      </w:r>
    </w:p>
    <w:p w14:paraId="06529060" w14:textId="485AB93B" w:rsidR="00DE52C6" w:rsidRDefault="00DE52C6" w:rsidP="00F26189">
      <w:r>
        <w:lastRenderedPageBreak/>
        <w:t xml:space="preserve">TEQSA expects providers to make its information available to students through its website and in formats readily accessible by all students, including those </w:t>
      </w:r>
      <w:r w:rsidR="0045131D">
        <w:t>with diverse needs</w:t>
      </w:r>
      <w:r w:rsidR="5D847D4F">
        <w:t>.</w:t>
      </w:r>
    </w:p>
    <w:p w14:paraId="63DFAAC7" w14:textId="33D062B5" w:rsidR="00D11595" w:rsidRDefault="007F071E" w:rsidP="00D11595">
      <w:pPr>
        <w:pStyle w:val="Heading3"/>
      </w:pPr>
      <w:r>
        <w:t>What type of information should be made available</w:t>
      </w:r>
      <w:r w:rsidR="00BD7B4F">
        <w:t>?</w:t>
      </w:r>
    </w:p>
    <w:p w14:paraId="45A66061" w14:textId="5040D600" w:rsidR="007D4F83" w:rsidRDefault="007D4F83" w:rsidP="00613791">
      <w:r>
        <w:t>TEQSA expect</w:t>
      </w:r>
      <w:r w:rsidR="008F53AF">
        <w:t xml:space="preserve">s </w:t>
      </w:r>
      <w:r>
        <w:t>provider</w:t>
      </w:r>
      <w:r w:rsidR="008F53AF">
        <w:t>s to</w:t>
      </w:r>
      <w:r>
        <w:t xml:space="preserve"> mak</w:t>
      </w:r>
      <w:r w:rsidR="008F53AF">
        <w:t>e</w:t>
      </w:r>
      <w:r>
        <w:t xml:space="preserve"> information available to students through its website</w:t>
      </w:r>
      <w:r w:rsidR="00120CE2">
        <w:t xml:space="preserve"> and in formats </w:t>
      </w:r>
      <w:r w:rsidR="008F53AF">
        <w:t>readily accessible by</w:t>
      </w:r>
      <w:r w:rsidR="00120CE2">
        <w:t xml:space="preserve"> </w:t>
      </w:r>
      <w:r w:rsidR="00A945DD">
        <w:t xml:space="preserve">all </w:t>
      </w:r>
      <w:r w:rsidR="00120CE2">
        <w:t>students</w:t>
      </w:r>
      <w:r w:rsidR="00A945DD">
        <w:t>, including those</w:t>
      </w:r>
      <w:r w:rsidR="00120CE2">
        <w:t xml:space="preserve"> who have </w:t>
      </w:r>
      <w:r w:rsidR="001359B6">
        <w:t>div</w:t>
      </w:r>
      <w:r w:rsidR="00125F9C">
        <w:t>erse</w:t>
      </w:r>
      <w:r w:rsidR="00BE2459">
        <w:t xml:space="preserve"> needs.</w:t>
      </w:r>
    </w:p>
    <w:p w14:paraId="23DBFEB9" w14:textId="74AA4BF4" w:rsidR="00613791" w:rsidRPr="008A7DD6" w:rsidRDefault="000770EF" w:rsidP="00613791">
      <w:pPr>
        <w:rPr>
          <w:color w:val="auto"/>
        </w:rPr>
      </w:pPr>
      <w:r>
        <w:rPr>
          <w:color w:val="auto"/>
        </w:rPr>
        <w:t>Information</w:t>
      </w:r>
      <w:r w:rsidR="006663FD">
        <w:rPr>
          <w:color w:val="auto"/>
        </w:rPr>
        <w:t xml:space="preserve"> TEQSA </w:t>
      </w:r>
      <w:r w:rsidR="008F53AF">
        <w:rPr>
          <w:color w:val="auto"/>
        </w:rPr>
        <w:t>expect</w:t>
      </w:r>
      <w:r w:rsidR="006663FD">
        <w:rPr>
          <w:color w:val="auto"/>
        </w:rPr>
        <w:t>s</w:t>
      </w:r>
      <w:r w:rsidR="008F53AF">
        <w:rPr>
          <w:color w:val="auto"/>
        </w:rPr>
        <w:t xml:space="preserve"> </w:t>
      </w:r>
      <w:r w:rsidR="008E1F1B" w:rsidRPr="008A7DD6">
        <w:rPr>
          <w:color w:val="auto"/>
        </w:rPr>
        <w:t>providers to make</w:t>
      </w:r>
      <w:r w:rsidR="008F53AF">
        <w:rPr>
          <w:color w:val="auto"/>
        </w:rPr>
        <w:t xml:space="preserve"> </w:t>
      </w:r>
      <w:r w:rsidR="008E1F1B" w:rsidRPr="008A7DD6">
        <w:rPr>
          <w:color w:val="auto"/>
        </w:rPr>
        <w:t xml:space="preserve">available </w:t>
      </w:r>
      <w:r w:rsidR="008F53AF">
        <w:rPr>
          <w:color w:val="auto"/>
        </w:rPr>
        <w:t>to students includes</w:t>
      </w:r>
      <w:r w:rsidR="008B175E">
        <w:rPr>
          <w:color w:val="auto"/>
        </w:rPr>
        <w:t xml:space="preserve"> information about</w:t>
      </w:r>
      <w:r w:rsidR="008F53AF">
        <w:rPr>
          <w:color w:val="auto"/>
        </w:rPr>
        <w:t xml:space="preserve">: </w:t>
      </w:r>
    </w:p>
    <w:p w14:paraId="30E97F26" w14:textId="1BDFA6B2" w:rsidR="001E1463" w:rsidRPr="008A7DD6" w:rsidRDefault="001E1463" w:rsidP="00D24263">
      <w:pPr>
        <w:pStyle w:val="Bullet1"/>
        <w:rPr>
          <w:color w:val="auto"/>
        </w:rPr>
      </w:pPr>
      <w:r w:rsidRPr="008A7DD6">
        <w:rPr>
          <w:color w:val="auto"/>
        </w:rPr>
        <w:t>courses or units of study including course design, recognition of prior learning and pathways to employment</w:t>
      </w:r>
    </w:p>
    <w:p w14:paraId="6539DF00" w14:textId="498279CE" w:rsidR="001E1463" w:rsidRPr="008A7DD6" w:rsidRDefault="001E1463" w:rsidP="00D24263">
      <w:pPr>
        <w:pStyle w:val="Bullet1"/>
        <w:rPr>
          <w:color w:val="auto"/>
        </w:rPr>
      </w:pPr>
      <w:r w:rsidRPr="008A7DD6">
        <w:rPr>
          <w:color w:val="auto"/>
        </w:rPr>
        <w:t>student participation in educational and other activities, including access to IT systems</w:t>
      </w:r>
      <w:r w:rsidR="00702466">
        <w:rPr>
          <w:color w:val="auto"/>
        </w:rPr>
        <w:t>,</w:t>
      </w:r>
      <w:r w:rsidRPr="008A7DD6">
        <w:rPr>
          <w:color w:val="auto"/>
        </w:rPr>
        <w:t xml:space="preserve"> timetables</w:t>
      </w:r>
      <w:r w:rsidR="00702466">
        <w:rPr>
          <w:color w:val="auto"/>
        </w:rPr>
        <w:t>,</w:t>
      </w:r>
      <w:r w:rsidRPr="008A7DD6">
        <w:rPr>
          <w:color w:val="auto"/>
        </w:rPr>
        <w:t xml:space="preserve"> and opportunities to participate in student representative bodies</w:t>
      </w:r>
    </w:p>
    <w:p w14:paraId="2651B8A4" w14:textId="360212DA" w:rsidR="001E1463" w:rsidRPr="008A7DD6" w:rsidRDefault="001E1463" w:rsidP="00D24263">
      <w:pPr>
        <w:pStyle w:val="Bullet1"/>
        <w:rPr>
          <w:color w:val="auto"/>
        </w:rPr>
      </w:pPr>
      <w:r w:rsidRPr="008A7DD6">
        <w:rPr>
          <w:color w:val="auto"/>
        </w:rPr>
        <w:t xml:space="preserve">obligations of students </w:t>
      </w:r>
      <w:r w:rsidR="006663FD">
        <w:rPr>
          <w:color w:val="auto"/>
        </w:rPr>
        <w:t xml:space="preserve">to </w:t>
      </w:r>
      <w:r w:rsidRPr="008A7DD6">
        <w:rPr>
          <w:color w:val="auto"/>
        </w:rPr>
        <w:t>the provider</w:t>
      </w:r>
      <w:r w:rsidR="000E6CF0">
        <w:rPr>
          <w:color w:val="auto"/>
        </w:rPr>
        <w:t>,</w:t>
      </w:r>
      <w:r w:rsidR="0027110F">
        <w:rPr>
          <w:color w:val="auto"/>
        </w:rPr>
        <w:t xml:space="preserve"> including any particular obligations for international students,</w:t>
      </w:r>
      <w:r w:rsidR="006663FD">
        <w:rPr>
          <w:color w:val="auto"/>
        </w:rPr>
        <w:t xml:space="preserve"> such as </w:t>
      </w:r>
      <w:r w:rsidRPr="008A7DD6">
        <w:rPr>
          <w:color w:val="auto"/>
        </w:rPr>
        <w:t>expected standards of behaviour, financial obligations</w:t>
      </w:r>
      <w:r w:rsidR="0027110F">
        <w:rPr>
          <w:color w:val="auto"/>
        </w:rPr>
        <w:t xml:space="preserve"> and</w:t>
      </w:r>
      <w:r w:rsidRPr="008A7DD6">
        <w:rPr>
          <w:color w:val="auto"/>
        </w:rPr>
        <w:t xml:space="preserve"> critical </w:t>
      </w:r>
      <w:r w:rsidR="00AA657C" w:rsidRPr="008A7DD6">
        <w:rPr>
          <w:color w:val="auto"/>
        </w:rPr>
        <w:t>deadlines</w:t>
      </w:r>
    </w:p>
    <w:p w14:paraId="4B9C40C5" w14:textId="1F55360C" w:rsidR="001E1463" w:rsidRPr="00ED1694" w:rsidRDefault="00AA657C" w:rsidP="00D24263">
      <w:pPr>
        <w:pStyle w:val="Bullet1"/>
        <w:rPr>
          <w:color w:val="auto"/>
        </w:rPr>
      </w:pPr>
      <w:r w:rsidRPr="008A7DD6">
        <w:rPr>
          <w:color w:val="auto"/>
        </w:rPr>
        <w:t>academic governance policies</w:t>
      </w:r>
      <w:r w:rsidR="00596DDE">
        <w:rPr>
          <w:color w:val="auto"/>
        </w:rPr>
        <w:t>,</w:t>
      </w:r>
      <w:r w:rsidR="00A136D8">
        <w:rPr>
          <w:color w:val="auto"/>
        </w:rPr>
        <w:t xml:space="preserve"> includ</w:t>
      </w:r>
      <w:r w:rsidR="006663FD">
        <w:rPr>
          <w:color w:val="auto"/>
        </w:rPr>
        <w:t>ing</w:t>
      </w:r>
      <w:r w:rsidR="00A136D8">
        <w:rPr>
          <w:color w:val="auto"/>
        </w:rPr>
        <w:t xml:space="preserve"> information about admission, assessment, grading, </w:t>
      </w:r>
      <w:r w:rsidR="00735DFF">
        <w:rPr>
          <w:color w:val="auto"/>
        </w:rPr>
        <w:t xml:space="preserve">course </w:t>
      </w:r>
      <w:r w:rsidR="00A136D8">
        <w:rPr>
          <w:color w:val="auto"/>
        </w:rPr>
        <w:t>completion, academic integrity, and equity and diversity</w:t>
      </w:r>
    </w:p>
    <w:p w14:paraId="31050A33" w14:textId="648BDB57" w:rsidR="00AA657C" w:rsidRPr="00ED1694" w:rsidRDefault="00AA657C" w:rsidP="00D24263">
      <w:pPr>
        <w:pStyle w:val="Bullet1"/>
        <w:rPr>
          <w:color w:val="auto"/>
        </w:rPr>
      </w:pPr>
      <w:r w:rsidRPr="00ED1694">
        <w:rPr>
          <w:color w:val="auto"/>
        </w:rPr>
        <w:t xml:space="preserve">access to </w:t>
      </w:r>
      <w:r w:rsidR="0092348B" w:rsidRPr="00ED1694">
        <w:rPr>
          <w:color w:val="auto"/>
        </w:rPr>
        <w:t xml:space="preserve">support </w:t>
      </w:r>
      <w:r w:rsidRPr="00ED1694">
        <w:rPr>
          <w:color w:val="auto"/>
        </w:rPr>
        <w:t>services</w:t>
      </w:r>
      <w:r w:rsidR="00596DDE">
        <w:rPr>
          <w:color w:val="auto"/>
        </w:rPr>
        <w:t>,</w:t>
      </w:r>
      <w:r w:rsidRPr="00ED1694">
        <w:rPr>
          <w:color w:val="auto"/>
        </w:rPr>
        <w:t xml:space="preserve"> </w:t>
      </w:r>
      <w:r w:rsidR="0092348B" w:rsidRPr="00ED1694">
        <w:rPr>
          <w:color w:val="auto"/>
        </w:rPr>
        <w:t>including English language support, personal support services and access to emergency contact information</w:t>
      </w:r>
    </w:p>
    <w:p w14:paraId="670B0C19" w14:textId="49C431C1" w:rsidR="0092348B" w:rsidRPr="00ED1694" w:rsidRDefault="0092348B" w:rsidP="00D24263">
      <w:pPr>
        <w:pStyle w:val="Bullet1"/>
        <w:rPr>
          <w:color w:val="auto"/>
        </w:rPr>
      </w:pPr>
      <w:r w:rsidRPr="00ED1694">
        <w:rPr>
          <w:color w:val="auto"/>
        </w:rPr>
        <w:t>grievance resolution processes, including access to complaints and internal/external appeals support and advocacy</w:t>
      </w:r>
    </w:p>
    <w:p w14:paraId="5DFC1AEE" w14:textId="75585D69" w:rsidR="008E4B4A" w:rsidRPr="00ED1694" w:rsidRDefault="00035065" w:rsidP="00D24263">
      <w:pPr>
        <w:pStyle w:val="Bullet1"/>
        <w:rPr>
          <w:color w:val="auto"/>
        </w:rPr>
      </w:pPr>
      <w:r w:rsidRPr="00ED1694">
        <w:rPr>
          <w:color w:val="auto"/>
        </w:rPr>
        <w:t xml:space="preserve">support services for </w:t>
      </w:r>
      <w:r w:rsidR="0092348B" w:rsidRPr="00ED1694">
        <w:rPr>
          <w:color w:val="auto"/>
        </w:rPr>
        <w:t>international students studying in Australia</w:t>
      </w:r>
      <w:r w:rsidRPr="00ED1694">
        <w:rPr>
          <w:color w:val="auto"/>
        </w:rPr>
        <w:t>,</w:t>
      </w:r>
      <w:r w:rsidR="0092348B" w:rsidRPr="00ED1694">
        <w:rPr>
          <w:color w:val="auto"/>
        </w:rPr>
        <w:t xml:space="preserve"> including information about the indicative costs of </w:t>
      </w:r>
      <w:r w:rsidR="00D72889" w:rsidRPr="00ED1694">
        <w:rPr>
          <w:color w:val="auto"/>
        </w:rPr>
        <w:t>living,</w:t>
      </w:r>
      <w:r w:rsidR="0092348B" w:rsidRPr="00ED1694">
        <w:rPr>
          <w:color w:val="auto"/>
        </w:rPr>
        <w:t xml:space="preserve"> and </w:t>
      </w:r>
      <w:r w:rsidR="00E0290B" w:rsidRPr="00ED1694">
        <w:rPr>
          <w:color w:val="auto"/>
        </w:rPr>
        <w:t>studying</w:t>
      </w:r>
      <w:r w:rsidR="0092348B" w:rsidRPr="00ED1694">
        <w:rPr>
          <w:color w:val="auto"/>
        </w:rPr>
        <w:t xml:space="preserve"> in Australia.  </w:t>
      </w:r>
    </w:p>
    <w:p w14:paraId="621A904C" w14:textId="30CF3243" w:rsidR="00B10192" w:rsidRPr="00B10192" w:rsidRDefault="00B10192" w:rsidP="00B10192">
      <w:pPr>
        <w:pStyle w:val="Heading3"/>
      </w:pPr>
      <w:r>
        <w:t xml:space="preserve">A </w:t>
      </w:r>
      <w:r w:rsidR="00481DC7">
        <w:t xml:space="preserve">provider </w:t>
      </w:r>
      <w:r>
        <w:t xml:space="preserve">must </w:t>
      </w:r>
      <w:r w:rsidR="008B5505">
        <w:t>provide reasonable notice of changes</w:t>
      </w:r>
    </w:p>
    <w:p w14:paraId="3338CD50" w14:textId="39A80BA5" w:rsidR="00801C6E" w:rsidRDefault="009E5231" w:rsidP="00B759C1">
      <w:r>
        <w:t xml:space="preserve">Providers need to </w:t>
      </w:r>
      <w:r w:rsidR="00AA03A9">
        <w:t>give</w:t>
      </w:r>
      <w:r>
        <w:t xml:space="preserve"> students reasonable notice if there are changes to a </w:t>
      </w:r>
      <w:r w:rsidR="00D038C3">
        <w:t xml:space="preserve">provider’s </w:t>
      </w:r>
      <w:r w:rsidR="00595323">
        <w:t>operation</w:t>
      </w:r>
      <w:r w:rsidR="003553EF">
        <w:t>s.</w:t>
      </w:r>
      <w:r w:rsidR="00A9764E">
        <w:t xml:space="preserve"> Changes</w:t>
      </w:r>
      <w:r w:rsidR="00D038C3">
        <w:t xml:space="preserve"> that should prompt notification</w:t>
      </w:r>
      <w:r w:rsidR="00A9764E">
        <w:t>s</w:t>
      </w:r>
      <w:r w:rsidR="00D038C3">
        <w:t xml:space="preserve"> to students</w:t>
      </w:r>
      <w:r w:rsidR="00595323">
        <w:t xml:space="preserve"> include:</w:t>
      </w:r>
    </w:p>
    <w:p w14:paraId="135BFDF9" w14:textId="1ED26DC0" w:rsidR="00595323" w:rsidRPr="00702466" w:rsidRDefault="00595323" w:rsidP="00702466">
      <w:pPr>
        <w:pStyle w:val="Bullet1"/>
        <w:rPr>
          <w:color w:val="auto"/>
        </w:rPr>
      </w:pPr>
      <w:r w:rsidRPr="00702466">
        <w:rPr>
          <w:color w:val="auto"/>
        </w:rPr>
        <w:t xml:space="preserve">increases to fees and associated costs </w:t>
      </w:r>
    </w:p>
    <w:p w14:paraId="07DFE403" w14:textId="20FB3330" w:rsidR="00766C07" w:rsidRDefault="005C6946" w:rsidP="00702466">
      <w:pPr>
        <w:pStyle w:val="Bullet1"/>
      </w:pPr>
      <w:r w:rsidRPr="00702466">
        <w:rPr>
          <w:color w:val="auto"/>
        </w:rPr>
        <w:t>changes</w:t>
      </w:r>
      <w:r>
        <w:t xml:space="preserve"> </w:t>
      </w:r>
      <w:r w:rsidR="00A9764E">
        <w:t>that</w:t>
      </w:r>
      <w:r>
        <w:t xml:space="preserve"> may impact a student’s ability to participate in an intended course of study. </w:t>
      </w:r>
    </w:p>
    <w:p w14:paraId="07642442" w14:textId="7C2003B6" w:rsidR="00801C6E" w:rsidRDefault="00766C07" w:rsidP="009103ED">
      <w:pPr>
        <w:pStyle w:val="Bullet1"/>
        <w:numPr>
          <w:ilvl w:val="0"/>
          <w:numId w:val="0"/>
        </w:numPr>
      </w:pPr>
      <w:r>
        <w:t>All c</w:t>
      </w:r>
      <w:r w:rsidR="00E86FD8">
        <w:t xml:space="preserve">ommunications to students should be </w:t>
      </w:r>
      <w:r w:rsidR="00A945DD">
        <w:t xml:space="preserve">tailored </w:t>
      </w:r>
      <w:r w:rsidR="00E86FD8">
        <w:t xml:space="preserve">to meet the needs of student cohorts who may be impacted by </w:t>
      </w:r>
      <w:r w:rsidR="008E775D">
        <w:t>a</w:t>
      </w:r>
      <w:r w:rsidR="00E86FD8">
        <w:t xml:space="preserve"> </w:t>
      </w:r>
      <w:r w:rsidR="008E775D">
        <w:t>change</w:t>
      </w:r>
      <w:r w:rsidR="00FC682D">
        <w:t>,</w:t>
      </w:r>
      <w:r w:rsidR="00E86FD8">
        <w:t xml:space="preserve"> e.g. </w:t>
      </w:r>
      <w:r w:rsidR="00A945DD">
        <w:t>international students</w:t>
      </w:r>
      <w:r w:rsidR="00F01A3E">
        <w:t xml:space="preserve"> and</w:t>
      </w:r>
      <w:r w:rsidR="00A945DD">
        <w:t xml:space="preserve"> students with a </w:t>
      </w:r>
      <w:r w:rsidR="00E86FD8">
        <w:t>disability</w:t>
      </w:r>
      <w:r w:rsidR="008F0E98">
        <w:t xml:space="preserve">, to enable </w:t>
      </w:r>
      <w:r>
        <w:t xml:space="preserve">affected students </w:t>
      </w:r>
      <w:r w:rsidR="008F0E98">
        <w:t>to</w:t>
      </w:r>
      <w:r>
        <w:t xml:space="preserve"> understand and respond to a proposed change.</w:t>
      </w:r>
    </w:p>
    <w:p w14:paraId="69A9D5EC" w14:textId="375BE63B" w:rsidR="00801C6E" w:rsidRDefault="00801C6E" w:rsidP="00801C6E">
      <w:pPr>
        <w:pStyle w:val="Heading3"/>
      </w:pPr>
      <w:r>
        <w:t>Obligations applying to providers of education to overseas students</w:t>
      </w:r>
      <w:r w:rsidR="00D15057">
        <w:t xml:space="preserve"> studying in Australia</w:t>
      </w:r>
    </w:p>
    <w:p w14:paraId="3F86B324" w14:textId="7874D452" w:rsidR="000A7CF8" w:rsidRDefault="00D15057" w:rsidP="000A7CF8">
      <w:r>
        <w:t>Further, w</w:t>
      </w:r>
      <w:r w:rsidR="000A7CF8">
        <w:t xml:space="preserve">here it applies to a provider, TEQSA </w:t>
      </w:r>
      <w:r>
        <w:t xml:space="preserve">also </w:t>
      </w:r>
      <w:r w:rsidR="000A7CF8">
        <w:t xml:space="preserve">considers the </w:t>
      </w:r>
      <w:hyperlink r:id="rId11" w:tgtFrame="_blank" w:tooltip="National Code 2018" w:history="1">
        <w:r w:rsidR="000A7CF8" w:rsidRPr="006A7F50">
          <w:rPr>
            <w:rStyle w:val="Hyperlink"/>
            <w:i/>
            <w:iCs/>
          </w:rPr>
          <w:t>National Code of Practice for Providers of Education and Training to Overseas Students 2018</w:t>
        </w:r>
        <w:r w:rsidR="000A7CF8" w:rsidRPr="006A7F50">
          <w:rPr>
            <w:rStyle w:val="Hyperlink"/>
          </w:rPr>
          <w:t> </w:t>
        </w:r>
      </w:hyperlink>
      <w:r w:rsidR="000A7CF8" w:rsidRPr="00215A66">
        <w:t>(National Code)</w:t>
      </w:r>
      <w:r w:rsidR="000A7CF8">
        <w:t xml:space="preserve"> and the </w:t>
      </w:r>
      <w:hyperlink r:id="rId12" w:history="1">
        <w:r w:rsidR="000A7CF8" w:rsidRPr="006A7F50">
          <w:rPr>
            <w:rStyle w:val="Hyperlink"/>
            <w:i/>
            <w:iCs/>
          </w:rPr>
          <w:t>Education Services for Overseas Students Act 2000</w:t>
        </w:r>
      </w:hyperlink>
      <w:r w:rsidR="000A7CF8">
        <w:rPr>
          <w:i/>
          <w:iCs/>
        </w:rPr>
        <w:t xml:space="preserve"> </w:t>
      </w:r>
      <w:r w:rsidR="000A7CF8">
        <w:t>(ESOS Act).</w:t>
      </w:r>
    </w:p>
    <w:p w14:paraId="65758CDD" w14:textId="66934C1D" w:rsidR="00801C6E" w:rsidRDefault="000A7CF8" w:rsidP="00B759C1">
      <w:r>
        <w:t>Sections of</w:t>
      </w:r>
      <w:r w:rsidR="002E5D90">
        <w:t xml:space="preserve"> the</w:t>
      </w:r>
      <w:r>
        <w:t xml:space="preserve"> </w:t>
      </w:r>
      <w:r w:rsidR="002E5D90" w:rsidRPr="00ED1694">
        <w:t>National Code</w:t>
      </w:r>
      <w:r>
        <w:t xml:space="preserve"> relevant to </w:t>
      </w:r>
      <w:r w:rsidR="002E5D90">
        <w:t>i</w:t>
      </w:r>
      <w:r w:rsidR="00CE3EBC">
        <w:t>nformation for prospective and current students</w:t>
      </w:r>
      <w:r>
        <w:t xml:space="preserve"> are:</w:t>
      </w:r>
    </w:p>
    <w:p w14:paraId="166B9259" w14:textId="3F71D81B" w:rsidR="00D24263" w:rsidRPr="00771AEA" w:rsidRDefault="001D009E" w:rsidP="00D24263">
      <w:pPr>
        <w:pStyle w:val="Bullet1"/>
        <w:rPr>
          <w:b/>
          <w:bCs/>
        </w:rPr>
      </w:pPr>
      <w:r w:rsidRPr="008857B8">
        <w:rPr>
          <w:b/>
          <w:bCs/>
        </w:rPr>
        <w:lastRenderedPageBreak/>
        <w:t>2.1</w:t>
      </w:r>
      <w:r w:rsidR="00635A7F" w:rsidRPr="008E775D">
        <w:t xml:space="preserve"> –</w:t>
      </w:r>
      <w:r w:rsidR="008857B8">
        <w:t xml:space="preserve"> prior to accepting an overseas student for enrolment in a course, the provider must make comprehensive, </w:t>
      </w:r>
      <w:r w:rsidR="00D24263">
        <w:t>current,</w:t>
      </w:r>
      <w:r w:rsidR="008857B8">
        <w:t xml:space="preserve"> and plain English information available to the overseas student or intending overseas student. </w:t>
      </w:r>
    </w:p>
    <w:p w14:paraId="0D7C4CCB" w14:textId="4A26F52F" w:rsidR="00771AEA" w:rsidRPr="00D24263" w:rsidRDefault="00771AEA" w:rsidP="00D24263">
      <w:pPr>
        <w:pStyle w:val="Bullet1"/>
        <w:rPr>
          <w:b/>
          <w:bCs/>
        </w:rPr>
      </w:pPr>
      <w:r>
        <w:rPr>
          <w:b/>
          <w:bCs/>
        </w:rPr>
        <w:t>2.1.1 – 11</w:t>
      </w:r>
      <w:r w:rsidRPr="008E775D">
        <w:t xml:space="preserve"> </w:t>
      </w:r>
      <w:r w:rsidRPr="008E775D">
        <w:softHyphen/>
        <w:t>–</w:t>
      </w:r>
      <w:r>
        <w:rPr>
          <w:b/>
          <w:bCs/>
        </w:rPr>
        <w:t xml:space="preserve"> </w:t>
      </w:r>
      <w:r>
        <w:t>prior to making accepting overseas students for enrolment, a provide must provide information in plain English about requirements for entry into course of study, details of the course and how it will be taught, welfare arrangement for younger overseas students and costs of living in Australia.</w:t>
      </w:r>
    </w:p>
    <w:p w14:paraId="4AAB03D1" w14:textId="7972A70C" w:rsidR="006A6EBB" w:rsidRPr="006A6EBB" w:rsidRDefault="001D009E" w:rsidP="008857B8">
      <w:pPr>
        <w:pStyle w:val="Bullet1"/>
        <w:rPr>
          <w:b/>
          <w:bCs/>
        </w:rPr>
      </w:pPr>
      <w:r w:rsidRPr="008857B8">
        <w:rPr>
          <w:b/>
          <w:bCs/>
        </w:rPr>
        <w:t>3.</w:t>
      </w:r>
      <w:r w:rsidR="008E0479">
        <w:rPr>
          <w:b/>
          <w:bCs/>
        </w:rPr>
        <w:t>3</w:t>
      </w:r>
      <w:r w:rsidRPr="008857B8">
        <w:rPr>
          <w:b/>
          <w:bCs/>
        </w:rPr>
        <w:t xml:space="preserve"> – 3.5</w:t>
      </w:r>
      <w:r w:rsidR="00635A7F" w:rsidRPr="008E775D">
        <w:t xml:space="preserve"> –</w:t>
      </w:r>
      <w:r w:rsidR="00771AEA">
        <w:rPr>
          <w:b/>
          <w:bCs/>
        </w:rPr>
        <w:t xml:space="preserve"> </w:t>
      </w:r>
      <w:r w:rsidR="008E0479">
        <w:t>providers must enter into written agreements with an overseas student or intending overseas students. The written agreement</w:t>
      </w:r>
      <w:r w:rsidR="006A6EBB">
        <w:t xml:space="preserve">: </w:t>
      </w:r>
    </w:p>
    <w:p w14:paraId="27398932" w14:textId="359763AD" w:rsidR="006A6EBB" w:rsidRPr="006A6EBB" w:rsidRDefault="002E5D90" w:rsidP="006A6EBB">
      <w:pPr>
        <w:pStyle w:val="Bullet1"/>
        <w:numPr>
          <w:ilvl w:val="1"/>
          <w:numId w:val="14"/>
        </w:numPr>
        <w:rPr>
          <w:b/>
          <w:bCs/>
        </w:rPr>
      </w:pPr>
      <w:r>
        <w:t xml:space="preserve">must contain information about </w:t>
      </w:r>
      <w:r w:rsidR="006A6EBB">
        <w:t xml:space="preserve">course details, tuition fees, modes of delivery, refunds, and emergency contact. </w:t>
      </w:r>
    </w:p>
    <w:p w14:paraId="28D9C28F" w14:textId="4503C8EC" w:rsidR="001D009E" w:rsidRPr="008857B8" w:rsidRDefault="006A6EBB" w:rsidP="006A6EBB">
      <w:pPr>
        <w:pStyle w:val="Bullet1"/>
        <w:numPr>
          <w:ilvl w:val="1"/>
          <w:numId w:val="14"/>
        </w:numPr>
        <w:rPr>
          <w:b/>
          <w:bCs/>
        </w:rPr>
      </w:pPr>
      <w:r>
        <w:t>should be stand alon</w:t>
      </w:r>
      <w:r w:rsidR="002E5D90">
        <w:t>e</w:t>
      </w:r>
      <w:r>
        <w:t xml:space="preserve"> and only use links within the document to refer to supplementary material. </w:t>
      </w:r>
    </w:p>
    <w:p w14:paraId="042F484B" w14:textId="63F18776" w:rsidR="001D009E" w:rsidRPr="008857B8" w:rsidRDefault="001D009E" w:rsidP="008857B8">
      <w:pPr>
        <w:pStyle w:val="Bullet1"/>
        <w:rPr>
          <w:b/>
          <w:bCs/>
        </w:rPr>
      </w:pPr>
      <w:r w:rsidRPr="008857B8">
        <w:rPr>
          <w:b/>
          <w:bCs/>
        </w:rPr>
        <w:t>5.2</w:t>
      </w:r>
      <w:r w:rsidR="00635A7F" w:rsidRPr="008E775D">
        <w:t xml:space="preserve"> –</w:t>
      </w:r>
      <w:r w:rsidR="00CB5E2F">
        <w:rPr>
          <w:b/>
          <w:bCs/>
        </w:rPr>
        <w:t xml:space="preserve"> </w:t>
      </w:r>
      <w:r w:rsidR="00E86FCA">
        <w:t xml:space="preserve">students under the age of 18 </w:t>
      </w:r>
      <w:r w:rsidR="002E5D90">
        <w:t xml:space="preserve">must be </w:t>
      </w:r>
      <w:r w:rsidR="00E86FCA">
        <w:t xml:space="preserve">given culturally appropriate information on who to contact in </w:t>
      </w:r>
      <w:r w:rsidR="002E5D90">
        <w:t>an emergency</w:t>
      </w:r>
      <w:r w:rsidR="00E86FCA">
        <w:t xml:space="preserve"> and how to seek assistance or report incidents involving actual/alleged sexual, </w:t>
      </w:r>
      <w:r w:rsidR="002E5D90">
        <w:t>physical,</w:t>
      </w:r>
      <w:r w:rsidR="00E86FCA">
        <w:t xml:space="preserve"> or other abuse. </w:t>
      </w:r>
    </w:p>
    <w:p w14:paraId="47B6E586" w14:textId="5398FABE" w:rsidR="001D009E" w:rsidRPr="00771AEA" w:rsidRDefault="001D009E" w:rsidP="008857B8">
      <w:pPr>
        <w:pStyle w:val="Bullet1"/>
        <w:rPr>
          <w:b/>
          <w:bCs/>
        </w:rPr>
      </w:pPr>
      <w:r w:rsidRPr="008857B8">
        <w:rPr>
          <w:b/>
          <w:bCs/>
        </w:rPr>
        <w:t>6.1</w:t>
      </w:r>
      <w:r w:rsidR="00635A7F" w:rsidRPr="008E775D">
        <w:t xml:space="preserve"> –</w:t>
      </w:r>
      <w:r w:rsidR="00CB5E2F">
        <w:rPr>
          <w:b/>
          <w:bCs/>
        </w:rPr>
        <w:t xml:space="preserve"> </w:t>
      </w:r>
      <w:r w:rsidR="000C7F61">
        <w:t xml:space="preserve">providers </w:t>
      </w:r>
      <w:r w:rsidR="00FC4027">
        <w:t>deliver</w:t>
      </w:r>
      <w:r w:rsidR="000C7F61">
        <w:t xml:space="preserve"> age and culturally appropriate information and orientation programs to overseas students</w:t>
      </w:r>
      <w:r w:rsidR="00FC4027">
        <w:t>.</w:t>
      </w:r>
    </w:p>
    <w:p w14:paraId="405FEECE" w14:textId="05DE2AB2" w:rsidR="00771AEA" w:rsidRPr="00771AEA" w:rsidRDefault="00771AEA" w:rsidP="00771AEA">
      <w:pPr>
        <w:pStyle w:val="Bullet1"/>
        <w:rPr>
          <w:b/>
          <w:bCs/>
        </w:rPr>
      </w:pPr>
      <w:r>
        <w:rPr>
          <w:b/>
          <w:bCs/>
        </w:rPr>
        <w:t>8.5</w:t>
      </w:r>
      <w:r w:rsidRPr="008E775D">
        <w:t xml:space="preserve"> –</w:t>
      </w:r>
      <w:r>
        <w:rPr>
          <w:rFonts w:eastAsia="Times New Roman"/>
        </w:rPr>
        <w:t xml:space="preserve"> providers must clearly outline and inform the overseas student before they commence the course of the requirements to achieve satisfactory course progress and, where applicable, attendance in each study period</w:t>
      </w:r>
    </w:p>
    <w:p w14:paraId="63EE0185" w14:textId="71F3A82B" w:rsidR="006C7A19" w:rsidRPr="006C7A19" w:rsidRDefault="001D009E" w:rsidP="006C7A19">
      <w:pPr>
        <w:pStyle w:val="Bullet1"/>
        <w:rPr>
          <w:b/>
          <w:bCs/>
        </w:rPr>
      </w:pPr>
      <w:r w:rsidRPr="008857B8">
        <w:rPr>
          <w:b/>
          <w:bCs/>
        </w:rPr>
        <w:t>10.1</w:t>
      </w:r>
      <w:r w:rsidR="00635A7F" w:rsidRPr="008E775D">
        <w:t xml:space="preserve"> –</w:t>
      </w:r>
      <w:r w:rsidR="000C7F61">
        <w:rPr>
          <w:b/>
          <w:bCs/>
        </w:rPr>
        <w:t xml:space="preserve"> </w:t>
      </w:r>
      <w:r w:rsidR="000C7F61">
        <w:t xml:space="preserve">a provider is expected to have </w:t>
      </w:r>
      <w:r w:rsidR="00CE0FE7">
        <w:t xml:space="preserve">document and </w:t>
      </w:r>
      <w:r w:rsidR="000C7F61">
        <w:t>easily accessible</w:t>
      </w:r>
      <w:r w:rsidR="00CE0FE7">
        <w:t xml:space="preserve"> processes and policies for </w:t>
      </w:r>
      <w:r w:rsidR="000C7F61">
        <w:t>handling</w:t>
      </w:r>
      <w:r w:rsidR="00CE0FE7">
        <w:t xml:space="preserve"> complaints</w:t>
      </w:r>
      <w:r w:rsidR="000C7F61">
        <w:t xml:space="preserve"> and appeal</w:t>
      </w:r>
      <w:r w:rsidR="00CE0FE7">
        <w:t>s internally.</w:t>
      </w:r>
    </w:p>
    <w:p w14:paraId="40A82B17" w14:textId="77777777" w:rsidR="006C7A19" w:rsidRPr="001942A9" w:rsidRDefault="006C7A19" w:rsidP="006C7A19">
      <w:pPr>
        <w:pStyle w:val="Heading3"/>
      </w:pPr>
      <w:r w:rsidRPr="001942A9">
        <w:t>Obligations applying to providers receiving financial support from the Commonwealth</w:t>
      </w:r>
    </w:p>
    <w:p w14:paraId="0E89E880" w14:textId="733B5FA4" w:rsidR="006C7A19" w:rsidRPr="00F973FD" w:rsidRDefault="006C7A19" w:rsidP="006C7A19">
      <w:pPr>
        <w:rPr>
          <w:color w:val="auto"/>
        </w:rPr>
      </w:pPr>
      <w:r w:rsidRPr="00F973FD">
        <w:rPr>
          <w:color w:val="auto"/>
        </w:rPr>
        <w:t xml:space="preserve">Providers subject to the </w:t>
      </w:r>
      <w:hyperlink r:id="rId13">
        <w:r w:rsidRPr="002E6A7E">
          <w:rPr>
            <w:rStyle w:val="Hyperlink"/>
            <w:i/>
            <w:iCs/>
          </w:rPr>
          <w:t>Higher Education Support Act 2003</w:t>
        </w:r>
      </w:hyperlink>
      <w:r w:rsidRPr="00F973FD">
        <w:rPr>
          <w:color w:val="auto"/>
        </w:rPr>
        <w:t xml:space="preserve"> (HESA) </w:t>
      </w:r>
      <w:r w:rsidR="00356316">
        <w:rPr>
          <w:color w:val="auto"/>
        </w:rPr>
        <w:t xml:space="preserve">are required to provide additional information to prospective and current students </w:t>
      </w:r>
      <w:r w:rsidR="00010A68">
        <w:rPr>
          <w:color w:val="auto"/>
        </w:rPr>
        <w:t>around student finances</w:t>
      </w:r>
      <w:r w:rsidR="002D18B3">
        <w:rPr>
          <w:color w:val="auto"/>
        </w:rPr>
        <w:t xml:space="preserve">, student loan assistance and </w:t>
      </w:r>
      <w:r w:rsidR="00C47DD4">
        <w:rPr>
          <w:color w:val="auto"/>
        </w:rPr>
        <w:t xml:space="preserve">charges. </w:t>
      </w:r>
      <w:r w:rsidR="00010A68">
        <w:rPr>
          <w:color w:val="auto"/>
        </w:rPr>
        <w:t xml:space="preserve"> </w:t>
      </w:r>
    </w:p>
    <w:p w14:paraId="5BA9337E" w14:textId="0D608C6D" w:rsidR="006C7A19" w:rsidRPr="00F973FD" w:rsidRDefault="006C7A19" w:rsidP="006C7A19">
      <w:pPr>
        <w:rPr>
          <w:color w:val="auto"/>
        </w:rPr>
      </w:pPr>
      <w:r w:rsidRPr="00F973FD">
        <w:rPr>
          <w:color w:val="auto"/>
        </w:rPr>
        <w:t>The HESA sets out, amongst other things, the parameters of what a provider can charge for the services it provides</w:t>
      </w:r>
      <w:r w:rsidR="00C35923">
        <w:rPr>
          <w:color w:val="auto"/>
        </w:rPr>
        <w:t xml:space="preserve"> to students</w:t>
      </w:r>
      <w:r w:rsidRPr="00F973FD">
        <w:rPr>
          <w:color w:val="auto"/>
        </w:rPr>
        <w:t xml:space="preserve">. </w:t>
      </w:r>
    </w:p>
    <w:p w14:paraId="11962617" w14:textId="6273FE94" w:rsidR="00F469C0" w:rsidRPr="00DD6587" w:rsidRDefault="005B5392" w:rsidP="00B64A91">
      <w:pPr>
        <w:pStyle w:val="Heading2"/>
        <w:numPr>
          <w:ilvl w:val="0"/>
          <w:numId w:val="13"/>
        </w:numPr>
      </w:pPr>
      <w:r w:rsidRPr="00FC4027">
        <w:t>Identified</w:t>
      </w:r>
      <w:r w:rsidRPr="00DD6587">
        <w:t xml:space="preserve"> issues</w:t>
      </w:r>
    </w:p>
    <w:p w14:paraId="3A22D5C6" w14:textId="3FD978CF" w:rsidR="004D2C3F" w:rsidRPr="00AE482A" w:rsidRDefault="004D2C3F" w:rsidP="00EC5DD6">
      <w:pPr>
        <w:pStyle w:val="BulletsL2"/>
        <w:numPr>
          <w:ilvl w:val="0"/>
          <w:numId w:val="0"/>
        </w:numPr>
        <w:rPr>
          <w:lang w:val="en-AU"/>
        </w:rPr>
      </w:pPr>
      <w:r w:rsidRPr="00AE482A">
        <w:rPr>
          <w:lang w:val="en-AU"/>
        </w:rPr>
        <w:t xml:space="preserve">Within the context of the </w:t>
      </w:r>
      <w:r w:rsidR="00554336">
        <w:rPr>
          <w:lang w:val="en-AU"/>
        </w:rPr>
        <w:t>Threshold Standards</w:t>
      </w:r>
      <w:r w:rsidRPr="00AE482A">
        <w:rPr>
          <w:lang w:val="en-AU"/>
        </w:rPr>
        <w:t xml:space="preserve">, TEQSA has identified a range of issues </w:t>
      </w:r>
      <w:r w:rsidR="00861F78">
        <w:rPr>
          <w:lang w:val="en-AU"/>
        </w:rPr>
        <w:t>that</w:t>
      </w:r>
      <w:r w:rsidRPr="00AE482A">
        <w:rPr>
          <w:lang w:val="en-AU"/>
        </w:rPr>
        <w:t xml:space="preserve"> are indicative of risks</w:t>
      </w:r>
      <w:r w:rsidR="00E24F1B" w:rsidRPr="00AE482A">
        <w:rPr>
          <w:lang w:val="en-AU"/>
        </w:rPr>
        <w:t xml:space="preserve">. </w:t>
      </w:r>
      <w:r w:rsidRPr="00AE482A">
        <w:rPr>
          <w:lang w:val="en-AU"/>
        </w:rPr>
        <w:t xml:space="preserve">These include, but are not limited to: </w:t>
      </w:r>
    </w:p>
    <w:p w14:paraId="6B8855BE" w14:textId="77777777" w:rsidR="00BA75A0" w:rsidRPr="00BA75A0" w:rsidRDefault="00DC266D" w:rsidP="00DC266D">
      <w:pPr>
        <w:pStyle w:val="Bullet1"/>
        <w:rPr>
          <w:rFonts w:cs="Arial"/>
          <w:iCs/>
          <w:color w:val="auto"/>
        </w:rPr>
      </w:pPr>
      <w:r>
        <w:rPr>
          <w:color w:val="auto"/>
        </w:rPr>
        <w:t>information</w:t>
      </w:r>
      <w:r w:rsidR="00BA75A0">
        <w:rPr>
          <w:color w:val="auto"/>
        </w:rPr>
        <w:t xml:space="preserve"> is limited or unavailable</w:t>
      </w:r>
      <w:r>
        <w:rPr>
          <w:color w:val="auto"/>
        </w:rPr>
        <w:t xml:space="preserve"> </w:t>
      </w:r>
      <w:r w:rsidR="00BA75A0">
        <w:rPr>
          <w:color w:val="auto"/>
        </w:rPr>
        <w:t>about:</w:t>
      </w:r>
      <w:r>
        <w:rPr>
          <w:color w:val="auto"/>
        </w:rPr>
        <w:t xml:space="preserve"> </w:t>
      </w:r>
    </w:p>
    <w:p w14:paraId="2E1099D7" w14:textId="77777777" w:rsidR="00BA75A0" w:rsidRDefault="00DC266D" w:rsidP="00BA75A0">
      <w:pPr>
        <w:pStyle w:val="Bullet1"/>
        <w:numPr>
          <w:ilvl w:val="1"/>
          <w:numId w:val="14"/>
        </w:numPr>
        <w:rPr>
          <w:rFonts w:cs="Arial"/>
          <w:iCs/>
          <w:color w:val="auto"/>
        </w:rPr>
      </w:pPr>
      <w:r>
        <w:rPr>
          <w:color w:val="auto"/>
        </w:rPr>
        <w:t xml:space="preserve">requirements under </w:t>
      </w:r>
      <w:r w:rsidR="00FC4027" w:rsidRPr="00DC266D">
        <w:rPr>
          <w:rFonts w:cs="Arial"/>
          <w:iCs/>
          <w:color w:val="auto"/>
        </w:rPr>
        <w:t>the National Code</w:t>
      </w:r>
    </w:p>
    <w:p w14:paraId="3AA847DB" w14:textId="77777777" w:rsidR="00BA75A0" w:rsidRDefault="00E24F1B" w:rsidP="00BA75A0">
      <w:pPr>
        <w:pStyle w:val="Bullet1"/>
        <w:numPr>
          <w:ilvl w:val="1"/>
          <w:numId w:val="14"/>
        </w:numPr>
        <w:rPr>
          <w:rFonts w:cs="Arial"/>
          <w:iCs/>
          <w:color w:val="auto"/>
        </w:rPr>
      </w:pPr>
      <w:r w:rsidRPr="00DC266D">
        <w:rPr>
          <w:rFonts w:cs="Arial"/>
          <w:iCs/>
          <w:color w:val="auto"/>
        </w:rPr>
        <w:t>a provider’s c</w:t>
      </w:r>
      <w:r w:rsidR="00B80AE5" w:rsidRPr="00DC266D">
        <w:rPr>
          <w:rFonts w:cs="Arial"/>
          <w:iCs/>
          <w:color w:val="auto"/>
        </w:rPr>
        <w:t xml:space="preserve">omplaint </w:t>
      </w:r>
      <w:r w:rsidRPr="00DC266D">
        <w:rPr>
          <w:rFonts w:cs="Arial"/>
          <w:iCs/>
          <w:color w:val="auto"/>
        </w:rPr>
        <w:t>and appeals process</w:t>
      </w:r>
    </w:p>
    <w:p w14:paraId="02870231" w14:textId="48CEC577" w:rsidR="00412311" w:rsidRPr="00412311" w:rsidRDefault="00DC266D" w:rsidP="00412311">
      <w:pPr>
        <w:pStyle w:val="Bullet1"/>
        <w:numPr>
          <w:ilvl w:val="1"/>
          <w:numId w:val="14"/>
        </w:numPr>
        <w:rPr>
          <w:rFonts w:cs="Arial"/>
          <w:iCs/>
          <w:color w:val="auto"/>
        </w:rPr>
      </w:pPr>
      <w:r w:rsidRPr="00DC266D">
        <w:rPr>
          <w:rFonts w:cs="Arial"/>
          <w:iCs/>
          <w:color w:val="auto"/>
        </w:rPr>
        <w:t>course</w:t>
      </w:r>
      <w:r w:rsidR="00412311">
        <w:rPr>
          <w:rFonts w:cs="Arial"/>
          <w:iCs/>
          <w:color w:val="auto"/>
        </w:rPr>
        <w:t xml:space="preserve"> </w:t>
      </w:r>
      <w:r w:rsidR="006E165C" w:rsidRPr="00412311">
        <w:rPr>
          <w:rFonts w:cs="Arial"/>
          <w:iCs/>
          <w:color w:val="auto"/>
        </w:rPr>
        <w:t>pre-requisite</w:t>
      </w:r>
      <w:r w:rsidR="00412311">
        <w:rPr>
          <w:rFonts w:cs="Arial"/>
          <w:iCs/>
          <w:color w:val="auto"/>
        </w:rPr>
        <w:t>s</w:t>
      </w:r>
      <w:r w:rsidR="006E165C" w:rsidRPr="00412311">
        <w:rPr>
          <w:rFonts w:cs="Arial"/>
          <w:iCs/>
          <w:color w:val="auto"/>
        </w:rPr>
        <w:t xml:space="preserve"> </w:t>
      </w:r>
      <w:r w:rsidRPr="00412311">
        <w:rPr>
          <w:rFonts w:cs="Arial"/>
          <w:iCs/>
          <w:color w:val="auto"/>
        </w:rPr>
        <w:t xml:space="preserve">and </w:t>
      </w:r>
      <w:r w:rsidR="00B80AE5" w:rsidRPr="00412311">
        <w:rPr>
          <w:color w:val="auto"/>
        </w:rPr>
        <w:t xml:space="preserve">admissions </w:t>
      </w:r>
      <w:r w:rsidR="006E165C" w:rsidRPr="00412311">
        <w:rPr>
          <w:color w:val="auto"/>
        </w:rPr>
        <w:t xml:space="preserve">criteria </w:t>
      </w:r>
    </w:p>
    <w:p w14:paraId="4FE63E71" w14:textId="23FE84AD" w:rsidR="00B80AE5" w:rsidRPr="00DC266D" w:rsidRDefault="006E165C" w:rsidP="00BA75A0">
      <w:pPr>
        <w:pStyle w:val="Bullet1"/>
        <w:numPr>
          <w:ilvl w:val="1"/>
          <w:numId w:val="14"/>
        </w:numPr>
        <w:rPr>
          <w:rFonts w:cs="Arial"/>
          <w:iCs/>
          <w:color w:val="auto"/>
        </w:rPr>
      </w:pPr>
      <w:r w:rsidRPr="00DC266D">
        <w:rPr>
          <w:color w:val="auto"/>
        </w:rPr>
        <w:t>recogni</w:t>
      </w:r>
      <w:r w:rsidR="00412311">
        <w:rPr>
          <w:color w:val="auto"/>
        </w:rPr>
        <w:t>tion of</w:t>
      </w:r>
      <w:r w:rsidRPr="00DC266D">
        <w:rPr>
          <w:color w:val="auto"/>
        </w:rPr>
        <w:t xml:space="preserve"> prior learning </w:t>
      </w:r>
      <w:r w:rsidR="00DC266D">
        <w:rPr>
          <w:color w:val="auto"/>
        </w:rPr>
        <w:t>requirements</w:t>
      </w:r>
    </w:p>
    <w:p w14:paraId="45BA816C" w14:textId="77777777" w:rsidR="00412311" w:rsidRDefault="00FC4027" w:rsidP="00FC4027">
      <w:pPr>
        <w:pStyle w:val="Bullet1"/>
        <w:rPr>
          <w:rFonts w:cs="Arial"/>
          <w:iCs/>
          <w:color w:val="auto"/>
        </w:rPr>
      </w:pPr>
      <w:r>
        <w:rPr>
          <w:rFonts w:cs="Arial"/>
          <w:iCs/>
          <w:color w:val="auto"/>
        </w:rPr>
        <w:t xml:space="preserve">information produced by the provider uses </w:t>
      </w:r>
      <w:r w:rsidR="00412311">
        <w:rPr>
          <w:rFonts w:cs="Arial"/>
          <w:iCs/>
          <w:color w:val="auto"/>
        </w:rPr>
        <w:t xml:space="preserve">extensive </w:t>
      </w:r>
      <w:r>
        <w:rPr>
          <w:rFonts w:cs="Arial"/>
          <w:iCs/>
          <w:color w:val="auto"/>
        </w:rPr>
        <w:t xml:space="preserve">jargon and technical language </w:t>
      </w:r>
      <w:r w:rsidR="00412311">
        <w:rPr>
          <w:rFonts w:cs="Arial"/>
          <w:iCs/>
          <w:color w:val="auto"/>
        </w:rPr>
        <w:t xml:space="preserve">that </w:t>
      </w:r>
      <w:r>
        <w:rPr>
          <w:rFonts w:cs="Arial"/>
          <w:iCs/>
          <w:color w:val="auto"/>
        </w:rPr>
        <w:t xml:space="preserve">students are unfamiliar with </w:t>
      </w:r>
    </w:p>
    <w:p w14:paraId="5893F0E4" w14:textId="6ED5F9A0" w:rsidR="00FC4027" w:rsidRPr="00FC4027" w:rsidRDefault="00412311" w:rsidP="00FC4027">
      <w:pPr>
        <w:pStyle w:val="Bullet1"/>
        <w:rPr>
          <w:rFonts w:cs="Arial"/>
          <w:iCs/>
          <w:color w:val="auto"/>
        </w:rPr>
      </w:pPr>
      <w:r>
        <w:rPr>
          <w:rFonts w:cs="Arial"/>
          <w:iCs/>
          <w:color w:val="auto"/>
        </w:rPr>
        <w:t xml:space="preserve">information </w:t>
      </w:r>
      <w:r w:rsidR="00FC4027">
        <w:rPr>
          <w:rFonts w:cs="Arial"/>
          <w:iCs/>
          <w:color w:val="auto"/>
        </w:rPr>
        <w:t xml:space="preserve">cannot </w:t>
      </w:r>
      <w:r>
        <w:rPr>
          <w:rFonts w:cs="Arial"/>
          <w:iCs/>
          <w:color w:val="auto"/>
        </w:rPr>
        <w:t xml:space="preserve">be </w:t>
      </w:r>
      <w:r w:rsidR="00FC4027">
        <w:rPr>
          <w:rFonts w:cs="Arial"/>
          <w:iCs/>
          <w:color w:val="auto"/>
        </w:rPr>
        <w:t>easily accessed by students with a disability</w:t>
      </w:r>
    </w:p>
    <w:p w14:paraId="0610FD25" w14:textId="58724C5C" w:rsidR="00D866BD" w:rsidRPr="00AE482A" w:rsidRDefault="00DC2DC9" w:rsidP="00ED1694">
      <w:pPr>
        <w:pStyle w:val="Bullet1"/>
        <w:rPr>
          <w:rFonts w:cs="Arial"/>
          <w:iCs/>
          <w:color w:val="auto"/>
        </w:rPr>
      </w:pPr>
      <w:r>
        <w:rPr>
          <w:color w:val="auto"/>
        </w:rPr>
        <w:t>w</w:t>
      </w:r>
      <w:r w:rsidR="00D866BD">
        <w:rPr>
          <w:color w:val="auto"/>
        </w:rPr>
        <w:t xml:space="preserve">ebpages </w:t>
      </w:r>
      <w:r w:rsidR="00FC4027">
        <w:rPr>
          <w:color w:val="auto"/>
        </w:rPr>
        <w:t>are not</w:t>
      </w:r>
      <w:r w:rsidR="00D866BD">
        <w:rPr>
          <w:color w:val="auto"/>
        </w:rPr>
        <w:t xml:space="preserve"> up</w:t>
      </w:r>
      <w:r w:rsidR="004865C5">
        <w:rPr>
          <w:color w:val="auto"/>
        </w:rPr>
        <w:t>-</w:t>
      </w:r>
      <w:r w:rsidR="00D866BD">
        <w:rPr>
          <w:color w:val="auto"/>
        </w:rPr>
        <w:t>to</w:t>
      </w:r>
      <w:r w:rsidR="004865C5">
        <w:rPr>
          <w:color w:val="auto"/>
        </w:rPr>
        <w:t>-</w:t>
      </w:r>
      <w:r w:rsidR="00D866BD">
        <w:rPr>
          <w:color w:val="auto"/>
        </w:rPr>
        <w:t xml:space="preserve">date and links to policies </w:t>
      </w:r>
      <w:r w:rsidR="00FC4027">
        <w:rPr>
          <w:color w:val="auto"/>
        </w:rPr>
        <w:t>do not work.</w:t>
      </w:r>
      <w:r w:rsidR="00D866BD">
        <w:rPr>
          <w:color w:val="auto"/>
        </w:rPr>
        <w:t xml:space="preserve"> </w:t>
      </w:r>
    </w:p>
    <w:p w14:paraId="21762E60" w14:textId="3FDCA96D" w:rsidR="00EC5DD6" w:rsidRPr="00DD6587" w:rsidRDefault="00A25716" w:rsidP="00A25716">
      <w:pPr>
        <w:pStyle w:val="Heading2"/>
      </w:pPr>
      <w:r>
        <w:t xml:space="preserve">Related </w:t>
      </w:r>
      <w:r w:rsidR="00176278">
        <w:t>r</w:t>
      </w:r>
      <w:r>
        <w:t>esources</w:t>
      </w:r>
    </w:p>
    <w:p w14:paraId="4DCDE06F" w14:textId="21FD8922" w:rsidR="00C620FA" w:rsidRPr="00FE5CBD" w:rsidRDefault="00C620FA" w:rsidP="00C620FA">
      <w:pPr>
        <w:pStyle w:val="Bullet1"/>
      </w:pPr>
      <w:r w:rsidRPr="00FE5CBD">
        <w:t xml:space="preserve">Guidance </w:t>
      </w:r>
      <w:r w:rsidR="00FE5CBD">
        <w:t>n</w:t>
      </w:r>
      <w:r w:rsidRPr="00FE5CBD">
        <w:t>ote: Representation (</w:t>
      </w:r>
      <w:r w:rsidR="005805AA" w:rsidRPr="00FE5CBD">
        <w:t>for consultation</w:t>
      </w:r>
      <w:r w:rsidRPr="00FE5CBD">
        <w:t xml:space="preserve">) </w:t>
      </w:r>
    </w:p>
    <w:p w14:paraId="51AD6217" w14:textId="7304581B" w:rsidR="00EC5DD6" w:rsidRPr="00FE5CBD" w:rsidRDefault="00C620FA" w:rsidP="00C620FA">
      <w:pPr>
        <w:pStyle w:val="Bullet1"/>
      </w:pPr>
      <w:r w:rsidRPr="00FE5CBD">
        <w:t xml:space="preserve">Guidance </w:t>
      </w:r>
      <w:r w:rsidR="00FE5CBD">
        <w:t>n</w:t>
      </w:r>
      <w:r w:rsidRPr="00FE5CBD">
        <w:t>ote: Information Management (</w:t>
      </w:r>
      <w:r w:rsidR="005805AA" w:rsidRPr="00FE5CBD">
        <w:t>for consultation</w:t>
      </w:r>
      <w:r w:rsidRPr="00FE5CBD">
        <w:t>)</w:t>
      </w:r>
    </w:p>
    <w:p w14:paraId="4BC8078A" w14:textId="665165C0" w:rsidR="00027615" w:rsidRPr="00284523" w:rsidRDefault="00027615" w:rsidP="00C620FA">
      <w:pPr>
        <w:pStyle w:val="Bullet1"/>
      </w:pPr>
      <w:hyperlink r:id="rId14" w:history="1">
        <w:r w:rsidRPr="00284523">
          <w:rPr>
            <w:rStyle w:val="Hyperlink"/>
          </w:rPr>
          <w:t xml:space="preserve">Guidance </w:t>
        </w:r>
        <w:r w:rsidR="00FE5CBD">
          <w:rPr>
            <w:rStyle w:val="Hyperlink"/>
          </w:rPr>
          <w:t>n</w:t>
        </w:r>
        <w:r w:rsidRPr="00284523">
          <w:rPr>
            <w:rStyle w:val="Hyperlink"/>
          </w:rPr>
          <w:t>ote: Admissions (Coursework)</w:t>
        </w:r>
      </w:hyperlink>
    </w:p>
    <w:p w14:paraId="53F9D59E" w14:textId="297A16C3" w:rsidR="00D10E84" w:rsidRPr="00284523" w:rsidRDefault="00D10E84" w:rsidP="00C620FA">
      <w:pPr>
        <w:pStyle w:val="Bullet1"/>
        <w:rPr>
          <w:rStyle w:val="Hyperlink"/>
          <w:color w:val="000000" w:themeColor="text1"/>
          <w:u w:val="none"/>
        </w:rPr>
      </w:pPr>
      <w:hyperlink r:id="rId15" w:history="1">
        <w:r w:rsidRPr="00284523">
          <w:rPr>
            <w:rStyle w:val="Hyperlink"/>
          </w:rPr>
          <w:t>Australian Consumer Law Website</w:t>
        </w:r>
      </w:hyperlink>
    </w:p>
    <w:p w14:paraId="788F9CE0" w14:textId="388232CA" w:rsidR="00327911" w:rsidRPr="00284523" w:rsidRDefault="00327911" w:rsidP="00C620FA">
      <w:pPr>
        <w:pStyle w:val="Bullet1"/>
      </w:pPr>
      <w:hyperlink r:id="rId16">
        <w:r w:rsidRPr="00284523">
          <w:rPr>
            <w:rStyle w:val="Hyperlink"/>
            <w:i/>
            <w:iCs/>
          </w:rPr>
          <w:t>Higher Education Support Act 2003</w:t>
        </w:r>
      </w:hyperlink>
    </w:p>
    <w:p w14:paraId="2DE28CEE" w14:textId="63803C55" w:rsidR="00F14CCE" w:rsidRPr="00DD6587" w:rsidRDefault="00F14CCE">
      <w:pPr>
        <w:rPr>
          <w:iCs/>
        </w:rPr>
      </w:pPr>
    </w:p>
    <w:p w14:paraId="49976737" w14:textId="505F76C1" w:rsidR="00FF70B7" w:rsidRPr="00DD6587" w:rsidRDefault="00FF70B7" w:rsidP="00FF70B7"/>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0066741F">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1C6A9656"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r w:rsidR="00B759C1" w:rsidRPr="00DD6587"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DD6587"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DD6587" w:rsidRDefault="00B759C1" w:rsidP="009F5D9A">
            <w:pPr>
              <w:pStyle w:val="Normal1"/>
              <w:spacing w:line="240" w:lineRule="auto"/>
              <w:rPr>
                <w:sz w:val="20"/>
                <w:szCs w:val="20"/>
              </w:rPr>
            </w:pPr>
          </w:p>
        </w:tc>
      </w:tr>
      <w:tr w:rsidR="00B759C1" w:rsidRPr="00DD6587"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DD6587" w:rsidRDefault="00B759C1" w:rsidP="009F5D9A">
            <w:pPr>
              <w:pStyle w:val="Normal1"/>
              <w:spacing w:line="240" w:lineRule="auto"/>
              <w:rPr>
                <w:sz w:val="20"/>
                <w:szCs w:val="20"/>
              </w:rPr>
            </w:pPr>
          </w:p>
        </w:tc>
      </w:tr>
      <w:tr w:rsidR="00B759C1" w:rsidRPr="00DD6587"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DD6587" w:rsidRDefault="00B759C1" w:rsidP="009F5D9A">
            <w:pPr>
              <w:pStyle w:val="Normal1"/>
              <w:spacing w:line="240" w:lineRule="auto"/>
              <w:rPr>
                <w:sz w:val="20"/>
                <w:szCs w:val="20"/>
              </w:rPr>
            </w:pPr>
          </w:p>
        </w:tc>
      </w:tr>
      <w:tr w:rsidR="00B759C1" w:rsidRPr="00DD6587" w14:paraId="61AB7687"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BFD468" w14:textId="034B106B" w:rsidR="00B759C1" w:rsidRPr="00DD658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74479EA" w14:textId="5DBBA8E4" w:rsidR="00B759C1" w:rsidRPr="00DD658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05E192" w14:textId="428404DF" w:rsidR="00B759C1" w:rsidRPr="00DD6587" w:rsidRDefault="00B759C1" w:rsidP="009F5D9A">
            <w:pPr>
              <w:pStyle w:val="Normal1"/>
              <w:spacing w:line="240" w:lineRule="auto"/>
              <w:rPr>
                <w:sz w:val="20"/>
                <w:szCs w:val="20"/>
              </w:rPr>
            </w:pPr>
          </w:p>
        </w:tc>
      </w:tr>
      <w:tr w:rsidR="006D3402" w:rsidRPr="00DD6587" w14:paraId="67DD8FB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F06BE" w14:textId="2262D415" w:rsidR="006D3402" w:rsidRPr="00DD6587" w:rsidRDefault="006D3402"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1E25781" w14:textId="28716CAC" w:rsidR="006D3402" w:rsidRPr="00DD6587" w:rsidRDefault="006D3402"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343B758" w14:textId="71C18753" w:rsidR="006D3402" w:rsidRPr="00DD6587" w:rsidRDefault="006D3402" w:rsidP="004A076E">
            <w:pPr>
              <w:pStyle w:val="Normal1"/>
              <w:spacing w:line="240" w:lineRule="auto"/>
              <w:rPr>
                <w:sz w:val="20"/>
                <w:szCs w:val="20"/>
              </w:rPr>
            </w:pPr>
          </w:p>
        </w:tc>
      </w:tr>
      <w:tr w:rsidR="00541321" w:rsidRPr="00DD6587" w14:paraId="3DB7D8B8"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9E077FD" w14:textId="4FDAEAEB" w:rsidR="00541321" w:rsidRPr="00DD6587" w:rsidRDefault="0054132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3680A6F" w14:textId="70C85111" w:rsidR="00541321" w:rsidRPr="00DD6587" w:rsidRDefault="0054132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965493E" w14:textId="446EFC0D" w:rsidR="00541321" w:rsidRPr="00DD6587" w:rsidRDefault="00541321" w:rsidP="00541321">
            <w:pPr>
              <w:pStyle w:val="Normal1"/>
              <w:spacing w:line="240" w:lineRule="auto"/>
              <w:rPr>
                <w:sz w:val="20"/>
                <w:szCs w:val="20"/>
              </w:rPr>
            </w:pPr>
          </w:p>
        </w:tc>
      </w:tr>
      <w:tr w:rsidR="00772E72" w:rsidRPr="00DD6587" w14:paraId="18AEBF8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1FE36F5" w14:textId="6F3F3F24" w:rsidR="00772E72" w:rsidRPr="00DD6587" w:rsidRDefault="00772E72" w:rsidP="009F5D9A">
            <w:pPr>
              <w:pStyle w:val="Normal1"/>
              <w:spacing w:line="240" w:lineRule="auto"/>
              <w:rPr>
                <w:sz w:val="20"/>
                <w:szCs w:val="20"/>
                <w:highlight w:val="yellow"/>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08EFED1" w14:textId="042DE1E2" w:rsidR="00772E72" w:rsidRPr="00DD6587" w:rsidRDefault="00772E72"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8D2590A" w14:textId="1C730906" w:rsidR="00772E72" w:rsidRPr="00DD6587" w:rsidRDefault="00772E72" w:rsidP="00541321">
            <w:pPr>
              <w:pStyle w:val="Normal1"/>
              <w:spacing w:line="240" w:lineRule="auto"/>
              <w:rPr>
                <w:sz w:val="20"/>
                <w:szCs w:val="20"/>
                <w:highlight w:val="yellow"/>
              </w:rPr>
            </w:pPr>
          </w:p>
        </w:tc>
      </w:tr>
    </w:tbl>
    <w:p w14:paraId="5101D4CC" w14:textId="019485FB" w:rsidR="00B759C1" w:rsidRPr="00DD6587" w:rsidRDefault="00B759C1">
      <w:pPr>
        <w:pStyle w:val="BulletsL1"/>
        <w:numPr>
          <w:ilvl w:val="0"/>
          <w:numId w:val="0"/>
        </w:numPr>
        <w:rPr>
          <w:rFonts w:cs="Arial"/>
          <w:lang w:val="en-AU"/>
        </w:rPr>
      </w:pPr>
    </w:p>
    <w:sectPr w:rsidR="00B759C1" w:rsidRPr="00DD6587" w:rsidSect="00EC5DD6">
      <w:headerReference w:type="even" r:id="rId17"/>
      <w:headerReference w:type="default" r:id="rId18"/>
      <w:footerReference w:type="even" r:id="rId19"/>
      <w:footerReference w:type="default" r:id="rId20"/>
      <w:headerReference w:type="first" r:id="rId21"/>
      <w:footerReference w:type="first" r:id="rId22"/>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3940" w14:textId="77777777" w:rsidR="00F021F9" w:rsidRDefault="00F021F9" w:rsidP="006C328D">
      <w:pPr>
        <w:spacing w:before="0" w:after="0"/>
      </w:pPr>
      <w:r>
        <w:separator/>
      </w:r>
    </w:p>
  </w:endnote>
  <w:endnote w:type="continuationSeparator" w:id="0">
    <w:p w14:paraId="10310291" w14:textId="77777777" w:rsidR="00F021F9" w:rsidRDefault="00F021F9"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0B56" w14:textId="54CA6530" w:rsidR="00327911" w:rsidRDefault="00327911">
    <w:pPr>
      <w:pStyle w:val="Footer"/>
    </w:pPr>
    <w:r>
      <w:rPr>
        <w:noProof/>
      </w:rPr>
      <mc:AlternateContent>
        <mc:Choice Requires="wps">
          <w:drawing>
            <wp:anchor distT="0" distB="0" distL="114300" distR="114300" simplePos="0" relativeHeight="251659776" behindDoc="0" locked="1" layoutInCell="0" allowOverlap="1" wp14:anchorId="7398B275" wp14:editId="33E611DA">
              <wp:simplePos x="0" y="0"/>
              <wp:positionH relativeFrom="margin">
                <wp:align>center</wp:align>
              </wp:positionH>
              <wp:positionV relativeFrom="bottomMargin">
                <wp:align>center</wp:align>
              </wp:positionV>
              <wp:extent cx="892175" cy="273050"/>
              <wp:effectExtent l="0" t="0" r="0" b="0"/>
              <wp:wrapNone/>
              <wp:docPr id="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B364C" w14:textId="56F8DAC4"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98B275"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5977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3DBB364C" w14:textId="56F8DAC4"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057" w14:textId="4C3B3916" w:rsidR="009F5D9A" w:rsidRPr="00FF2540" w:rsidRDefault="00327911">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57728" behindDoc="0" locked="1" layoutInCell="0" allowOverlap="1" wp14:anchorId="1709D0CB" wp14:editId="335B499B">
              <wp:simplePos x="0" y="0"/>
              <wp:positionH relativeFrom="margin">
                <wp:align>center</wp:align>
              </wp:positionH>
              <wp:positionV relativeFrom="bottomMargin">
                <wp:align>center</wp:align>
              </wp:positionV>
              <wp:extent cx="892175" cy="273050"/>
              <wp:effectExtent l="0" t="0" r="0" b="0"/>
              <wp:wrapNone/>
              <wp:docPr id="6"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1EEAB" w14:textId="6E6F9330"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09D0CB"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1BF1EEAB" w14:textId="6E6F9330"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AE7F" w14:textId="774118B2" w:rsidR="00327911" w:rsidRDefault="00327911">
    <w:pPr>
      <w:pStyle w:val="Footer"/>
    </w:pPr>
    <w:r>
      <w:rPr>
        <w:noProof/>
      </w:rPr>
      <mc:AlternateContent>
        <mc:Choice Requires="wps">
          <w:drawing>
            <wp:anchor distT="0" distB="0" distL="114300" distR="114300" simplePos="0" relativeHeight="251658752" behindDoc="0" locked="1" layoutInCell="0" allowOverlap="1" wp14:anchorId="175D52F6" wp14:editId="0D557182">
              <wp:simplePos x="0" y="0"/>
              <wp:positionH relativeFrom="margin">
                <wp:align>center</wp:align>
              </wp:positionH>
              <wp:positionV relativeFrom="bottomMargin">
                <wp:align>center</wp:align>
              </wp:positionV>
              <wp:extent cx="892175" cy="273050"/>
              <wp:effectExtent l="0" t="0" r="0" b="0"/>
              <wp:wrapNone/>
              <wp:docPr id="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8C3A0" w14:textId="2EACADC0"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5D52F6" id="_x0000_t202" coordsize="21600,21600" o:spt="202" path="m,l,21600r21600,l21600,xe">
              <v:stroke joinstyle="miter"/>
              <v:path gradientshapeok="t" o:connecttype="rect"/>
            </v:shapetype>
            <v:shape id="janusSEAL SC F_FirstPage" o:spid="_x0000_s1031" type="#_x0000_t202" style="position:absolute;margin-left:0;margin-top:0;width:70.2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3888C3A0" w14:textId="2EACADC0"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PM_ProtectiveMarkingValue_Footer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F4A4" w14:textId="77777777" w:rsidR="00F021F9" w:rsidRDefault="00F021F9" w:rsidP="006C328D">
      <w:pPr>
        <w:spacing w:before="0" w:after="0"/>
      </w:pPr>
      <w:r>
        <w:separator/>
      </w:r>
    </w:p>
  </w:footnote>
  <w:footnote w:type="continuationSeparator" w:id="0">
    <w:p w14:paraId="79847B87" w14:textId="77777777" w:rsidR="00F021F9" w:rsidRDefault="00F021F9"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79B2" w14:textId="29BFA5E6" w:rsidR="00327911" w:rsidRDefault="00327911">
    <w:pPr>
      <w:pStyle w:val="Header"/>
    </w:pPr>
    <w:r>
      <w:rPr>
        <w:noProof/>
      </w:rPr>
      <mc:AlternateContent>
        <mc:Choice Requires="wps">
          <w:drawing>
            <wp:anchor distT="0" distB="0" distL="114300" distR="114300" simplePos="0" relativeHeight="251656704" behindDoc="0" locked="1" layoutInCell="0" allowOverlap="1" wp14:anchorId="384C3EA6" wp14:editId="113A22C2">
              <wp:simplePos x="0" y="0"/>
              <wp:positionH relativeFrom="margin">
                <wp:align>center</wp:align>
              </wp:positionH>
              <wp:positionV relativeFrom="topMargin">
                <wp:align>center</wp:align>
              </wp:positionV>
              <wp:extent cx="892175" cy="273050"/>
              <wp:effectExtent l="0" t="0" r="0" b="0"/>
              <wp:wrapNone/>
              <wp:docPr id="5"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0C56F" w14:textId="30C516AD"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4C3EA6"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53E0C56F" w14:textId="30C516AD"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9C76" w14:textId="43B81B7D" w:rsidR="009F5D9A" w:rsidRPr="006C328D" w:rsidRDefault="00176278" w:rsidP="006C328D">
    <w:pPr>
      <w:pStyle w:val="Header"/>
      <w:spacing w:after="240"/>
      <w:jc w:val="right"/>
      <w:rPr>
        <w:rFonts w:ascii="Georgia" w:hAnsi="Georgia" w:cs="Arial"/>
        <w:b/>
        <w:noProof/>
        <w:color w:val="004855"/>
        <w:sz w:val="28"/>
        <w:szCs w:val="28"/>
        <w:lang w:eastAsia="en-AU"/>
      </w:rPr>
    </w:pPr>
    <w:sdt>
      <w:sdtPr>
        <w:rPr>
          <w:rFonts w:ascii="Georgia" w:hAnsi="Georgia" w:cs="Arial"/>
          <w:b/>
          <w:noProof/>
          <w:color w:val="004855"/>
          <w:sz w:val="28"/>
          <w:szCs w:val="28"/>
          <w:lang w:eastAsia="en-AU"/>
        </w:rPr>
        <w:id w:val="302433127"/>
        <w:docPartObj>
          <w:docPartGallery w:val="Watermarks"/>
          <w:docPartUnique/>
        </w:docPartObj>
      </w:sdtPr>
      <w:sdtEndPr/>
      <w:sdtContent>
        <w:r>
          <w:rPr>
            <w:rFonts w:ascii="Georgia" w:hAnsi="Georgia" w:cs="Arial"/>
            <w:b/>
            <w:noProof/>
            <w:color w:val="004855"/>
            <w:sz w:val="28"/>
            <w:szCs w:val="28"/>
            <w:lang w:eastAsia="en-AU"/>
          </w:rPr>
          <w:pict w14:anchorId="47FE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27911">
      <w:rPr>
        <w:rFonts w:ascii="Georgia" w:hAnsi="Georgia" w:cs="Arial"/>
        <w:b/>
        <w:noProof/>
        <w:color w:val="004855"/>
        <w:sz w:val="28"/>
        <w:szCs w:val="28"/>
        <w:lang w:eastAsia="en-AU"/>
      </w:rPr>
      <mc:AlternateContent>
        <mc:Choice Requires="wps">
          <w:drawing>
            <wp:anchor distT="0" distB="0" distL="114300" distR="114300" simplePos="0" relativeHeight="251654656" behindDoc="0" locked="1" layoutInCell="0" allowOverlap="1" wp14:anchorId="18A50BB5" wp14:editId="70730B9E">
              <wp:simplePos x="0" y="0"/>
              <wp:positionH relativeFrom="margin">
                <wp:align>center</wp:align>
              </wp:positionH>
              <wp:positionV relativeFrom="topMargin">
                <wp:align>center</wp:align>
              </wp:positionV>
              <wp:extent cx="892175" cy="2730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4250A" w14:textId="6BC8F49A"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A50BB5"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2504250A" w14:textId="6BC8F49A"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D884" w14:textId="4B607FB7" w:rsidR="00327911" w:rsidRDefault="00327911">
    <w:pPr>
      <w:pStyle w:val="Header"/>
    </w:pPr>
    <w:r>
      <w:rPr>
        <w:noProof/>
      </w:rPr>
      <mc:AlternateContent>
        <mc:Choice Requires="wps">
          <w:drawing>
            <wp:anchor distT="0" distB="0" distL="114300" distR="114300" simplePos="0" relativeHeight="251655680" behindDoc="0" locked="1" layoutInCell="0" allowOverlap="1" wp14:anchorId="50105A8F" wp14:editId="06458FB2">
              <wp:simplePos x="0" y="0"/>
              <wp:positionH relativeFrom="margin">
                <wp:align>center</wp:align>
              </wp:positionH>
              <wp:positionV relativeFrom="topMargin">
                <wp:align>center</wp:align>
              </wp:positionV>
              <wp:extent cx="892175" cy="273050"/>
              <wp:effectExtent l="0" t="0" r="0" b="0"/>
              <wp:wrapNone/>
              <wp:docPr id="4"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3A241" w14:textId="57FDBEFC"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105A8F"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55A3A241" w14:textId="57FDBEFC" w:rsidR="00327911" w:rsidRPr="00327911" w:rsidRDefault="00327911" w:rsidP="00327911">
                    <w:pPr>
                      <w:spacing w:before="0" w:after="0"/>
                      <w:jc w:val="center"/>
                      <w:rPr>
                        <w:b/>
                        <w:color w:val="FF0000"/>
                        <w:sz w:val="24"/>
                      </w:rPr>
                    </w:pPr>
                    <w:r w:rsidRPr="00327911">
                      <w:rPr>
                        <w:b/>
                        <w:color w:val="FF0000"/>
                        <w:sz w:val="24"/>
                      </w:rPr>
                      <w:fldChar w:fldCharType="begin"/>
                    </w:r>
                    <w:r w:rsidRPr="00327911">
                      <w:rPr>
                        <w:b/>
                        <w:color w:val="FF0000"/>
                        <w:sz w:val="24"/>
                      </w:rPr>
                      <w:instrText xml:space="preserve"> DOCPROPERTY PM_ProtectiveMarkingValue_Header \* MERGEFORMAT </w:instrText>
                    </w:r>
                    <w:r w:rsidRPr="00327911">
                      <w:rPr>
                        <w:b/>
                        <w:color w:val="FF0000"/>
                        <w:sz w:val="24"/>
                      </w:rPr>
                      <w:fldChar w:fldCharType="separate"/>
                    </w:r>
                    <w:r w:rsidR="00176278">
                      <w:rPr>
                        <w:b/>
                        <w:color w:val="FF0000"/>
                        <w:sz w:val="24"/>
                      </w:rPr>
                      <w:t>OFFICIAL</w:t>
                    </w:r>
                    <w:r w:rsidRPr="00327911">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07EF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658505" o:spid="_x0000_i1025" type="#_x0000_t75" style="width:1in;height:36pt;visibility:visible;mso-wrap-style:square">
            <v:imagedata r:id="rId1" o:title=""/>
          </v:shape>
        </w:pict>
      </mc:Choice>
      <mc:Fallback>
        <w:drawing>
          <wp:inline distT="0" distB="0" distL="0" distR="0" wp14:anchorId="466BE36C" wp14:editId="466BE36D">
            <wp:extent cx="914400" cy="457200"/>
            <wp:effectExtent l="0" t="0" r="0" b="0"/>
            <wp:docPr id="180658505" name="Picture 180658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numPicBullet w:numPicBulletId="1">
    <mc:AlternateContent>
      <mc:Choice Requires="v">
        <w:pict>
          <v:shape w14:anchorId="7E5D73C6" id="Picture 521353456" o:spid="_x0000_i1025" type="#_x0000_t75" style="width:1in;height:36pt;visibility:visible;mso-wrap-style:square">
            <v:imagedata r:id="rId3" o:title=""/>
          </v:shape>
        </w:pict>
      </mc:Choice>
      <mc:Fallback>
        <w:drawing>
          <wp:inline distT="0" distB="0" distL="0" distR="0" wp14:anchorId="466BE36E" wp14:editId="466BE36F">
            <wp:extent cx="914400" cy="457200"/>
            <wp:effectExtent l="0" t="0" r="0" b="0"/>
            <wp:docPr id="521353456" name="Picture 52135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numPicBullet w:numPicBulletId="2">
    <mc:AlternateContent>
      <mc:Choice Requires="v">
        <w:pict>
          <v:shape w14:anchorId="04100848" id="Picture 1826376485" o:spid="_x0000_i1025" type="#_x0000_t75" style="width:1in;height:36pt;visibility:visible;mso-wrap-style:square">
            <v:imagedata r:id="rId5" o:title=""/>
          </v:shape>
        </w:pict>
      </mc:Choice>
      <mc:Fallback>
        <w:drawing>
          <wp:inline distT="0" distB="0" distL="0" distR="0" wp14:anchorId="466BE370" wp14:editId="466BE371">
            <wp:extent cx="914400" cy="457200"/>
            <wp:effectExtent l="0" t="0" r="0" b="0"/>
            <wp:docPr id="1826376485" name="Picture 182637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mc:Fallback>
    </mc:AlternateContent>
  </w:numPicBullet>
  <w:abstractNum w:abstractNumId="0" w15:restartNumberingAfterBreak="0">
    <w:nsid w:val="0CA96897"/>
    <w:multiLevelType w:val="hybridMultilevel"/>
    <w:tmpl w:val="75F821DA"/>
    <w:lvl w:ilvl="0" w:tplc="6B563C22">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541A5"/>
    <w:multiLevelType w:val="multilevel"/>
    <w:tmpl w:val="E2E64702"/>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4D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00E6A6D"/>
    <w:multiLevelType w:val="hybridMultilevel"/>
    <w:tmpl w:val="6654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54A6D"/>
    <w:multiLevelType w:val="hybridMultilevel"/>
    <w:tmpl w:val="1770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5A332E"/>
    <w:multiLevelType w:val="multilevel"/>
    <w:tmpl w:val="0D302634"/>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5A65EE6"/>
    <w:multiLevelType w:val="hybridMultilevel"/>
    <w:tmpl w:val="F664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F1613"/>
    <w:multiLevelType w:val="hybridMultilevel"/>
    <w:tmpl w:val="1B808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E8224B"/>
    <w:multiLevelType w:val="hybridMultilevel"/>
    <w:tmpl w:val="88CEC838"/>
    <w:lvl w:ilvl="0" w:tplc="22489A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22"/>
  </w:num>
  <w:num w:numId="2" w16cid:durableId="1454596241">
    <w:abstractNumId w:val="21"/>
  </w:num>
  <w:num w:numId="3" w16cid:durableId="1615096026">
    <w:abstractNumId w:val="19"/>
  </w:num>
  <w:num w:numId="4" w16cid:durableId="474376293">
    <w:abstractNumId w:val="18"/>
  </w:num>
  <w:num w:numId="5" w16cid:durableId="1738548158">
    <w:abstractNumId w:val="16"/>
  </w:num>
  <w:num w:numId="6" w16cid:durableId="227151088">
    <w:abstractNumId w:val="6"/>
  </w:num>
  <w:num w:numId="7" w16cid:durableId="120194778">
    <w:abstractNumId w:val="8"/>
  </w:num>
  <w:num w:numId="8" w16cid:durableId="1232084426">
    <w:abstractNumId w:val="9"/>
  </w:num>
  <w:num w:numId="9" w16cid:durableId="2018917101">
    <w:abstractNumId w:val="17"/>
  </w:num>
  <w:num w:numId="10" w16cid:durableId="124588575">
    <w:abstractNumId w:val="12"/>
  </w:num>
  <w:num w:numId="11" w16cid:durableId="1633095877">
    <w:abstractNumId w:val="5"/>
  </w:num>
  <w:num w:numId="12" w16cid:durableId="1014379581">
    <w:abstractNumId w:val="4"/>
  </w:num>
  <w:num w:numId="13" w16cid:durableId="1150905779">
    <w:abstractNumId w:val="20"/>
  </w:num>
  <w:num w:numId="14" w16cid:durableId="381056798">
    <w:abstractNumId w:val="2"/>
  </w:num>
  <w:num w:numId="15" w16cid:durableId="741606906">
    <w:abstractNumId w:val="10"/>
  </w:num>
  <w:num w:numId="16" w16cid:durableId="325208653">
    <w:abstractNumId w:val="3"/>
  </w:num>
  <w:num w:numId="17" w16cid:durableId="1577938991">
    <w:abstractNumId w:val="15"/>
  </w:num>
  <w:num w:numId="18" w16cid:durableId="1488283392">
    <w:abstractNumId w:val="1"/>
  </w:num>
  <w:num w:numId="19" w16cid:durableId="1108350031">
    <w:abstractNumId w:val="13"/>
  </w:num>
  <w:num w:numId="20" w16cid:durableId="1039428036">
    <w:abstractNumId w:val="14"/>
  </w:num>
  <w:num w:numId="21" w16cid:durableId="1967157779">
    <w:abstractNumId w:val="7"/>
  </w:num>
  <w:num w:numId="22" w16cid:durableId="1381052530">
    <w:abstractNumId w:val="11"/>
  </w:num>
  <w:num w:numId="23" w16cid:durableId="1516920604">
    <w:abstractNumId w:val="2"/>
  </w:num>
  <w:num w:numId="24" w16cid:durableId="1803647745">
    <w:abstractNumId w:val="2"/>
  </w:num>
  <w:num w:numId="25" w16cid:durableId="1295673005">
    <w:abstractNumId w:val="0"/>
  </w:num>
  <w:num w:numId="26" w16cid:durableId="1406150217">
    <w:abstractNumId w:val="2"/>
  </w:num>
  <w:num w:numId="27" w16cid:durableId="546449988">
    <w:abstractNumId w:val="2"/>
  </w:num>
  <w:num w:numId="28" w16cid:durableId="1550216916">
    <w:abstractNumId w:val="2"/>
  </w:num>
  <w:num w:numId="29" w16cid:durableId="5406751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103BA"/>
    <w:rsid w:val="00010A68"/>
    <w:rsid w:val="00013CFB"/>
    <w:rsid w:val="0002032A"/>
    <w:rsid w:val="00021C1A"/>
    <w:rsid w:val="00022B45"/>
    <w:rsid w:val="00027615"/>
    <w:rsid w:val="000342DB"/>
    <w:rsid w:val="00035065"/>
    <w:rsid w:val="00040A3A"/>
    <w:rsid w:val="00044114"/>
    <w:rsid w:val="00047FB3"/>
    <w:rsid w:val="00055F9D"/>
    <w:rsid w:val="00056406"/>
    <w:rsid w:val="0007028B"/>
    <w:rsid w:val="00071592"/>
    <w:rsid w:val="000766E4"/>
    <w:rsid w:val="000770EF"/>
    <w:rsid w:val="00082CF7"/>
    <w:rsid w:val="000944B4"/>
    <w:rsid w:val="00097AD5"/>
    <w:rsid w:val="000A062F"/>
    <w:rsid w:val="000A494E"/>
    <w:rsid w:val="000A60F3"/>
    <w:rsid w:val="000A7CF8"/>
    <w:rsid w:val="000B0BA9"/>
    <w:rsid w:val="000B2654"/>
    <w:rsid w:val="000B2B34"/>
    <w:rsid w:val="000B3FA9"/>
    <w:rsid w:val="000B49DC"/>
    <w:rsid w:val="000B7674"/>
    <w:rsid w:val="000B7D25"/>
    <w:rsid w:val="000C0AB6"/>
    <w:rsid w:val="000C4D9B"/>
    <w:rsid w:val="000C5ED3"/>
    <w:rsid w:val="000C7F61"/>
    <w:rsid w:val="000D03F5"/>
    <w:rsid w:val="000D2C11"/>
    <w:rsid w:val="000E467A"/>
    <w:rsid w:val="000E510F"/>
    <w:rsid w:val="000E5FBD"/>
    <w:rsid w:val="000E688F"/>
    <w:rsid w:val="000E6CF0"/>
    <w:rsid w:val="000F00DE"/>
    <w:rsid w:val="000F117B"/>
    <w:rsid w:val="000F13C0"/>
    <w:rsid w:val="000F26A9"/>
    <w:rsid w:val="001018DB"/>
    <w:rsid w:val="00107D1B"/>
    <w:rsid w:val="00110EB4"/>
    <w:rsid w:val="001126FD"/>
    <w:rsid w:val="00116A17"/>
    <w:rsid w:val="0012023A"/>
    <w:rsid w:val="00120CE2"/>
    <w:rsid w:val="00125F9C"/>
    <w:rsid w:val="00126E4D"/>
    <w:rsid w:val="0013298A"/>
    <w:rsid w:val="00134DD1"/>
    <w:rsid w:val="001359B6"/>
    <w:rsid w:val="0013657A"/>
    <w:rsid w:val="00140F62"/>
    <w:rsid w:val="001440A7"/>
    <w:rsid w:val="001473A3"/>
    <w:rsid w:val="00152D17"/>
    <w:rsid w:val="00156002"/>
    <w:rsid w:val="001561CC"/>
    <w:rsid w:val="00164942"/>
    <w:rsid w:val="001707A3"/>
    <w:rsid w:val="00171319"/>
    <w:rsid w:val="00176278"/>
    <w:rsid w:val="00181F0E"/>
    <w:rsid w:val="001822B9"/>
    <w:rsid w:val="001845B1"/>
    <w:rsid w:val="001910C8"/>
    <w:rsid w:val="001937CF"/>
    <w:rsid w:val="00194220"/>
    <w:rsid w:val="00194D16"/>
    <w:rsid w:val="00196F2D"/>
    <w:rsid w:val="00197F91"/>
    <w:rsid w:val="001A24C7"/>
    <w:rsid w:val="001A2C05"/>
    <w:rsid w:val="001A5F7D"/>
    <w:rsid w:val="001A7DEF"/>
    <w:rsid w:val="001B7510"/>
    <w:rsid w:val="001C1EC9"/>
    <w:rsid w:val="001C408E"/>
    <w:rsid w:val="001C43A2"/>
    <w:rsid w:val="001C68AB"/>
    <w:rsid w:val="001C7AA9"/>
    <w:rsid w:val="001D009E"/>
    <w:rsid w:val="001E1463"/>
    <w:rsid w:val="001E1C9D"/>
    <w:rsid w:val="001F1065"/>
    <w:rsid w:val="001F205F"/>
    <w:rsid w:val="001F2D49"/>
    <w:rsid w:val="001F39F5"/>
    <w:rsid w:val="001F3B80"/>
    <w:rsid w:val="001F5BE9"/>
    <w:rsid w:val="002019A1"/>
    <w:rsid w:val="00204BC7"/>
    <w:rsid w:val="002075C2"/>
    <w:rsid w:val="00210D74"/>
    <w:rsid w:val="002238DF"/>
    <w:rsid w:val="0022469E"/>
    <w:rsid w:val="00233FDD"/>
    <w:rsid w:val="002363AF"/>
    <w:rsid w:val="0024219C"/>
    <w:rsid w:val="00244814"/>
    <w:rsid w:val="00244D59"/>
    <w:rsid w:val="002512B6"/>
    <w:rsid w:val="00253EE0"/>
    <w:rsid w:val="00255EA2"/>
    <w:rsid w:val="00257BF4"/>
    <w:rsid w:val="002601FE"/>
    <w:rsid w:val="0027110F"/>
    <w:rsid w:val="00276729"/>
    <w:rsid w:val="002770FF"/>
    <w:rsid w:val="002773EF"/>
    <w:rsid w:val="0028229D"/>
    <w:rsid w:val="0028241C"/>
    <w:rsid w:val="00284523"/>
    <w:rsid w:val="002866BA"/>
    <w:rsid w:val="00294CA9"/>
    <w:rsid w:val="002955EE"/>
    <w:rsid w:val="002A0F67"/>
    <w:rsid w:val="002A56DB"/>
    <w:rsid w:val="002A7000"/>
    <w:rsid w:val="002B23DF"/>
    <w:rsid w:val="002B38F6"/>
    <w:rsid w:val="002B4967"/>
    <w:rsid w:val="002C22C3"/>
    <w:rsid w:val="002C5F51"/>
    <w:rsid w:val="002C794A"/>
    <w:rsid w:val="002C7E4F"/>
    <w:rsid w:val="002D18B3"/>
    <w:rsid w:val="002E1694"/>
    <w:rsid w:val="002E5D7C"/>
    <w:rsid w:val="002E5D90"/>
    <w:rsid w:val="002F06CD"/>
    <w:rsid w:val="002F0DAC"/>
    <w:rsid w:val="002F1FD6"/>
    <w:rsid w:val="002F204F"/>
    <w:rsid w:val="002F3244"/>
    <w:rsid w:val="002F7389"/>
    <w:rsid w:val="0030065D"/>
    <w:rsid w:val="0030651C"/>
    <w:rsid w:val="00306EDD"/>
    <w:rsid w:val="003204C6"/>
    <w:rsid w:val="0032329A"/>
    <w:rsid w:val="00327911"/>
    <w:rsid w:val="003335CE"/>
    <w:rsid w:val="00334C2A"/>
    <w:rsid w:val="003357E2"/>
    <w:rsid w:val="0034020D"/>
    <w:rsid w:val="00340768"/>
    <w:rsid w:val="00343A0A"/>
    <w:rsid w:val="00345122"/>
    <w:rsid w:val="00345AA5"/>
    <w:rsid w:val="00350C0A"/>
    <w:rsid w:val="00350F2E"/>
    <w:rsid w:val="00352408"/>
    <w:rsid w:val="003553EF"/>
    <w:rsid w:val="00355B8D"/>
    <w:rsid w:val="00356316"/>
    <w:rsid w:val="00361E23"/>
    <w:rsid w:val="00363AA3"/>
    <w:rsid w:val="0036546B"/>
    <w:rsid w:val="003675B5"/>
    <w:rsid w:val="003678F1"/>
    <w:rsid w:val="00367C15"/>
    <w:rsid w:val="00370759"/>
    <w:rsid w:val="003716A4"/>
    <w:rsid w:val="0037189D"/>
    <w:rsid w:val="00372E05"/>
    <w:rsid w:val="003778EB"/>
    <w:rsid w:val="003823FE"/>
    <w:rsid w:val="00384709"/>
    <w:rsid w:val="00384EE3"/>
    <w:rsid w:val="00386918"/>
    <w:rsid w:val="00394632"/>
    <w:rsid w:val="003A0BD3"/>
    <w:rsid w:val="003A56EB"/>
    <w:rsid w:val="003B1090"/>
    <w:rsid w:val="003B1515"/>
    <w:rsid w:val="003B5CBC"/>
    <w:rsid w:val="003C0410"/>
    <w:rsid w:val="003C1733"/>
    <w:rsid w:val="003C559A"/>
    <w:rsid w:val="003D549B"/>
    <w:rsid w:val="003D5815"/>
    <w:rsid w:val="003E02F2"/>
    <w:rsid w:val="003E0BCC"/>
    <w:rsid w:val="003E0DFA"/>
    <w:rsid w:val="003E4D06"/>
    <w:rsid w:val="003E51C2"/>
    <w:rsid w:val="003F2713"/>
    <w:rsid w:val="003F581D"/>
    <w:rsid w:val="003F7443"/>
    <w:rsid w:val="003F75C3"/>
    <w:rsid w:val="00402296"/>
    <w:rsid w:val="004025FE"/>
    <w:rsid w:val="00402F32"/>
    <w:rsid w:val="00411901"/>
    <w:rsid w:val="00412311"/>
    <w:rsid w:val="004126B0"/>
    <w:rsid w:val="00417B39"/>
    <w:rsid w:val="00417E4B"/>
    <w:rsid w:val="00421DF9"/>
    <w:rsid w:val="004240B5"/>
    <w:rsid w:val="004304A0"/>
    <w:rsid w:val="00435362"/>
    <w:rsid w:val="00436E67"/>
    <w:rsid w:val="0044410E"/>
    <w:rsid w:val="0045131D"/>
    <w:rsid w:val="00451687"/>
    <w:rsid w:val="00455DEF"/>
    <w:rsid w:val="0045740F"/>
    <w:rsid w:val="00461F36"/>
    <w:rsid w:val="00462480"/>
    <w:rsid w:val="00465A13"/>
    <w:rsid w:val="004677FD"/>
    <w:rsid w:val="00472147"/>
    <w:rsid w:val="00474F67"/>
    <w:rsid w:val="004807A0"/>
    <w:rsid w:val="0048160D"/>
    <w:rsid w:val="00481DC7"/>
    <w:rsid w:val="00484490"/>
    <w:rsid w:val="004865C5"/>
    <w:rsid w:val="00496AC5"/>
    <w:rsid w:val="004A076E"/>
    <w:rsid w:val="004A09F6"/>
    <w:rsid w:val="004A438F"/>
    <w:rsid w:val="004A64BE"/>
    <w:rsid w:val="004A7820"/>
    <w:rsid w:val="004B0EA6"/>
    <w:rsid w:val="004B4032"/>
    <w:rsid w:val="004B4B89"/>
    <w:rsid w:val="004C020E"/>
    <w:rsid w:val="004C20B3"/>
    <w:rsid w:val="004C39E3"/>
    <w:rsid w:val="004C569B"/>
    <w:rsid w:val="004C6C45"/>
    <w:rsid w:val="004D2C3F"/>
    <w:rsid w:val="004E20E5"/>
    <w:rsid w:val="004E4224"/>
    <w:rsid w:val="004E5C4D"/>
    <w:rsid w:val="004E7A10"/>
    <w:rsid w:val="004F0130"/>
    <w:rsid w:val="004F09A5"/>
    <w:rsid w:val="004F190C"/>
    <w:rsid w:val="004F1B3E"/>
    <w:rsid w:val="004F3048"/>
    <w:rsid w:val="004F5D9C"/>
    <w:rsid w:val="00511505"/>
    <w:rsid w:val="00512B6C"/>
    <w:rsid w:val="00513E63"/>
    <w:rsid w:val="005150CD"/>
    <w:rsid w:val="00516F60"/>
    <w:rsid w:val="00524886"/>
    <w:rsid w:val="00525720"/>
    <w:rsid w:val="005271BE"/>
    <w:rsid w:val="005300D5"/>
    <w:rsid w:val="005410A8"/>
    <w:rsid w:val="00541321"/>
    <w:rsid w:val="00541D97"/>
    <w:rsid w:val="005424C2"/>
    <w:rsid w:val="00543277"/>
    <w:rsid w:val="00543290"/>
    <w:rsid w:val="00545A37"/>
    <w:rsid w:val="00550D0B"/>
    <w:rsid w:val="00552A2D"/>
    <w:rsid w:val="00554336"/>
    <w:rsid w:val="00555161"/>
    <w:rsid w:val="00562952"/>
    <w:rsid w:val="00562EE5"/>
    <w:rsid w:val="00563CE9"/>
    <w:rsid w:val="00566BAA"/>
    <w:rsid w:val="00571736"/>
    <w:rsid w:val="005805AA"/>
    <w:rsid w:val="00587A83"/>
    <w:rsid w:val="00587DDA"/>
    <w:rsid w:val="00595323"/>
    <w:rsid w:val="0059539E"/>
    <w:rsid w:val="0059693A"/>
    <w:rsid w:val="00596DDE"/>
    <w:rsid w:val="005B458E"/>
    <w:rsid w:val="005B5392"/>
    <w:rsid w:val="005B6563"/>
    <w:rsid w:val="005B6A0C"/>
    <w:rsid w:val="005C3C62"/>
    <w:rsid w:val="005C51B5"/>
    <w:rsid w:val="005C5C91"/>
    <w:rsid w:val="005C5EE0"/>
    <w:rsid w:val="005C6946"/>
    <w:rsid w:val="005D09B1"/>
    <w:rsid w:val="005D3C28"/>
    <w:rsid w:val="005D52D0"/>
    <w:rsid w:val="005E2440"/>
    <w:rsid w:val="005E3F68"/>
    <w:rsid w:val="005F65E4"/>
    <w:rsid w:val="005F760D"/>
    <w:rsid w:val="006009B0"/>
    <w:rsid w:val="00603684"/>
    <w:rsid w:val="00613791"/>
    <w:rsid w:val="00614871"/>
    <w:rsid w:val="00620E25"/>
    <w:rsid w:val="00622FA1"/>
    <w:rsid w:val="006262D8"/>
    <w:rsid w:val="00627B74"/>
    <w:rsid w:val="00631335"/>
    <w:rsid w:val="00634003"/>
    <w:rsid w:val="00634BFF"/>
    <w:rsid w:val="00635A7F"/>
    <w:rsid w:val="0064328F"/>
    <w:rsid w:val="00656507"/>
    <w:rsid w:val="00656932"/>
    <w:rsid w:val="00663306"/>
    <w:rsid w:val="006663FD"/>
    <w:rsid w:val="00666CB8"/>
    <w:rsid w:val="0066741F"/>
    <w:rsid w:val="00684F44"/>
    <w:rsid w:val="006908BA"/>
    <w:rsid w:val="00690BE7"/>
    <w:rsid w:val="00691462"/>
    <w:rsid w:val="00696B8F"/>
    <w:rsid w:val="00697625"/>
    <w:rsid w:val="006A3536"/>
    <w:rsid w:val="006A420F"/>
    <w:rsid w:val="006A44C3"/>
    <w:rsid w:val="006A6EBB"/>
    <w:rsid w:val="006B0B86"/>
    <w:rsid w:val="006B1F26"/>
    <w:rsid w:val="006B2B2D"/>
    <w:rsid w:val="006B4F48"/>
    <w:rsid w:val="006B6F69"/>
    <w:rsid w:val="006C2ED1"/>
    <w:rsid w:val="006C328D"/>
    <w:rsid w:val="006C5AC7"/>
    <w:rsid w:val="006C7A19"/>
    <w:rsid w:val="006D17A1"/>
    <w:rsid w:val="006D2249"/>
    <w:rsid w:val="006D257A"/>
    <w:rsid w:val="006D3402"/>
    <w:rsid w:val="006D4181"/>
    <w:rsid w:val="006E165C"/>
    <w:rsid w:val="006E3AA7"/>
    <w:rsid w:val="006F2EEE"/>
    <w:rsid w:val="006F79B0"/>
    <w:rsid w:val="00700CD8"/>
    <w:rsid w:val="00702466"/>
    <w:rsid w:val="00702FA8"/>
    <w:rsid w:val="00703469"/>
    <w:rsid w:val="00703B30"/>
    <w:rsid w:val="007121BF"/>
    <w:rsid w:val="00713B43"/>
    <w:rsid w:val="007148AD"/>
    <w:rsid w:val="0072176E"/>
    <w:rsid w:val="00726CC7"/>
    <w:rsid w:val="00727494"/>
    <w:rsid w:val="00733596"/>
    <w:rsid w:val="00734B93"/>
    <w:rsid w:val="00735DFF"/>
    <w:rsid w:val="00736C34"/>
    <w:rsid w:val="00743092"/>
    <w:rsid w:val="00746A41"/>
    <w:rsid w:val="00750DA4"/>
    <w:rsid w:val="00754FB9"/>
    <w:rsid w:val="0076372D"/>
    <w:rsid w:val="00766C07"/>
    <w:rsid w:val="00770C2B"/>
    <w:rsid w:val="00771AEA"/>
    <w:rsid w:val="00772E72"/>
    <w:rsid w:val="00775041"/>
    <w:rsid w:val="007760B8"/>
    <w:rsid w:val="00776240"/>
    <w:rsid w:val="00781191"/>
    <w:rsid w:val="007822F4"/>
    <w:rsid w:val="007879F5"/>
    <w:rsid w:val="00792976"/>
    <w:rsid w:val="00793A7D"/>
    <w:rsid w:val="007952AF"/>
    <w:rsid w:val="007B01C8"/>
    <w:rsid w:val="007B13B9"/>
    <w:rsid w:val="007B36ED"/>
    <w:rsid w:val="007B4E65"/>
    <w:rsid w:val="007B509F"/>
    <w:rsid w:val="007B7234"/>
    <w:rsid w:val="007B77C7"/>
    <w:rsid w:val="007C32EE"/>
    <w:rsid w:val="007C4501"/>
    <w:rsid w:val="007D115E"/>
    <w:rsid w:val="007D3696"/>
    <w:rsid w:val="007D4F47"/>
    <w:rsid w:val="007D4F83"/>
    <w:rsid w:val="007D51C7"/>
    <w:rsid w:val="007E23E6"/>
    <w:rsid w:val="007E2D81"/>
    <w:rsid w:val="007F00B4"/>
    <w:rsid w:val="007F071E"/>
    <w:rsid w:val="007F12EC"/>
    <w:rsid w:val="007F3A02"/>
    <w:rsid w:val="007F3D0D"/>
    <w:rsid w:val="007F59E6"/>
    <w:rsid w:val="007F78F7"/>
    <w:rsid w:val="00801A19"/>
    <w:rsid w:val="00801C6E"/>
    <w:rsid w:val="008053FE"/>
    <w:rsid w:val="00805B6F"/>
    <w:rsid w:val="00807A16"/>
    <w:rsid w:val="00807BDA"/>
    <w:rsid w:val="008109BC"/>
    <w:rsid w:val="0081259C"/>
    <w:rsid w:val="00813DF0"/>
    <w:rsid w:val="0081623A"/>
    <w:rsid w:val="00817324"/>
    <w:rsid w:val="00817716"/>
    <w:rsid w:val="00821091"/>
    <w:rsid w:val="00823257"/>
    <w:rsid w:val="0083277A"/>
    <w:rsid w:val="008364AC"/>
    <w:rsid w:val="00836815"/>
    <w:rsid w:val="00837FCD"/>
    <w:rsid w:val="008440B1"/>
    <w:rsid w:val="00844EE8"/>
    <w:rsid w:val="00846114"/>
    <w:rsid w:val="00853F0B"/>
    <w:rsid w:val="00854F82"/>
    <w:rsid w:val="00855823"/>
    <w:rsid w:val="00855952"/>
    <w:rsid w:val="00861F78"/>
    <w:rsid w:val="0086426F"/>
    <w:rsid w:val="008709DD"/>
    <w:rsid w:val="008724D7"/>
    <w:rsid w:val="00880DE1"/>
    <w:rsid w:val="00880FD1"/>
    <w:rsid w:val="00883173"/>
    <w:rsid w:val="008857B8"/>
    <w:rsid w:val="00892AB7"/>
    <w:rsid w:val="00893420"/>
    <w:rsid w:val="0089503B"/>
    <w:rsid w:val="008A1197"/>
    <w:rsid w:val="008A2F33"/>
    <w:rsid w:val="008A580A"/>
    <w:rsid w:val="008A781D"/>
    <w:rsid w:val="008A7DD6"/>
    <w:rsid w:val="008B175E"/>
    <w:rsid w:val="008B2322"/>
    <w:rsid w:val="008B5505"/>
    <w:rsid w:val="008C08FB"/>
    <w:rsid w:val="008C64D2"/>
    <w:rsid w:val="008C6E4F"/>
    <w:rsid w:val="008C7AC1"/>
    <w:rsid w:val="008C7FA0"/>
    <w:rsid w:val="008D0EB4"/>
    <w:rsid w:val="008D57F8"/>
    <w:rsid w:val="008D7A8E"/>
    <w:rsid w:val="008E0479"/>
    <w:rsid w:val="008E1F1B"/>
    <w:rsid w:val="008E4B4A"/>
    <w:rsid w:val="008E775D"/>
    <w:rsid w:val="008F0AA3"/>
    <w:rsid w:val="008F0E98"/>
    <w:rsid w:val="008F2D28"/>
    <w:rsid w:val="008F37AF"/>
    <w:rsid w:val="008F40DD"/>
    <w:rsid w:val="008F4CD9"/>
    <w:rsid w:val="008F53AF"/>
    <w:rsid w:val="0090146D"/>
    <w:rsid w:val="00901AC1"/>
    <w:rsid w:val="0090361A"/>
    <w:rsid w:val="00903D86"/>
    <w:rsid w:val="0090668F"/>
    <w:rsid w:val="009103ED"/>
    <w:rsid w:val="00912B44"/>
    <w:rsid w:val="009136B7"/>
    <w:rsid w:val="00922B59"/>
    <w:rsid w:val="0092348B"/>
    <w:rsid w:val="00923803"/>
    <w:rsid w:val="00924600"/>
    <w:rsid w:val="00924F76"/>
    <w:rsid w:val="00931BE8"/>
    <w:rsid w:val="00933C31"/>
    <w:rsid w:val="0093760C"/>
    <w:rsid w:val="00943687"/>
    <w:rsid w:val="0094752E"/>
    <w:rsid w:val="00953079"/>
    <w:rsid w:val="00956850"/>
    <w:rsid w:val="0096018C"/>
    <w:rsid w:val="00960383"/>
    <w:rsid w:val="00962BC8"/>
    <w:rsid w:val="00964E4D"/>
    <w:rsid w:val="00970CE3"/>
    <w:rsid w:val="00975A20"/>
    <w:rsid w:val="00976F49"/>
    <w:rsid w:val="009815F5"/>
    <w:rsid w:val="0098170E"/>
    <w:rsid w:val="00981786"/>
    <w:rsid w:val="0098384A"/>
    <w:rsid w:val="00984790"/>
    <w:rsid w:val="00986ABA"/>
    <w:rsid w:val="00990AF5"/>
    <w:rsid w:val="00994E52"/>
    <w:rsid w:val="00995E51"/>
    <w:rsid w:val="00996534"/>
    <w:rsid w:val="0099715F"/>
    <w:rsid w:val="009A10F5"/>
    <w:rsid w:val="009A1C01"/>
    <w:rsid w:val="009A4B9D"/>
    <w:rsid w:val="009A56DC"/>
    <w:rsid w:val="009B2327"/>
    <w:rsid w:val="009B2881"/>
    <w:rsid w:val="009B4C7E"/>
    <w:rsid w:val="009B75DC"/>
    <w:rsid w:val="009B769E"/>
    <w:rsid w:val="009C2BE6"/>
    <w:rsid w:val="009C3DAC"/>
    <w:rsid w:val="009C5126"/>
    <w:rsid w:val="009C6277"/>
    <w:rsid w:val="009D3138"/>
    <w:rsid w:val="009D53A7"/>
    <w:rsid w:val="009D64A4"/>
    <w:rsid w:val="009D71C7"/>
    <w:rsid w:val="009D7F26"/>
    <w:rsid w:val="009E01AD"/>
    <w:rsid w:val="009E2BDA"/>
    <w:rsid w:val="009E5231"/>
    <w:rsid w:val="009E73BE"/>
    <w:rsid w:val="009F0F46"/>
    <w:rsid w:val="009F5D9A"/>
    <w:rsid w:val="009F68CD"/>
    <w:rsid w:val="00A02574"/>
    <w:rsid w:val="00A02CF3"/>
    <w:rsid w:val="00A05020"/>
    <w:rsid w:val="00A0583F"/>
    <w:rsid w:val="00A07023"/>
    <w:rsid w:val="00A103B4"/>
    <w:rsid w:val="00A136D8"/>
    <w:rsid w:val="00A158E8"/>
    <w:rsid w:val="00A20949"/>
    <w:rsid w:val="00A20C23"/>
    <w:rsid w:val="00A211EA"/>
    <w:rsid w:val="00A21EC6"/>
    <w:rsid w:val="00A24D71"/>
    <w:rsid w:val="00A25716"/>
    <w:rsid w:val="00A43EC1"/>
    <w:rsid w:val="00A4586F"/>
    <w:rsid w:val="00A47B27"/>
    <w:rsid w:val="00A52DE7"/>
    <w:rsid w:val="00A53E55"/>
    <w:rsid w:val="00A577B8"/>
    <w:rsid w:val="00A6077F"/>
    <w:rsid w:val="00A61FC6"/>
    <w:rsid w:val="00A66DCB"/>
    <w:rsid w:val="00A71030"/>
    <w:rsid w:val="00A72DEE"/>
    <w:rsid w:val="00A74724"/>
    <w:rsid w:val="00A76007"/>
    <w:rsid w:val="00A76781"/>
    <w:rsid w:val="00A945DD"/>
    <w:rsid w:val="00A96CA8"/>
    <w:rsid w:val="00A9764E"/>
    <w:rsid w:val="00AA03A9"/>
    <w:rsid w:val="00AA03FC"/>
    <w:rsid w:val="00AA40D2"/>
    <w:rsid w:val="00AA657C"/>
    <w:rsid w:val="00AB5079"/>
    <w:rsid w:val="00AC0A72"/>
    <w:rsid w:val="00AC0C85"/>
    <w:rsid w:val="00AD204E"/>
    <w:rsid w:val="00AD5166"/>
    <w:rsid w:val="00AD5366"/>
    <w:rsid w:val="00AD584F"/>
    <w:rsid w:val="00AE1FDB"/>
    <w:rsid w:val="00AE482A"/>
    <w:rsid w:val="00AF028D"/>
    <w:rsid w:val="00AF21BB"/>
    <w:rsid w:val="00B07A9E"/>
    <w:rsid w:val="00B10192"/>
    <w:rsid w:val="00B16252"/>
    <w:rsid w:val="00B21B26"/>
    <w:rsid w:val="00B25515"/>
    <w:rsid w:val="00B32128"/>
    <w:rsid w:val="00B329B4"/>
    <w:rsid w:val="00B33DD8"/>
    <w:rsid w:val="00B3402D"/>
    <w:rsid w:val="00B36005"/>
    <w:rsid w:val="00B369EB"/>
    <w:rsid w:val="00B37A5B"/>
    <w:rsid w:val="00B4364A"/>
    <w:rsid w:val="00B43705"/>
    <w:rsid w:val="00B44814"/>
    <w:rsid w:val="00B44995"/>
    <w:rsid w:val="00B4578F"/>
    <w:rsid w:val="00B53A98"/>
    <w:rsid w:val="00B556BD"/>
    <w:rsid w:val="00B5620D"/>
    <w:rsid w:val="00B64A91"/>
    <w:rsid w:val="00B65F2D"/>
    <w:rsid w:val="00B67858"/>
    <w:rsid w:val="00B7099C"/>
    <w:rsid w:val="00B71DA1"/>
    <w:rsid w:val="00B72B92"/>
    <w:rsid w:val="00B733BE"/>
    <w:rsid w:val="00B759C1"/>
    <w:rsid w:val="00B77BDC"/>
    <w:rsid w:val="00B80AE5"/>
    <w:rsid w:val="00B81A3A"/>
    <w:rsid w:val="00B8295E"/>
    <w:rsid w:val="00B84222"/>
    <w:rsid w:val="00B8518D"/>
    <w:rsid w:val="00B85AEE"/>
    <w:rsid w:val="00B87357"/>
    <w:rsid w:val="00B94827"/>
    <w:rsid w:val="00BA369E"/>
    <w:rsid w:val="00BA674C"/>
    <w:rsid w:val="00BA6E2F"/>
    <w:rsid w:val="00BA75A0"/>
    <w:rsid w:val="00BA7F81"/>
    <w:rsid w:val="00BB040F"/>
    <w:rsid w:val="00BC073D"/>
    <w:rsid w:val="00BC46B5"/>
    <w:rsid w:val="00BD2C7B"/>
    <w:rsid w:val="00BD7B4F"/>
    <w:rsid w:val="00BE09FA"/>
    <w:rsid w:val="00BE22D8"/>
    <w:rsid w:val="00BE2459"/>
    <w:rsid w:val="00BE287E"/>
    <w:rsid w:val="00BF0FB6"/>
    <w:rsid w:val="00BF607D"/>
    <w:rsid w:val="00C02630"/>
    <w:rsid w:val="00C026A8"/>
    <w:rsid w:val="00C061FC"/>
    <w:rsid w:val="00C06C40"/>
    <w:rsid w:val="00C10712"/>
    <w:rsid w:val="00C1204D"/>
    <w:rsid w:val="00C14D46"/>
    <w:rsid w:val="00C24719"/>
    <w:rsid w:val="00C33D87"/>
    <w:rsid w:val="00C347B4"/>
    <w:rsid w:val="00C35923"/>
    <w:rsid w:val="00C41185"/>
    <w:rsid w:val="00C41AA7"/>
    <w:rsid w:val="00C46CBF"/>
    <w:rsid w:val="00C47DD4"/>
    <w:rsid w:val="00C52982"/>
    <w:rsid w:val="00C565B3"/>
    <w:rsid w:val="00C607AB"/>
    <w:rsid w:val="00C60DFC"/>
    <w:rsid w:val="00C6109E"/>
    <w:rsid w:val="00C620FA"/>
    <w:rsid w:val="00C66C0D"/>
    <w:rsid w:val="00C747DD"/>
    <w:rsid w:val="00C8002C"/>
    <w:rsid w:val="00C820D0"/>
    <w:rsid w:val="00C8225F"/>
    <w:rsid w:val="00C82945"/>
    <w:rsid w:val="00C8318A"/>
    <w:rsid w:val="00C87D84"/>
    <w:rsid w:val="00C95EAF"/>
    <w:rsid w:val="00CA0240"/>
    <w:rsid w:val="00CA06A2"/>
    <w:rsid w:val="00CA514F"/>
    <w:rsid w:val="00CB19E1"/>
    <w:rsid w:val="00CB5E2F"/>
    <w:rsid w:val="00CB6C8E"/>
    <w:rsid w:val="00CC09BD"/>
    <w:rsid w:val="00CC15CB"/>
    <w:rsid w:val="00CC5F9F"/>
    <w:rsid w:val="00CD2CED"/>
    <w:rsid w:val="00CD32F7"/>
    <w:rsid w:val="00CD6481"/>
    <w:rsid w:val="00CD70AF"/>
    <w:rsid w:val="00CE0301"/>
    <w:rsid w:val="00CE0F8D"/>
    <w:rsid w:val="00CE0FE7"/>
    <w:rsid w:val="00CE27CE"/>
    <w:rsid w:val="00CE2DB2"/>
    <w:rsid w:val="00CE3EBC"/>
    <w:rsid w:val="00CE46E5"/>
    <w:rsid w:val="00CE56E5"/>
    <w:rsid w:val="00CE659B"/>
    <w:rsid w:val="00CF0246"/>
    <w:rsid w:val="00CF0DFE"/>
    <w:rsid w:val="00CF0F9B"/>
    <w:rsid w:val="00CF697D"/>
    <w:rsid w:val="00D00F07"/>
    <w:rsid w:val="00D00FC0"/>
    <w:rsid w:val="00D01103"/>
    <w:rsid w:val="00D038C3"/>
    <w:rsid w:val="00D062E8"/>
    <w:rsid w:val="00D10E84"/>
    <w:rsid w:val="00D11595"/>
    <w:rsid w:val="00D15057"/>
    <w:rsid w:val="00D16490"/>
    <w:rsid w:val="00D16F4C"/>
    <w:rsid w:val="00D17090"/>
    <w:rsid w:val="00D24263"/>
    <w:rsid w:val="00D24F75"/>
    <w:rsid w:val="00D2650E"/>
    <w:rsid w:val="00D267A4"/>
    <w:rsid w:val="00D278B6"/>
    <w:rsid w:val="00D30406"/>
    <w:rsid w:val="00D3089C"/>
    <w:rsid w:val="00D31D64"/>
    <w:rsid w:val="00D37DA5"/>
    <w:rsid w:val="00D410F0"/>
    <w:rsid w:val="00D41520"/>
    <w:rsid w:val="00D4364F"/>
    <w:rsid w:val="00D50199"/>
    <w:rsid w:val="00D55511"/>
    <w:rsid w:val="00D571D4"/>
    <w:rsid w:val="00D67218"/>
    <w:rsid w:val="00D72889"/>
    <w:rsid w:val="00D76C7F"/>
    <w:rsid w:val="00D812CC"/>
    <w:rsid w:val="00D8448C"/>
    <w:rsid w:val="00D847A8"/>
    <w:rsid w:val="00D85C53"/>
    <w:rsid w:val="00D865A4"/>
    <w:rsid w:val="00D866BD"/>
    <w:rsid w:val="00D87C67"/>
    <w:rsid w:val="00D91C3A"/>
    <w:rsid w:val="00D94E92"/>
    <w:rsid w:val="00D95764"/>
    <w:rsid w:val="00D95877"/>
    <w:rsid w:val="00D961D5"/>
    <w:rsid w:val="00D97FAA"/>
    <w:rsid w:val="00DA7E28"/>
    <w:rsid w:val="00DB0370"/>
    <w:rsid w:val="00DB55A1"/>
    <w:rsid w:val="00DC266D"/>
    <w:rsid w:val="00DC2BDE"/>
    <w:rsid w:val="00DC2CF5"/>
    <w:rsid w:val="00DC2DC9"/>
    <w:rsid w:val="00DC4422"/>
    <w:rsid w:val="00DD0218"/>
    <w:rsid w:val="00DD1115"/>
    <w:rsid w:val="00DD1EBE"/>
    <w:rsid w:val="00DD497A"/>
    <w:rsid w:val="00DD4FE2"/>
    <w:rsid w:val="00DD5042"/>
    <w:rsid w:val="00DD6587"/>
    <w:rsid w:val="00DE3ABE"/>
    <w:rsid w:val="00DE52C6"/>
    <w:rsid w:val="00DE633F"/>
    <w:rsid w:val="00DE71D8"/>
    <w:rsid w:val="00DF03D7"/>
    <w:rsid w:val="00DF18A0"/>
    <w:rsid w:val="00DF342B"/>
    <w:rsid w:val="00E0024C"/>
    <w:rsid w:val="00E0290B"/>
    <w:rsid w:val="00E03EB9"/>
    <w:rsid w:val="00E04008"/>
    <w:rsid w:val="00E04924"/>
    <w:rsid w:val="00E05BCD"/>
    <w:rsid w:val="00E060F7"/>
    <w:rsid w:val="00E14487"/>
    <w:rsid w:val="00E203D3"/>
    <w:rsid w:val="00E218A3"/>
    <w:rsid w:val="00E24F1B"/>
    <w:rsid w:val="00E25C65"/>
    <w:rsid w:val="00E25DEF"/>
    <w:rsid w:val="00E2779C"/>
    <w:rsid w:val="00E277CF"/>
    <w:rsid w:val="00E33109"/>
    <w:rsid w:val="00E338C7"/>
    <w:rsid w:val="00E47080"/>
    <w:rsid w:val="00E537A2"/>
    <w:rsid w:val="00E5586B"/>
    <w:rsid w:val="00E55D63"/>
    <w:rsid w:val="00E644A8"/>
    <w:rsid w:val="00E66AE9"/>
    <w:rsid w:val="00E71234"/>
    <w:rsid w:val="00E71365"/>
    <w:rsid w:val="00E718D5"/>
    <w:rsid w:val="00E7349A"/>
    <w:rsid w:val="00E745E7"/>
    <w:rsid w:val="00E823FA"/>
    <w:rsid w:val="00E86881"/>
    <w:rsid w:val="00E86FCA"/>
    <w:rsid w:val="00E86FD8"/>
    <w:rsid w:val="00E90A04"/>
    <w:rsid w:val="00E93A2B"/>
    <w:rsid w:val="00E9410F"/>
    <w:rsid w:val="00EA3ED9"/>
    <w:rsid w:val="00EA4D67"/>
    <w:rsid w:val="00EA69A0"/>
    <w:rsid w:val="00EB2087"/>
    <w:rsid w:val="00EB706A"/>
    <w:rsid w:val="00EC1846"/>
    <w:rsid w:val="00EC4A0B"/>
    <w:rsid w:val="00EC5DD6"/>
    <w:rsid w:val="00EC632F"/>
    <w:rsid w:val="00EC7DC7"/>
    <w:rsid w:val="00ED1694"/>
    <w:rsid w:val="00ED2C0D"/>
    <w:rsid w:val="00ED6B47"/>
    <w:rsid w:val="00ED737A"/>
    <w:rsid w:val="00ED7DC8"/>
    <w:rsid w:val="00EE0396"/>
    <w:rsid w:val="00EE0522"/>
    <w:rsid w:val="00EE2440"/>
    <w:rsid w:val="00EE375E"/>
    <w:rsid w:val="00EE3BF8"/>
    <w:rsid w:val="00EE7C3F"/>
    <w:rsid w:val="00EF4D66"/>
    <w:rsid w:val="00EF7145"/>
    <w:rsid w:val="00EF7220"/>
    <w:rsid w:val="00F002C9"/>
    <w:rsid w:val="00F01A3E"/>
    <w:rsid w:val="00F021F9"/>
    <w:rsid w:val="00F022D5"/>
    <w:rsid w:val="00F02D59"/>
    <w:rsid w:val="00F04F06"/>
    <w:rsid w:val="00F0763F"/>
    <w:rsid w:val="00F14CCE"/>
    <w:rsid w:val="00F15AFA"/>
    <w:rsid w:val="00F15E29"/>
    <w:rsid w:val="00F17802"/>
    <w:rsid w:val="00F20CC8"/>
    <w:rsid w:val="00F20E6C"/>
    <w:rsid w:val="00F21C3A"/>
    <w:rsid w:val="00F21FC0"/>
    <w:rsid w:val="00F22638"/>
    <w:rsid w:val="00F26189"/>
    <w:rsid w:val="00F30213"/>
    <w:rsid w:val="00F31BE4"/>
    <w:rsid w:val="00F400FF"/>
    <w:rsid w:val="00F416B7"/>
    <w:rsid w:val="00F469C0"/>
    <w:rsid w:val="00F50823"/>
    <w:rsid w:val="00F539B4"/>
    <w:rsid w:val="00F61176"/>
    <w:rsid w:val="00F64126"/>
    <w:rsid w:val="00F65257"/>
    <w:rsid w:val="00F67EE5"/>
    <w:rsid w:val="00F75440"/>
    <w:rsid w:val="00F77ACD"/>
    <w:rsid w:val="00F83297"/>
    <w:rsid w:val="00F90363"/>
    <w:rsid w:val="00F9270B"/>
    <w:rsid w:val="00F95AB0"/>
    <w:rsid w:val="00F96D7E"/>
    <w:rsid w:val="00FA3577"/>
    <w:rsid w:val="00FA382F"/>
    <w:rsid w:val="00FB1EC7"/>
    <w:rsid w:val="00FB2B29"/>
    <w:rsid w:val="00FB404C"/>
    <w:rsid w:val="00FC1947"/>
    <w:rsid w:val="00FC38AD"/>
    <w:rsid w:val="00FC4027"/>
    <w:rsid w:val="00FC682D"/>
    <w:rsid w:val="00FC7686"/>
    <w:rsid w:val="00FD0682"/>
    <w:rsid w:val="00FD1349"/>
    <w:rsid w:val="00FD5A65"/>
    <w:rsid w:val="00FD5F80"/>
    <w:rsid w:val="00FE2C61"/>
    <w:rsid w:val="00FE4951"/>
    <w:rsid w:val="00FE5CBD"/>
    <w:rsid w:val="00FE77D4"/>
    <w:rsid w:val="00FF2540"/>
    <w:rsid w:val="00FF6AF3"/>
    <w:rsid w:val="00FF70B7"/>
    <w:rsid w:val="542FBE39"/>
    <w:rsid w:val="5D847D4F"/>
    <w:rsid w:val="6D5AC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14"/>
      </w:numPr>
    </w:pPr>
  </w:style>
  <w:style w:type="paragraph" w:customStyle="1" w:styleId="Bullet2">
    <w:name w:val="Bullet 2"/>
    <w:basedOn w:val="Normal"/>
    <w:uiPriority w:val="2"/>
    <w:qFormat/>
    <w:rsid w:val="00990AF5"/>
    <w:pPr>
      <w:numPr>
        <w:ilvl w:val="1"/>
        <w:numId w:val="15"/>
      </w:numPr>
    </w:pPr>
  </w:style>
  <w:style w:type="paragraph" w:customStyle="1" w:styleId="Bullet3">
    <w:name w:val="Bullet 3"/>
    <w:basedOn w:val="Normal"/>
    <w:uiPriority w:val="2"/>
    <w:qFormat/>
    <w:rsid w:val="00990AF5"/>
    <w:pPr>
      <w:numPr>
        <w:ilvl w:val="2"/>
        <w:numId w:val="15"/>
      </w:numPr>
    </w:pPr>
  </w:style>
  <w:style w:type="paragraph" w:customStyle="1" w:styleId="FigureTitle">
    <w:name w:val="Figure Title"/>
    <w:basedOn w:val="Normal"/>
    <w:uiPriority w:val="12"/>
    <w:qFormat/>
    <w:rsid w:val="005B458E"/>
    <w:pPr>
      <w:keepNext/>
      <w:numPr>
        <w:numId w:val="3"/>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4"/>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4"/>
      </w:numPr>
    </w:pPr>
  </w:style>
  <w:style w:type="paragraph" w:customStyle="1" w:styleId="Heading3Numbered">
    <w:name w:val="Heading 3 Numbered"/>
    <w:basedOn w:val="Heading3"/>
    <w:uiPriority w:val="10"/>
    <w:qFormat/>
    <w:rsid w:val="005B458E"/>
    <w:pPr>
      <w:numPr>
        <w:ilvl w:val="2"/>
        <w:numId w:val="4"/>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4"/>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4"/>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4"/>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4"/>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5"/>
      </w:numPr>
    </w:pPr>
  </w:style>
  <w:style w:type="paragraph" w:customStyle="1" w:styleId="List1Numbered2">
    <w:name w:val="List 1 Numbered 2"/>
    <w:basedOn w:val="Normal"/>
    <w:uiPriority w:val="2"/>
    <w:qFormat/>
    <w:rsid w:val="005B458E"/>
    <w:pPr>
      <w:numPr>
        <w:ilvl w:val="1"/>
        <w:numId w:val="5"/>
      </w:numPr>
    </w:pPr>
  </w:style>
  <w:style w:type="paragraph" w:customStyle="1" w:styleId="List1Numbered3">
    <w:name w:val="List 1 Numbered 3"/>
    <w:basedOn w:val="Normal"/>
    <w:uiPriority w:val="2"/>
    <w:qFormat/>
    <w:rsid w:val="005B458E"/>
    <w:pPr>
      <w:numPr>
        <w:ilvl w:val="2"/>
        <w:numId w:val="5"/>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6"/>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7"/>
      </w:numPr>
    </w:pPr>
  </w:style>
  <w:style w:type="paragraph" w:customStyle="1" w:styleId="TableTitle">
    <w:name w:val="Table Title"/>
    <w:basedOn w:val="FigureTitle"/>
    <w:uiPriority w:val="12"/>
    <w:qFormat/>
    <w:rsid w:val="005B458E"/>
    <w:pPr>
      <w:numPr>
        <w:numId w:val="8"/>
      </w:numPr>
    </w:pPr>
  </w:style>
  <w:style w:type="paragraph" w:customStyle="1" w:styleId="PullOut-Pink">
    <w:name w:val="Pull Out - Pink"/>
    <w:basedOn w:val="PullOut-Teal"/>
    <w:uiPriority w:val="22"/>
    <w:qFormat/>
    <w:rsid w:val="005B458E"/>
    <w:pPr>
      <w:numPr>
        <w:numId w:val="9"/>
      </w:numPr>
    </w:pPr>
  </w:style>
  <w:style w:type="paragraph" w:customStyle="1" w:styleId="PullOut-Yellow">
    <w:name w:val="Pull Out - Yellow"/>
    <w:basedOn w:val="PullOut-Teal"/>
    <w:qFormat/>
    <w:rsid w:val="005B458E"/>
    <w:pPr>
      <w:numPr>
        <w:numId w:val="10"/>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1"/>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2"/>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6C7A19"/>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qFormat/>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2C0000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Details/C2022C000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C2022C000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7L0118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mer.gov.au/resources-and-guid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guides-resources/resources/guidance-notes/guidance-note-admissions-coursewor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961C9A23A4442A62258A3F11C8FF8" ma:contentTypeVersion="7" ma:contentTypeDescription="Create a new document." ma:contentTypeScope="" ma:versionID="9de423daa17dbea78c003bbb97713d8b">
  <xsd:schema xmlns:xsd="http://www.w3.org/2001/XMLSchema" xmlns:xs="http://www.w3.org/2001/XMLSchema" xmlns:p="http://schemas.microsoft.com/office/2006/metadata/properties" xmlns:ns2="020a7fae-d602-49e6-a244-980bb4ff8f92" targetNamespace="http://schemas.microsoft.com/office/2006/metadata/properties" ma:root="true" ma:fieldsID="6d7b8ead0d1a9136f59112f72d078e12" ns2:_="">
    <xsd:import namespace="020a7fae-d602-49e6-a244-980bb4ff8f92"/>
    <xsd:element name="properties">
      <xsd:complexType>
        <xsd:sequence>
          <xsd:element name="documentManagement">
            <xsd:complexType>
              <xsd:all>
                <xsd:element ref="ns2:ContextualStatus" minOccurs="0"/>
                <xsd:element ref="ns2:Assignedto" minOccurs="0"/>
                <xsd:element ref="ns2:Statu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7fae-d602-49e6-a244-980bb4ff8f92" elementFormDefault="qualified">
    <xsd:import namespace="http://schemas.microsoft.com/office/2006/documentManagement/types"/>
    <xsd:import namespace="http://schemas.microsoft.com/office/infopath/2007/PartnerControls"/>
    <xsd:element name="ContextualStatus" ma:index="8" nillable="true" ma:displayName="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Assignedto" ma:index="9"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In Progress"/>
          <xsd:enumeration value="Published"/>
          <xsd:enumeration value="Awaiting Publication"/>
          <xsd:enumeration value="Obsolete"/>
          <xsd:enumeration value="TB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ssignedto xmlns="020a7fae-d602-49e6-a244-980bb4ff8f92">
      <UserInfo>
        <DisplayName>i:0#.f|membership|rodny.macamay@teqsa.gov.au,#i:0#.f|membership|rodny.macamay@teqsa.gov.au,#Rodny.Macamay@teqsa.gov.au,#,#Rodny Macamay,#,#Policy, Research &amp; Engagement - Policy &amp; Research,#Project Officer</DisplayName>
        <AccountId>13</AccountId>
        <AccountType/>
      </UserInfo>
    </Assignedto>
    <ContextualStatus xmlns="020a7fae-d602-49e6-a244-980bb4ff8f92">8. Ready for Consultation (external)</ContextualStatus>
    <Status xmlns="020a7fae-d602-49e6-a244-980bb4ff8f92">In Progress</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2DA33-1A9D-4C0B-9450-1781457F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7fae-d602-49e6-a244-980bb4ff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A82E1C12-8773-409A-B29D-4FC4E6BF5F01}">
  <ds:schemaRefs>
    <ds:schemaRef ds:uri="http://purl.org/dc/terms/"/>
    <ds:schemaRef ds:uri="020a7fae-d602-49e6-a244-980bb4ff8f92"/>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9318</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
    </vt:vector>
  </TitlesOfParts>
  <Company>Tertiary Education Quality and Standards Agency</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Information for Prospective and Current Students (consultation)</dc:title>
  <dc:creator>May, Raphael</dc:creator>
  <cp:keywords>[SEC=OFFICIAL]</cp:keywords>
  <cp:lastModifiedBy>Tom Hewitt-McManus</cp:lastModifiedBy>
  <cp:revision>5</cp:revision>
  <cp:lastPrinted>2022-11-14T04:54:00Z</cp:lastPrinted>
  <dcterms:created xsi:type="dcterms:W3CDTF">2025-06-19T01:22:00Z</dcterms:created>
  <dcterms:modified xsi:type="dcterms:W3CDTF">2025-06-19T01:24:00Z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0x0101003C9961C9A23A4442A62258A3F11C8FF8</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v=2022.1;a=SHA256;h=4B55F5972C398C74B03728656EB77E24A5A7F4BE58067AE6376D864F440F426A</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2023-06-21T00:19:10Z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62651C896F027337B0917591A88E0831BADB0F30</vt:lpwstr>
  </property>
  <property fmtid="{D5CDD505-2E9C-101B-9397-08002B2CF9AE}" pid="20" name="PM_DisplayValueSecClassificationWithQualifier">
    <vt:lpwstr>OFFICIAL</vt:lpwstr>
  </property>
  <property fmtid="{D5CDD505-2E9C-101B-9397-08002B2CF9AE}" pid="21" name="PM_Originating_FileId">
    <vt:lpwstr>257C38D3D9074AA19E27D762741861C3</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CFBE9EA95CBB88E2F7B8752707BAE6AEB1998AE5520D6094ECCC44AD28AAD5C8</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6E4581E62327B9F8C7CC190169D1B217</vt:lpwstr>
  </property>
  <property fmtid="{D5CDD505-2E9C-101B-9397-08002B2CF9AE}" pid="31" name="PM_Hash_Salt">
    <vt:lpwstr>DC8EB34367BE6D040F60786F57A7F1B2</vt:lpwstr>
  </property>
  <property fmtid="{D5CDD505-2E9C-101B-9397-08002B2CF9AE}" pid="32" name="PM_Hash_SHA1">
    <vt:lpwstr>29C16AA11487A594200912BB01FC56D7DB9E7A3D</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2841a2f4f0e46edb9ade446fe7c03eb">
    <vt:lpwstr>External Relations|8003538d-cbbc-40ec-a138-45260a67bcf5</vt:lpwstr>
  </property>
  <property fmtid="{D5CDD505-2E9C-101B-9397-08002B2CF9AE}" pid="36" name="lf00f7cae6154b588c712167af0e92c2">
    <vt:lpwstr>Guidance Note|ebf409d7-0b48-4543-bcde-c43c4066fc8c</vt:lpwstr>
  </property>
  <property fmtid="{D5CDD505-2E9C-101B-9397-08002B2CF9AE}" pid="37" name="Date">
    <vt:filetime>2023-06-08T01:34:19Z</vt:filetime>
  </property>
  <property fmtid="{D5CDD505-2E9C-101B-9397-08002B2CF9AE}" pid="38" name="j5c7243103eb4a8f8bdb102a5810412a">
    <vt:lpwstr>Projects|ea2fedc5-f041-4824-a983-f8f3eeeb6dfc</vt:lpwstr>
  </property>
  <property fmtid="{D5CDD505-2E9C-101B-9397-08002B2CF9AE}" pid="39" name="Category">
    <vt:lpwstr>Guidance</vt:lpwstr>
  </property>
  <property fmtid="{D5CDD505-2E9C-101B-9397-08002B2CF9AE}" pid="40" name="Assignedto">
    <vt:lpwstr>Rodny</vt:lpwstr>
  </property>
  <property fmtid="{D5CDD505-2E9C-101B-9397-08002B2CF9AE}" pid="41" name="TaxCatchAll">
    <vt:lpwstr>3;#;#2;#;#1;#</vt:lpwstr>
  </property>
  <property fmtid="{D5CDD505-2E9C-101B-9397-08002B2CF9AE}" pid="42" name="Status">
    <vt:lpwstr>Draft</vt:lpwstr>
  </property>
  <property fmtid="{D5CDD505-2E9C-101B-9397-08002B2CF9AE}" pid="43" name="ContextualStatus">
    <vt:lpwstr>8. Ready for Consultation (external)</vt:lpwstr>
  </property>
</Properties>
</file>