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A6DA9" w14:textId="77777777" w:rsidR="00682C06" w:rsidRDefault="00682C06" w:rsidP="00682C06">
      <w:pPr>
        <w:pStyle w:val="Heading1"/>
        <w:spacing w:after="480"/>
        <w:rPr>
          <w:lang w:eastAsia="en-AU"/>
        </w:rPr>
      </w:pPr>
      <w:r>
        <w:rPr>
          <w:lang w:eastAsia="en-AU"/>
        </w:rPr>
        <w:t>Extensions to the period of provider registration or course accreditation policy</w:t>
      </w:r>
    </w:p>
    <w:p w14:paraId="4EBDB69C" w14:textId="77777777" w:rsidR="00682C06" w:rsidRDefault="00682C06" w:rsidP="00682C06">
      <w:pPr>
        <w:pStyle w:val="Heading2"/>
      </w:pPr>
      <w:r>
        <w:t>Purpose</w:t>
      </w:r>
    </w:p>
    <w:p w14:paraId="5F136878" w14:textId="77777777" w:rsidR="00682C06" w:rsidRDefault="00682C06" w:rsidP="00682C06">
      <w:r>
        <w:t>The purpose of this policy is to describe TEQSA’s approach to considering extensions to the period of provider registration or course accreditation under sections 37A and 57A of the</w:t>
      </w:r>
      <w:r>
        <w:br/>
      </w:r>
      <w:r>
        <w:rPr>
          <w:i/>
        </w:rPr>
        <w:t>Tertiary Education Quality and Standards Agency Act 2011</w:t>
      </w:r>
      <w:r>
        <w:t xml:space="preserve"> (the TEQSA Act). </w:t>
      </w:r>
    </w:p>
    <w:p w14:paraId="069BAFB8" w14:textId="77777777" w:rsidR="00682C06" w:rsidRDefault="00682C06" w:rsidP="00682C06">
      <w:pPr>
        <w:pStyle w:val="Heading2"/>
      </w:pPr>
      <w:r>
        <w:t>Legislative authority</w:t>
      </w:r>
    </w:p>
    <w:p w14:paraId="1DB0DD71" w14:textId="77777777" w:rsidR="00682C06" w:rsidRDefault="00682C06" w:rsidP="00682C06">
      <w:r>
        <w:t>Section 37A of the TEQSA Act provides that TEQSA may extend the period of a registered higher education provider’s registration. The extended period may exceed seven years.</w:t>
      </w:r>
    </w:p>
    <w:p w14:paraId="252C095A" w14:textId="77777777" w:rsidR="00682C06" w:rsidRDefault="00682C06" w:rsidP="00682C06">
      <w:r>
        <w:t>Section 57A of the TEQSA Act provides that TEQSA may extend the period of the accreditation of a course of study. The extended period may exceed seven years.</w:t>
      </w:r>
    </w:p>
    <w:p w14:paraId="256F783F" w14:textId="77777777" w:rsidR="00682C06" w:rsidRDefault="00682C06" w:rsidP="00682C06">
      <w:pPr>
        <w:pStyle w:val="Heading2"/>
      </w:pPr>
      <w:r>
        <w:t>Principles</w:t>
      </w:r>
    </w:p>
    <w:p w14:paraId="4064C55B" w14:textId="77777777" w:rsidR="00682C06" w:rsidRDefault="00682C06" w:rsidP="00682C06">
      <w:pPr>
        <w:pStyle w:val="ListParagraph"/>
        <w:numPr>
          <w:ilvl w:val="0"/>
          <w:numId w:val="46"/>
        </w:numPr>
        <w:ind w:left="360"/>
        <w:jc w:val="both"/>
      </w:pPr>
      <w:r>
        <w:t>TEQSA may consider extending the period of a provider’s registration or the period of accreditation of a course of study for a range of reasons. These include:</w:t>
      </w:r>
    </w:p>
    <w:p w14:paraId="74F3FDEF" w14:textId="77777777" w:rsidR="00682C06" w:rsidRDefault="00682C06" w:rsidP="00682C06">
      <w:pPr>
        <w:pStyle w:val="ListParagraph"/>
        <w:numPr>
          <w:ilvl w:val="1"/>
          <w:numId w:val="46"/>
        </w:numPr>
        <w:ind w:left="1080"/>
        <w:jc w:val="both"/>
      </w:pPr>
      <w:r>
        <w:t>to reflect an established track record of low-risk, high quality delivery of higher education, either across a provider’s operations or with respect to one or more courses</w:t>
      </w:r>
    </w:p>
    <w:p w14:paraId="4F61BDC6" w14:textId="77777777" w:rsidR="00682C06" w:rsidRDefault="00682C06" w:rsidP="00682C06">
      <w:pPr>
        <w:pStyle w:val="ListParagraph"/>
        <w:numPr>
          <w:ilvl w:val="1"/>
          <w:numId w:val="46"/>
        </w:numPr>
        <w:ind w:left="1080"/>
        <w:jc w:val="both"/>
      </w:pPr>
      <w:r>
        <w:t xml:space="preserve">to harmonise periods of registration and accreditation, or harmonise periods of registration under the TEQSA Act and another act (such as the </w:t>
      </w:r>
      <w:r>
        <w:rPr>
          <w:i/>
        </w:rPr>
        <w:t>Education Services for Overseas Students Act 2000</w:t>
      </w:r>
      <w:r>
        <w:t>)</w:t>
      </w:r>
    </w:p>
    <w:p w14:paraId="73BA29D2" w14:textId="77777777" w:rsidR="00682C06" w:rsidRDefault="00682C06" w:rsidP="00682C06">
      <w:pPr>
        <w:pStyle w:val="ListParagraph"/>
        <w:numPr>
          <w:ilvl w:val="1"/>
          <w:numId w:val="46"/>
        </w:numPr>
        <w:ind w:left="1080"/>
        <w:jc w:val="both"/>
      </w:pPr>
      <w:r>
        <w:t>to provide for efficient management of TEQSA’s workload.</w:t>
      </w:r>
    </w:p>
    <w:p w14:paraId="47E355C6" w14:textId="77777777" w:rsidR="00682C06" w:rsidRDefault="00682C06" w:rsidP="00682C06">
      <w:pPr>
        <w:pStyle w:val="ListParagraph"/>
        <w:numPr>
          <w:ilvl w:val="0"/>
          <w:numId w:val="46"/>
        </w:numPr>
        <w:ind w:left="360"/>
        <w:jc w:val="both"/>
      </w:pPr>
      <w:r>
        <w:t>Relevant matters when considering a possible extension under section 37A or section 57A include, but are not limited to, the following:</w:t>
      </w:r>
    </w:p>
    <w:p w14:paraId="775E69C3" w14:textId="77777777" w:rsidR="00682C06" w:rsidRDefault="00682C06" w:rsidP="00682C06">
      <w:pPr>
        <w:pStyle w:val="ListParagraph"/>
        <w:numPr>
          <w:ilvl w:val="1"/>
          <w:numId w:val="46"/>
        </w:numPr>
        <w:ind w:left="1080"/>
      </w:pPr>
      <w:r>
        <w:t>the provider’s history, including the history of its scholarship, teaching, research, students’ experiences, financial status and capacity, and compliance with the Higher Education Standards Framework, TEQSA Act and other laws regulating higher education</w:t>
      </w:r>
    </w:p>
    <w:p w14:paraId="7C0C6010" w14:textId="77777777" w:rsidR="00682C06" w:rsidRDefault="00682C06" w:rsidP="00682C06">
      <w:pPr>
        <w:pStyle w:val="ListParagraph"/>
        <w:numPr>
          <w:ilvl w:val="1"/>
          <w:numId w:val="46"/>
        </w:numPr>
        <w:ind w:left="1080"/>
      </w:pPr>
      <w:r>
        <w:t>matters relevant to the risk of the provider not complying with the Higher Education Standards Framework or the TEQSA Act in the future, including its internal quality assurance mechanisms and its financial status and capacity</w:t>
      </w:r>
    </w:p>
    <w:p w14:paraId="01CE3A55" w14:textId="77777777" w:rsidR="00682C06" w:rsidRDefault="00682C06" w:rsidP="00682C06">
      <w:pPr>
        <w:pStyle w:val="ListParagraph"/>
        <w:numPr>
          <w:ilvl w:val="1"/>
          <w:numId w:val="46"/>
        </w:numPr>
        <w:ind w:left="1080"/>
      </w:pPr>
      <w:r>
        <w:lastRenderedPageBreak/>
        <w:t>any material risks to students or quality identified in the risk assessments for the provider</w:t>
      </w:r>
    </w:p>
    <w:p w14:paraId="5FA06D60" w14:textId="77777777" w:rsidR="00682C06" w:rsidRDefault="00682C06" w:rsidP="00682C06">
      <w:pPr>
        <w:pStyle w:val="ListParagraph"/>
        <w:numPr>
          <w:ilvl w:val="1"/>
          <w:numId w:val="46"/>
        </w:numPr>
        <w:ind w:left="1080"/>
      </w:pPr>
      <w:r>
        <w:t>the quality of data submitted by the provider as part of TEQSA or other Australian Government information collection processes</w:t>
      </w:r>
    </w:p>
    <w:p w14:paraId="2890D2F2" w14:textId="77777777" w:rsidR="00682C06" w:rsidRDefault="00682C06" w:rsidP="00682C06">
      <w:pPr>
        <w:pStyle w:val="ListParagraph"/>
        <w:numPr>
          <w:ilvl w:val="1"/>
          <w:numId w:val="46"/>
        </w:numPr>
        <w:ind w:left="1080"/>
      </w:pPr>
      <w:r>
        <w:t>TEQSA’s anticipated workload during the period when the provider’s registration or course accreditation is due to expire</w:t>
      </w:r>
    </w:p>
    <w:p w14:paraId="56F95AF0" w14:textId="77777777" w:rsidR="00682C06" w:rsidRDefault="00682C06" w:rsidP="00682C06">
      <w:pPr>
        <w:pStyle w:val="ListParagraph"/>
        <w:numPr>
          <w:ilvl w:val="1"/>
          <w:numId w:val="46"/>
        </w:numPr>
        <w:ind w:left="1080"/>
      </w:pPr>
      <w:r>
        <w:t xml:space="preserve">the period of any other registration or accreditation of the provider (including registration under the </w:t>
      </w:r>
      <w:r>
        <w:rPr>
          <w:i/>
        </w:rPr>
        <w:t xml:space="preserve">Education Services for Overseas Students Act 2000 </w:t>
      </w:r>
      <w:r>
        <w:t xml:space="preserve">or the </w:t>
      </w:r>
      <w:r>
        <w:rPr>
          <w:i/>
        </w:rPr>
        <w:t>National Vocational Education and Training Regulator Act 2011</w:t>
      </w:r>
      <w:r>
        <w:t>), and the extent to which harmonisation of the expiry dates of registration or accreditation would benefit the provider</w:t>
      </w:r>
    </w:p>
    <w:p w14:paraId="37229EE7" w14:textId="77777777" w:rsidR="00682C06" w:rsidRDefault="00682C06" w:rsidP="00682C06">
      <w:pPr>
        <w:pStyle w:val="ListParagraph"/>
        <w:numPr>
          <w:ilvl w:val="1"/>
          <w:numId w:val="46"/>
        </w:numPr>
        <w:ind w:left="1080"/>
      </w:pPr>
      <w:r>
        <w:t>any relevant comments or evidence from the provider</w:t>
      </w:r>
    </w:p>
    <w:p w14:paraId="4636C51B" w14:textId="77777777" w:rsidR="00682C06" w:rsidRDefault="00682C06" w:rsidP="00682C06">
      <w:pPr>
        <w:pStyle w:val="ListParagraph"/>
        <w:numPr>
          <w:ilvl w:val="1"/>
          <w:numId w:val="46"/>
        </w:numPr>
        <w:ind w:left="1080"/>
      </w:pPr>
      <w:r>
        <w:t>any relevant comments or evidence from other agencies, including (but not limited to) the Department of Education, Skills and Employment and the Australian Skills Quality Authority</w:t>
      </w:r>
    </w:p>
    <w:p w14:paraId="3E3477B2" w14:textId="77777777" w:rsidR="00682C06" w:rsidRDefault="00682C06" w:rsidP="00682C06">
      <w:pPr>
        <w:pStyle w:val="ListParagraph"/>
        <w:numPr>
          <w:ilvl w:val="1"/>
          <w:numId w:val="46"/>
        </w:numPr>
        <w:ind w:left="1080"/>
      </w:pPr>
      <w:r>
        <w:t xml:space="preserve">the need for any decision, and the process leading to any decision, to be appropriate, fair, objective, and defensible. </w:t>
      </w:r>
    </w:p>
    <w:p w14:paraId="7DE0CE2A" w14:textId="77777777" w:rsidR="00682C06" w:rsidRDefault="00682C06" w:rsidP="00682C06">
      <w:pPr>
        <w:pStyle w:val="ListParagraph"/>
        <w:numPr>
          <w:ilvl w:val="0"/>
          <w:numId w:val="46"/>
        </w:numPr>
        <w:ind w:left="360"/>
        <w:jc w:val="both"/>
      </w:pPr>
      <w:r>
        <w:t>The TEQSA Act does not limit the period for which a provider’s registration or course accreditation may be extended. With this in mind, TEQSA will usually extend registration or accreditation for a period no longer than seven years, to provide an appropriate opportunity for a scheduled review of the provider or a particular course. Further, in circumstances where a short extension is being considered (up to 12 months), it may be more appropriate to first consider allowing a provider to submit its application for renewal at a date later than the usual 180 days prior to expiry – this would allow an extension to be considered closer to the expiry date if it becomes necessary.</w:t>
      </w:r>
    </w:p>
    <w:p w14:paraId="34520DAE" w14:textId="77777777" w:rsidR="00682C06" w:rsidRDefault="00682C06" w:rsidP="00682C06">
      <w:pPr>
        <w:pStyle w:val="Heading2"/>
      </w:pPr>
      <w:r>
        <w:t>Contact</w:t>
      </w:r>
    </w:p>
    <w:p w14:paraId="4E6486CC" w14:textId="77777777" w:rsidR="00CB6B03" w:rsidRDefault="00CB6B03" w:rsidP="00CB6B03">
      <w:r>
        <w:t>For enquiries about extensions to:</w:t>
      </w:r>
    </w:p>
    <w:p w14:paraId="24685171" w14:textId="24907FA6" w:rsidR="00CB6B03" w:rsidRDefault="00CB6B03" w:rsidP="00CB6B03">
      <w:pPr>
        <w:pStyle w:val="ListParagraph"/>
        <w:numPr>
          <w:ilvl w:val="0"/>
          <w:numId w:val="47"/>
        </w:numPr>
      </w:pPr>
      <w:r>
        <w:t xml:space="preserve">the period of provider registration, contact </w:t>
      </w:r>
      <w:hyperlink r:id="rId11" w:history="1">
        <w:r w:rsidRPr="000866F4">
          <w:rPr>
            <w:rStyle w:val="Hyperlink"/>
          </w:rPr>
          <w:t>reregistration.enquiries@teqsa.gov.au</w:t>
        </w:r>
      </w:hyperlink>
    </w:p>
    <w:p w14:paraId="5B493F6D" w14:textId="1E3B3590" w:rsidR="00CB6B03" w:rsidRDefault="00CB6B03" w:rsidP="00E44264">
      <w:pPr>
        <w:pStyle w:val="ListParagraph"/>
        <w:numPr>
          <w:ilvl w:val="0"/>
          <w:numId w:val="47"/>
        </w:numPr>
      </w:pPr>
      <w:r>
        <w:t xml:space="preserve">the period of course accreditation, </w:t>
      </w:r>
      <w:hyperlink r:id="rId12" w:history="1">
        <w:r w:rsidRPr="000866F4">
          <w:rPr>
            <w:rStyle w:val="Hyperlink"/>
          </w:rPr>
          <w:t>assessments@teqsa.gov.au</w:t>
        </w:r>
      </w:hyperlink>
    </w:p>
    <w:p w14:paraId="4AE39FC1" w14:textId="5BFEF5CE" w:rsidR="00682C06" w:rsidRDefault="00CB6B03" w:rsidP="00CB6B03">
      <w:r>
        <w:t>If in doubt, contact TEQSA’s Enquiries Management team at</w:t>
      </w:r>
      <w:r w:rsidR="00C409C2">
        <w:t xml:space="preserve"> </w:t>
      </w:r>
      <w:hyperlink r:id="rId13" w:history="1">
        <w:r w:rsidR="00C409C2" w:rsidRPr="000866F4">
          <w:rPr>
            <w:rStyle w:val="Hyperlink"/>
          </w:rPr>
          <w:t>providerenquiries@teqsa.gov.au</w:t>
        </w:r>
      </w:hyperlink>
      <w:r w:rsidR="00682C06">
        <w:t>.</w:t>
      </w:r>
    </w:p>
    <w:p w14:paraId="4EAB93E5" w14:textId="1A97D771" w:rsidR="004A4AE6" w:rsidRPr="00682C06" w:rsidRDefault="004A4AE6" w:rsidP="00682C06"/>
    <w:sectPr w:rsidR="004A4AE6" w:rsidRPr="00682C06" w:rsidSect="000C60C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85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6D4F2" w14:textId="77777777" w:rsidR="00A1393F" w:rsidRDefault="00A1393F" w:rsidP="006C328D">
      <w:pPr>
        <w:spacing w:before="0" w:after="0"/>
      </w:pPr>
      <w:r>
        <w:separator/>
      </w:r>
    </w:p>
  </w:endnote>
  <w:endnote w:type="continuationSeparator" w:id="0">
    <w:p w14:paraId="1D9A8E21" w14:textId="77777777" w:rsidR="00A1393F" w:rsidRDefault="00A1393F"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68DCF" w14:textId="1A16CA28" w:rsidR="00C409C2" w:rsidRDefault="00C409C2">
    <w:pPr>
      <w:pStyle w:val="Footer"/>
    </w:pPr>
    <w:r>
      <w:rPr>
        <w:noProof/>
      </w:rPr>
      <mc:AlternateContent>
        <mc:Choice Requires="wps">
          <w:drawing>
            <wp:anchor distT="0" distB="0" distL="114300" distR="114300" simplePos="0" relativeHeight="251664384" behindDoc="0" locked="1" layoutInCell="0" allowOverlap="1" wp14:anchorId="77560D2F" wp14:editId="349DC81C">
              <wp:simplePos x="0" y="0"/>
              <wp:positionH relativeFrom="margin">
                <wp:align>center</wp:align>
              </wp:positionH>
              <wp:positionV relativeFrom="bottomMargin">
                <wp:align>center</wp:align>
              </wp:positionV>
              <wp:extent cx="892175" cy="273050"/>
              <wp:effectExtent l="0" t="0" r="0" b="0"/>
              <wp:wrapNone/>
              <wp:docPr id="744756819"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058D0F" w14:textId="64F9BDD3" w:rsidR="00C409C2" w:rsidRPr="00C409C2" w:rsidRDefault="00C409C2" w:rsidP="00C409C2">
                          <w:pPr>
                            <w:spacing w:before="0" w:after="0"/>
                            <w:jc w:val="center"/>
                            <w:rPr>
                              <w:b/>
                              <w:color w:val="FF0000"/>
                              <w:sz w:val="24"/>
                            </w:rPr>
                          </w:pPr>
                          <w:r w:rsidRPr="00C409C2">
                            <w:rPr>
                              <w:b/>
                              <w:color w:val="FF0000"/>
                              <w:sz w:val="24"/>
                            </w:rPr>
                            <w:fldChar w:fldCharType="begin"/>
                          </w:r>
                          <w:r w:rsidRPr="00C409C2">
                            <w:rPr>
                              <w:b/>
                              <w:color w:val="FF0000"/>
                              <w:sz w:val="24"/>
                            </w:rPr>
                            <w:instrText xml:space="preserve"> DOCPROPERTY PM_ProtectiveMarkingValue_Footer \* MERGEFORMAT </w:instrText>
                          </w:r>
                          <w:r w:rsidRPr="00C409C2">
                            <w:rPr>
                              <w:b/>
                              <w:color w:val="FF0000"/>
                              <w:sz w:val="24"/>
                            </w:rPr>
                            <w:fldChar w:fldCharType="separate"/>
                          </w:r>
                          <w:r>
                            <w:rPr>
                              <w:b/>
                              <w:color w:val="FF0000"/>
                              <w:sz w:val="24"/>
                            </w:rPr>
                            <w:t>OFFICIAL</w:t>
                          </w:r>
                          <w:r w:rsidRPr="00C409C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560D2F" id="_x0000_t202" coordsize="21600,21600" o:spt="202" path="m,l,21600r21600,l21600,xe">
              <v:stroke joinstyle="miter"/>
              <v:path gradientshapeok="t" o:connecttype="rect"/>
            </v:shapetype>
            <v:shape id="janusSEAL SC F_EvenPage" o:spid="_x0000_s1028" type="#_x0000_t202" style="position:absolute;margin-left:0;margin-top:0;width:70.25pt;height:21.5pt;z-index:2516643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fill o:detectmouseclick="t"/>
              <v:textbox style="mso-fit-shape-to-text:t">
                <w:txbxContent>
                  <w:p w14:paraId="54058D0F" w14:textId="64F9BDD3" w:rsidR="00C409C2" w:rsidRPr="00C409C2" w:rsidRDefault="00C409C2" w:rsidP="00C409C2">
                    <w:pPr>
                      <w:spacing w:before="0" w:after="0"/>
                      <w:jc w:val="center"/>
                      <w:rPr>
                        <w:b/>
                        <w:color w:val="FF0000"/>
                        <w:sz w:val="24"/>
                      </w:rPr>
                    </w:pPr>
                    <w:r w:rsidRPr="00C409C2">
                      <w:rPr>
                        <w:b/>
                        <w:color w:val="FF0000"/>
                        <w:sz w:val="24"/>
                      </w:rPr>
                      <w:fldChar w:fldCharType="begin"/>
                    </w:r>
                    <w:r w:rsidRPr="00C409C2">
                      <w:rPr>
                        <w:b/>
                        <w:color w:val="FF0000"/>
                        <w:sz w:val="24"/>
                      </w:rPr>
                      <w:instrText xml:space="preserve"> DOCPROPERTY PM_ProtectiveMarkingValue_Footer \* MERGEFORMAT </w:instrText>
                    </w:r>
                    <w:r w:rsidRPr="00C409C2">
                      <w:rPr>
                        <w:b/>
                        <w:color w:val="FF0000"/>
                        <w:sz w:val="24"/>
                      </w:rPr>
                      <w:fldChar w:fldCharType="separate"/>
                    </w:r>
                    <w:r>
                      <w:rPr>
                        <w:b/>
                        <w:color w:val="FF0000"/>
                        <w:sz w:val="24"/>
                      </w:rPr>
                      <w:t>OFFICIAL</w:t>
                    </w:r>
                    <w:r w:rsidRPr="00C409C2">
                      <w:rPr>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4C6CF" w14:textId="68EF76AF" w:rsidR="003160FA" w:rsidRPr="003160FA" w:rsidRDefault="00C409C2">
    <w:pPr>
      <w:pStyle w:val="Footer"/>
      <w:jc w:val="right"/>
      <w:rPr>
        <w:color w:val="00847E" w:themeColor="accent1"/>
        <w:sz w:val="20"/>
        <w:szCs w:val="20"/>
      </w:rPr>
    </w:pPr>
    <w:r>
      <w:rPr>
        <w:noProof/>
        <w:color w:val="00847E" w:themeColor="accent1"/>
        <w:sz w:val="20"/>
        <w:szCs w:val="20"/>
      </w:rPr>
      <mc:AlternateContent>
        <mc:Choice Requires="wps">
          <w:drawing>
            <wp:anchor distT="0" distB="0" distL="114300" distR="114300" simplePos="0" relativeHeight="251662336" behindDoc="0" locked="1" layoutInCell="0" allowOverlap="1" wp14:anchorId="45A90D49" wp14:editId="67B7B1D0">
              <wp:simplePos x="0" y="0"/>
              <wp:positionH relativeFrom="margin">
                <wp:align>center</wp:align>
              </wp:positionH>
              <wp:positionV relativeFrom="bottomMargin">
                <wp:align>center</wp:align>
              </wp:positionV>
              <wp:extent cx="892175" cy="273050"/>
              <wp:effectExtent l="0" t="0" r="0" b="0"/>
              <wp:wrapNone/>
              <wp:docPr id="813323304"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574E19" w14:textId="1C3803C4" w:rsidR="00C409C2" w:rsidRPr="00C409C2" w:rsidRDefault="00C409C2" w:rsidP="00C409C2">
                          <w:pPr>
                            <w:spacing w:before="0" w:after="0"/>
                            <w:jc w:val="center"/>
                            <w:rPr>
                              <w:b/>
                              <w:color w:val="FF0000"/>
                              <w:sz w:val="24"/>
                            </w:rPr>
                          </w:pPr>
                          <w:r w:rsidRPr="00C409C2">
                            <w:rPr>
                              <w:b/>
                              <w:color w:val="FF0000"/>
                              <w:sz w:val="24"/>
                            </w:rPr>
                            <w:fldChar w:fldCharType="begin"/>
                          </w:r>
                          <w:r w:rsidRPr="00C409C2">
                            <w:rPr>
                              <w:b/>
                              <w:color w:val="FF0000"/>
                              <w:sz w:val="24"/>
                            </w:rPr>
                            <w:instrText xml:space="preserve"> DOCPROPERTY PM_ProtectiveMarkingValue_Footer \* MERGEFORMAT </w:instrText>
                          </w:r>
                          <w:r w:rsidRPr="00C409C2">
                            <w:rPr>
                              <w:b/>
                              <w:color w:val="FF0000"/>
                              <w:sz w:val="24"/>
                            </w:rPr>
                            <w:fldChar w:fldCharType="separate"/>
                          </w:r>
                          <w:r>
                            <w:rPr>
                              <w:b/>
                              <w:color w:val="FF0000"/>
                              <w:sz w:val="24"/>
                            </w:rPr>
                            <w:t>OFFICIAL</w:t>
                          </w:r>
                          <w:r w:rsidRPr="00C409C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A90D49" id="_x0000_t202" coordsize="21600,21600" o:spt="202" path="m,l,21600r21600,l21600,xe">
              <v:stroke joinstyle="miter"/>
              <v:path gradientshapeok="t" o:connecttype="rect"/>
            </v:shapetype>
            <v:shape id="janusSEAL SC Footer" o:spid="_x0000_s1029" type="#_x0000_t202" style="position:absolute;left:0;text-align:left;margin-left:0;margin-top:0;width:70.25pt;height:21.5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fill o:detectmouseclick="t"/>
              <v:textbox style="mso-fit-shape-to-text:t">
                <w:txbxContent>
                  <w:p w14:paraId="6C574E19" w14:textId="1C3803C4" w:rsidR="00C409C2" w:rsidRPr="00C409C2" w:rsidRDefault="00C409C2" w:rsidP="00C409C2">
                    <w:pPr>
                      <w:spacing w:before="0" w:after="0"/>
                      <w:jc w:val="center"/>
                      <w:rPr>
                        <w:b/>
                        <w:color w:val="FF0000"/>
                        <w:sz w:val="24"/>
                      </w:rPr>
                    </w:pPr>
                    <w:r w:rsidRPr="00C409C2">
                      <w:rPr>
                        <w:b/>
                        <w:color w:val="FF0000"/>
                        <w:sz w:val="24"/>
                      </w:rPr>
                      <w:fldChar w:fldCharType="begin"/>
                    </w:r>
                    <w:r w:rsidRPr="00C409C2">
                      <w:rPr>
                        <w:b/>
                        <w:color w:val="FF0000"/>
                        <w:sz w:val="24"/>
                      </w:rPr>
                      <w:instrText xml:space="preserve"> DOCPROPERTY PM_ProtectiveMarkingValue_Footer \* MERGEFORMAT </w:instrText>
                    </w:r>
                    <w:r w:rsidRPr="00C409C2">
                      <w:rPr>
                        <w:b/>
                        <w:color w:val="FF0000"/>
                        <w:sz w:val="24"/>
                      </w:rPr>
                      <w:fldChar w:fldCharType="separate"/>
                    </w:r>
                    <w:r>
                      <w:rPr>
                        <w:b/>
                        <w:color w:val="FF0000"/>
                        <w:sz w:val="24"/>
                      </w:rPr>
                      <w:t>OFFICIAL</w:t>
                    </w:r>
                    <w:r w:rsidRPr="00C409C2">
                      <w:rPr>
                        <w:b/>
                        <w:color w:val="FF0000"/>
                        <w:sz w:val="24"/>
                      </w:rPr>
                      <w:fldChar w:fldCharType="end"/>
                    </w:r>
                  </w:p>
                </w:txbxContent>
              </v:textbox>
              <w10:wrap anchorx="margin" anchory="margin"/>
              <w10:anchorlock/>
            </v:shape>
          </w:pict>
        </mc:Fallback>
      </mc:AlternateContent>
    </w:r>
    <w:sdt>
      <w:sdtPr>
        <w:rPr>
          <w:color w:val="00847E" w:themeColor="accent1"/>
          <w:sz w:val="20"/>
          <w:szCs w:val="20"/>
        </w:rPr>
        <w:id w:val="-385334316"/>
        <w:docPartObj>
          <w:docPartGallery w:val="Page Numbers (Bottom of Page)"/>
          <w:docPartUnique/>
        </w:docPartObj>
      </w:sdtPr>
      <w:sdtEndPr/>
      <w:sdtContent>
        <w:sdt>
          <w:sdtPr>
            <w:rPr>
              <w:color w:val="00847E" w:themeColor="accent1"/>
              <w:sz w:val="20"/>
              <w:szCs w:val="20"/>
            </w:rPr>
            <w:id w:val="265895531"/>
            <w:docPartObj>
              <w:docPartGallery w:val="Page Numbers (Top of Page)"/>
              <w:docPartUnique/>
            </w:docPartObj>
          </w:sdtPr>
          <w:sdtEndPr/>
          <w:sdtContent>
            <w:r w:rsidR="003160FA" w:rsidRPr="003160FA">
              <w:rPr>
                <w:color w:val="00847E" w:themeColor="accent1"/>
                <w:sz w:val="20"/>
                <w:szCs w:val="20"/>
              </w:rPr>
              <w:t xml:space="preserve">Page </w:t>
            </w:r>
            <w:r w:rsidR="003160FA" w:rsidRPr="003160FA">
              <w:rPr>
                <w:b/>
                <w:bCs/>
                <w:color w:val="00847E" w:themeColor="accent1"/>
                <w:sz w:val="20"/>
                <w:szCs w:val="20"/>
              </w:rPr>
              <w:fldChar w:fldCharType="begin"/>
            </w:r>
            <w:r w:rsidR="003160FA" w:rsidRPr="003160FA">
              <w:rPr>
                <w:b/>
                <w:bCs/>
                <w:color w:val="00847E" w:themeColor="accent1"/>
                <w:sz w:val="20"/>
                <w:szCs w:val="20"/>
              </w:rPr>
              <w:instrText xml:space="preserve"> PAGE </w:instrText>
            </w:r>
            <w:r w:rsidR="003160FA" w:rsidRPr="003160FA">
              <w:rPr>
                <w:b/>
                <w:bCs/>
                <w:color w:val="00847E" w:themeColor="accent1"/>
                <w:sz w:val="20"/>
                <w:szCs w:val="20"/>
              </w:rPr>
              <w:fldChar w:fldCharType="separate"/>
            </w:r>
            <w:r w:rsidR="00835759">
              <w:rPr>
                <w:b/>
                <w:bCs/>
                <w:noProof/>
                <w:color w:val="00847E" w:themeColor="accent1"/>
                <w:sz w:val="20"/>
                <w:szCs w:val="20"/>
              </w:rPr>
              <w:t>2</w:t>
            </w:r>
            <w:r w:rsidR="003160FA" w:rsidRPr="003160FA">
              <w:rPr>
                <w:b/>
                <w:bCs/>
                <w:color w:val="00847E" w:themeColor="accent1"/>
                <w:sz w:val="20"/>
                <w:szCs w:val="20"/>
              </w:rPr>
              <w:fldChar w:fldCharType="end"/>
            </w:r>
            <w:r w:rsidR="003160FA" w:rsidRPr="003160FA">
              <w:rPr>
                <w:color w:val="00847E" w:themeColor="accent1"/>
                <w:sz w:val="20"/>
                <w:szCs w:val="20"/>
              </w:rPr>
              <w:t xml:space="preserve"> of </w:t>
            </w:r>
            <w:r w:rsidR="003160FA" w:rsidRPr="003160FA">
              <w:rPr>
                <w:b/>
                <w:bCs/>
                <w:color w:val="00847E" w:themeColor="accent1"/>
                <w:sz w:val="20"/>
                <w:szCs w:val="20"/>
              </w:rPr>
              <w:fldChar w:fldCharType="begin"/>
            </w:r>
            <w:r w:rsidR="003160FA" w:rsidRPr="003160FA">
              <w:rPr>
                <w:b/>
                <w:bCs/>
                <w:color w:val="00847E" w:themeColor="accent1"/>
                <w:sz w:val="20"/>
                <w:szCs w:val="20"/>
              </w:rPr>
              <w:instrText xml:space="preserve"> NUMPAGES  </w:instrText>
            </w:r>
            <w:r w:rsidR="003160FA" w:rsidRPr="003160FA">
              <w:rPr>
                <w:b/>
                <w:bCs/>
                <w:color w:val="00847E" w:themeColor="accent1"/>
                <w:sz w:val="20"/>
                <w:szCs w:val="20"/>
              </w:rPr>
              <w:fldChar w:fldCharType="separate"/>
            </w:r>
            <w:r w:rsidR="00835759">
              <w:rPr>
                <w:b/>
                <w:bCs/>
                <w:noProof/>
                <w:color w:val="00847E" w:themeColor="accent1"/>
                <w:sz w:val="20"/>
                <w:szCs w:val="20"/>
              </w:rPr>
              <w:t>2</w:t>
            </w:r>
            <w:r w:rsidR="003160FA" w:rsidRPr="003160FA">
              <w:rPr>
                <w:b/>
                <w:bCs/>
                <w:color w:val="00847E" w:themeColor="accent1"/>
                <w:sz w:val="20"/>
                <w:szCs w:val="20"/>
              </w:rPr>
              <w:fldChar w:fldCharType="end"/>
            </w:r>
          </w:sdtContent>
        </w:sdt>
      </w:sdtContent>
    </w:sdt>
  </w:p>
  <w:p w14:paraId="59CBC492" w14:textId="77777777" w:rsidR="003160FA" w:rsidRDefault="00316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820D7" w14:textId="5850B287" w:rsidR="000C60CD" w:rsidRPr="000C60CD" w:rsidRDefault="00C409C2">
    <w:pPr>
      <w:pStyle w:val="Footer"/>
      <w:jc w:val="right"/>
      <w:rPr>
        <w:color w:val="00847E" w:themeColor="accent1"/>
        <w:sz w:val="20"/>
        <w:szCs w:val="20"/>
      </w:rPr>
    </w:pPr>
    <w:r>
      <w:rPr>
        <w:noProof/>
        <w:color w:val="00847E" w:themeColor="accent1"/>
        <w:sz w:val="20"/>
        <w:szCs w:val="20"/>
      </w:rPr>
      <mc:AlternateContent>
        <mc:Choice Requires="wps">
          <w:drawing>
            <wp:anchor distT="0" distB="0" distL="114300" distR="114300" simplePos="0" relativeHeight="251663360" behindDoc="0" locked="1" layoutInCell="0" allowOverlap="1" wp14:anchorId="2ADDD237" wp14:editId="66150822">
              <wp:simplePos x="0" y="0"/>
              <wp:positionH relativeFrom="margin">
                <wp:align>center</wp:align>
              </wp:positionH>
              <wp:positionV relativeFrom="bottomMargin">
                <wp:align>center</wp:align>
              </wp:positionV>
              <wp:extent cx="892175" cy="273050"/>
              <wp:effectExtent l="0" t="0" r="0" b="0"/>
              <wp:wrapNone/>
              <wp:docPr id="1197126440"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D15A54" w14:textId="7A0D0A32" w:rsidR="00C409C2" w:rsidRPr="00C409C2" w:rsidRDefault="00C409C2" w:rsidP="00C409C2">
                          <w:pPr>
                            <w:spacing w:before="0" w:after="0"/>
                            <w:jc w:val="center"/>
                            <w:rPr>
                              <w:b/>
                              <w:color w:val="FF0000"/>
                              <w:sz w:val="24"/>
                            </w:rPr>
                          </w:pPr>
                          <w:r w:rsidRPr="00C409C2">
                            <w:rPr>
                              <w:b/>
                              <w:color w:val="FF0000"/>
                              <w:sz w:val="24"/>
                            </w:rPr>
                            <w:fldChar w:fldCharType="begin"/>
                          </w:r>
                          <w:r w:rsidRPr="00C409C2">
                            <w:rPr>
                              <w:b/>
                              <w:color w:val="FF0000"/>
                              <w:sz w:val="24"/>
                            </w:rPr>
                            <w:instrText xml:space="preserve"> DOCPROPERTY PM_ProtectiveMarkingValue_Footer \* MERGEFORMAT </w:instrText>
                          </w:r>
                          <w:r w:rsidRPr="00C409C2">
                            <w:rPr>
                              <w:b/>
                              <w:color w:val="FF0000"/>
                              <w:sz w:val="24"/>
                            </w:rPr>
                            <w:fldChar w:fldCharType="separate"/>
                          </w:r>
                          <w:r>
                            <w:rPr>
                              <w:b/>
                              <w:color w:val="FF0000"/>
                              <w:sz w:val="24"/>
                            </w:rPr>
                            <w:t>OFFICIAL</w:t>
                          </w:r>
                          <w:r w:rsidRPr="00C409C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ADDD237" id="_x0000_t202" coordsize="21600,21600" o:spt="202" path="m,l,21600r21600,l21600,xe">
              <v:stroke joinstyle="miter"/>
              <v:path gradientshapeok="t" o:connecttype="rect"/>
            </v:shapetype>
            <v:shape id="janusSEAL SC F_FirstPage" o:spid="_x0000_s1031" type="#_x0000_t202" style="position:absolute;left:0;text-align:left;margin-left:0;margin-top:0;width:70.25pt;height:21.5pt;z-index:2516633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S9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d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3CIS9GQIAADAEAAAOAAAAAAAAAAAAAAAAAC4CAABkcnMvZTJvRG9jLnhtbFBLAQItABQABgAI&#10;AAAAIQBpOk852wAAAAQBAAAPAAAAAAAAAAAAAAAAAHMEAABkcnMvZG93bnJldi54bWxQSwUGAAAA&#10;AAQABADzAAAAewUAAAAA&#10;" o:allowincell="f" filled="f" stroked="f" strokeweight=".5pt">
              <v:fill o:detectmouseclick="t"/>
              <v:textbox style="mso-fit-shape-to-text:t">
                <w:txbxContent>
                  <w:p w14:paraId="28D15A54" w14:textId="7A0D0A32" w:rsidR="00C409C2" w:rsidRPr="00C409C2" w:rsidRDefault="00C409C2" w:rsidP="00C409C2">
                    <w:pPr>
                      <w:spacing w:before="0" w:after="0"/>
                      <w:jc w:val="center"/>
                      <w:rPr>
                        <w:b/>
                        <w:color w:val="FF0000"/>
                        <w:sz w:val="24"/>
                      </w:rPr>
                    </w:pPr>
                    <w:r w:rsidRPr="00C409C2">
                      <w:rPr>
                        <w:b/>
                        <w:color w:val="FF0000"/>
                        <w:sz w:val="24"/>
                      </w:rPr>
                      <w:fldChar w:fldCharType="begin"/>
                    </w:r>
                    <w:r w:rsidRPr="00C409C2">
                      <w:rPr>
                        <w:b/>
                        <w:color w:val="FF0000"/>
                        <w:sz w:val="24"/>
                      </w:rPr>
                      <w:instrText xml:space="preserve"> DOCPROPERTY PM_ProtectiveMarkingValue_Footer \* MERGEFORMAT </w:instrText>
                    </w:r>
                    <w:r w:rsidRPr="00C409C2">
                      <w:rPr>
                        <w:b/>
                        <w:color w:val="FF0000"/>
                        <w:sz w:val="24"/>
                      </w:rPr>
                      <w:fldChar w:fldCharType="separate"/>
                    </w:r>
                    <w:r>
                      <w:rPr>
                        <w:b/>
                        <w:color w:val="FF0000"/>
                        <w:sz w:val="24"/>
                      </w:rPr>
                      <w:t>OFFICIAL</w:t>
                    </w:r>
                    <w:r w:rsidRPr="00C409C2">
                      <w:rPr>
                        <w:b/>
                        <w:color w:val="FF0000"/>
                        <w:sz w:val="24"/>
                      </w:rPr>
                      <w:fldChar w:fldCharType="end"/>
                    </w:r>
                  </w:p>
                </w:txbxContent>
              </v:textbox>
              <w10:wrap anchorx="margin" anchory="margin"/>
              <w10:anchorlock/>
            </v:shape>
          </w:pict>
        </mc:Fallback>
      </mc:AlternateContent>
    </w:r>
    <w:sdt>
      <w:sdtPr>
        <w:rPr>
          <w:color w:val="00847E" w:themeColor="accent1"/>
          <w:sz w:val="20"/>
          <w:szCs w:val="20"/>
        </w:rPr>
        <w:id w:val="1467631289"/>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r w:rsidR="000C60CD" w:rsidRPr="000C60CD">
              <w:rPr>
                <w:color w:val="00847E" w:themeColor="accent1"/>
                <w:sz w:val="20"/>
                <w:szCs w:val="20"/>
              </w:rPr>
              <w:t xml:space="preserve">Page </w:t>
            </w:r>
            <w:r w:rsidR="000C60CD" w:rsidRPr="000C60CD">
              <w:rPr>
                <w:b/>
                <w:bCs/>
                <w:color w:val="00847E" w:themeColor="accent1"/>
                <w:sz w:val="20"/>
                <w:szCs w:val="20"/>
              </w:rPr>
              <w:fldChar w:fldCharType="begin"/>
            </w:r>
            <w:r w:rsidR="000C60CD" w:rsidRPr="000C60CD">
              <w:rPr>
                <w:b/>
                <w:bCs/>
                <w:color w:val="00847E" w:themeColor="accent1"/>
                <w:sz w:val="20"/>
                <w:szCs w:val="20"/>
              </w:rPr>
              <w:instrText xml:space="preserve"> PAGE </w:instrText>
            </w:r>
            <w:r w:rsidR="000C60CD" w:rsidRPr="000C60CD">
              <w:rPr>
                <w:b/>
                <w:bCs/>
                <w:color w:val="00847E" w:themeColor="accent1"/>
                <w:sz w:val="20"/>
                <w:szCs w:val="20"/>
              </w:rPr>
              <w:fldChar w:fldCharType="separate"/>
            </w:r>
            <w:r w:rsidR="00835759">
              <w:rPr>
                <w:b/>
                <w:bCs/>
                <w:noProof/>
                <w:color w:val="00847E" w:themeColor="accent1"/>
                <w:sz w:val="20"/>
                <w:szCs w:val="20"/>
              </w:rPr>
              <w:t>1</w:t>
            </w:r>
            <w:r w:rsidR="000C60CD" w:rsidRPr="000C60CD">
              <w:rPr>
                <w:b/>
                <w:bCs/>
                <w:color w:val="00847E" w:themeColor="accent1"/>
                <w:sz w:val="20"/>
                <w:szCs w:val="20"/>
              </w:rPr>
              <w:fldChar w:fldCharType="end"/>
            </w:r>
            <w:r w:rsidR="000C60CD" w:rsidRPr="000C60CD">
              <w:rPr>
                <w:color w:val="00847E" w:themeColor="accent1"/>
                <w:sz w:val="20"/>
                <w:szCs w:val="20"/>
              </w:rPr>
              <w:t xml:space="preserve"> of </w:t>
            </w:r>
            <w:r w:rsidR="000C60CD" w:rsidRPr="000C60CD">
              <w:rPr>
                <w:b/>
                <w:bCs/>
                <w:color w:val="00847E" w:themeColor="accent1"/>
                <w:sz w:val="20"/>
                <w:szCs w:val="20"/>
              </w:rPr>
              <w:fldChar w:fldCharType="begin"/>
            </w:r>
            <w:r w:rsidR="000C60CD" w:rsidRPr="000C60CD">
              <w:rPr>
                <w:b/>
                <w:bCs/>
                <w:color w:val="00847E" w:themeColor="accent1"/>
                <w:sz w:val="20"/>
                <w:szCs w:val="20"/>
              </w:rPr>
              <w:instrText xml:space="preserve"> NUMPAGES  </w:instrText>
            </w:r>
            <w:r w:rsidR="000C60CD" w:rsidRPr="000C60CD">
              <w:rPr>
                <w:b/>
                <w:bCs/>
                <w:color w:val="00847E" w:themeColor="accent1"/>
                <w:sz w:val="20"/>
                <w:szCs w:val="20"/>
              </w:rPr>
              <w:fldChar w:fldCharType="separate"/>
            </w:r>
            <w:r w:rsidR="00835759">
              <w:rPr>
                <w:b/>
                <w:bCs/>
                <w:noProof/>
                <w:color w:val="00847E" w:themeColor="accent1"/>
                <w:sz w:val="20"/>
                <w:szCs w:val="20"/>
              </w:rPr>
              <w:t>2</w:t>
            </w:r>
            <w:r w:rsidR="000C60CD" w:rsidRPr="000C60CD">
              <w:rPr>
                <w:b/>
                <w:bCs/>
                <w:color w:val="00847E" w:themeColor="accent1"/>
                <w:sz w:val="20"/>
                <w:szCs w:val="20"/>
              </w:rPr>
              <w:fldChar w:fldCharType="end"/>
            </w:r>
          </w:sdtContent>
        </w:sdt>
      </w:sdtContent>
    </w:sdt>
  </w:p>
  <w:p w14:paraId="3B20983F" w14:textId="77777777" w:rsidR="000C60CD" w:rsidRDefault="000C6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74170" w14:textId="77777777" w:rsidR="00A1393F" w:rsidRDefault="00A1393F" w:rsidP="006C328D">
      <w:pPr>
        <w:spacing w:before="0" w:after="0"/>
      </w:pPr>
      <w:r>
        <w:separator/>
      </w:r>
    </w:p>
  </w:footnote>
  <w:footnote w:type="continuationSeparator" w:id="0">
    <w:p w14:paraId="07CCEEBE" w14:textId="77777777" w:rsidR="00A1393F" w:rsidRDefault="00A1393F"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ABE87" w14:textId="584C02F8" w:rsidR="00C409C2" w:rsidRDefault="00C409C2">
    <w:pPr>
      <w:pStyle w:val="Header"/>
    </w:pPr>
    <w:r>
      <w:rPr>
        <w:noProof/>
      </w:rPr>
      <mc:AlternateContent>
        <mc:Choice Requires="wps">
          <w:drawing>
            <wp:anchor distT="0" distB="0" distL="114300" distR="114300" simplePos="0" relativeHeight="251661312" behindDoc="0" locked="1" layoutInCell="0" allowOverlap="1" wp14:anchorId="771AC220" wp14:editId="7AC7E451">
              <wp:simplePos x="0" y="0"/>
              <wp:positionH relativeFrom="margin">
                <wp:align>center</wp:align>
              </wp:positionH>
              <wp:positionV relativeFrom="topMargin">
                <wp:align>center</wp:align>
              </wp:positionV>
              <wp:extent cx="892175" cy="273050"/>
              <wp:effectExtent l="0" t="0" r="0" b="0"/>
              <wp:wrapNone/>
              <wp:docPr id="1322990832"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C9F45E" w14:textId="1A377E0A" w:rsidR="00C409C2" w:rsidRPr="00C409C2" w:rsidRDefault="00C409C2" w:rsidP="00C409C2">
                          <w:pPr>
                            <w:spacing w:before="0" w:after="0"/>
                            <w:jc w:val="center"/>
                            <w:rPr>
                              <w:b/>
                              <w:color w:val="FF0000"/>
                              <w:sz w:val="24"/>
                            </w:rPr>
                          </w:pPr>
                          <w:r w:rsidRPr="00C409C2">
                            <w:rPr>
                              <w:b/>
                              <w:color w:val="FF0000"/>
                              <w:sz w:val="24"/>
                            </w:rPr>
                            <w:fldChar w:fldCharType="begin"/>
                          </w:r>
                          <w:r w:rsidRPr="00C409C2">
                            <w:rPr>
                              <w:b/>
                              <w:color w:val="FF0000"/>
                              <w:sz w:val="24"/>
                            </w:rPr>
                            <w:instrText xml:space="preserve"> DOCPROPERTY PM_ProtectiveMarkingValue_Header \* MERGEFORMAT </w:instrText>
                          </w:r>
                          <w:r w:rsidRPr="00C409C2">
                            <w:rPr>
                              <w:b/>
                              <w:color w:val="FF0000"/>
                              <w:sz w:val="24"/>
                            </w:rPr>
                            <w:fldChar w:fldCharType="separate"/>
                          </w:r>
                          <w:r>
                            <w:rPr>
                              <w:b/>
                              <w:color w:val="FF0000"/>
                              <w:sz w:val="24"/>
                            </w:rPr>
                            <w:t>OFFICIAL</w:t>
                          </w:r>
                          <w:r w:rsidRPr="00C409C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1AC220" id="_x0000_t202" coordsize="21600,21600" o:spt="202" path="m,l,21600r21600,l21600,xe">
              <v:stroke joinstyle="miter"/>
              <v:path gradientshapeok="t" o:connecttype="rect"/>
            </v:shapetype>
            <v:shape id="janusSEAL SC H_EvenPage" o:spid="_x0000_s1026" type="#_x0000_t202" style="position:absolute;margin-left:0;margin-top:0;width:70.25pt;height:21.5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dB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P3aN0EYAgAAMAQAAA4AAAAAAAAAAAAAAAAALgIAAGRycy9lMm9Eb2MueG1sUEsBAi0AFAAGAAgA&#10;AAAhAGk6TznbAAAABAEAAA8AAAAAAAAAAAAAAAAAcgQAAGRycy9kb3ducmV2LnhtbFBLBQYAAAAA&#10;BAAEAPMAAAB6BQAAAAA=&#10;" o:allowincell="f" filled="f" stroked="f" strokeweight=".5pt">
              <v:fill o:detectmouseclick="t"/>
              <v:textbox style="mso-fit-shape-to-text:t">
                <w:txbxContent>
                  <w:p w14:paraId="06C9F45E" w14:textId="1A377E0A" w:rsidR="00C409C2" w:rsidRPr="00C409C2" w:rsidRDefault="00C409C2" w:rsidP="00C409C2">
                    <w:pPr>
                      <w:spacing w:before="0" w:after="0"/>
                      <w:jc w:val="center"/>
                      <w:rPr>
                        <w:b/>
                        <w:color w:val="FF0000"/>
                        <w:sz w:val="24"/>
                      </w:rPr>
                    </w:pPr>
                    <w:r w:rsidRPr="00C409C2">
                      <w:rPr>
                        <w:b/>
                        <w:color w:val="FF0000"/>
                        <w:sz w:val="24"/>
                      </w:rPr>
                      <w:fldChar w:fldCharType="begin"/>
                    </w:r>
                    <w:r w:rsidRPr="00C409C2">
                      <w:rPr>
                        <w:b/>
                        <w:color w:val="FF0000"/>
                        <w:sz w:val="24"/>
                      </w:rPr>
                      <w:instrText xml:space="preserve"> DOCPROPERTY PM_ProtectiveMarkingValue_Header \* MERGEFORMAT </w:instrText>
                    </w:r>
                    <w:r w:rsidRPr="00C409C2">
                      <w:rPr>
                        <w:b/>
                        <w:color w:val="FF0000"/>
                        <w:sz w:val="24"/>
                      </w:rPr>
                      <w:fldChar w:fldCharType="separate"/>
                    </w:r>
                    <w:r>
                      <w:rPr>
                        <w:b/>
                        <w:color w:val="FF0000"/>
                        <w:sz w:val="24"/>
                      </w:rPr>
                      <w:t>OFFICIAL</w:t>
                    </w:r>
                    <w:r w:rsidRPr="00C409C2">
                      <w:rPr>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4FA6D" w14:textId="00624763" w:rsidR="006C328D" w:rsidRPr="006C328D" w:rsidRDefault="00C409C2"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mc:AlternateContent>
        <mc:Choice Requires="wps">
          <w:drawing>
            <wp:anchor distT="0" distB="0" distL="114300" distR="114300" simplePos="0" relativeHeight="251659264" behindDoc="0" locked="1" layoutInCell="0" allowOverlap="1" wp14:anchorId="5559435B" wp14:editId="1EE48E76">
              <wp:simplePos x="0" y="0"/>
              <wp:positionH relativeFrom="margin">
                <wp:align>center</wp:align>
              </wp:positionH>
              <wp:positionV relativeFrom="topMargin">
                <wp:align>center</wp:align>
              </wp:positionV>
              <wp:extent cx="892175" cy="273050"/>
              <wp:effectExtent l="0" t="0" r="0" b="0"/>
              <wp:wrapNone/>
              <wp:docPr id="369071392"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6B50D3" w14:textId="192886A6" w:rsidR="00C409C2" w:rsidRPr="00C409C2" w:rsidRDefault="00C409C2" w:rsidP="00C409C2">
                          <w:pPr>
                            <w:spacing w:before="0" w:after="0"/>
                            <w:jc w:val="center"/>
                            <w:rPr>
                              <w:b/>
                              <w:color w:val="FF0000"/>
                              <w:sz w:val="24"/>
                            </w:rPr>
                          </w:pPr>
                          <w:r w:rsidRPr="00C409C2">
                            <w:rPr>
                              <w:b/>
                              <w:color w:val="FF0000"/>
                              <w:sz w:val="24"/>
                            </w:rPr>
                            <w:fldChar w:fldCharType="begin"/>
                          </w:r>
                          <w:r w:rsidRPr="00C409C2">
                            <w:rPr>
                              <w:b/>
                              <w:color w:val="FF0000"/>
                              <w:sz w:val="24"/>
                            </w:rPr>
                            <w:instrText xml:space="preserve"> DOCPROPERTY PM_ProtectiveMarkingValue_Header \* MERGEFORMAT </w:instrText>
                          </w:r>
                          <w:r w:rsidRPr="00C409C2">
                            <w:rPr>
                              <w:b/>
                              <w:color w:val="FF0000"/>
                              <w:sz w:val="24"/>
                            </w:rPr>
                            <w:fldChar w:fldCharType="separate"/>
                          </w:r>
                          <w:r>
                            <w:rPr>
                              <w:b/>
                              <w:color w:val="FF0000"/>
                              <w:sz w:val="24"/>
                            </w:rPr>
                            <w:t>OFFICIAL</w:t>
                          </w:r>
                          <w:r w:rsidRPr="00C409C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559435B" id="_x0000_t202" coordsize="21600,21600" o:spt="202" path="m,l,21600r21600,l21600,xe">
              <v:stroke joinstyle="miter"/>
              <v:path gradientshapeok="t" o:connecttype="rect"/>
            </v:shapetype>
            <v:shape id="janusSEAL SC Header" o:spid="_x0000_s1027" type="#_x0000_t202" style="position:absolute;left:0;text-align:left;margin-left:0;margin-top:0;width:70.25pt;height:21.5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fill o:detectmouseclick="t"/>
              <v:textbox style="mso-fit-shape-to-text:t">
                <w:txbxContent>
                  <w:p w14:paraId="6B6B50D3" w14:textId="192886A6" w:rsidR="00C409C2" w:rsidRPr="00C409C2" w:rsidRDefault="00C409C2" w:rsidP="00C409C2">
                    <w:pPr>
                      <w:spacing w:before="0" w:after="0"/>
                      <w:jc w:val="center"/>
                      <w:rPr>
                        <w:b/>
                        <w:color w:val="FF0000"/>
                        <w:sz w:val="24"/>
                      </w:rPr>
                    </w:pPr>
                    <w:r w:rsidRPr="00C409C2">
                      <w:rPr>
                        <w:b/>
                        <w:color w:val="FF0000"/>
                        <w:sz w:val="24"/>
                      </w:rPr>
                      <w:fldChar w:fldCharType="begin"/>
                    </w:r>
                    <w:r w:rsidRPr="00C409C2">
                      <w:rPr>
                        <w:b/>
                        <w:color w:val="FF0000"/>
                        <w:sz w:val="24"/>
                      </w:rPr>
                      <w:instrText xml:space="preserve"> DOCPROPERTY PM_ProtectiveMarkingValue_Header \* MERGEFORMAT </w:instrText>
                    </w:r>
                    <w:r w:rsidRPr="00C409C2">
                      <w:rPr>
                        <w:b/>
                        <w:color w:val="FF0000"/>
                        <w:sz w:val="24"/>
                      </w:rPr>
                      <w:fldChar w:fldCharType="separate"/>
                    </w:r>
                    <w:r>
                      <w:rPr>
                        <w:b/>
                        <w:color w:val="FF0000"/>
                        <w:sz w:val="24"/>
                      </w:rPr>
                      <w:t>OFFICIAL</w:t>
                    </w:r>
                    <w:r w:rsidRPr="00C409C2">
                      <w:rPr>
                        <w:b/>
                        <w:color w:val="FF0000"/>
                        <w:sz w:val="24"/>
                      </w:rPr>
                      <w:fldChar w:fldCharType="end"/>
                    </w:r>
                  </w:p>
                </w:txbxContent>
              </v:textbox>
              <w10:wrap anchorx="margin" anchory="margin"/>
              <w10:anchorlock/>
            </v:shape>
          </w:pict>
        </mc:Fallback>
      </mc:AlternateContent>
    </w:r>
    <w:r w:rsidR="006C328D">
      <w:rPr>
        <w:rFonts w:ascii="Georgia" w:hAnsi="Georgia" w:cs="Arial"/>
        <w:b/>
        <w:noProof/>
        <w:color w:val="004855"/>
        <w:sz w:val="28"/>
        <w:szCs w:val="28"/>
        <w:lang w:eastAsia="en-AU"/>
      </w:rPr>
      <w:t xml:space="preserve"> </w:t>
    </w:r>
    <w:r w:rsidR="006C328D">
      <w:rPr>
        <w:rFonts w:ascii="Georgia" w:hAnsi="Georgia" w:cs="Arial"/>
        <w:b/>
        <w:noProof/>
        <w:color w:val="004855"/>
        <w:sz w:val="28"/>
        <w:szCs w:val="28"/>
        <w:lang w:eastAsia="en-AU"/>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6A5E2" w14:textId="55332AFD" w:rsidR="004A4AE6" w:rsidRDefault="00C409C2">
    <w:pPr>
      <w:pStyle w:val="Header"/>
    </w:pPr>
    <w:r>
      <w:rPr>
        <w:rFonts w:ascii="Georgia" w:hAnsi="Georgia" w:cs="Arial"/>
        <w:b/>
        <w:noProof/>
        <w:color w:val="004855"/>
        <w:sz w:val="28"/>
        <w:szCs w:val="28"/>
        <w:lang w:eastAsia="en-AU"/>
      </w:rPr>
      <mc:AlternateContent>
        <mc:Choice Requires="wps">
          <w:drawing>
            <wp:anchor distT="0" distB="0" distL="114300" distR="114300" simplePos="0" relativeHeight="251660288" behindDoc="0" locked="1" layoutInCell="0" allowOverlap="1" wp14:anchorId="2704FFB8" wp14:editId="31575F87">
              <wp:simplePos x="0" y="0"/>
              <wp:positionH relativeFrom="margin">
                <wp:align>center</wp:align>
              </wp:positionH>
              <wp:positionV relativeFrom="topMargin">
                <wp:align>center</wp:align>
              </wp:positionV>
              <wp:extent cx="892175" cy="273050"/>
              <wp:effectExtent l="0" t="0" r="0" b="0"/>
              <wp:wrapNone/>
              <wp:docPr id="421138107"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A854F9" w14:textId="31E98140" w:rsidR="00C409C2" w:rsidRPr="00C409C2" w:rsidRDefault="00C409C2" w:rsidP="00C409C2">
                          <w:pPr>
                            <w:spacing w:before="0" w:after="0"/>
                            <w:jc w:val="center"/>
                            <w:rPr>
                              <w:b/>
                              <w:color w:val="FF0000"/>
                              <w:sz w:val="24"/>
                            </w:rPr>
                          </w:pPr>
                          <w:r w:rsidRPr="00C409C2">
                            <w:rPr>
                              <w:b/>
                              <w:color w:val="FF0000"/>
                              <w:sz w:val="24"/>
                            </w:rPr>
                            <w:fldChar w:fldCharType="begin"/>
                          </w:r>
                          <w:r w:rsidRPr="00C409C2">
                            <w:rPr>
                              <w:b/>
                              <w:color w:val="FF0000"/>
                              <w:sz w:val="24"/>
                            </w:rPr>
                            <w:instrText xml:space="preserve"> DOCPROPERTY PM_ProtectiveMarkingValue_Header \* MERGEFORMAT </w:instrText>
                          </w:r>
                          <w:r w:rsidRPr="00C409C2">
                            <w:rPr>
                              <w:b/>
                              <w:color w:val="FF0000"/>
                              <w:sz w:val="24"/>
                            </w:rPr>
                            <w:fldChar w:fldCharType="separate"/>
                          </w:r>
                          <w:r>
                            <w:rPr>
                              <w:b/>
                              <w:color w:val="FF0000"/>
                              <w:sz w:val="24"/>
                            </w:rPr>
                            <w:t>OFFICIAL</w:t>
                          </w:r>
                          <w:r w:rsidRPr="00C409C2">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04FFB8" id="_x0000_t202" coordsize="21600,21600" o:spt="202" path="m,l,21600r21600,l21600,xe">
              <v:stroke joinstyle="miter"/>
              <v:path gradientshapeok="t" o:connecttype="rect"/>
            </v:shapetype>
            <v:shape id="janusSEAL SC H_FirstPage" o:spid="_x0000_s1030" type="#_x0000_t202" style="position:absolute;margin-left:0;margin-top:0;width:70.25pt;height:21.5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fill o:detectmouseclick="t"/>
              <v:textbox style="mso-fit-shape-to-text:t">
                <w:txbxContent>
                  <w:p w14:paraId="30A854F9" w14:textId="31E98140" w:rsidR="00C409C2" w:rsidRPr="00C409C2" w:rsidRDefault="00C409C2" w:rsidP="00C409C2">
                    <w:pPr>
                      <w:spacing w:before="0" w:after="0"/>
                      <w:jc w:val="center"/>
                      <w:rPr>
                        <w:b/>
                        <w:color w:val="FF0000"/>
                        <w:sz w:val="24"/>
                      </w:rPr>
                    </w:pPr>
                    <w:r w:rsidRPr="00C409C2">
                      <w:rPr>
                        <w:b/>
                        <w:color w:val="FF0000"/>
                        <w:sz w:val="24"/>
                      </w:rPr>
                      <w:fldChar w:fldCharType="begin"/>
                    </w:r>
                    <w:r w:rsidRPr="00C409C2">
                      <w:rPr>
                        <w:b/>
                        <w:color w:val="FF0000"/>
                        <w:sz w:val="24"/>
                      </w:rPr>
                      <w:instrText xml:space="preserve"> DOCPROPERTY PM_ProtectiveMarkingValue_Header \* MERGEFORMAT </w:instrText>
                    </w:r>
                    <w:r w:rsidRPr="00C409C2">
                      <w:rPr>
                        <w:b/>
                        <w:color w:val="FF0000"/>
                        <w:sz w:val="24"/>
                      </w:rPr>
                      <w:fldChar w:fldCharType="separate"/>
                    </w:r>
                    <w:r>
                      <w:rPr>
                        <w:b/>
                        <w:color w:val="FF0000"/>
                        <w:sz w:val="24"/>
                      </w:rPr>
                      <w:t>OFFICIAL</w:t>
                    </w:r>
                    <w:r w:rsidRPr="00C409C2">
                      <w:rPr>
                        <w:b/>
                        <w:color w:val="FF0000"/>
                        <w:sz w:val="24"/>
                      </w:rPr>
                      <w:fldChar w:fldCharType="end"/>
                    </w:r>
                  </w:p>
                </w:txbxContent>
              </v:textbox>
              <w10:wrap anchorx="margin" anchory="margin"/>
              <w10:anchorlock/>
            </v:shape>
          </w:pict>
        </mc:Fallback>
      </mc:AlternateContent>
    </w:r>
    <w:r w:rsidR="004A4AE6">
      <w:rPr>
        <w:rFonts w:ascii="Georgia" w:hAnsi="Georgia" w:cs="Arial"/>
        <w:b/>
        <w:noProof/>
        <w:color w:val="004855"/>
        <w:sz w:val="28"/>
        <w:szCs w:val="28"/>
        <w:lang w:eastAsia="en-AU"/>
      </w:rPr>
      <w:drawing>
        <wp:inline distT="0" distB="0" distL="0" distR="0" wp14:anchorId="13632372" wp14:editId="5D5398EA">
          <wp:extent cx="3228975" cy="476067"/>
          <wp:effectExtent l="0" t="0" r="0" b="635"/>
          <wp:docPr id="1" name="Picture 1"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sidR="004A4AE6">
      <w:rPr>
        <w:rFonts w:ascii="Georgia" w:hAnsi="Georgia" w:cs="Arial"/>
        <w:b/>
        <w:noProof/>
        <w:color w:val="004855"/>
        <w:sz w:val="28"/>
        <w:szCs w:val="28"/>
        <w:lang w:eastAsia="en-AU"/>
      </w:rPr>
      <w:tab/>
    </w:r>
    <w:r w:rsidR="004A4AE6">
      <w:t xml:space="preserve"> </w:t>
    </w:r>
    <w:r w:rsidR="004A4AE6">
      <w:rPr>
        <w:rFonts w:ascii="Georgia" w:hAnsi="Georgia" w:cs="Arial"/>
        <w:b/>
        <w:noProof/>
        <w:color w:val="004855"/>
        <w:sz w:val="28"/>
        <w:szCs w:val="28"/>
        <w:lang w:eastAsia="en-AU"/>
      </w:rPr>
      <w:drawing>
        <wp:inline distT="0" distB="0" distL="0" distR="0" wp14:anchorId="6B1E344E" wp14:editId="00C97260">
          <wp:extent cx="1428750" cy="353174"/>
          <wp:effectExtent l="0" t="0" r="0" b="8890"/>
          <wp:docPr id="3" name="Picture 3"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p w14:paraId="1876A92B" w14:textId="77777777" w:rsidR="004A4AE6" w:rsidRDefault="004A4AE6">
    <w:pPr>
      <w:pStyle w:val="Header"/>
    </w:pPr>
  </w:p>
  <w:p w14:paraId="1B4496D6" w14:textId="77777777" w:rsidR="004A4AE6" w:rsidRDefault="004A4AE6">
    <w:pPr>
      <w:pStyle w:val="Header"/>
    </w:pPr>
  </w:p>
  <w:p w14:paraId="315B5CC5" w14:textId="77777777" w:rsidR="004A4AE6" w:rsidRDefault="004A4AE6">
    <w:pPr>
      <w:pStyle w:val="Header"/>
    </w:pPr>
  </w:p>
  <w:p w14:paraId="1902C0EB" w14:textId="77777777" w:rsidR="004A4AE6" w:rsidRDefault="004A4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BC7323"/>
    <w:multiLevelType w:val="hybridMultilevel"/>
    <w:tmpl w:val="8C4E2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1" w15:restartNumberingAfterBreak="0">
    <w:nsid w:val="7B891533"/>
    <w:multiLevelType w:val="hybridMultilevel"/>
    <w:tmpl w:val="1C56632A"/>
    <w:lvl w:ilvl="0" w:tplc="E168E8D2">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37455966">
    <w:abstractNumId w:val="12"/>
  </w:num>
  <w:num w:numId="2" w16cid:durableId="526723471">
    <w:abstractNumId w:val="10"/>
  </w:num>
  <w:num w:numId="3" w16cid:durableId="2123180849">
    <w:abstractNumId w:val="10"/>
  </w:num>
  <w:num w:numId="4" w16cid:durableId="1862353222">
    <w:abstractNumId w:val="3"/>
  </w:num>
  <w:num w:numId="5" w16cid:durableId="386808138">
    <w:abstractNumId w:val="3"/>
  </w:num>
  <w:num w:numId="6" w16cid:durableId="1319069721">
    <w:abstractNumId w:val="3"/>
  </w:num>
  <w:num w:numId="7" w16cid:durableId="1024283972">
    <w:abstractNumId w:val="9"/>
  </w:num>
  <w:num w:numId="8" w16cid:durableId="10880403">
    <w:abstractNumId w:val="8"/>
  </w:num>
  <w:num w:numId="9" w16cid:durableId="2123378547">
    <w:abstractNumId w:val="8"/>
  </w:num>
  <w:num w:numId="10" w16cid:durableId="25058997">
    <w:abstractNumId w:val="8"/>
  </w:num>
  <w:num w:numId="11" w16cid:durableId="334574601">
    <w:abstractNumId w:val="8"/>
  </w:num>
  <w:num w:numId="12" w16cid:durableId="552231411">
    <w:abstractNumId w:val="8"/>
  </w:num>
  <w:num w:numId="13" w16cid:durableId="1847014171">
    <w:abstractNumId w:val="8"/>
  </w:num>
  <w:num w:numId="14" w16cid:durableId="806707716">
    <w:abstractNumId w:val="8"/>
  </w:num>
  <w:num w:numId="15" w16cid:durableId="1818262704">
    <w:abstractNumId w:val="5"/>
  </w:num>
  <w:num w:numId="16" w16cid:durableId="595753808">
    <w:abstractNumId w:val="5"/>
  </w:num>
  <w:num w:numId="17" w16cid:durableId="344476807">
    <w:abstractNumId w:val="5"/>
  </w:num>
  <w:num w:numId="18" w16cid:durableId="2000382046">
    <w:abstractNumId w:val="0"/>
  </w:num>
  <w:num w:numId="19" w16cid:durableId="1369187487">
    <w:abstractNumId w:val="1"/>
  </w:num>
  <w:num w:numId="20" w16cid:durableId="555508019">
    <w:abstractNumId w:val="2"/>
  </w:num>
  <w:num w:numId="21" w16cid:durableId="1240095294">
    <w:abstractNumId w:val="6"/>
  </w:num>
  <w:num w:numId="22" w16cid:durableId="1245184305">
    <w:abstractNumId w:val="4"/>
  </w:num>
  <w:num w:numId="23" w16cid:durableId="406659083">
    <w:abstractNumId w:val="12"/>
  </w:num>
  <w:num w:numId="24" w16cid:durableId="992294904">
    <w:abstractNumId w:val="10"/>
  </w:num>
  <w:num w:numId="25" w16cid:durableId="57869357">
    <w:abstractNumId w:val="10"/>
  </w:num>
  <w:num w:numId="26" w16cid:durableId="1627201872">
    <w:abstractNumId w:val="3"/>
  </w:num>
  <w:num w:numId="27" w16cid:durableId="1626696484">
    <w:abstractNumId w:val="3"/>
  </w:num>
  <w:num w:numId="28" w16cid:durableId="1796828575">
    <w:abstractNumId w:val="3"/>
  </w:num>
  <w:num w:numId="29" w16cid:durableId="419564342">
    <w:abstractNumId w:val="9"/>
  </w:num>
  <w:num w:numId="30" w16cid:durableId="287325662">
    <w:abstractNumId w:val="8"/>
  </w:num>
  <w:num w:numId="31" w16cid:durableId="1975675702">
    <w:abstractNumId w:val="8"/>
  </w:num>
  <w:num w:numId="32" w16cid:durableId="878931101">
    <w:abstractNumId w:val="8"/>
  </w:num>
  <w:num w:numId="33" w16cid:durableId="259265604">
    <w:abstractNumId w:val="8"/>
  </w:num>
  <w:num w:numId="34" w16cid:durableId="1005547986">
    <w:abstractNumId w:val="8"/>
  </w:num>
  <w:num w:numId="35" w16cid:durableId="1688021576">
    <w:abstractNumId w:val="8"/>
  </w:num>
  <w:num w:numId="36" w16cid:durableId="170074367">
    <w:abstractNumId w:val="8"/>
  </w:num>
  <w:num w:numId="37" w16cid:durableId="627784321">
    <w:abstractNumId w:val="5"/>
  </w:num>
  <w:num w:numId="38" w16cid:durableId="1105658609">
    <w:abstractNumId w:val="5"/>
  </w:num>
  <w:num w:numId="39" w16cid:durableId="253325956">
    <w:abstractNumId w:val="5"/>
  </w:num>
  <w:num w:numId="40" w16cid:durableId="1740707295">
    <w:abstractNumId w:val="0"/>
  </w:num>
  <w:num w:numId="41" w16cid:durableId="731654469">
    <w:abstractNumId w:val="1"/>
  </w:num>
  <w:num w:numId="42" w16cid:durableId="288360336">
    <w:abstractNumId w:val="2"/>
  </w:num>
  <w:num w:numId="43" w16cid:durableId="1162693347">
    <w:abstractNumId w:val="6"/>
  </w:num>
  <w:num w:numId="44" w16cid:durableId="147290578">
    <w:abstractNumId w:val="4"/>
  </w:num>
  <w:num w:numId="45" w16cid:durableId="1098022858">
    <w:abstractNumId w:val="11"/>
  </w:num>
  <w:num w:numId="46" w16cid:durableId="10658829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957345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13605"/>
    <w:rsid w:val="000551D6"/>
    <w:rsid w:val="000B77BB"/>
    <w:rsid w:val="000C60CD"/>
    <w:rsid w:val="000D45D8"/>
    <w:rsid w:val="000F476E"/>
    <w:rsid w:val="00115CE3"/>
    <w:rsid w:val="00183376"/>
    <w:rsid w:val="00183896"/>
    <w:rsid w:val="001E59DA"/>
    <w:rsid w:val="001F39F5"/>
    <w:rsid w:val="001F596D"/>
    <w:rsid w:val="00230B7C"/>
    <w:rsid w:val="002923DC"/>
    <w:rsid w:val="003160FA"/>
    <w:rsid w:val="00342D8A"/>
    <w:rsid w:val="00377FF6"/>
    <w:rsid w:val="003A0C40"/>
    <w:rsid w:val="003B0FAF"/>
    <w:rsid w:val="00432F7D"/>
    <w:rsid w:val="0044487E"/>
    <w:rsid w:val="00452959"/>
    <w:rsid w:val="004701EE"/>
    <w:rsid w:val="004A4AE6"/>
    <w:rsid w:val="004A6924"/>
    <w:rsid w:val="00521842"/>
    <w:rsid w:val="005237CA"/>
    <w:rsid w:val="0055466D"/>
    <w:rsid w:val="005A6D43"/>
    <w:rsid w:val="005A7256"/>
    <w:rsid w:val="005B458E"/>
    <w:rsid w:val="005E4941"/>
    <w:rsid w:val="006272B2"/>
    <w:rsid w:val="00657CDA"/>
    <w:rsid w:val="00671B50"/>
    <w:rsid w:val="00682C06"/>
    <w:rsid w:val="006B17D9"/>
    <w:rsid w:val="006C328D"/>
    <w:rsid w:val="007A183A"/>
    <w:rsid w:val="007B01C8"/>
    <w:rsid w:val="00804FD2"/>
    <w:rsid w:val="00812CF5"/>
    <w:rsid w:val="00835759"/>
    <w:rsid w:val="008722EF"/>
    <w:rsid w:val="00892853"/>
    <w:rsid w:val="008A5E53"/>
    <w:rsid w:val="008D6E3C"/>
    <w:rsid w:val="008E2BE8"/>
    <w:rsid w:val="008E6375"/>
    <w:rsid w:val="0090141E"/>
    <w:rsid w:val="009014EF"/>
    <w:rsid w:val="00940CFE"/>
    <w:rsid w:val="009452C7"/>
    <w:rsid w:val="009663AA"/>
    <w:rsid w:val="00995E38"/>
    <w:rsid w:val="009B769E"/>
    <w:rsid w:val="00A05383"/>
    <w:rsid w:val="00A1393F"/>
    <w:rsid w:val="00A73142"/>
    <w:rsid w:val="00B815A9"/>
    <w:rsid w:val="00BB4064"/>
    <w:rsid w:val="00BC4833"/>
    <w:rsid w:val="00C409C2"/>
    <w:rsid w:val="00CA0127"/>
    <w:rsid w:val="00CA2337"/>
    <w:rsid w:val="00CB4BE8"/>
    <w:rsid w:val="00CB6B03"/>
    <w:rsid w:val="00CD0933"/>
    <w:rsid w:val="00D7330C"/>
    <w:rsid w:val="00D91C0C"/>
    <w:rsid w:val="00DD56FA"/>
    <w:rsid w:val="00E35103"/>
    <w:rsid w:val="00E3553E"/>
    <w:rsid w:val="00E4454E"/>
    <w:rsid w:val="00E7014E"/>
    <w:rsid w:val="00E80F3A"/>
    <w:rsid w:val="00E94E47"/>
    <w:rsid w:val="00EA628E"/>
    <w:rsid w:val="00ED27BC"/>
    <w:rsid w:val="00F559F1"/>
    <w:rsid w:val="00F752DE"/>
    <w:rsid w:val="00F80F97"/>
    <w:rsid w:val="00F97A5C"/>
    <w:rsid w:val="00FC24D6"/>
    <w:rsid w:val="00FE502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050F4"/>
  <w15:docId w15:val="{284B5987-10E4-4FDF-829F-F8F30CA5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5B458E"/>
    <w:pPr>
      <w:keepNext/>
      <w:keepLines/>
      <w:spacing w:before="480" w:after="240" w:line="500" w:lineRule="atLeast"/>
      <w:outlineLvl w:val="1"/>
    </w:pPr>
    <w:rPr>
      <w:rFonts w:asciiTheme="majorHAnsi" w:eastAsiaTheme="majorEastAsia" w:hAnsiTheme="majorHAnsi" w:cstheme="majorBidi"/>
      <w:color w:val="00847E" w:themeColor="accent1"/>
      <w:sz w:val="44"/>
      <w:szCs w:val="26"/>
    </w:rPr>
  </w:style>
  <w:style w:type="paragraph" w:styleId="Heading3">
    <w:name w:val="heading 3"/>
    <w:basedOn w:val="Normal"/>
    <w:next w:val="Normal"/>
    <w:link w:val="Heading3Char"/>
    <w:uiPriority w:val="9"/>
    <w:qFormat/>
    <w:rsid w:val="005B458E"/>
    <w:pPr>
      <w:keepNext/>
      <w:keepLines/>
      <w:spacing w:before="480" w:after="240" w:line="380" w:lineRule="atLeast"/>
      <w:outlineLvl w:val="2"/>
    </w:pPr>
    <w:rPr>
      <w:rFonts w:asciiTheme="majorHAnsi" w:eastAsiaTheme="majorEastAsia" w:hAnsiTheme="majorHAnsi" w:cstheme="majorBidi"/>
      <w:color w:val="00847E" w:themeColor="accent1"/>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23"/>
      </w:numPr>
    </w:pPr>
    <w:rPr>
      <w:b/>
    </w:rPr>
  </w:style>
  <w:style w:type="character" w:customStyle="1" w:styleId="Heading2Char">
    <w:name w:val="Heading 2 Char"/>
    <w:basedOn w:val="DefaultParagraphFont"/>
    <w:link w:val="Heading2"/>
    <w:uiPriority w:val="9"/>
    <w:rsid w:val="005B458E"/>
    <w:rPr>
      <w:rFonts w:asciiTheme="majorHAnsi" w:eastAsiaTheme="majorEastAsia" w:hAnsiTheme="majorHAnsi" w:cstheme="majorBidi"/>
      <w:color w:val="00847E" w:themeColor="accent1"/>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5"/>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5"/>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28"/>
      </w:numPr>
    </w:pPr>
  </w:style>
  <w:style w:type="paragraph" w:customStyle="1" w:styleId="Bullet2">
    <w:name w:val="Bullet 2"/>
    <w:basedOn w:val="Normal"/>
    <w:uiPriority w:val="2"/>
    <w:qFormat/>
    <w:rsid w:val="005B458E"/>
    <w:pPr>
      <w:numPr>
        <w:ilvl w:val="1"/>
        <w:numId w:val="28"/>
      </w:numPr>
    </w:pPr>
  </w:style>
  <w:style w:type="paragraph" w:customStyle="1" w:styleId="Bullet3">
    <w:name w:val="Bullet 3"/>
    <w:basedOn w:val="Normal"/>
    <w:uiPriority w:val="2"/>
    <w:qFormat/>
    <w:rsid w:val="005B458E"/>
    <w:pPr>
      <w:numPr>
        <w:ilvl w:val="2"/>
        <w:numId w:val="28"/>
      </w:numPr>
    </w:pPr>
  </w:style>
  <w:style w:type="paragraph" w:customStyle="1" w:styleId="FigureTitle">
    <w:name w:val="Figure Title"/>
    <w:basedOn w:val="Normal"/>
    <w:uiPriority w:val="12"/>
    <w:qFormat/>
    <w:rsid w:val="005B458E"/>
    <w:pPr>
      <w:keepNext/>
      <w:numPr>
        <w:numId w:val="29"/>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36"/>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36"/>
      </w:numPr>
    </w:pPr>
  </w:style>
  <w:style w:type="paragraph" w:customStyle="1" w:styleId="Heading3Numbered">
    <w:name w:val="Heading 3 Numbered"/>
    <w:basedOn w:val="Heading3"/>
    <w:uiPriority w:val="10"/>
    <w:qFormat/>
    <w:rsid w:val="005B458E"/>
    <w:pPr>
      <w:numPr>
        <w:ilvl w:val="2"/>
        <w:numId w:val="36"/>
      </w:numPr>
    </w:pPr>
  </w:style>
  <w:style w:type="character" w:customStyle="1" w:styleId="Heading3Char">
    <w:name w:val="Heading 3 Char"/>
    <w:basedOn w:val="DefaultParagraphFont"/>
    <w:link w:val="Heading3"/>
    <w:uiPriority w:val="9"/>
    <w:rsid w:val="005B458E"/>
    <w:rPr>
      <w:rFonts w:asciiTheme="majorHAnsi" w:eastAsiaTheme="majorEastAsia" w:hAnsiTheme="majorHAnsi" w:cstheme="majorBidi"/>
      <w:color w:val="00847E" w:themeColor="accent1"/>
      <w:sz w:val="32"/>
      <w:szCs w:val="24"/>
    </w:rPr>
  </w:style>
  <w:style w:type="paragraph" w:customStyle="1" w:styleId="Heading4Numbered">
    <w:name w:val="Heading 4 Numbered"/>
    <w:basedOn w:val="Heading4"/>
    <w:uiPriority w:val="10"/>
    <w:qFormat/>
    <w:rsid w:val="005B458E"/>
    <w:pPr>
      <w:numPr>
        <w:ilvl w:val="3"/>
        <w:numId w:val="36"/>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36"/>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36"/>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36"/>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39"/>
      </w:numPr>
    </w:pPr>
  </w:style>
  <w:style w:type="paragraph" w:customStyle="1" w:styleId="List1Numbered2">
    <w:name w:val="List 1 Numbered 2"/>
    <w:basedOn w:val="Normal"/>
    <w:uiPriority w:val="2"/>
    <w:qFormat/>
    <w:rsid w:val="005B458E"/>
    <w:pPr>
      <w:numPr>
        <w:ilvl w:val="1"/>
        <w:numId w:val="39"/>
      </w:numPr>
    </w:pPr>
  </w:style>
  <w:style w:type="paragraph" w:customStyle="1" w:styleId="List1Numbered3">
    <w:name w:val="List 1 Numbered 3"/>
    <w:basedOn w:val="Normal"/>
    <w:uiPriority w:val="2"/>
    <w:qFormat/>
    <w:rsid w:val="005B458E"/>
    <w:pPr>
      <w:numPr>
        <w:ilvl w:val="2"/>
        <w:numId w:val="39"/>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40"/>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41"/>
      </w:numPr>
    </w:pPr>
  </w:style>
  <w:style w:type="paragraph" w:customStyle="1" w:styleId="TableTitle">
    <w:name w:val="Table Title"/>
    <w:basedOn w:val="FigureTitle"/>
    <w:uiPriority w:val="12"/>
    <w:qFormat/>
    <w:rsid w:val="005B458E"/>
    <w:pPr>
      <w:numPr>
        <w:numId w:val="42"/>
      </w:numPr>
    </w:pPr>
  </w:style>
  <w:style w:type="paragraph" w:customStyle="1" w:styleId="PullOut-Pink">
    <w:name w:val="Pull Out - Pink"/>
    <w:basedOn w:val="PullOut-Teal"/>
    <w:uiPriority w:val="22"/>
    <w:qFormat/>
    <w:rsid w:val="005B458E"/>
    <w:pPr>
      <w:numPr>
        <w:numId w:val="43"/>
      </w:numPr>
    </w:pPr>
  </w:style>
  <w:style w:type="paragraph" w:customStyle="1" w:styleId="PullOut-Yellow">
    <w:name w:val="Pull Out - Yellow"/>
    <w:basedOn w:val="PullOut-Teal"/>
    <w:qFormat/>
    <w:rsid w:val="005B458E"/>
    <w:pPr>
      <w:numPr>
        <w:numId w:val="44"/>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link w:val="ListParagraphChar"/>
    <w:uiPriority w:val="34"/>
    <w:qFormat/>
    <w:rsid w:val="004A4AE6"/>
    <w:pPr>
      <w:spacing w:before="40" w:after="160" w:line="280" w:lineRule="exact"/>
      <w:ind w:left="720"/>
      <w:contextualSpacing/>
    </w:pPr>
    <w:rPr>
      <w:rFonts w:ascii="Arial" w:hAnsi="Arial"/>
      <w:color w:val="auto"/>
    </w:rPr>
  </w:style>
  <w:style w:type="character" w:customStyle="1" w:styleId="ListParagraphChar">
    <w:name w:val="List Paragraph Char"/>
    <w:basedOn w:val="DefaultParagraphFont"/>
    <w:link w:val="ListParagraph"/>
    <w:uiPriority w:val="34"/>
    <w:rsid w:val="004A4AE6"/>
    <w:rPr>
      <w:rFonts w:ascii="Arial" w:hAnsi="Arial"/>
      <w:color w:val="auto"/>
    </w:rPr>
  </w:style>
  <w:style w:type="table" w:customStyle="1" w:styleId="TEQSAtables">
    <w:name w:val="TEQSA tables"/>
    <w:basedOn w:val="TableNormal"/>
    <w:uiPriority w:val="99"/>
    <w:rsid w:val="004A4AE6"/>
    <w:pPr>
      <w:spacing w:before="0" w:after="0"/>
      <w:jc w:val="center"/>
    </w:pPr>
    <w:rPr>
      <w:color w:val="auto"/>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Mar>
        <w:top w:w="57" w:type="dxa"/>
        <w:left w:w="142" w:type="dxa"/>
        <w:bottom w:w="57" w:type="dxa"/>
        <w:right w:w="142" w:type="dxa"/>
      </w:tcMar>
    </w:tcPr>
    <w:tblStylePr w:type="firstRow">
      <w:rPr>
        <w:rFonts w:ascii="Arial" w:hAnsi="Arial"/>
        <w:b/>
        <w:color w:val="E7E6E6" w:themeColor="background2"/>
        <w:sz w:val="2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000000" w:themeColor="text1"/>
          <w:tl2br w:val="nil"/>
          <w:tr2bl w:val="nil"/>
        </w:tcBorders>
        <w:shd w:val="clear" w:color="auto" w:fill="004855"/>
      </w:tcPr>
    </w:tblStylePr>
    <w:tblStylePr w:type="band2Horz">
      <w:tblPr/>
      <w:tcPr>
        <w:shd w:val="clear" w:color="auto" w:fill="FBE4D5" w:themeFill="accent6" w:themeFillTint="33"/>
      </w:tcPr>
    </w:tblStylePr>
  </w:style>
  <w:style w:type="character" w:styleId="Hyperlink">
    <w:name w:val="Hyperlink"/>
    <w:basedOn w:val="DefaultParagraphFont"/>
    <w:uiPriority w:val="99"/>
    <w:unhideWhenUsed/>
    <w:rsid w:val="004A4AE6"/>
    <w:rPr>
      <w:color w:val="00847E" w:themeColor="hyperlink"/>
      <w:u w:val="single"/>
    </w:rPr>
  </w:style>
  <w:style w:type="character" w:styleId="CommentReference">
    <w:name w:val="annotation reference"/>
    <w:basedOn w:val="DefaultParagraphFont"/>
    <w:uiPriority w:val="99"/>
    <w:semiHidden/>
    <w:unhideWhenUsed/>
    <w:rsid w:val="00013605"/>
    <w:rPr>
      <w:sz w:val="16"/>
      <w:szCs w:val="16"/>
    </w:rPr>
  </w:style>
  <w:style w:type="paragraph" w:styleId="CommentText">
    <w:name w:val="annotation text"/>
    <w:basedOn w:val="Normal"/>
    <w:link w:val="CommentTextChar"/>
    <w:uiPriority w:val="99"/>
    <w:semiHidden/>
    <w:unhideWhenUsed/>
    <w:rsid w:val="00013605"/>
    <w:rPr>
      <w:sz w:val="20"/>
      <w:szCs w:val="20"/>
    </w:rPr>
  </w:style>
  <w:style w:type="character" w:customStyle="1" w:styleId="CommentTextChar">
    <w:name w:val="Comment Text Char"/>
    <w:basedOn w:val="DefaultParagraphFont"/>
    <w:link w:val="CommentText"/>
    <w:uiPriority w:val="99"/>
    <w:semiHidden/>
    <w:rsid w:val="00013605"/>
    <w:rPr>
      <w:sz w:val="20"/>
      <w:szCs w:val="20"/>
    </w:rPr>
  </w:style>
  <w:style w:type="paragraph" w:styleId="CommentSubject">
    <w:name w:val="annotation subject"/>
    <w:basedOn w:val="CommentText"/>
    <w:next w:val="CommentText"/>
    <w:link w:val="CommentSubjectChar"/>
    <w:uiPriority w:val="99"/>
    <w:semiHidden/>
    <w:unhideWhenUsed/>
    <w:rsid w:val="00013605"/>
    <w:rPr>
      <w:b/>
      <w:bCs/>
    </w:rPr>
  </w:style>
  <w:style w:type="character" w:customStyle="1" w:styleId="CommentSubjectChar">
    <w:name w:val="Comment Subject Char"/>
    <w:basedOn w:val="CommentTextChar"/>
    <w:link w:val="CommentSubject"/>
    <w:uiPriority w:val="99"/>
    <w:semiHidden/>
    <w:rsid w:val="00013605"/>
    <w:rPr>
      <w:b/>
      <w:bCs/>
      <w:sz w:val="20"/>
      <w:szCs w:val="20"/>
    </w:rPr>
  </w:style>
  <w:style w:type="paragraph" w:styleId="Revision">
    <w:name w:val="Revision"/>
    <w:hidden/>
    <w:uiPriority w:val="99"/>
    <w:semiHidden/>
    <w:rsid w:val="00940CFE"/>
    <w:pPr>
      <w:spacing w:before="0" w:after="0"/>
    </w:pPr>
  </w:style>
  <w:style w:type="character" w:styleId="UnresolvedMention">
    <w:name w:val="Unresolved Mention"/>
    <w:basedOn w:val="DefaultParagraphFont"/>
    <w:uiPriority w:val="99"/>
    <w:semiHidden/>
    <w:unhideWhenUsed/>
    <w:rsid w:val="00CB6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viderenquiries@teqsa.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ssessments@teqsa.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registration.enquiries@teqsa.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30</Value>
    </TaxCatchAll>
    <DocumentOwner xmlns="c7dac4e8-3feb-44f4-96ca-b86e7c14d0f6">
      <UserInfo>
        <DisplayName>Piskun, Andrew</DisplayName>
        <AccountId>474</AccountId>
        <AccountType/>
      </UserInfo>
    </DocumentOwner>
    <DatePublished xmlns="c7dac4e8-3feb-44f4-96ca-b86e7c14d0f6">2017-07-24T14:00:00+00:00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Information,Analysis ＆ Reporting</TermName>
          <TermId xmlns="http://schemas.microsoft.com/office/infopath/2007/PartnerControls">37718a6d-10b4-45fc-9ff6-917bfd7da810</TermId>
        </TermInfo>
      </Terms>
    </e6aacab2b3734039bc8633068afcfbf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0CE3D-525A-4C27-9A18-CC9746080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49B4E-4953-4279-8997-AA386B984921}">
  <ds:schemaRef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c7dac4e8-3feb-44f4-96ca-b86e7c14d0f6"/>
    <ds:schemaRef ds:uri="http://schemas.microsoft.com/office/2006/metadata/properties"/>
  </ds:schemaRefs>
</ds:datastoreItem>
</file>

<file path=customXml/itemProps3.xml><?xml version="1.0" encoding="utf-8"?>
<ds:datastoreItem xmlns:ds="http://schemas.openxmlformats.org/officeDocument/2006/customXml" ds:itemID="{CA7ED60F-9E04-4D86-8D05-AFAC634B0A4B}">
  <ds:schemaRefs>
    <ds:schemaRef ds:uri="http://schemas.microsoft.com/sharepoint/v3/contenttype/forms"/>
  </ds:schemaRefs>
</ds:datastoreItem>
</file>

<file path=customXml/itemProps4.xml><?xml version="1.0" encoding="utf-8"?>
<ds:datastoreItem xmlns:ds="http://schemas.openxmlformats.org/officeDocument/2006/customXml" ds:itemID="{A2E120D6-B9B6-43D0-BA17-36C5D13B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3350</Characters>
  <Application>Microsoft Office Word</Application>
  <DocSecurity>0</DocSecurity>
  <Lines>62</Lines>
  <Paragraphs>27</Paragraphs>
  <ScaleCrop>false</ScaleCrop>
  <HeadingPairs>
    <vt:vector size="2" baseType="variant">
      <vt:variant>
        <vt:lpstr>Title</vt:lpstr>
      </vt:variant>
      <vt:variant>
        <vt:i4>1</vt:i4>
      </vt:variant>
    </vt:vector>
  </HeadingPairs>
  <TitlesOfParts>
    <vt:vector size="1" baseType="lpstr">
      <vt:lpstr>Extensions to the period of provider registration or course accreditation policy</vt:lpstr>
    </vt:vector>
  </TitlesOfParts>
  <Company>Tertiary Education Quality and Standards Agency</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Extensions to the period of provider registration or course accreditation policy</dc:title>
  <dc:creator>May, Raphael</dc:creator>
  <cp:keywords>[SEC=OFFICIAL]</cp:keywords>
  <cp:lastModifiedBy>Tom Hewitt-McManus</cp:lastModifiedBy>
  <cp:revision>4</cp:revision>
  <cp:lastPrinted>2018-10-18T00:22:00Z</cp:lastPrinted>
  <dcterms:created xsi:type="dcterms:W3CDTF">2021-07-06T06:18:00Z</dcterms:created>
  <dcterms:modified xsi:type="dcterms:W3CDTF">2025-04-15T02:51:00Z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30;#Information,Analysis ＆ Reporting|37718a6d-10b4-45fc-9ff6-917bfd7da810</vt:lpwstr>
  </property>
  <property fmtid="{D5CDD505-2E9C-101B-9397-08002B2CF9AE}" pid="4" name="PM_Namespace">
    <vt:lpwstr>gov.au</vt:lpwstr>
  </property>
  <property fmtid="{D5CDD505-2E9C-101B-9397-08002B2CF9AE}" pid="5" name="PM_Caveats_Count">
    <vt:lpwstr>0</vt:lpwstr>
  </property>
  <property fmtid="{D5CDD505-2E9C-101B-9397-08002B2CF9AE}" pid="6" name="PM_Version">
    <vt:lpwstr>2018.4</vt:lpwstr>
  </property>
  <property fmtid="{D5CDD505-2E9C-101B-9397-08002B2CF9AE}" pid="7" name="PM_Note">
    <vt:lpwstr/>
  </property>
  <property fmtid="{D5CDD505-2E9C-101B-9397-08002B2CF9AE}" pid="8" name="PMHMAC">
    <vt:lpwstr>v=2022.1;a=SHA256;h=D29D63B693D58E1B3988E33DE05C010019C52C55B1A8311DF1120E8807FCA8EC</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2025-04-15T02:51:40Z</vt:lpwstr>
  </property>
  <property fmtid="{D5CDD505-2E9C-101B-9397-08002B2CF9AE}" pid="13" name="PM_Markers">
    <vt:lpwstr/>
  </property>
  <property fmtid="{D5CDD505-2E9C-101B-9397-08002B2CF9AE}" pid="14" name="PM_InsertionValue">
    <vt:lpwstr>OFFICIAL</vt:lpwstr>
  </property>
  <property fmtid="{D5CDD505-2E9C-101B-9397-08002B2CF9AE}" pid="15" name="PM_Originator_Hash_SHA1">
    <vt:lpwstr>62651C896F027337B0917591A88E0831BADB0F30</vt:lpwstr>
  </property>
  <property fmtid="{D5CDD505-2E9C-101B-9397-08002B2CF9AE}" pid="16" name="PM_DisplayValueSecClassificationWithQualifier">
    <vt:lpwstr>OFFICIAL</vt:lpwstr>
  </property>
  <property fmtid="{D5CDD505-2E9C-101B-9397-08002B2CF9AE}" pid="17" name="PM_Originating_FileId">
    <vt:lpwstr>9F946BE6DB584B4E9333B3053ACD119B</vt:lpwstr>
  </property>
  <property fmtid="{D5CDD505-2E9C-101B-9397-08002B2CF9AE}" pid="18" name="PM_ProtectiveMarkingValue_Footer">
    <vt:lpwstr>OFFICIAL</vt:lpwstr>
  </property>
  <property fmtid="{D5CDD505-2E9C-101B-9397-08002B2CF9AE}" pid="19" name="PM_ProtectiveMarkingImage_Header">
    <vt:lpwstr>C:\Program Files\Common Files\janusNET Shared\janusSEAL\Images\DocumentSlashBlue.png</vt:lpwstr>
  </property>
  <property fmtid="{D5CDD505-2E9C-101B-9397-08002B2CF9AE}" pid="20" name="PM_ProtectiveMarkingImage_Footer">
    <vt:lpwstr>C:\Program Files\Common Files\janusNET Shared\janusSEAL\Images\DocumentSlashBlue.png</vt:lpwstr>
  </property>
  <property fmtid="{D5CDD505-2E9C-101B-9397-08002B2CF9AE}" pid="21" name="PM_Display">
    <vt:lpwstr>OFFICIAL</vt:lpwstr>
  </property>
  <property fmtid="{D5CDD505-2E9C-101B-9397-08002B2CF9AE}" pid="22" name="PM_OriginatorUserAccountName_SHA256">
    <vt:lpwstr>CFBE9EA95CBB88E2F7B8752707BAE6AEB1998AE5520D6094ECCC44AD28AAD5C8</vt:lpwstr>
  </property>
  <property fmtid="{D5CDD505-2E9C-101B-9397-08002B2CF9AE}" pid="23" name="PM_OriginatorDomainName_SHA256">
    <vt:lpwstr>0C3D4C92EC8F38444BA78741E5B5836F9817C3740155E164E6696E5C1131B3E3</vt:lpwstr>
  </property>
  <property fmtid="{D5CDD505-2E9C-101B-9397-08002B2CF9AE}" pid="24" name="PMUuid">
    <vt:lpwstr>v=2022.2;d=gov.au;g=46DD6D7C-8107-577B-BC6E-F348953B2E44</vt:lpwstr>
  </property>
  <property fmtid="{D5CDD505-2E9C-101B-9397-08002B2CF9AE}" pid="25" name="PM_Hash_Version">
    <vt:lpwstr>2022.1</vt:lpwstr>
  </property>
  <property fmtid="{D5CDD505-2E9C-101B-9397-08002B2CF9AE}" pid="26" name="PM_Hash_Salt_Prev">
    <vt:lpwstr>56F9B7D91F59C1A3EDBA68D9E899C8AF</vt:lpwstr>
  </property>
  <property fmtid="{D5CDD505-2E9C-101B-9397-08002B2CF9AE}" pid="27" name="PM_Hash_Salt">
    <vt:lpwstr>4705BCAEEA561D03E19B7002FEF49D0D</vt:lpwstr>
  </property>
  <property fmtid="{D5CDD505-2E9C-101B-9397-08002B2CF9AE}" pid="28" name="PM_Hash_SHA1">
    <vt:lpwstr>C244A2A728F6E671F6F55E330E5617A7DDC5622C</vt:lpwstr>
  </property>
</Properties>
</file>