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76C5" w14:textId="302CAAC9" w:rsidR="00B759C1" w:rsidRPr="00BE0F27" w:rsidRDefault="00CD74B3" w:rsidP="000377FF">
      <w:pPr>
        <w:pStyle w:val="Heading1"/>
        <w:spacing w:after="0"/>
        <w:rPr>
          <w:iCs/>
          <w:noProof/>
        </w:rPr>
      </w:pPr>
      <w:r w:rsidRPr="00BE0F27">
        <w:rPr>
          <w:iCs/>
          <w:noProof/>
        </w:rPr>
        <w:t xml:space="preserve">Guidance </w:t>
      </w:r>
      <w:r w:rsidR="006964EB">
        <w:rPr>
          <w:iCs/>
          <w:noProof/>
        </w:rPr>
        <w:t>n</w:t>
      </w:r>
      <w:r w:rsidRPr="00BE0F27">
        <w:rPr>
          <w:iCs/>
          <w:noProof/>
        </w:rPr>
        <w:t xml:space="preserve">ote: Credit and </w:t>
      </w:r>
      <w:r w:rsidR="006964EB">
        <w:rPr>
          <w:iCs/>
          <w:noProof/>
        </w:rPr>
        <w:t>r</w:t>
      </w:r>
      <w:r w:rsidRPr="00BE0F27">
        <w:rPr>
          <w:iCs/>
          <w:noProof/>
        </w:rPr>
        <w:t xml:space="preserve">ecognition of </w:t>
      </w:r>
      <w:r w:rsidR="006964EB">
        <w:rPr>
          <w:iCs/>
          <w:noProof/>
        </w:rPr>
        <w:t>p</w:t>
      </w:r>
      <w:r w:rsidRPr="00BE0F27">
        <w:rPr>
          <w:iCs/>
          <w:noProof/>
        </w:rPr>
        <w:t xml:space="preserve">rior </w:t>
      </w:r>
      <w:r w:rsidR="006964EB">
        <w:rPr>
          <w:iCs/>
          <w:noProof/>
        </w:rPr>
        <w:t>l</w:t>
      </w:r>
      <w:r w:rsidRPr="00BE0F27">
        <w:rPr>
          <w:iCs/>
          <w:noProof/>
        </w:rPr>
        <w:t>earning</w:t>
      </w:r>
      <w:r w:rsidR="006B4435">
        <w:rPr>
          <w:iCs/>
          <w:noProof/>
        </w:rPr>
        <w:t xml:space="preserve"> </w:t>
      </w:r>
    </w:p>
    <w:p w14:paraId="7A54BEDF" w14:textId="77777777" w:rsidR="00F40B3D" w:rsidRDefault="00F40B3D" w:rsidP="00AE1FDB">
      <w:pPr>
        <w:rPr>
          <w:rStyle w:val="SubtleEmphasis"/>
          <w:noProof/>
          <w:highlight w:val="yellow"/>
        </w:rPr>
      </w:pPr>
    </w:p>
    <w:p w14:paraId="080CBC56" w14:textId="6E0F31FF" w:rsidR="00772E72" w:rsidRDefault="00B759C1" w:rsidP="00AE1FDB">
      <w:pPr>
        <w:rPr>
          <w:rStyle w:val="SubtleEmphasis"/>
          <w:noProof/>
          <w:color w:val="000000" w:themeColor="text1"/>
        </w:rPr>
      </w:pPr>
      <w:r w:rsidRPr="006964EB">
        <w:rPr>
          <w:rStyle w:val="SubtleEmphasis"/>
          <w:noProof/>
        </w:rPr>
        <w:t xml:space="preserve">Version </w:t>
      </w:r>
      <w:r w:rsidR="00BF0997">
        <w:rPr>
          <w:rStyle w:val="SubtleEmphasis"/>
          <w:noProof/>
        </w:rPr>
        <w:t>2</w:t>
      </w:r>
      <w:r w:rsidRPr="006964EB">
        <w:rPr>
          <w:rStyle w:val="SubtleEmphasis"/>
          <w:noProof/>
        </w:rPr>
        <w:t>.</w:t>
      </w:r>
      <w:r w:rsidR="003C0410" w:rsidRPr="006964EB">
        <w:rPr>
          <w:rStyle w:val="SubtleEmphasis"/>
          <w:noProof/>
        </w:rPr>
        <w:t xml:space="preserve">0 </w:t>
      </w:r>
      <w:r w:rsidRPr="006964EB">
        <w:rPr>
          <w:rStyle w:val="SubtleEmphasis"/>
          <w:noProof/>
        </w:rPr>
        <w:t>(</w:t>
      </w:r>
      <w:r w:rsidR="006964EB" w:rsidRPr="006964EB">
        <w:rPr>
          <w:rStyle w:val="SubtleEmphasis"/>
          <w:noProof/>
        </w:rPr>
        <w:t>7 February 2023</w:t>
      </w:r>
      <w:r w:rsidRPr="006964EB">
        <w:rPr>
          <w:rStyle w:val="SubtleEmphasis"/>
          <w:noProof/>
        </w:rPr>
        <w:t>)</w:t>
      </w:r>
    </w:p>
    <w:p w14:paraId="451BD70B" w14:textId="09260882" w:rsidR="00772E72" w:rsidRPr="00F25CEC" w:rsidRDefault="00772E72" w:rsidP="00F2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E7D"/>
        <w:spacing w:line="276" w:lineRule="auto"/>
        <w:rPr>
          <w:rStyle w:val="SubtleEmphasis"/>
          <w:noProof/>
          <w:color w:val="FFFFFF" w:themeColor="background1"/>
        </w:rPr>
      </w:pPr>
      <w:r w:rsidRPr="00F25CEC">
        <w:rPr>
          <w:rStyle w:val="SubtleEmphasis"/>
          <w:noProof/>
          <w:color w:val="FFFFFF" w:themeColor="background1"/>
        </w:rPr>
        <w:t xml:space="preserve">Providers should note that </w:t>
      </w:r>
      <w:r w:rsidR="00524886" w:rsidRPr="00F25CEC">
        <w:rPr>
          <w:rStyle w:val="SubtleEmphasis"/>
          <w:noProof/>
          <w:color w:val="FFFFFF" w:themeColor="background1"/>
        </w:rPr>
        <w:t>Guidance Notes</w:t>
      </w:r>
      <w:r w:rsidRPr="00F25CEC">
        <w:rPr>
          <w:rStyle w:val="SubtleEmphasis"/>
          <w:noProof/>
          <w:color w:val="FFFFFF" w:themeColor="background1"/>
        </w:rPr>
        <w:t xml:space="preserve"> are intended to provide </w:t>
      </w:r>
      <w:r w:rsidR="007F59E6" w:rsidRPr="00F25CEC">
        <w:rPr>
          <w:rStyle w:val="SubtleEmphasis"/>
          <w:noProof/>
          <w:color w:val="FFFFFF" w:themeColor="background1"/>
        </w:rPr>
        <w:t>guidance only</w:t>
      </w:r>
      <w:r w:rsidRPr="00F25CEC">
        <w:rPr>
          <w:rStyle w:val="SubtleEmphasis"/>
          <w:noProof/>
          <w:color w:val="FFFFFF" w:themeColor="background1"/>
        </w:rPr>
        <w:t>. The definitive instruments for regulatory purposes remain the TEQSA Act and the Higher Education Standards Framework as amended from time to time.</w:t>
      </w:r>
    </w:p>
    <w:p w14:paraId="0B66C110" w14:textId="3E8E5739" w:rsidR="00B759C1" w:rsidRPr="00BE0F27" w:rsidRDefault="00B759C1" w:rsidP="00524886">
      <w:pPr>
        <w:pStyle w:val="Heading2"/>
        <w:numPr>
          <w:ilvl w:val="0"/>
          <w:numId w:val="35"/>
        </w:numPr>
        <w:rPr>
          <w:noProof/>
        </w:rPr>
      </w:pPr>
      <w:r w:rsidRPr="00BE0F27">
        <w:rPr>
          <w:noProof/>
        </w:rPr>
        <w:t xml:space="preserve">What does </w:t>
      </w:r>
      <w:r w:rsidR="00091FD4" w:rsidRPr="00BE0F27">
        <w:rPr>
          <w:noProof/>
        </w:rPr>
        <w:t>Credit and Recognition of Prior Learning</w:t>
      </w:r>
      <w:r w:rsidRPr="00BE0F27">
        <w:rPr>
          <w:noProof/>
        </w:rPr>
        <w:t xml:space="preserve"> </w:t>
      </w:r>
      <w:r w:rsidR="00854C1D">
        <w:rPr>
          <w:noProof/>
        </w:rPr>
        <w:t>encompass</w:t>
      </w:r>
      <w:r w:rsidRPr="00BE0F27">
        <w:rPr>
          <w:noProof/>
        </w:rPr>
        <w:t>?</w:t>
      </w:r>
    </w:p>
    <w:p w14:paraId="795C20AD" w14:textId="3A2BBCE3" w:rsidR="00D46A37" w:rsidRDefault="00D46A37" w:rsidP="00EC5DD6">
      <w:pPr>
        <w:rPr>
          <w:noProof/>
        </w:rPr>
      </w:pPr>
      <w:r>
        <w:rPr>
          <w:noProof/>
        </w:rPr>
        <w:t>T</w:t>
      </w:r>
      <w:r w:rsidR="00B759C1" w:rsidRPr="00C95EAF">
        <w:rPr>
          <w:noProof/>
        </w:rPr>
        <w:t xml:space="preserve">he </w:t>
      </w:r>
      <w:hyperlink r:id="rId11" w:history="1">
        <w:r w:rsidR="00B759C1" w:rsidRPr="00F25CEC">
          <w:rPr>
            <w:rStyle w:val="Hyperlink"/>
            <w:i/>
            <w:noProof/>
          </w:rPr>
          <w:t>Higher Education Standards Framework (Threshold Standards) 20</w:t>
        </w:r>
        <w:r w:rsidR="00513E63" w:rsidRPr="00F25CEC">
          <w:rPr>
            <w:rStyle w:val="Hyperlink"/>
            <w:i/>
            <w:noProof/>
          </w:rPr>
          <w:t>21</w:t>
        </w:r>
        <w:r w:rsidR="00B759C1" w:rsidRPr="00F25CEC">
          <w:rPr>
            <w:rStyle w:val="Hyperlink"/>
            <w:i/>
            <w:noProof/>
          </w:rPr>
          <w:t xml:space="preserve"> </w:t>
        </w:r>
        <w:r w:rsidR="00B759C1" w:rsidRPr="00F25CEC">
          <w:rPr>
            <w:rStyle w:val="Hyperlink"/>
            <w:noProof/>
          </w:rPr>
          <w:t>(</w:t>
        </w:r>
        <w:r w:rsidR="00141301">
          <w:rPr>
            <w:rStyle w:val="Hyperlink"/>
            <w:noProof/>
          </w:rPr>
          <w:t>Threshold Standards</w:t>
        </w:r>
        <w:r w:rsidR="00091FD4" w:rsidRPr="00F25CEC">
          <w:rPr>
            <w:rStyle w:val="Hyperlink"/>
            <w:noProof/>
          </w:rPr>
          <w:t>)</w:t>
        </w:r>
      </w:hyperlink>
      <w:r>
        <w:rPr>
          <w:noProof/>
        </w:rPr>
        <w:t xml:space="preserve"> and</w:t>
      </w:r>
      <w:r w:rsidR="00091FD4">
        <w:rPr>
          <w:noProof/>
        </w:rPr>
        <w:t xml:space="preserve"> </w:t>
      </w:r>
      <w:r w:rsidR="006B32EA">
        <w:rPr>
          <w:noProof/>
        </w:rPr>
        <w:t xml:space="preserve">the </w:t>
      </w:r>
      <w:hyperlink r:id="rId12" w:history="1">
        <w:r w:rsidR="006B32EA" w:rsidRPr="00B00764">
          <w:rPr>
            <w:rStyle w:val="Hyperlink"/>
            <w:noProof/>
          </w:rPr>
          <w:t>Australian Qualification Framework (AQF)</w:t>
        </w:r>
      </w:hyperlink>
      <w:r w:rsidR="006B32EA">
        <w:rPr>
          <w:noProof/>
        </w:rPr>
        <w:t xml:space="preserve"> </w:t>
      </w:r>
      <w:r>
        <w:rPr>
          <w:noProof/>
        </w:rPr>
        <w:t xml:space="preserve">set out </w:t>
      </w:r>
      <w:r w:rsidR="00EC1815">
        <w:rPr>
          <w:noProof/>
        </w:rPr>
        <w:t>requirements</w:t>
      </w:r>
      <w:r>
        <w:rPr>
          <w:noProof/>
        </w:rPr>
        <w:t xml:space="preserve"> for recognition of prior learning (RPL) and granting credit in the higher education sector.</w:t>
      </w:r>
    </w:p>
    <w:p w14:paraId="14F0F54A" w14:textId="6C844FB6" w:rsidR="008646EE" w:rsidRDefault="008646EE" w:rsidP="00EC5DD6">
      <w:pPr>
        <w:rPr>
          <w:noProof/>
        </w:rPr>
      </w:pPr>
      <w:r>
        <w:t xml:space="preserve">The primary obligations are found in section 1.2 of the </w:t>
      </w:r>
      <w:r w:rsidR="00141301">
        <w:t>Threshold Standards</w:t>
      </w:r>
      <w:r>
        <w:t>.</w:t>
      </w:r>
    </w:p>
    <w:p w14:paraId="5B6844C9" w14:textId="3CF82EAD" w:rsidR="00131429" w:rsidRPr="00BE0F27" w:rsidRDefault="00131429" w:rsidP="00131429">
      <w:pPr>
        <w:pStyle w:val="IntroPara"/>
        <w:rPr>
          <w:noProof/>
          <w:color w:val="004D7D"/>
        </w:rPr>
      </w:pPr>
      <w:r w:rsidRPr="00BE0F27">
        <w:rPr>
          <w:noProof/>
          <w:color w:val="004D7D"/>
        </w:rPr>
        <w:t>Credit</w:t>
      </w:r>
    </w:p>
    <w:p w14:paraId="055504DB" w14:textId="3FB49ED7" w:rsidR="00EC1815" w:rsidRDefault="00F25CEC" w:rsidP="00CD74B3">
      <w:pPr>
        <w:rPr>
          <w:lang w:val="en-US"/>
        </w:rPr>
      </w:pPr>
      <w:r w:rsidRPr="00F25CEC">
        <w:rPr>
          <w:lang w:val="en-US"/>
        </w:rPr>
        <w:t xml:space="preserve">Credit is </w:t>
      </w:r>
      <w:r w:rsidR="00EC1815">
        <w:rPr>
          <w:lang w:val="en-US"/>
        </w:rPr>
        <w:t>a</w:t>
      </w:r>
      <w:r w:rsidRPr="00F25CEC">
        <w:rPr>
          <w:lang w:val="en-US"/>
        </w:rPr>
        <w:t xml:space="preserve"> recognition of equivalence in content and learning outcomes between different types of learning and/or qualifications. Credit </w:t>
      </w:r>
      <w:r w:rsidR="00942039">
        <w:rPr>
          <w:lang w:val="en-US"/>
        </w:rPr>
        <w:t>can reduce</w:t>
      </w:r>
      <w:r w:rsidR="00942039" w:rsidRPr="00F25CEC">
        <w:rPr>
          <w:lang w:val="en-US"/>
        </w:rPr>
        <w:t xml:space="preserve"> </w:t>
      </w:r>
      <w:r w:rsidRPr="00F25CEC">
        <w:rPr>
          <w:lang w:val="en-US"/>
        </w:rPr>
        <w:t>the amount of learning required to achieve a qualification</w:t>
      </w:r>
      <w:r w:rsidR="000034A0">
        <w:rPr>
          <w:lang w:val="en-US"/>
        </w:rPr>
        <w:t>.</w:t>
      </w:r>
      <w:r w:rsidR="00D46A37">
        <w:rPr>
          <w:lang w:val="en-US"/>
        </w:rPr>
        <w:t xml:space="preserve"> </w:t>
      </w:r>
    </w:p>
    <w:p w14:paraId="00455554" w14:textId="0F3E7999" w:rsidR="00EC1815" w:rsidRDefault="00EC1815" w:rsidP="00CD74B3">
      <w:r>
        <w:rPr>
          <w:lang w:val="en-US"/>
        </w:rPr>
        <w:t>Credit</w:t>
      </w:r>
      <w:r w:rsidR="00F25CEC" w:rsidRPr="00F25CEC">
        <w:rPr>
          <w:lang w:val="en-US"/>
        </w:rPr>
        <w:t xml:space="preserve"> may be</w:t>
      </w:r>
      <w:r w:rsidR="008B63C8">
        <w:rPr>
          <w:lang w:val="en-US"/>
        </w:rPr>
        <w:t xml:space="preserve"> granted</w:t>
      </w:r>
      <w:r w:rsidR="00F25CEC" w:rsidRPr="00F25CEC">
        <w:rPr>
          <w:lang w:val="en-US"/>
        </w:rPr>
        <w:t xml:space="preserve"> through credit transfer, articulation, recognition of prior learning or advanced standing.</w:t>
      </w:r>
      <w:r w:rsidR="00CD74B3">
        <w:t xml:space="preserve"> </w:t>
      </w:r>
    </w:p>
    <w:p w14:paraId="37758F9E" w14:textId="605A38E3" w:rsidR="00CD74B3" w:rsidRDefault="00CD74B3" w:rsidP="00CD74B3">
      <w:r>
        <w:t>For the purposes of this Guidance Note, credit is interpreted broadly to include:</w:t>
      </w:r>
    </w:p>
    <w:p w14:paraId="341362F0" w14:textId="77777777" w:rsidR="00CD74B3" w:rsidRPr="007C69C4" w:rsidRDefault="00CD74B3" w:rsidP="007C69C4">
      <w:pPr>
        <w:pStyle w:val="Bullet1"/>
        <w:numPr>
          <w:ilvl w:val="0"/>
          <w:numId w:val="45"/>
        </w:numPr>
      </w:pPr>
      <w:r w:rsidRPr="007C69C4">
        <w:t>specified and unspecified credit</w:t>
      </w:r>
    </w:p>
    <w:p w14:paraId="66C7500D" w14:textId="77777777" w:rsidR="00CD74B3" w:rsidRPr="007C69C4" w:rsidRDefault="00CD74B3" w:rsidP="007C69C4">
      <w:pPr>
        <w:pStyle w:val="Bullet1"/>
        <w:numPr>
          <w:ilvl w:val="0"/>
          <w:numId w:val="45"/>
        </w:numPr>
      </w:pPr>
      <w:r w:rsidRPr="007C69C4">
        <w:t>exemptions</w:t>
      </w:r>
    </w:p>
    <w:p w14:paraId="0756EBC7" w14:textId="305DEFA1" w:rsidR="00CD74B3" w:rsidRPr="007C69C4" w:rsidRDefault="00CD74B3" w:rsidP="007C69C4">
      <w:pPr>
        <w:pStyle w:val="Bullet1"/>
        <w:numPr>
          <w:ilvl w:val="0"/>
          <w:numId w:val="45"/>
        </w:numPr>
      </w:pPr>
      <w:r w:rsidRPr="007C69C4">
        <w:t>advanced standing</w:t>
      </w:r>
    </w:p>
    <w:p w14:paraId="2C9FD7BC" w14:textId="77777777" w:rsidR="00CD74B3" w:rsidRPr="007C69C4" w:rsidRDefault="00CD74B3" w:rsidP="007C69C4">
      <w:pPr>
        <w:pStyle w:val="Bullet1"/>
        <w:numPr>
          <w:ilvl w:val="0"/>
          <w:numId w:val="45"/>
        </w:numPr>
      </w:pPr>
      <w:r w:rsidRPr="007C69C4">
        <w:t>credit transfers</w:t>
      </w:r>
    </w:p>
    <w:p w14:paraId="0B2401BF" w14:textId="4AEDD672" w:rsidR="00CD74B3" w:rsidRPr="00757977" w:rsidRDefault="00CD74B3" w:rsidP="007C69C4">
      <w:pPr>
        <w:pStyle w:val="Bullet1"/>
        <w:numPr>
          <w:ilvl w:val="0"/>
          <w:numId w:val="45"/>
        </w:numPr>
        <w:rPr>
          <w:lang w:val="en-US"/>
        </w:rPr>
      </w:pPr>
      <w:r w:rsidRPr="007C69C4">
        <w:t>opportunities</w:t>
      </w:r>
      <w:r w:rsidRPr="00757977">
        <w:rPr>
          <w:lang w:val="en-US"/>
        </w:rPr>
        <w:t xml:space="preserve"> for substitute learning</w:t>
      </w:r>
      <w:r w:rsidR="004D3F1D">
        <w:rPr>
          <w:lang w:val="en-US"/>
        </w:rPr>
        <w:t>.</w:t>
      </w:r>
      <w:r w:rsidRPr="00757977">
        <w:rPr>
          <w:lang w:val="en-US"/>
        </w:rPr>
        <w:t xml:space="preserve"> </w:t>
      </w:r>
    </w:p>
    <w:p w14:paraId="2467BE21" w14:textId="3C72B2F9" w:rsidR="00131429" w:rsidRPr="00BE0F27" w:rsidRDefault="00131429" w:rsidP="00131429">
      <w:pPr>
        <w:pStyle w:val="IntroPara"/>
        <w:rPr>
          <w:color w:val="004D7D"/>
        </w:rPr>
      </w:pPr>
      <w:r w:rsidRPr="00BE0F27">
        <w:rPr>
          <w:color w:val="004D7D"/>
        </w:rPr>
        <w:t>Recognition of Prior Learning (RPL)</w:t>
      </w:r>
    </w:p>
    <w:p w14:paraId="2C87182B" w14:textId="4F7BE255" w:rsidR="00CD74B3" w:rsidRDefault="00352B57" w:rsidP="00352B57">
      <w:pPr>
        <w:rPr>
          <w:lang w:val="en-US"/>
        </w:rPr>
      </w:pPr>
      <w:r w:rsidRPr="00352B57">
        <w:rPr>
          <w:lang w:val="en-US"/>
        </w:rPr>
        <w:t>Recognition of prior learning</w:t>
      </w:r>
      <w:r w:rsidR="00D6180E">
        <w:rPr>
          <w:lang w:val="en-US"/>
        </w:rPr>
        <w:t xml:space="preserve"> (RPL)</w:t>
      </w:r>
      <w:r w:rsidRPr="00352B57">
        <w:rPr>
          <w:lang w:val="en-US"/>
        </w:rPr>
        <w:t xml:space="preserve"> is an assessment of an individual’s prior learning to determine </w:t>
      </w:r>
      <w:r w:rsidR="00EC1815">
        <w:rPr>
          <w:lang w:val="en-US"/>
        </w:rPr>
        <w:t>whether credit</w:t>
      </w:r>
      <w:r w:rsidR="008C3F0D">
        <w:rPr>
          <w:lang w:val="en-US"/>
        </w:rPr>
        <w:t xml:space="preserve"> will be granted</w:t>
      </w:r>
      <w:r w:rsidRPr="00352B57">
        <w:rPr>
          <w:lang w:val="en-US"/>
        </w:rPr>
        <w:t>.</w:t>
      </w:r>
      <w:r w:rsidR="00E54D1D">
        <w:rPr>
          <w:lang w:val="en-US"/>
        </w:rPr>
        <w:t xml:space="preserve"> </w:t>
      </w:r>
      <w:r w:rsidR="008C3F0D">
        <w:rPr>
          <w:lang w:val="en-US"/>
        </w:rPr>
        <w:t>RPL</w:t>
      </w:r>
      <w:r w:rsidR="00E54D1D">
        <w:rPr>
          <w:lang w:val="en-US"/>
        </w:rPr>
        <w:t xml:space="preserve"> includes </w:t>
      </w:r>
      <w:r w:rsidR="00E54D1D" w:rsidRPr="00352B57">
        <w:rPr>
          <w:lang w:val="en-US"/>
        </w:rPr>
        <w:t>formal, informal, and non-formal learning</w:t>
      </w:r>
      <w:r w:rsidR="00F06697">
        <w:rPr>
          <w:rStyle w:val="FootnoteReference"/>
          <w:lang w:val="en-US"/>
        </w:rPr>
        <w:footnoteReference w:id="1"/>
      </w:r>
      <w:r w:rsidR="00E54D1D">
        <w:rPr>
          <w:lang w:val="en-US"/>
        </w:rPr>
        <w:t>.</w:t>
      </w:r>
    </w:p>
    <w:p w14:paraId="7CA510B2" w14:textId="6305F347" w:rsidR="00183BDA" w:rsidRPr="00100520" w:rsidRDefault="00183BDA" w:rsidP="00183BDA">
      <w:pPr>
        <w:rPr>
          <w:lang w:val="en-US"/>
        </w:rPr>
      </w:pPr>
      <w:r>
        <w:rPr>
          <w:lang w:val="en-US"/>
        </w:rPr>
        <w:t xml:space="preserve">A provider may </w:t>
      </w:r>
      <w:r w:rsidR="004275A2">
        <w:rPr>
          <w:lang w:val="en-US"/>
        </w:rPr>
        <w:t>grant credit arising from</w:t>
      </w:r>
      <w:r w:rsidR="00E54D1D">
        <w:rPr>
          <w:lang w:val="en-US"/>
        </w:rPr>
        <w:t xml:space="preserve"> </w:t>
      </w:r>
      <w:r w:rsidR="00352B57">
        <w:rPr>
          <w:lang w:val="en-US"/>
        </w:rPr>
        <w:t>RPL</w:t>
      </w:r>
      <w:r>
        <w:rPr>
          <w:lang w:val="en-US"/>
        </w:rPr>
        <w:t xml:space="preserve"> in different ways, including: </w:t>
      </w:r>
    </w:p>
    <w:p w14:paraId="637E7F0A" w14:textId="55C4AFC8" w:rsidR="00183BDA" w:rsidRPr="00757977" w:rsidRDefault="00E54D1D" w:rsidP="007C69C4">
      <w:pPr>
        <w:pStyle w:val="Bullet1"/>
        <w:numPr>
          <w:ilvl w:val="0"/>
          <w:numId w:val="45"/>
        </w:numPr>
        <w:rPr>
          <w:lang w:val="en-US"/>
        </w:rPr>
      </w:pPr>
      <w:r w:rsidRPr="00757977">
        <w:rPr>
          <w:lang w:val="en-US"/>
        </w:rPr>
        <w:lastRenderedPageBreak/>
        <w:t>a</w:t>
      </w:r>
      <w:r w:rsidR="00183BDA" w:rsidRPr="00757977">
        <w:rPr>
          <w:lang w:val="en-US"/>
        </w:rPr>
        <w:t>s part of a standing arrangement between providers to allow for credit to be transferred when a student complete</w:t>
      </w:r>
      <w:r w:rsidR="000D3CA6" w:rsidRPr="00757977">
        <w:rPr>
          <w:lang w:val="en-US"/>
        </w:rPr>
        <w:t>s</w:t>
      </w:r>
      <w:r w:rsidR="00183BDA" w:rsidRPr="00757977">
        <w:rPr>
          <w:lang w:val="en-US"/>
        </w:rPr>
        <w:t xml:space="preserve"> </w:t>
      </w:r>
      <w:proofErr w:type="gramStart"/>
      <w:r w:rsidR="00183BDA" w:rsidRPr="00757977">
        <w:rPr>
          <w:lang w:val="en-US"/>
        </w:rPr>
        <w:t>particular units</w:t>
      </w:r>
      <w:proofErr w:type="gramEnd"/>
      <w:r w:rsidR="00183BDA" w:rsidRPr="00757977">
        <w:rPr>
          <w:lang w:val="en-US"/>
        </w:rPr>
        <w:t xml:space="preserve"> or courses</w:t>
      </w:r>
    </w:p>
    <w:p w14:paraId="4E004D5F" w14:textId="62147817" w:rsidR="00183BDA" w:rsidRPr="00757977" w:rsidRDefault="00E54D1D" w:rsidP="007C69C4">
      <w:pPr>
        <w:pStyle w:val="Bullet1"/>
        <w:numPr>
          <w:ilvl w:val="0"/>
          <w:numId w:val="45"/>
        </w:numPr>
        <w:rPr>
          <w:lang w:val="en-US"/>
        </w:rPr>
      </w:pPr>
      <w:r w:rsidRPr="00757977">
        <w:rPr>
          <w:lang w:val="en-US"/>
        </w:rPr>
        <w:t>o</w:t>
      </w:r>
      <w:r w:rsidR="00183BDA" w:rsidRPr="00757977">
        <w:rPr>
          <w:lang w:val="en-US"/>
        </w:rPr>
        <w:t xml:space="preserve">n a case-by-case basis. </w:t>
      </w:r>
    </w:p>
    <w:p w14:paraId="47CF38BB" w14:textId="0FA2090E" w:rsidR="004275A2" w:rsidRDefault="00EF52E8" w:rsidP="00100520">
      <w:pPr>
        <w:rPr>
          <w:lang w:val="en-US"/>
        </w:rPr>
      </w:pPr>
      <w:r>
        <w:rPr>
          <w:lang w:val="en-US"/>
        </w:rPr>
        <w:t xml:space="preserve">A provider’s </w:t>
      </w:r>
      <w:r w:rsidR="008C3F0D">
        <w:rPr>
          <w:lang w:val="en-US"/>
        </w:rPr>
        <w:t xml:space="preserve">RPL </w:t>
      </w:r>
      <w:r>
        <w:rPr>
          <w:lang w:val="en-US"/>
        </w:rPr>
        <w:t xml:space="preserve">policies and processes should be used to </w:t>
      </w:r>
      <w:r w:rsidR="00E54D1D">
        <w:rPr>
          <w:lang w:val="en-US"/>
        </w:rPr>
        <w:t xml:space="preserve">inform </w:t>
      </w:r>
      <w:r>
        <w:rPr>
          <w:lang w:val="en-US"/>
        </w:rPr>
        <w:t>decisions about granting credit. These policies and processes should include considerations about</w:t>
      </w:r>
      <w:r w:rsidR="004275A2">
        <w:rPr>
          <w:lang w:val="en-US"/>
        </w:rPr>
        <w:t>:</w:t>
      </w:r>
    </w:p>
    <w:p w14:paraId="7A9D6EB3" w14:textId="020922CE" w:rsidR="004275A2" w:rsidRDefault="004275A2" w:rsidP="007C69C4">
      <w:pPr>
        <w:pStyle w:val="Bullet1"/>
        <w:numPr>
          <w:ilvl w:val="0"/>
          <w:numId w:val="45"/>
        </w:numPr>
        <w:rPr>
          <w:lang w:val="en-US"/>
        </w:rPr>
      </w:pPr>
      <w:r w:rsidRPr="004275A2">
        <w:rPr>
          <w:lang w:val="en-US"/>
        </w:rPr>
        <w:t>whether granting credit may disadvantage the student</w:t>
      </w:r>
      <w:r>
        <w:rPr>
          <w:lang w:val="en-US"/>
        </w:rPr>
        <w:t xml:space="preserve"> in achieving expected learning outcomes for the course of study or qualification</w:t>
      </w:r>
    </w:p>
    <w:p w14:paraId="44216978" w14:textId="33877ED8" w:rsidR="004275A2" w:rsidRPr="004275A2" w:rsidRDefault="00ED7966" w:rsidP="007C69C4">
      <w:pPr>
        <w:pStyle w:val="Bullet1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maintaining </w:t>
      </w:r>
      <w:r w:rsidR="00EF52E8" w:rsidRPr="004275A2">
        <w:rPr>
          <w:lang w:val="en-US"/>
        </w:rPr>
        <w:t xml:space="preserve">the integrity of the qualification. </w:t>
      </w:r>
    </w:p>
    <w:p w14:paraId="3E66C27D" w14:textId="2582A6ED" w:rsidR="004316DC" w:rsidRDefault="00EF52E8" w:rsidP="00915932">
      <w:pPr>
        <w:rPr>
          <w:lang w:val="en-US"/>
        </w:rPr>
      </w:pPr>
      <w:r>
        <w:rPr>
          <w:lang w:val="en-US"/>
        </w:rPr>
        <w:t xml:space="preserve">Further, any process for </w:t>
      </w:r>
      <w:r w:rsidR="008C3F0D">
        <w:rPr>
          <w:lang w:val="en-US"/>
        </w:rPr>
        <w:t xml:space="preserve">approving an </w:t>
      </w:r>
      <w:r w:rsidR="006B32EA">
        <w:rPr>
          <w:lang w:val="en-US"/>
        </w:rPr>
        <w:t>RPL</w:t>
      </w:r>
      <w:r>
        <w:rPr>
          <w:lang w:val="en-US"/>
        </w:rPr>
        <w:t xml:space="preserve"> </w:t>
      </w:r>
      <w:r w:rsidR="008C3F0D">
        <w:rPr>
          <w:lang w:val="en-US"/>
        </w:rPr>
        <w:t xml:space="preserve">request </w:t>
      </w:r>
      <w:r w:rsidR="00C51933">
        <w:rPr>
          <w:lang w:val="en-US"/>
        </w:rPr>
        <w:t>should be</w:t>
      </w:r>
      <w:r w:rsidR="00CD74B3">
        <w:rPr>
          <w:lang w:val="en-US"/>
        </w:rPr>
        <w:t xml:space="preserve"> grounded in evidence</w:t>
      </w:r>
      <w:r>
        <w:rPr>
          <w:lang w:val="en-US"/>
        </w:rPr>
        <w:t xml:space="preserve"> and</w:t>
      </w:r>
      <w:r w:rsidR="00CD74B3">
        <w:rPr>
          <w:lang w:val="en-US"/>
        </w:rPr>
        <w:t xml:space="preserve"> academic judgement about equivalence of learning.</w:t>
      </w:r>
    </w:p>
    <w:p w14:paraId="608553FC" w14:textId="6F081BB4" w:rsidR="00B759C1" w:rsidRDefault="00B759C1" w:rsidP="00524886">
      <w:pPr>
        <w:pStyle w:val="Heading2"/>
        <w:numPr>
          <w:ilvl w:val="0"/>
          <w:numId w:val="35"/>
        </w:numPr>
        <w:rPr>
          <w:noProof/>
        </w:rPr>
      </w:pPr>
      <w:r w:rsidRPr="00BE0F27">
        <w:rPr>
          <w:noProof/>
        </w:rPr>
        <w:t>What TEQSA will look for</w:t>
      </w:r>
    </w:p>
    <w:p w14:paraId="27892DD9" w14:textId="55DDDF37" w:rsidR="00EC5DD6" w:rsidRDefault="00B759C1" w:rsidP="00B759C1">
      <w:pPr>
        <w:rPr>
          <w:noProof/>
        </w:rPr>
      </w:pPr>
      <w:r w:rsidRPr="00C95EAF">
        <w:rPr>
          <w:noProof/>
        </w:rPr>
        <w:t xml:space="preserve">The </w:t>
      </w:r>
      <w:r w:rsidR="00141301">
        <w:rPr>
          <w:noProof/>
        </w:rPr>
        <w:t>Threshold Standards</w:t>
      </w:r>
      <w:r w:rsidRPr="00C95EAF">
        <w:rPr>
          <w:noProof/>
        </w:rPr>
        <w:t xml:space="preserve"> </w:t>
      </w:r>
      <w:r w:rsidR="00ED7966">
        <w:rPr>
          <w:noProof/>
        </w:rPr>
        <w:t>places requirements on</w:t>
      </w:r>
      <w:r w:rsidR="006D3C1C">
        <w:rPr>
          <w:noProof/>
        </w:rPr>
        <w:t xml:space="preserve"> </w:t>
      </w:r>
      <w:r w:rsidR="004316DC">
        <w:rPr>
          <w:noProof/>
        </w:rPr>
        <w:t xml:space="preserve">a </w:t>
      </w:r>
      <w:r w:rsidR="006D3C1C">
        <w:rPr>
          <w:noProof/>
        </w:rPr>
        <w:t>provider</w:t>
      </w:r>
      <w:r w:rsidR="004316DC">
        <w:rPr>
          <w:noProof/>
        </w:rPr>
        <w:t>’</w:t>
      </w:r>
      <w:r w:rsidR="006D3C1C">
        <w:rPr>
          <w:noProof/>
        </w:rPr>
        <w:t>s</w:t>
      </w:r>
      <w:r w:rsidR="00ED7966">
        <w:rPr>
          <w:noProof/>
        </w:rPr>
        <w:t xml:space="preserve"> </w:t>
      </w:r>
      <w:r w:rsidR="006D3C1C">
        <w:rPr>
          <w:noProof/>
        </w:rPr>
        <w:t>process</w:t>
      </w:r>
      <w:r w:rsidR="007409CB">
        <w:rPr>
          <w:noProof/>
        </w:rPr>
        <w:t>es</w:t>
      </w:r>
      <w:r w:rsidR="006D3C1C">
        <w:rPr>
          <w:noProof/>
        </w:rPr>
        <w:t xml:space="preserve"> and practices in granting credit and recognising prior learning.</w:t>
      </w:r>
      <w:r w:rsidR="00DC4564">
        <w:rPr>
          <w:noProof/>
        </w:rPr>
        <w:t xml:space="preserve"> </w:t>
      </w:r>
      <w:r w:rsidR="0089776B" w:rsidRPr="007C4501">
        <w:rPr>
          <w:noProof/>
        </w:rPr>
        <w:t xml:space="preserve">These include the following standards and criteria from the </w:t>
      </w:r>
      <w:r w:rsidR="00141301">
        <w:rPr>
          <w:noProof/>
        </w:rPr>
        <w:t>Threshold Standards</w:t>
      </w:r>
      <w:r w:rsidR="0089776B" w:rsidRPr="007C4501">
        <w:rPr>
          <w:noProof/>
        </w:rPr>
        <w:t>: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3681"/>
        <w:gridCol w:w="6226"/>
      </w:tblGrid>
      <w:tr w:rsidR="004316DC" w:rsidRPr="00E17BFE" w14:paraId="4371BDCF" w14:textId="77777777" w:rsidTr="00A9201F">
        <w:trPr>
          <w:trHeight w:val="332"/>
        </w:trPr>
        <w:tc>
          <w:tcPr>
            <w:tcW w:w="3681" w:type="dxa"/>
            <w:shd w:val="clear" w:color="auto" w:fill="004E7D"/>
          </w:tcPr>
          <w:p w14:paraId="08FB488D" w14:textId="77777777" w:rsidR="00DC4564" w:rsidRPr="00E17BFE" w:rsidRDefault="00DC4564" w:rsidP="00D61780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E17BF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  <w:t>Part A: Standards for HE Providers</w:t>
            </w:r>
          </w:p>
        </w:tc>
        <w:tc>
          <w:tcPr>
            <w:tcW w:w="6226" w:type="dxa"/>
            <w:shd w:val="clear" w:color="auto" w:fill="004E7D"/>
          </w:tcPr>
          <w:p w14:paraId="2B1AEFE4" w14:textId="7872B065" w:rsidR="00DC4564" w:rsidRPr="00E17BFE" w:rsidRDefault="00DC4564" w:rsidP="00D61780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E17BF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  <w:t>Key considerations</w:t>
            </w:r>
          </w:p>
        </w:tc>
      </w:tr>
      <w:tr w:rsidR="0075059A" w:rsidRPr="00E17BFE" w14:paraId="41661803" w14:textId="77777777" w:rsidTr="00A9201F">
        <w:trPr>
          <w:trHeight w:val="828"/>
        </w:trPr>
        <w:tc>
          <w:tcPr>
            <w:tcW w:w="3681" w:type="dxa"/>
            <w:shd w:val="clear" w:color="auto" w:fill="auto"/>
          </w:tcPr>
          <w:p w14:paraId="62554F39" w14:textId="74837950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1.1 Admission</w:t>
            </w:r>
          </w:p>
        </w:tc>
        <w:tc>
          <w:tcPr>
            <w:tcW w:w="6226" w:type="dxa"/>
            <w:shd w:val="clear" w:color="auto" w:fill="auto"/>
          </w:tcPr>
          <w:p w14:paraId="7DCD2089" w14:textId="4DA17E18" w:rsidR="0075059A" w:rsidRPr="000377FF" w:rsidRDefault="003E5248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rior to enrolment, providers must inform students of policies, </w:t>
            </w:r>
            <w:r w:rsidR="00426114" w:rsidRPr="000377FF">
              <w:rPr>
                <w:rFonts w:asciiTheme="majorHAnsi" w:hAnsiTheme="majorHAnsi" w:cstheme="majorHAnsi"/>
                <w:sz w:val="20"/>
                <w:szCs w:val="20"/>
              </w:rPr>
              <w:t>arrangements,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and potential eligibility for credit for prior learning</w:t>
            </w: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B3F3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62649" w:rsidRPr="00E17BFE" w14:paraId="295AC76A" w14:textId="77777777" w:rsidTr="00A9201F">
        <w:trPr>
          <w:trHeight w:val="609"/>
        </w:trPr>
        <w:tc>
          <w:tcPr>
            <w:tcW w:w="3681" w:type="dxa"/>
            <w:shd w:val="clear" w:color="auto" w:fill="auto"/>
          </w:tcPr>
          <w:p w14:paraId="7D8B7D6F" w14:textId="5E24DFCE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1.2: Credit and Recognition of Prior Learning</w:t>
            </w:r>
          </w:p>
        </w:tc>
        <w:tc>
          <w:tcPr>
            <w:tcW w:w="6226" w:type="dxa"/>
            <w:vMerge w:val="restart"/>
            <w:shd w:val="clear" w:color="auto" w:fill="auto"/>
          </w:tcPr>
          <w:p w14:paraId="13A8C708" w14:textId="4C58990D" w:rsidR="00A62649" w:rsidRPr="000377FF" w:rsidRDefault="00A62649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any granting of credit through RPL should:</w:t>
            </w:r>
          </w:p>
          <w:p w14:paraId="69DF39A4" w14:textId="7DF46647" w:rsidR="00A62649" w:rsidRPr="000377FF" w:rsidRDefault="00A62649" w:rsidP="00D61780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not potentially disadvantage students including in the student’s transition into and through their course</w:t>
            </w:r>
          </w:p>
          <w:p w14:paraId="5030DBEE" w14:textId="2E7B5802" w:rsidR="00A62649" w:rsidRPr="000377FF" w:rsidRDefault="00A62649" w:rsidP="000377FF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maintain integrity of the course and qualification</w:t>
            </w:r>
          </w:p>
          <w:p w14:paraId="3F478A75" w14:textId="4CEC0AB6" w:rsidR="00A62649" w:rsidRPr="000377FF" w:rsidRDefault="00A62649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providers should grant credit and qualifications in accordance with its organisational policies and the Australian Qualifications Framework (AQF)</w:t>
            </w:r>
          </w:p>
          <w:p w14:paraId="6B57FB91" w14:textId="1663B49F" w:rsidR="00A62649" w:rsidRPr="000377FF" w:rsidRDefault="00A62649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where credit is granted it must be identified on a student’s record of results and in a Australian Higher Education Graduation Statement (AHEGS)</w:t>
            </w:r>
            <w:r w:rsidRPr="000377FF" w:rsidDel="008A5E07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if one is issued.</w:t>
            </w:r>
          </w:p>
        </w:tc>
      </w:tr>
      <w:tr w:rsidR="00A62649" w:rsidRPr="00E17BFE" w14:paraId="312440A1" w14:textId="77777777" w:rsidTr="00A9201F">
        <w:trPr>
          <w:trHeight w:val="609"/>
        </w:trPr>
        <w:tc>
          <w:tcPr>
            <w:tcW w:w="3681" w:type="dxa"/>
            <w:shd w:val="clear" w:color="auto" w:fill="auto"/>
          </w:tcPr>
          <w:p w14:paraId="008B29CE" w14:textId="2D837568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1.3.6 Orientation and Progression</w:t>
            </w:r>
          </w:p>
        </w:tc>
        <w:tc>
          <w:tcPr>
            <w:tcW w:w="6226" w:type="dxa"/>
            <w:vMerge/>
            <w:shd w:val="clear" w:color="auto" w:fill="auto"/>
          </w:tcPr>
          <w:p w14:paraId="75CF6A0C" w14:textId="77777777" w:rsidR="00A62649" w:rsidRPr="000377FF" w:rsidRDefault="00A62649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2649" w:rsidRPr="00E17BFE" w14:paraId="6BA90C4F" w14:textId="77777777" w:rsidTr="00A9201F">
        <w:trPr>
          <w:trHeight w:val="941"/>
        </w:trPr>
        <w:tc>
          <w:tcPr>
            <w:tcW w:w="3681" w:type="dxa"/>
            <w:shd w:val="clear" w:color="auto" w:fill="auto"/>
          </w:tcPr>
          <w:p w14:paraId="0BA4FED6" w14:textId="5D459DBD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1.5.7b, and 1.5.8 Qualifications and Certification</w:t>
            </w:r>
          </w:p>
          <w:p w14:paraId="52C132CD" w14:textId="77777777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704F63F" w14:textId="4763813E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6226" w:type="dxa"/>
            <w:vMerge/>
            <w:shd w:val="clear" w:color="auto" w:fill="auto"/>
          </w:tcPr>
          <w:p w14:paraId="1467C2CE" w14:textId="77777777" w:rsidR="00A62649" w:rsidRPr="000377FF" w:rsidRDefault="00A62649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2649" w:rsidRPr="00E17BFE" w14:paraId="326AFFB1" w14:textId="77777777" w:rsidTr="00A9201F">
        <w:trPr>
          <w:trHeight w:val="675"/>
        </w:trPr>
        <w:tc>
          <w:tcPr>
            <w:tcW w:w="3681" w:type="dxa"/>
            <w:shd w:val="clear" w:color="auto" w:fill="auto"/>
          </w:tcPr>
          <w:p w14:paraId="5C84F37B" w14:textId="7DD4BFA0" w:rsidR="00A62649" w:rsidRPr="000377FF" w:rsidRDefault="00A62649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6.2.1(h) Standards for Corporate Monitoring and Accountability</w:t>
            </w:r>
          </w:p>
        </w:tc>
        <w:tc>
          <w:tcPr>
            <w:tcW w:w="6226" w:type="dxa"/>
            <w:vMerge/>
            <w:shd w:val="clear" w:color="auto" w:fill="auto"/>
          </w:tcPr>
          <w:p w14:paraId="737D8BD9" w14:textId="77777777" w:rsidR="00A62649" w:rsidRPr="000377FF" w:rsidRDefault="00A62649" w:rsidP="00D617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307C" w:rsidRPr="00E17BFE" w14:paraId="6EC179E4" w14:textId="77777777" w:rsidTr="00A9201F">
        <w:trPr>
          <w:trHeight w:val="286"/>
        </w:trPr>
        <w:tc>
          <w:tcPr>
            <w:tcW w:w="3681" w:type="dxa"/>
            <w:shd w:val="clear" w:color="auto" w:fill="auto"/>
          </w:tcPr>
          <w:p w14:paraId="5DE55B6B" w14:textId="63CEA859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1.4 Learning Outcomes and Assessment</w:t>
            </w:r>
          </w:p>
          <w:p w14:paraId="60FBD38A" w14:textId="078D96F8" w:rsidR="003F307C" w:rsidRPr="000377FF" w:rsidRDefault="003F307C" w:rsidP="00D61780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226" w:type="dxa"/>
            <w:vMerge w:val="restart"/>
            <w:shd w:val="clear" w:color="auto" w:fill="auto"/>
          </w:tcPr>
          <w:p w14:paraId="09A19BBF" w14:textId="0A14FCB3" w:rsidR="003F307C" w:rsidRPr="000377FF" w:rsidRDefault="003E5248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o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n completion of a course</w:t>
            </w:r>
            <w:r w:rsidR="004D2471">
              <w:rPr>
                <w:rFonts w:asciiTheme="majorHAnsi" w:hAnsiTheme="majorHAnsi" w:cstheme="majorHAnsi"/>
                <w:noProof/>
                <w:sz w:val="20"/>
                <w:szCs w:val="20"/>
              </w:rPr>
              <w:t>,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students must demonstrate they</w:t>
            </w:r>
            <w:r w:rsidR="00ED7966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have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achieved the specified learning outcomes for that course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>.</w:t>
            </w:r>
          </w:p>
          <w:p w14:paraId="37EF3498" w14:textId="38A5EDE0" w:rsidR="00A62649" w:rsidRPr="000377FF" w:rsidRDefault="003E5248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l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earning outcomes for a qualification must be consistent with the</w:t>
            </w:r>
            <w:r w:rsidR="00A62649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AQF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Specification for the </w:t>
            </w:r>
            <w:r w:rsidR="008B3F3C">
              <w:rPr>
                <w:rFonts w:asciiTheme="majorHAnsi" w:hAnsiTheme="majorHAnsi" w:cstheme="majorHAnsi"/>
                <w:noProof/>
                <w:sz w:val="20"/>
                <w:szCs w:val="20"/>
              </w:rPr>
              <w:t>qualification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level.</w:t>
            </w:r>
          </w:p>
        </w:tc>
      </w:tr>
      <w:tr w:rsidR="003F307C" w:rsidRPr="00E17BFE" w14:paraId="1ACFBB1A" w14:textId="77777777" w:rsidTr="00A9201F">
        <w:trPr>
          <w:trHeight w:val="665"/>
        </w:trPr>
        <w:tc>
          <w:tcPr>
            <w:tcW w:w="3681" w:type="dxa"/>
            <w:shd w:val="clear" w:color="auto" w:fill="auto"/>
          </w:tcPr>
          <w:p w14:paraId="7AAD1F9B" w14:textId="2E4988BF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1.5.3 Qualifications and Certification</w:t>
            </w:r>
          </w:p>
        </w:tc>
        <w:tc>
          <w:tcPr>
            <w:tcW w:w="6226" w:type="dxa"/>
            <w:vMerge/>
            <w:shd w:val="clear" w:color="auto" w:fill="auto"/>
          </w:tcPr>
          <w:p w14:paraId="5EA27E2F" w14:textId="77777777" w:rsidR="003F307C" w:rsidRPr="000377FF" w:rsidRDefault="003F307C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BA3FA7" w:rsidRPr="00E17BFE" w14:paraId="33823A75" w14:textId="77777777" w:rsidTr="00A9201F">
        <w:trPr>
          <w:trHeight w:val="844"/>
        </w:trPr>
        <w:tc>
          <w:tcPr>
            <w:tcW w:w="3681" w:type="dxa"/>
            <w:shd w:val="clear" w:color="auto" w:fill="auto"/>
          </w:tcPr>
          <w:p w14:paraId="223DB581" w14:textId="708B2C42" w:rsidR="00BA3FA7" w:rsidRPr="000377FF" w:rsidRDefault="00BA3FA7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2.4 Student grievances and complaints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auto"/>
          </w:tcPr>
          <w:p w14:paraId="3468CCB6" w14:textId="6465659A" w:rsidR="00BA3FA7" w:rsidRPr="000377FF" w:rsidRDefault="00BA3FA7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providers must have mechanisms for resolving grievances about any aspect of a student’s experience with a higher education provider</w:t>
            </w:r>
          </w:p>
        </w:tc>
      </w:tr>
      <w:tr w:rsidR="0089776B" w:rsidRPr="00E17BFE" w14:paraId="23DDBE8E" w14:textId="77777777" w:rsidTr="00A9201F">
        <w:trPr>
          <w:trHeight w:val="1267"/>
        </w:trPr>
        <w:tc>
          <w:tcPr>
            <w:tcW w:w="3681" w:type="dxa"/>
            <w:shd w:val="clear" w:color="auto" w:fill="auto"/>
          </w:tcPr>
          <w:p w14:paraId="0F6E1565" w14:textId="5119F6DE" w:rsidR="0089776B" w:rsidRPr="000377FF" w:rsidRDefault="0089776B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3.1 Course design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auto"/>
          </w:tcPr>
          <w:p w14:paraId="044BD007" w14:textId="39E98572" w:rsidR="0089776B" w:rsidRPr="000377FF" w:rsidRDefault="003E5248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p</w:t>
            </w:r>
            <w:r w:rsidR="00671ABE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roviders must ensure grants of credit will still result in the student having</w:t>
            </w:r>
            <w:r w:rsidR="0089776B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:</w:t>
            </w:r>
          </w:p>
          <w:p w14:paraId="5393D5B4" w14:textId="7DECF275" w:rsidR="0089776B" w:rsidRPr="000377FF" w:rsidRDefault="008A5E07" w:rsidP="00D61780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engag</w:t>
            </w:r>
            <w:r w:rsidR="00276C2E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ed</w:t>
            </w:r>
            <w:r w:rsidR="0089776B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in advanced learning consistent with the study involved</w:t>
            </w:r>
          </w:p>
          <w:p w14:paraId="0D377705" w14:textId="4386A94B" w:rsidR="0089776B" w:rsidRPr="000377FF" w:rsidRDefault="008A5E07" w:rsidP="000377FF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achiev</w:t>
            </w:r>
            <w:r w:rsidR="00276C2E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ed</w:t>
            </w:r>
            <w:r w:rsidR="0089776B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required learning outcomes</w:t>
            </w:r>
            <w:r w:rsidR="00671ABE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.</w:t>
            </w:r>
          </w:p>
        </w:tc>
      </w:tr>
      <w:tr w:rsidR="003F307C" w:rsidRPr="00E17BFE" w14:paraId="312D3711" w14:textId="77777777" w:rsidTr="00A9201F">
        <w:trPr>
          <w:trHeight w:val="442"/>
        </w:trPr>
        <w:tc>
          <w:tcPr>
            <w:tcW w:w="3681" w:type="dxa"/>
            <w:shd w:val="clear" w:color="auto" w:fill="auto"/>
          </w:tcPr>
          <w:p w14:paraId="0CE408DC" w14:textId="47F8D601" w:rsidR="003F307C" w:rsidRPr="000377FF" w:rsidRDefault="003F307C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lastRenderedPageBreak/>
              <w:t>5.3 Monitoring, Review and Improvement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auto"/>
          </w:tcPr>
          <w:p w14:paraId="23348709" w14:textId="1EA3FD43" w:rsidR="003F307C" w:rsidRPr="000377FF" w:rsidRDefault="003E5248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p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roviders must </w:t>
            </w:r>
            <w:r w:rsidR="008A5E07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monitor 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cohort </w:t>
            </w:r>
            <w:r w:rsidR="003F307C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data on student progress</w:t>
            </w:r>
            <w:r w:rsidR="008A5E07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>(</w:t>
            </w:r>
            <w:r w:rsidR="008A5E07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and attrition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>)</w:t>
            </w:r>
            <w:r w:rsidR="008A5E07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to continuously improve</w:t>
            </w:r>
            <w:r w:rsidR="00D5442C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and address risk</w:t>
            </w:r>
            <w:r w:rsidR="0075059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.</w:t>
            </w:r>
            <w:r w:rsidR="008A5E07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  <w:r w:rsidR="001234C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</w:tc>
      </w:tr>
      <w:tr w:rsidR="00437DEB" w:rsidRPr="00E17BFE" w14:paraId="40CA343B" w14:textId="77777777" w:rsidTr="00B35404">
        <w:trPr>
          <w:trHeight w:val="998"/>
        </w:trPr>
        <w:tc>
          <w:tcPr>
            <w:tcW w:w="3681" w:type="dxa"/>
            <w:shd w:val="clear" w:color="auto" w:fill="auto"/>
          </w:tcPr>
          <w:p w14:paraId="12AF28F9" w14:textId="16113D62" w:rsidR="00437DEB" w:rsidRPr="000377FF" w:rsidRDefault="00437DEB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6.2.1(f) Corporate Monitoring and Accountability</w:t>
            </w:r>
          </w:p>
        </w:tc>
        <w:tc>
          <w:tcPr>
            <w:tcW w:w="6226" w:type="dxa"/>
            <w:shd w:val="clear" w:color="auto" w:fill="auto"/>
          </w:tcPr>
          <w:p w14:paraId="64C3A628" w14:textId="52706306" w:rsidR="00437DEB" w:rsidRPr="000377FF" w:rsidRDefault="003E5248" w:rsidP="00B35404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437DEB" w:rsidRPr="000377FF">
              <w:rPr>
                <w:rFonts w:asciiTheme="majorHAnsi" w:hAnsiTheme="majorHAnsi" w:cstheme="majorHAnsi"/>
                <w:sz w:val="20"/>
                <w:szCs w:val="20"/>
              </w:rPr>
              <w:t>rovider</w:t>
            </w: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37DEB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must</w:t>
            </w:r>
            <w:r w:rsidR="00B354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7DEB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ensure competent academic governance and leadership of higher education provision </w:t>
            </w:r>
            <w:r w:rsidR="00B366DD" w:rsidRPr="000377FF">
              <w:rPr>
                <w:rFonts w:asciiTheme="majorHAnsi" w:hAnsiTheme="majorHAnsi" w:cstheme="majorHAnsi"/>
                <w:sz w:val="20"/>
                <w:szCs w:val="20"/>
              </w:rPr>
              <w:t>to maintain the</w:t>
            </w: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quality of</w:t>
            </w:r>
            <w:r w:rsidR="00B366DD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higher education offered</w:t>
            </w: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B366DD" w:rsidRPr="00E17BFE" w14:paraId="30963B58" w14:textId="77777777" w:rsidTr="00A9201F">
        <w:trPr>
          <w:trHeight w:val="890"/>
        </w:trPr>
        <w:tc>
          <w:tcPr>
            <w:tcW w:w="3681" w:type="dxa"/>
            <w:shd w:val="clear" w:color="auto" w:fill="auto"/>
          </w:tcPr>
          <w:p w14:paraId="517CC6F8" w14:textId="77777777" w:rsidR="00B366DD" w:rsidRPr="000377FF" w:rsidRDefault="00B366DD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6.3 Academic governance</w:t>
            </w:r>
          </w:p>
          <w:p w14:paraId="12D88690" w14:textId="22C09765" w:rsidR="00B366DD" w:rsidRPr="000377FF" w:rsidRDefault="00B366DD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6226" w:type="dxa"/>
            <w:shd w:val="clear" w:color="auto" w:fill="auto"/>
          </w:tcPr>
          <w:p w14:paraId="17AF066D" w14:textId="20197B0A" w:rsidR="00B366DD" w:rsidRPr="000377FF" w:rsidRDefault="003E5248" w:rsidP="000377F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a provider’s academic governance ensures</w:t>
            </w:r>
            <w:r w:rsidR="0033210F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the</w:t>
            </w: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integrity and quality of the higher education activities of teaching, learning, research, and scholarship.</w:t>
            </w:r>
          </w:p>
        </w:tc>
      </w:tr>
      <w:tr w:rsidR="0075059A" w:rsidRPr="00E17BFE" w14:paraId="68751875" w14:textId="77777777" w:rsidTr="00A9201F">
        <w:trPr>
          <w:trHeight w:val="1541"/>
        </w:trPr>
        <w:tc>
          <w:tcPr>
            <w:tcW w:w="3681" w:type="dxa"/>
            <w:shd w:val="clear" w:color="auto" w:fill="auto"/>
          </w:tcPr>
          <w:p w14:paraId="6B69D961" w14:textId="1CD362E6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7.1.3 Representation</w:t>
            </w:r>
          </w:p>
        </w:tc>
        <w:tc>
          <w:tcPr>
            <w:tcW w:w="6226" w:type="dxa"/>
            <w:shd w:val="clear" w:color="auto" w:fill="auto"/>
          </w:tcPr>
          <w:p w14:paraId="7485DF41" w14:textId="00B435F8" w:rsidR="0075059A" w:rsidRPr="000377FF" w:rsidRDefault="003E5248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hen offering units separate to a course of study that may entitle a student to credits toward a course or qualification the provider must explain:</w:t>
            </w:r>
          </w:p>
          <w:p w14:paraId="4ED2A850" w14:textId="1C872DDB" w:rsidR="0075059A" w:rsidRPr="000377FF" w:rsidRDefault="00ED7966" w:rsidP="00D61780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hich course/qualification it will contribute to</w:t>
            </w:r>
          </w:p>
          <w:p w14:paraId="56C541AB" w14:textId="0C91EB7A" w:rsidR="0075059A" w:rsidRPr="000377FF" w:rsidRDefault="00ED7966" w:rsidP="000377FF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he terms on which credit will be granted</w:t>
            </w:r>
            <w:r w:rsidR="007921C9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or recognised</w:t>
            </w:r>
            <w:r w:rsidR="00671ABE" w:rsidRPr="000377F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5059A" w:rsidRPr="00E17BFE" w14:paraId="111F228A" w14:textId="77777777" w:rsidTr="00A9201F">
        <w:trPr>
          <w:trHeight w:val="286"/>
        </w:trPr>
        <w:tc>
          <w:tcPr>
            <w:tcW w:w="3681" w:type="dxa"/>
            <w:shd w:val="clear" w:color="auto" w:fill="auto"/>
          </w:tcPr>
          <w:p w14:paraId="6F382A73" w14:textId="30959797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7.2.2(a)</w:t>
            </w:r>
            <w:r w:rsidR="00E4429F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,(d)</w:t>
            </w: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Information for Prospective and Current Students</w:t>
            </w:r>
            <w:r w:rsidR="001234C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</w:tc>
        <w:tc>
          <w:tcPr>
            <w:tcW w:w="6226" w:type="dxa"/>
            <w:vMerge w:val="restart"/>
            <w:shd w:val="clear" w:color="auto" w:fill="auto"/>
          </w:tcPr>
          <w:p w14:paraId="58C177D6" w14:textId="332DE12E" w:rsidR="0075059A" w:rsidRPr="000377FF" w:rsidRDefault="003E5248" w:rsidP="00D6178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roviders must provide public access to their </w:t>
            </w:r>
            <w:r w:rsidR="00E4429F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policies and arrangements 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r w:rsidR="007921C9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RPL and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301B" w:rsidRPr="000377FF">
              <w:rPr>
                <w:rFonts w:asciiTheme="majorHAnsi" w:hAnsiTheme="majorHAnsi" w:cstheme="majorHAnsi"/>
                <w:sz w:val="20"/>
                <w:szCs w:val="20"/>
              </w:rPr>
              <w:t>grant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7921C9" w:rsidRPr="00037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5059A" w:rsidRPr="000377FF">
              <w:rPr>
                <w:rFonts w:asciiTheme="majorHAnsi" w:hAnsiTheme="majorHAnsi" w:cstheme="majorHAnsi"/>
                <w:sz w:val="20"/>
                <w:szCs w:val="20"/>
              </w:rPr>
              <w:t>credit</w:t>
            </w:r>
            <w:r w:rsidR="00FA7333" w:rsidRPr="000377FF">
              <w:rPr>
                <w:rFonts w:asciiTheme="majorHAnsi" w:hAnsiTheme="majorHAnsi" w:cstheme="majorHAnsi"/>
                <w:sz w:val="20"/>
                <w:szCs w:val="20"/>
              </w:rPr>
              <w:t>, including standing credit transfer arrangements</w:t>
            </w:r>
            <w:r w:rsidR="00344CD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5059A" w:rsidRPr="00E17BFE" w14:paraId="022259A9" w14:textId="77777777" w:rsidTr="00A9201F">
        <w:trPr>
          <w:trHeight w:val="286"/>
        </w:trPr>
        <w:tc>
          <w:tcPr>
            <w:tcW w:w="3681" w:type="dxa"/>
            <w:shd w:val="clear" w:color="auto" w:fill="auto"/>
          </w:tcPr>
          <w:p w14:paraId="1916D8DD" w14:textId="401D5E7A" w:rsidR="0075059A" w:rsidRPr="000377FF" w:rsidRDefault="0075059A" w:rsidP="00D61780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t>7.3.2 Information management</w:t>
            </w:r>
            <w:r w:rsidR="001234CA" w:rsidRPr="000377FF"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</w:tc>
        <w:tc>
          <w:tcPr>
            <w:tcW w:w="6226" w:type="dxa"/>
            <w:vMerge/>
            <w:shd w:val="clear" w:color="auto" w:fill="auto"/>
          </w:tcPr>
          <w:p w14:paraId="1C8A566D" w14:textId="77777777" w:rsidR="0075059A" w:rsidRPr="000377FF" w:rsidRDefault="0075059A" w:rsidP="00D617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043349" w14:textId="4BAE0F8C" w:rsidR="00215A66" w:rsidRDefault="00215A66" w:rsidP="00757977">
      <w:pPr>
        <w:pStyle w:val="Heading3"/>
        <w:rPr>
          <w:noProof/>
        </w:rPr>
      </w:pPr>
      <w:r>
        <w:rPr>
          <w:noProof/>
        </w:rPr>
        <w:t>The AQF Qualifications Pathway Policy</w:t>
      </w:r>
    </w:p>
    <w:p w14:paraId="54073F82" w14:textId="484517C5" w:rsidR="00D319B4" w:rsidRPr="00B00764" w:rsidRDefault="006E4B99" w:rsidP="006E4B99">
      <w:pPr>
        <w:rPr>
          <w:noProof/>
          <w:color w:val="004E7D"/>
        </w:rPr>
      </w:pPr>
      <w:r>
        <w:rPr>
          <w:noProof/>
        </w:rPr>
        <w:t xml:space="preserve">TEQSA will consider whether a </w:t>
      </w:r>
      <w:r w:rsidR="0065301B">
        <w:rPr>
          <w:noProof/>
        </w:rPr>
        <w:t>grant</w:t>
      </w:r>
      <w:r>
        <w:rPr>
          <w:noProof/>
        </w:rPr>
        <w:t xml:space="preserve"> of credit is consistent with the </w:t>
      </w:r>
      <w:r w:rsidR="004A4879">
        <w:rPr>
          <w:noProof/>
        </w:rPr>
        <w:t xml:space="preserve">AQF’s </w:t>
      </w:r>
      <w:hyperlink r:id="rId13" w:history="1">
        <w:r w:rsidR="0065301B" w:rsidRPr="00B00764">
          <w:rPr>
            <w:rStyle w:val="Hyperlink"/>
            <w:noProof/>
          </w:rPr>
          <w:t>Qualifications Pathway Policy (QPP)</w:t>
        </w:r>
      </w:hyperlink>
      <w:r w:rsidR="0065301B" w:rsidRPr="00B00764">
        <w:rPr>
          <w:noProof/>
          <w:color w:val="004E7D"/>
        </w:rPr>
        <w:t>.</w:t>
      </w:r>
    </w:p>
    <w:p w14:paraId="10EE0CEE" w14:textId="59F6BEBF" w:rsidR="00FE36B1" w:rsidRDefault="00453E90" w:rsidP="006E4B99">
      <w:pPr>
        <w:rPr>
          <w:noProof/>
        </w:rPr>
      </w:pPr>
      <w:r>
        <w:rPr>
          <w:noProof/>
        </w:rPr>
        <w:t>Whilst many</w:t>
      </w:r>
      <w:r w:rsidR="00C94B96">
        <w:rPr>
          <w:noProof/>
        </w:rPr>
        <w:t xml:space="preserve"> requirements under the </w:t>
      </w:r>
      <w:r w:rsidR="00D066C3">
        <w:rPr>
          <w:noProof/>
        </w:rPr>
        <w:t>QPP</w:t>
      </w:r>
      <w:r w:rsidR="00C94B96">
        <w:rPr>
          <w:noProof/>
        </w:rPr>
        <w:t xml:space="preserve"> are similar to </w:t>
      </w:r>
      <w:r>
        <w:rPr>
          <w:noProof/>
        </w:rPr>
        <w:t>those</w:t>
      </w:r>
      <w:r w:rsidR="00C94B96">
        <w:rPr>
          <w:noProof/>
        </w:rPr>
        <w:t xml:space="preserve"> under the </w:t>
      </w:r>
      <w:r w:rsidR="00141301">
        <w:rPr>
          <w:noProof/>
        </w:rPr>
        <w:t>Threshold Standards</w:t>
      </w:r>
      <w:r w:rsidR="0065301B">
        <w:rPr>
          <w:noProof/>
        </w:rPr>
        <w:t>,</w:t>
      </w:r>
      <w:r w:rsidR="00FE36B1">
        <w:rPr>
          <w:noProof/>
        </w:rPr>
        <w:t xml:space="preserve"> the </w:t>
      </w:r>
      <w:r w:rsidR="00D066C3">
        <w:rPr>
          <w:noProof/>
        </w:rPr>
        <w:t>QPP</w:t>
      </w:r>
      <w:r w:rsidR="00FE36B1">
        <w:rPr>
          <w:noProof/>
        </w:rPr>
        <w:t xml:space="preserve"> add</w:t>
      </w:r>
      <w:r w:rsidR="00FA7333">
        <w:rPr>
          <w:noProof/>
        </w:rPr>
        <w:t>s</w:t>
      </w:r>
      <w:r w:rsidR="00FE36B1">
        <w:rPr>
          <w:noProof/>
        </w:rPr>
        <w:t xml:space="preserve"> additional expectations on providers</w:t>
      </w:r>
      <w:r w:rsidR="00BA6AD8">
        <w:rPr>
          <w:noProof/>
        </w:rPr>
        <w:t xml:space="preserve"> in areas</w:t>
      </w:r>
      <w:r w:rsidR="004A4879">
        <w:rPr>
          <w:noProof/>
        </w:rPr>
        <w:t xml:space="preserve"> such as:</w:t>
      </w:r>
    </w:p>
    <w:p w14:paraId="30CC5D7B" w14:textId="77777777" w:rsidR="00AA4D88" w:rsidRDefault="006E54DE" w:rsidP="00A9201F">
      <w:pPr>
        <w:pStyle w:val="Bullet1"/>
        <w:ind w:left="142"/>
      </w:pPr>
      <w:r w:rsidRPr="00A9201F">
        <w:rPr>
          <w:b/>
          <w:bCs/>
        </w:rPr>
        <w:t>2.1.3</w:t>
      </w:r>
      <w:r>
        <w:t xml:space="preserve"> - T</w:t>
      </w:r>
      <w:r w:rsidR="00C94B96">
        <w:t>he</w:t>
      </w:r>
      <w:r>
        <w:t xml:space="preserve"> process for deciding whether to give</w:t>
      </w:r>
      <w:r w:rsidR="00C94B96">
        <w:t xml:space="preserve"> of credit into or towards AQF qualifications</w:t>
      </w:r>
    </w:p>
    <w:p w14:paraId="46CCF53F" w14:textId="2CB83ABF" w:rsidR="006E4B99" w:rsidRDefault="00AA4D88" w:rsidP="00A9201F">
      <w:pPr>
        <w:pStyle w:val="Bullet1"/>
        <w:ind w:left="142"/>
      </w:pPr>
      <w:r w:rsidRPr="00A9201F">
        <w:rPr>
          <w:b/>
          <w:bCs/>
        </w:rPr>
        <w:t>2.1.5</w:t>
      </w:r>
      <w:r>
        <w:t xml:space="preserve"> – Requirement for credit to be granted based on individual negotiation between a student and provider, or as part of a formal negotiation between providers</w:t>
      </w:r>
    </w:p>
    <w:p w14:paraId="28188F3C" w14:textId="5319CEB5" w:rsidR="00215A66" w:rsidRDefault="006E54DE" w:rsidP="00A9201F">
      <w:pPr>
        <w:pStyle w:val="Bullet1"/>
        <w:ind w:left="142"/>
      </w:pPr>
      <w:r w:rsidRPr="00A9201F">
        <w:rPr>
          <w:b/>
          <w:bCs/>
        </w:rPr>
        <w:t>2.1.9</w:t>
      </w:r>
      <w:r w:rsidR="00AD26B9" w:rsidRPr="00A9201F">
        <w:rPr>
          <w:b/>
          <w:bCs/>
        </w:rPr>
        <w:t>-2.1.10</w:t>
      </w:r>
      <w:r>
        <w:t xml:space="preserve"> – </w:t>
      </w:r>
      <w:r w:rsidR="008A5E07">
        <w:t>Considerations for negotiating credit agreements between providers</w:t>
      </w:r>
    </w:p>
    <w:p w14:paraId="5D3CC2B5" w14:textId="404C92F0" w:rsidR="00215A66" w:rsidRDefault="00344AE4" w:rsidP="00215A66">
      <w:pPr>
        <w:pStyle w:val="Heading3"/>
      </w:pPr>
      <w:r>
        <w:t>Obligations applying to providers of education to overseas students</w:t>
      </w:r>
      <w:r w:rsidR="00CD4320">
        <w:t xml:space="preserve"> in Australia</w:t>
      </w:r>
    </w:p>
    <w:p w14:paraId="4E950E29" w14:textId="6DE4DFA2" w:rsidR="00A528A3" w:rsidRDefault="00215A66" w:rsidP="00641C46">
      <w:r>
        <w:t>Where it applies to a provider, TEQSA considers the</w:t>
      </w:r>
      <w:r w:rsidR="00886C55">
        <w:t xml:space="preserve"> </w:t>
      </w:r>
      <w:hyperlink r:id="rId14" w:tgtFrame="_blank" w:tooltip="National Code 2018" w:history="1">
        <w:r w:rsidRPr="006A7F50">
          <w:rPr>
            <w:rStyle w:val="Hyperlink"/>
            <w:i/>
            <w:iCs/>
          </w:rPr>
          <w:t>National Code of Practice for Providers of Education and Training to Overseas Students 2018</w:t>
        </w:r>
        <w:r w:rsidRPr="006A7F50">
          <w:rPr>
            <w:rStyle w:val="Hyperlink"/>
          </w:rPr>
          <w:t> </w:t>
        </w:r>
      </w:hyperlink>
      <w:r w:rsidRPr="00215A66">
        <w:t>(National Code)</w:t>
      </w:r>
      <w:r w:rsidR="00344AE4">
        <w:t xml:space="preserve"> </w:t>
      </w:r>
      <w:r w:rsidR="00886C55">
        <w:t xml:space="preserve">and the </w:t>
      </w:r>
      <w:hyperlink r:id="rId15" w:history="1">
        <w:r w:rsidR="00344AE4" w:rsidRPr="006A7F50">
          <w:rPr>
            <w:rStyle w:val="Hyperlink"/>
            <w:i/>
            <w:iCs/>
          </w:rPr>
          <w:t>Education Services for Overseas Students Act 2000</w:t>
        </w:r>
      </w:hyperlink>
      <w:r w:rsidR="006A7F50">
        <w:rPr>
          <w:i/>
          <w:iCs/>
        </w:rPr>
        <w:t xml:space="preserve"> </w:t>
      </w:r>
      <w:r w:rsidR="00344AE4">
        <w:t>(ESOS Act)</w:t>
      </w:r>
      <w:r>
        <w:t>.</w:t>
      </w:r>
    </w:p>
    <w:p w14:paraId="53FB391F" w14:textId="3ED3634B" w:rsidR="0033210F" w:rsidRDefault="00746FD1" w:rsidP="00641C46">
      <w:r>
        <w:t>S</w:t>
      </w:r>
      <w:r w:rsidR="00215A66">
        <w:t>ections</w:t>
      </w:r>
      <w:r w:rsidR="00344AE4">
        <w:t xml:space="preserve"> of the National Code</w:t>
      </w:r>
      <w:r w:rsidR="00215A66">
        <w:t xml:space="preserve"> relevant to recognition of prior learning </w:t>
      </w:r>
      <w:r w:rsidR="00757977">
        <w:t>are</w:t>
      </w:r>
      <w:r w:rsidR="00215A66">
        <w:t>:</w:t>
      </w:r>
    </w:p>
    <w:p w14:paraId="0F7A16D9" w14:textId="3F8CBD85" w:rsidR="00102AA9" w:rsidRDefault="00102AA9" w:rsidP="00B35404">
      <w:pPr>
        <w:pStyle w:val="Bullet1"/>
        <w:ind w:left="142"/>
      </w:pPr>
      <w:r w:rsidRPr="00B35404">
        <w:rPr>
          <w:b/>
          <w:bCs/>
        </w:rPr>
        <w:t>2.1.1</w:t>
      </w:r>
      <w:r>
        <w:t xml:space="preserve"> – prior to acceptance of an overseas student’s enrolment in a course, a provider must make the student aware of any course credit applicable</w:t>
      </w:r>
    </w:p>
    <w:p w14:paraId="24023B01" w14:textId="7BBB8F4B" w:rsidR="006C4CBB" w:rsidRPr="00757977" w:rsidRDefault="006C4CBB" w:rsidP="00B35404">
      <w:pPr>
        <w:pStyle w:val="Bullet1"/>
        <w:ind w:left="142"/>
      </w:pPr>
      <w:r w:rsidRPr="00B35404">
        <w:rPr>
          <w:b/>
          <w:bCs/>
        </w:rPr>
        <w:t>2.3</w:t>
      </w:r>
      <w:r w:rsidRPr="00757977">
        <w:t xml:space="preserve"> – a provider must have a documented policy and process for RPL and granting credit. Further, </w:t>
      </w:r>
      <w:r w:rsidR="00344CDA">
        <w:t xml:space="preserve">a </w:t>
      </w:r>
      <w:r w:rsidRPr="00757977">
        <w:t>provider’s decisions to assess prior learning or grant credit must preserve the integrity of the award to which it applies</w:t>
      </w:r>
    </w:p>
    <w:p w14:paraId="70EAB805" w14:textId="447E79A7" w:rsidR="006C4CBB" w:rsidRPr="00757977" w:rsidRDefault="006C4CBB" w:rsidP="00B35404">
      <w:pPr>
        <w:pStyle w:val="Bullet1"/>
        <w:ind w:left="142"/>
      </w:pPr>
      <w:r w:rsidRPr="00B35404">
        <w:rPr>
          <w:b/>
          <w:bCs/>
        </w:rPr>
        <w:lastRenderedPageBreak/>
        <w:t>2.4</w:t>
      </w:r>
      <w:r w:rsidRPr="00757977">
        <w:t xml:space="preserve"> – if a provider grants credit to or recognises prior learning of an overseas student</w:t>
      </w:r>
      <w:r w:rsidR="00B02B6D" w:rsidRPr="00757977">
        <w:t>, the provider must give the student a written record of it</w:t>
      </w:r>
      <w:r w:rsidR="003D4E12">
        <w:t xml:space="preserve"> to the student to accept and retain</w:t>
      </w:r>
      <w:r w:rsidR="00B02B6D" w:rsidRPr="00757977">
        <w:t>. The provider must also retain its own record of it for at least two years after the student ceases to be an accepted student</w:t>
      </w:r>
    </w:p>
    <w:p w14:paraId="5F5AA965" w14:textId="15C3289A" w:rsidR="00215A66" w:rsidRDefault="006C4CBB" w:rsidP="00B35404">
      <w:pPr>
        <w:pStyle w:val="Bullet1"/>
        <w:ind w:left="142"/>
      </w:pPr>
      <w:r w:rsidRPr="00B35404">
        <w:rPr>
          <w:b/>
          <w:bCs/>
        </w:rPr>
        <w:t>2.5</w:t>
      </w:r>
      <w:r w:rsidR="00B02B6D" w:rsidRPr="00757977">
        <w:t xml:space="preserve"> – if course credit or RPL result in the reduction of an overseas student’s course length</w:t>
      </w:r>
      <w:r w:rsidR="007626A4">
        <w:t>,</w:t>
      </w:r>
      <w:r w:rsidR="00CD71A2">
        <w:t xml:space="preserve"> the provider must </w:t>
      </w:r>
      <w:r w:rsidR="00B02B6D" w:rsidRPr="00757977">
        <w:t>inform the student and ensur</w:t>
      </w:r>
      <w:r w:rsidR="00344CDA">
        <w:t>e</w:t>
      </w:r>
      <w:r w:rsidR="00B02B6D" w:rsidRPr="00757977">
        <w:t xml:space="preserve"> the confirmation of enrolment is issued for the reduced duration of the course</w:t>
      </w:r>
      <w:r w:rsidR="003213FA">
        <w:t xml:space="preserve">. </w:t>
      </w:r>
      <w:r w:rsidR="00B567B9">
        <w:t>I</w:t>
      </w:r>
      <w:r w:rsidR="00102AA9" w:rsidRPr="00757977">
        <w:t>f the reduction of the course length occurs after the overseas student’s visa is granted, the change</w:t>
      </w:r>
      <w:r w:rsidR="00673F43">
        <w:t xml:space="preserve"> </w:t>
      </w:r>
      <w:r w:rsidR="00673F43" w:rsidRPr="00757977">
        <w:t xml:space="preserve">duration </w:t>
      </w:r>
      <w:r w:rsidR="00673F43">
        <w:t xml:space="preserve">needs to be reported </w:t>
      </w:r>
      <w:r w:rsidR="00102AA9" w:rsidRPr="00757977">
        <w:t xml:space="preserve">in </w:t>
      </w:r>
      <w:r w:rsidR="00673F43">
        <w:t xml:space="preserve">the </w:t>
      </w:r>
      <w:r w:rsidR="00102AA9" w:rsidRPr="00757977">
        <w:t>P</w:t>
      </w:r>
      <w:r w:rsidR="00B553CF">
        <w:t xml:space="preserve">rovider </w:t>
      </w:r>
      <w:r w:rsidR="00102AA9" w:rsidRPr="00757977">
        <w:t>R</w:t>
      </w:r>
      <w:r w:rsidR="00B553CF">
        <w:t xml:space="preserve">egistration and </w:t>
      </w:r>
      <w:r w:rsidR="00102AA9" w:rsidRPr="00757977">
        <w:t>I</w:t>
      </w:r>
      <w:r w:rsidR="00B553CF">
        <w:t xml:space="preserve">nternational </w:t>
      </w:r>
      <w:r w:rsidR="00102AA9" w:rsidRPr="00757977">
        <w:t>S</w:t>
      </w:r>
      <w:r w:rsidR="00B553CF">
        <w:t xml:space="preserve">tudent </w:t>
      </w:r>
      <w:r w:rsidR="00102AA9" w:rsidRPr="00757977">
        <w:t>M</w:t>
      </w:r>
      <w:r w:rsidR="00B553CF">
        <w:t xml:space="preserve">anagement </w:t>
      </w:r>
      <w:r w:rsidR="00102AA9" w:rsidRPr="00757977">
        <w:t>S</w:t>
      </w:r>
      <w:r w:rsidR="00B553CF">
        <w:t>ystem (PRISMS)</w:t>
      </w:r>
      <w:r w:rsidR="00B02B6D" w:rsidRPr="00757977">
        <w:t xml:space="preserve"> </w:t>
      </w:r>
    </w:p>
    <w:p w14:paraId="5A4B724D" w14:textId="23DB6E10" w:rsidR="00746FD1" w:rsidRDefault="00746FD1" w:rsidP="00B35404">
      <w:pPr>
        <w:pStyle w:val="Bullet2"/>
        <w:numPr>
          <w:ilvl w:val="0"/>
          <w:numId w:val="0"/>
        </w:numPr>
        <w:ind w:left="142"/>
      </w:pPr>
      <w:r w:rsidRPr="00B35404">
        <w:rPr>
          <w:b/>
          <w:bCs/>
        </w:rPr>
        <w:t>8</w:t>
      </w:r>
      <w:r>
        <w:t xml:space="preserve"> – requirements on a provider in monitoring, reviewing, and improving student and course outcomes</w:t>
      </w:r>
      <w:r w:rsidR="00757977">
        <w:t>.</w:t>
      </w:r>
      <w:r>
        <w:t xml:space="preserve"> </w:t>
      </w:r>
    </w:p>
    <w:p w14:paraId="237C9DF7" w14:textId="01A21D46" w:rsidR="00344AE4" w:rsidRPr="00215A66" w:rsidRDefault="003B092D" w:rsidP="000377FF">
      <w:pPr>
        <w:pStyle w:val="Bullet2"/>
        <w:numPr>
          <w:ilvl w:val="0"/>
          <w:numId w:val="0"/>
        </w:numPr>
        <w:spacing w:before="0"/>
      </w:pPr>
      <w:r>
        <w:t>Additionally</w:t>
      </w:r>
      <w:r w:rsidR="00344AE4">
        <w:t xml:space="preserve">, </w:t>
      </w:r>
      <w:r>
        <w:t xml:space="preserve">sections </w:t>
      </w:r>
      <w:r w:rsidRPr="003B092D">
        <w:t>21(2B), 21(2C) and 21(3)</w:t>
      </w:r>
      <w:r w:rsidR="000034A0">
        <w:t xml:space="preserve"> of the</w:t>
      </w:r>
      <w:r w:rsidR="00344AE4">
        <w:t xml:space="preserve"> ESOS Act, </w:t>
      </w:r>
      <w:r w:rsidR="00832920">
        <w:t>requires providers</w:t>
      </w:r>
      <w:r w:rsidR="00344AE4">
        <w:t xml:space="preserve"> to retain </w:t>
      </w:r>
      <w:r>
        <w:t xml:space="preserve">most student records for </w:t>
      </w:r>
      <w:r w:rsidRPr="003B092D">
        <w:t>two years after the overseas student ceases to be an accepted student</w:t>
      </w:r>
      <w:r>
        <w:t>.</w:t>
      </w:r>
    </w:p>
    <w:p w14:paraId="11962617" w14:textId="36482A34" w:rsidR="00F469C0" w:rsidRPr="00BE0F27" w:rsidRDefault="00072880" w:rsidP="00524886">
      <w:pPr>
        <w:pStyle w:val="Heading2"/>
        <w:numPr>
          <w:ilvl w:val="0"/>
          <w:numId w:val="35"/>
        </w:numPr>
        <w:rPr>
          <w:noProof/>
        </w:rPr>
      </w:pPr>
      <w:r>
        <w:rPr>
          <w:noProof/>
        </w:rPr>
        <w:t>Identified</w:t>
      </w:r>
      <w:r w:rsidRPr="00BE0F27">
        <w:rPr>
          <w:noProof/>
        </w:rPr>
        <w:t xml:space="preserve"> </w:t>
      </w:r>
      <w:r w:rsidR="001845B1" w:rsidRPr="00BE0F27">
        <w:rPr>
          <w:noProof/>
        </w:rPr>
        <w:t xml:space="preserve">issues </w:t>
      </w:r>
    </w:p>
    <w:p w14:paraId="024CB82D" w14:textId="584AA421" w:rsidR="00F469C0" w:rsidRDefault="00872FC7" w:rsidP="00795C9D">
      <w:pPr>
        <w:pStyle w:val="BulletsL2"/>
        <w:numPr>
          <w:ilvl w:val="0"/>
          <w:numId w:val="0"/>
        </w:numPr>
        <w:spacing w:after="360"/>
        <w:rPr>
          <w:rFonts w:cs="Arial"/>
          <w:shd w:val="clear" w:color="auto" w:fill="FFFFFF"/>
        </w:rPr>
      </w:pPr>
      <w:r w:rsidRPr="00872FC7">
        <w:rPr>
          <w:rFonts w:cs="Arial"/>
          <w:shd w:val="clear" w:color="auto" w:fill="FFFFFF"/>
        </w:rPr>
        <w:t xml:space="preserve">TEQSA has identified a range of issues which </w:t>
      </w:r>
      <w:r>
        <w:rPr>
          <w:rFonts w:cs="Arial"/>
          <w:shd w:val="clear" w:color="auto" w:fill="FFFFFF"/>
        </w:rPr>
        <w:t>can indicate</w:t>
      </w:r>
      <w:r w:rsidRPr="00872FC7">
        <w:rPr>
          <w:rFonts w:cs="Arial"/>
          <w:shd w:val="clear" w:color="auto" w:fill="FFFFFF"/>
        </w:rPr>
        <w:t xml:space="preserve"> potential </w:t>
      </w:r>
      <w:r w:rsidR="00ED7966">
        <w:rPr>
          <w:rFonts w:cs="Arial"/>
          <w:shd w:val="clear" w:color="auto" w:fill="FFFFFF"/>
        </w:rPr>
        <w:t>problems</w:t>
      </w:r>
      <w:r w:rsidR="00ED7966" w:rsidRPr="00872FC7">
        <w:rPr>
          <w:rFonts w:cs="Arial"/>
          <w:shd w:val="clear" w:color="auto" w:fill="FFFFFF"/>
        </w:rPr>
        <w:t xml:space="preserve"> </w:t>
      </w:r>
      <w:r w:rsidRPr="00872FC7">
        <w:rPr>
          <w:rFonts w:cs="Arial"/>
          <w:shd w:val="clear" w:color="auto" w:fill="FFFFFF"/>
        </w:rPr>
        <w:t xml:space="preserve">in </w:t>
      </w:r>
      <w:r w:rsidR="00EE545D">
        <w:rPr>
          <w:rFonts w:cs="Arial"/>
          <w:shd w:val="clear" w:color="auto" w:fill="FFFFFF"/>
        </w:rPr>
        <w:t xml:space="preserve">a </w:t>
      </w:r>
      <w:r w:rsidRPr="00872FC7">
        <w:rPr>
          <w:rFonts w:cs="Arial"/>
          <w:shd w:val="clear" w:color="auto" w:fill="FFFFFF"/>
        </w:rPr>
        <w:t>provider</w:t>
      </w:r>
      <w:r w:rsidR="00EE545D">
        <w:rPr>
          <w:rFonts w:cs="Arial"/>
          <w:shd w:val="clear" w:color="auto" w:fill="FFFFFF"/>
        </w:rPr>
        <w:t>’</w:t>
      </w:r>
      <w:r w:rsidRPr="00872FC7">
        <w:rPr>
          <w:rFonts w:cs="Arial"/>
          <w:shd w:val="clear" w:color="auto" w:fill="FFFFFF"/>
        </w:rPr>
        <w:t>s</w:t>
      </w:r>
      <w:r w:rsidR="00F8449E">
        <w:rPr>
          <w:rFonts w:cs="Arial"/>
          <w:shd w:val="clear" w:color="auto" w:fill="FFFFFF"/>
        </w:rPr>
        <w:t xml:space="preserve"> approach to</w:t>
      </w:r>
      <w:r w:rsidR="00ED7966">
        <w:rPr>
          <w:rFonts w:cs="Arial"/>
          <w:shd w:val="clear" w:color="auto" w:fill="FFFFFF"/>
        </w:rPr>
        <w:t xml:space="preserve"> </w:t>
      </w:r>
      <w:r w:rsidR="00EE545D">
        <w:rPr>
          <w:rFonts w:cs="Arial"/>
          <w:shd w:val="clear" w:color="auto" w:fill="FFFFFF"/>
        </w:rPr>
        <w:t xml:space="preserve">granting </w:t>
      </w:r>
      <w:r w:rsidR="00ED7966">
        <w:rPr>
          <w:rFonts w:cs="Arial"/>
          <w:shd w:val="clear" w:color="auto" w:fill="FFFFFF"/>
        </w:rPr>
        <w:t>RPL and</w:t>
      </w:r>
      <w:r w:rsidRPr="00872FC7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credit</w:t>
      </w:r>
      <w:r w:rsidR="00EE545D">
        <w:rPr>
          <w:rFonts w:cs="Arial"/>
          <w:shd w:val="clear" w:color="auto" w:fill="FFFFFF"/>
        </w:rPr>
        <w:t>:</w:t>
      </w:r>
    </w:p>
    <w:p w14:paraId="13FE8136" w14:textId="70F68AA0" w:rsidR="009935C4" w:rsidRPr="001A6269" w:rsidRDefault="009935C4" w:rsidP="007C69C4">
      <w:pPr>
        <w:pStyle w:val="Bullet1"/>
        <w:numPr>
          <w:ilvl w:val="0"/>
          <w:numId w:val="45"/>
        </w:numPr>
      </w:pPr>
      <w:r w:rsidRPr="001A6269">
        <w:t xml:space="preserve">Quality of information shared </w:t>
      </w:r>
    </w:p>
    <w:p w14:paraId="589C9226" w14:textId="48A9DA1E" w:rsidR="009935C4" w:rsidRPr="001A6269" w:rsidRDefault="009935C4" w:rsidP="007C69C4">
      <w:pPr>
        <w:pStyle w:val="Bullet1"/>
        <w:numPr>
          <w:ilvl w:val="1"/>
          <w:numId w:val="45"/>
        </w:numPr>
      </w:pPr>
      <w:r w:rsidRPr="001A6269">
        <w:t>having inaccessible or poor-quality information for students about how to apply for credit</w:t>
      </w:r>
      <w:r w:rsidR="005B7808">
        <w:t xml:space="preserve"> or their eligibility for credit</w:t>
      </w:r>
    </w:p>
    <w:p w14:paraId="4D44C9B2" w14:textId="36F3B164" w:rsidR="009935C4" w:rsidRPr="001A6269" w:rsidRDefault="00ED7966" w:rsidP="007C69C4">
      <w:pPr>
        <w:pStyle w:val="Bullet1"/>
        <w:numPr>
          <w:ilvl w:val="1"/>
          <w:numId w:val="45"/>
        </w:numPr>
      </w:pPr>
      <w:r>
        <w:t>providing poor quality or no information to students regarding the outcome and reasons for decision on their credit application</w:t>
      </w:r>
      <w:r w:rsidRPr="001A6269" w:rsidDel="00ED7966">
        <w:t xml:space="preserve"> </w:t>
      </w:r>
      <w:r>
        <w:t xml:space="preserve"> </w:t>
      </w:r>
    </w:p>
    <w:p w14:paraId="247FBFCC" w14:textId="66487391" w:rsidR="00764CA7" w:rsidRDefault="00ED7966" w:rsidP="007C69C4">
      <w:pPr>
        <w:pStyle w:val="Bullet1"/>
        <w:numPr>
          <w:ilvl w:val="1"/>
          <w:numId w:val="45"/>
        </w:numPr>
      </w:pPr>
      <w:r>
        <w:t>lack of</w:t>
      </w:r>
      <w:r w:rsidR="009935C4" w:rsidRPr="001A6269">
        <w:t xml:space="preserve"> timeliness in notifying students about whether they will be granted credit</w:t>
      </w:r>
      <w:r w:rsidR="009935C4">
        <w:t>.</w:t>
      </w:r>
    </w:p>
    <w:p w14:paraId="0CA59D80" w14:textId="694E780F" w:rsidR="009935C4" w:rsidRDefault="00ED7966" w:rsidP="007C69C4">
      <w:pPr>
        <w:pStyle w:val="Bullet1"/>
        <w:numPr>
          <w:ilvl w:val="0"/>
          <w:numId w:val="45"/>
        </w:numPr>
      </w:pPr>
      <w:r>
        <w:t>R</w:t>
      </w:r>
      <w:r w:rsidR="009935C4" w:rsidRPr="00B00764">
        <w:t>ecord-keeping</w:t>
      </w:r>
    </w:p>
    <w:p w14:paraId="598CD10A" w14:textId="70187723" w:rsidR="00B35404" w:rsidRPr="00B35404" w:rsidRDefault="00B35404" w:rsidP="007C69C4">
      <w:pPr>
        <w:pStyle w:val="Bullet1"/>
        <w:numPr>
          <w:ilvl w:val="1"/>
          <w:numId w:val="45"/>
        </w:numPr>
      </w:pPr>
      <w:r w:rsidRPr="00B35404">
        <w:t xml:space="preserve">poor quality record of reasons for refusing to grant credit to students or granting credit, particularly when doing so departs from the provider’s policies. </w:t>
      </w:r>
      <w:r w:rsidR="008B3F3C" w:rsidRPr="00B35404">
        <w:t>E.g.,</w:t>
      </w:r>
      <w:r w:rsidRPr="00B35404">
        <w:t xml:space="preserve"> recording that credit was granted to a student only because they completed a unit with the same title at another institution.</w:t>
      </w:r>
    </w:p>
    <w:p w14:paraId="23B4C83F" w14:textId="42AC7A84" w:rsidR="006265D4" w:rsidRPr="00B00764" w:rsidRDefault="005E79E5" w:rsidP="007C69C4">
      <w:pPr>
        <w:pStyle w:val="Bullet1"/>
        <w:numPr>
          <w:ilvl w:val="1"/>
          <w:numId w:val="45"/>
        </w:numPr>
      </w:pPr>
      <w:r w:rsidRPr="00B00764">
        <w:t>lacking good quality records about courses of study or individual units of study</w:t>
      </w:r>
      <w:r w:rsidR="004E6134">
        <w:t>, making</w:t>
      </w:r>
      <w:r>
        <w:t xml:space="preserve"> </w:t>
      </w:r>
      <w:r w:rsidRPr="00B00764">
        <w:t xml:space="preserve">it difficult </w:t>
      </w:r>
      <w:r w:rsidR="009935C4" w:rsidRPr="00B00764">
        <w:t>for</w:t>
      </w:r>
      <w:r w:rsidR="00776501">
        <w:t xml:space="preserve"> </w:t>
      </w:r>
      <w:r w:rsidR="009935C4" w:rsidRPr="00B00764">
        <w:t xml:space="preserve">students to have their studies recognised through RPL at other </w:t>
      </w:r>
      <w:r w:rsidR="00E85972">
        <w:t>providers</w:t>
      </w:r>
      <w:r w:rsidR="009A5392">
        <w:t xml:space="preserve">. </w:t>
      </w:r>
      <w:r w:rsidR="00DD1851">
        <w:t>This</w:t>
      </w:r>
      <w:r w:rsidR="009A5392">
        <w:t xml:space="preserve"> also makes it </w:t>
      </w:r>
      <w:r w:rsidR="009A5392">
        <w:rPr>
          <w:color w:val="auto"/>
        </w:rPr>
        <w:t xml:space="preserve">difficult for </w:t>
      </w:r>
      <w:r w:rsidR="00F02411" w:rsidRPr="009A5392">
        <w:rPr>
          <w:color w:val="auto"/>
        </w:rPr>
        <w:t>providers to review and improve their RPL policies and procedures.</w:t>
      </w:r>
      <w:r w:rsidR="009935C4" w:rsidRPr="00B00764">
        <w:t xml:space="preserve"> </w:t>
      </w:r>
    </w:p>
    <w:p w14:paraId="5207F630" w14:textId="77777777" w:rsidR="009935C4" w:rsidRPr="00B00764" w:rsidRDefault="009935C4" w:rsidP="007C69C4">
      <w:pPr>
        <w:pStyle w:val="Bullet1"/>
        <w:numPr>
          <w:ilvl w:val="0"/>
          <w:numId w:val="45"/>
        </w:numPr>
      </w:pPr>
      <w:r w:rsidRPr="00B00764">
        <w:t xml:space="preserve">Quality and application of policies </w:t>
      </w:r>
    </w:p>
    <w:p w14:paraId="06433292" w14:textId="7C07BC8E" w:rsidR="0025248A" w:rsidRPr="00EC1815" w:rsidRDefault="009935C4" w:rsidP="007C69C4">
      <w:pPr>
        <w:pStyle w:val="Bullet1"/>
        <w:numPr>
          <w:ilvl w:val="1"/>
          <w:numId w:val="45"/>
        </w:numPr>
      </w:pPr>
      <w:r w:rsidRPr="00B00764">
        <w:t xml:space="preserve">evidence-based approaches are not used in granting credit </w:t>
      </w:r>
      <w:r w:rsidR="001A5D34" w:rsidRPr="00B00764">
        <w:t xml:space="preserve">because </w:t>
      </w:r>
      <w:r w:rsidRPr="00B00764">
        <w:t>policies</w:t>
      </w:r>
      <w:r w:rsidR="003A47CC">
        <w:t xml:space="preserve"> are poorly written</w:t>
      </w:r>
      <w:r w:rsidRPr="00B00764">
        <w:t xml:space="preserve"> or </w:t>
      </w:r>
      <w:r w:rsidR="003A47CC">
        <w:t>applied</w:t>
      </w:r>
      <w:r w:rsidR="0025248A">
        <w:t xml:space="preserve">. </w:t>
      </w:r>
      <w:r w:rsidR="000034A0">
        <w:t>An e</w:t>
      </w:r>
      <w:r w:rsidR="0025248A">
        <w:t>xample of</w:t>
      </w:r>
      <w:r w:rsidR="000034A0">
        <w:t xml:space="preserve"> a</w:t>
      </w:r>
      <w:r w:rsidR="0025248A">
        <w:t xml:space="preserve"> poor approach</w:t>
      </w:r>
      <w:r w:rsidR="000034A0">
        <w:t xml:space="preserve"> is granting credit </w:t>
      </w:r>
      <w:r w:rsidR="006A7631">
        <w:t xml:space="preserve">in the interest of improving the recruitment of students without consideration of whether doing so will disadvantage the </w:t>
      </w:r>
      <w:r w:rsidR="00AA4D88">
        <w:t>student</w:t>
      </w:r>
      <w:r w:rsidR="006A7631">
        <w:t>s</w:t>
      </w:r>
    </w:p>
    <w:p w14:paraId="26AF59A3" w14:textId="660FFDD9" w:rsidR="009935C4" w:rsidRPr="00B00764" w:rsidRDefault="009935C4" w:rsidP="007C69C4">
      <w:pPr>
        <w:pStyle w:val="Bullet1"/>
        <w:numPr>
          <w:ilvl w:val="1"/>
          <w:numId w:val="45"/>
        </w:numPr>
      </w:pPr>
      <w:r w:rsidRPr="00B00764">
        <w:t xml:space="preserve">granting credit </w:t>
      </w:r>
      <w:r w:rsidR="00ED7966">
        <w:t xml:space="preserve">for short-form credentials where the </w:t>
      </w:r>
      <w:r w:rsidR="00A14ACC">
        <w:t xml:space="preserve">volume </w:t>
      </w:r>
      <w:r w:rsidR="00ED7966">
        <w:t xml:space="preserve">of learning is too small to be meaningful </w:t>
      </w:r>
      <w:r w:rsidR="006D351C">
        <w:t>for</w:t>
      </w:r>
      <w:r w:rsidR="00ED7966">
        <w:t xml:space="preserve"> the</w:t>
      </w:r>
      <w:r w:rsidR="005A2D92">
        <w:t xml:space="preserve"> relevant</w:t>
      </w:r>
      <w:r w:rsidR="00ED7966">
        <w:t xml:space="preserve"> course of study</w:t>
      </w:r>
    </w:p>
    <w:p w14:paraId="3A4964FC" w14:textId="20D76C3D" w:rsidR="009935C4" w:rsidRDefault="009935C4" w:rsidP="007C69C4">
      <w:pPr>
        <w:pStyle w:val="Bullet1"/>
        <w:numPr>
          <w:ilvl w:val="1"/>
          <w:numId w:val="45"/>
        </w:numPr>
      </w:pPr>
      <w:r w:rsidRPr="00B00764">
        <w:t>delegating decisions on grant</w:t>
      </w:r>
      <w:r w:rsidR="004E6134">
        <w:t>ing</w:t>
      </w:r>
      <w:r w:rsidRPr="00B00764">
        <w:t xml:space="preserve"> credit to employees lacking the specialist knowledge required to make informed decisions</w:t>
      </w:r>
    </w:p>
    <w:p w14:paraId="1194245B" w14:textId="69FDA261" w:rsidR="003B092D" w:rsidRDefault="00225EA3" w:rsidP="007C69C4">
      <w:pPr>
        <w:pStyle w:val="Bullet1"/>
        <w:numPr>
          <w:ilvl w:val="1"/>
          <w:numId w:val="45"/>
        </w:numPr>
      </w:pPr>
      <w:r>
        <w:lastRenderedPageBreak/>
        <w:t>policies lacking clarity about who has</w:t>
      </w:r>
      <w:r w:rsidR="003B092D">
        <w:t xml:space="preserve"> app</w:t>
      </w:r>
      <w:r w:rsidR="005B7808">
        <w:t xml:space="preserve">ropriate expertise to make informed decisions about granting credit </w:t>
      </w:r>
    </w:p>
    <w:p w14:paraId="795DC978" w14:textId="5D6CE32D" w:rsidR="00AA4D88" w:rsidRPr="00B00764" w:rsidRDefault="007F1708" w:rsidP="007C69C4">
      <w:pPr>
        <w:pStyle w:val="Bullet1"/>
        <w:numPr>
          <w:ilvl w:val="1"/>
          <w:numId w:val="45"/>
        </w:numPr>
      </w:pPr>
      <w:r>
        <w:t xml:space="preserve">when </w:t>
      </w:r>
      <w:r w:rsidR="00AA4D88">
        <w:t xml:space="preserve">making changes to courses, not appropriately planning </w:t>
      </w:r>
      <w:proofErr w:type="gramStart"/>
      <w:r w:rsidR="00C72C8A">
        <w:t>for</w:t>
      </w:r>
      <w:proofErr w:type="gramEnd"/>
      <w:r w:rsidR="00AA4D88">
        <w:t xml:space="preserve"> and managing </w:t>
      </w:r>
      <w:r w:rsidR="00DC4258">
        <w:t xml:space="preserve">potential </w:t>
      </w:r>
      <w:r w:rsidR="00AA4D88">
        <w:t>impacts on students who have been granted credit through RPL</w:t>
      </w:r>
      <w:r w:rsidR="006A7631">
        <w:t>.</w:t>
      </w:r>
    </w:p>
    <w:p w14:paraId="73E87986" w14:textId="3ABB79E7" w:rsidR="00C72C8A" w:rsidRPr="00B00764" w:rsidRDefault="009935C4" w:rsidP="007C69C4">
      <w:pPr>
        <w:pStyle w:val="Bullet1"/>
        <w:numPr>
          <w:ilvl w:val="0"/>
          <w:numId w:val="45"/>
        </w:numPr>
      </w:pPr>
      <w:r w:rsidRPr="00B00764">
        <w:t>Monitoring and review of the efficacy of policies and practices</w:t>
      </w:r>
    </w:p>
    <w:p w14:paraId="2A8B1DFD" w14:textId="77777777" w:rsidR="00CA059E" w:rsidRDefault="00CA059E" w:rsidP="007C69C4">
      <w:pPr>
        <w:pStyle w:val="Bullet1"/>
        <w:numPr>
          <w:ilvl w:val="1"/>
          <w:numId w:val="45"/>
        </w:numPr>
      </w:pPr>
      <w:r>
        <w:t>not</w:t>
      </w:r>
      <w:r w:rsidR="009935C4" w:rsidRPr="00B00764">
        <w:t xml:space="preserve"> adequately monitor</w:t>
      </w:r>
      <w:r>
        <w:t>ing</w:t>
      </w:r>
      <w:r w:rsidR="009935C4" w:rsidRPr="00B00764">
        <w:t xml:space="preserve"> and review</w:t>
      </w:r>
      <w:r>
        <w:t>ing</w:t>
      </w:r>
      <w:r w:rsidR="009935C4" w:rsidRPr="00B00764">
        <w:t xml:space="preserve"> practices and policies in granting credit</w:t>
      </w:r>
      <w:r w:rsidR="00242E49">
        <w:t>. For example,</w:t>
      </w:r>
    </w:p>
    <w:p w14:paraId="4B0075B1" w14:textId="2EF0F406" w:rsidR="00CA059E" w:rsidRDefault="00CA059E" w:rsidP="00CA059E">
      <w:pPr>
        <w:pStyle w:val="Bullet1"/>
        <w:numPr>
          <w:ilvl w:val="2"/>
          <w:numId w:val="45"/>
        </w:numPr>
      </w:pPr>
      <w:r>
        <w:t>not</w:t>
      </w:r>
      <w:r w:rsidRPr="00CA059E">
        <w:t xml:space="preserve"> monitor</w:t>
      </w:r>
      <w:r>
        <w:t xml:space="preserve">ing </w:t>
      </w:r>
      <w:r w:rsidRPr="00CA059E">
        <w:t>cohort</w:t>
      </w:r>
      <w:r>
        <w:t>s</w:t>
      </w:r>
      <w:r w:rsidRPr="00CA059E">
        <w:t xml:space="preserve"> of students</w:t>
      </w:r>
      <w:r w:rsidR="00D01815">
        <w:t xml:space="preserve"> granted credit</w:t>
      </w:r>
      <w:r w:rsidRPr="00CA059E">
        <w:t xml:space="preserve"> to identify if they are succeeding</w:t>
      </w:r>
      <w:r>
        <w:t xml:space="preserve"> in their courses of study</w:t>
      </w:r>
    </w:p>
    <w:p w14:paraId="563DEDFC" w14:textId="31FDA8EB" w:rsidR="00CA059E" w:rsidRDefault="000707C1" w:rsidP="00CA059E">
      <w:pPr>
        <w:pStyle w:val="Bullet1"/>
        <w:numPr>
          <w:ilvl w:val="2"/>
          <w:numId w:val="45"/>
        </w:numPr>
      </w:pPr>
      <w:r>
        <w:t xml:space="preserve">not recognising and addressing </w:t>
      </w:r>
      <w:r w:rsidR="00225EA3">
        <w:t xml:space="preserve">problems with current </w:t>
      </w:r>
      <w:r w:rsidR="00D01815">
        <w:t>credit or RPL practices</w:t>
      </w:r>
      <w:r w:rsidR="00225EA3">
        <w:t xml:space="preserve"> resulting in high attrition </w:t>
      </w:r>
      <w:r w:rsidR="00D01815">
        <w:t>or failure rates</w:t>
      </w:r>
      <w:r w:rsidR="00CA059E">
        <w:t xml:space="preserve"> </w:t>
      </w:r>
    </w:p>
    <w:p w14:paraId="1B4C7530" w14:textId="4BC17B15" w:rsidR="00D60BCC" w:rsidRDefault="00D60BCC" w:rsidP="00D60BCC">
      <w:pPr>
        <w:pStyle w:val="Heading3"/>
      </w:pPr>
      <w:r>
        <w:t xml:space="preserve">Related </w:t>
      </w:r>
      <w:r w:rsidRPr="00CA059E">
        <w:t>resources</w:t>
      </w:r>
    </w:p>
    <w:p w14:paraId="1887C5F8" w14:textId="584382A2" w:rsidR="00D60BCC" w:rsidRPr="00D60BCC" w:rsidRDefault="007E45BA" w:rsidP="00CA059E">
      <w:pPr>
        <w:pStyle w:val="Bullet1"/>
        <w:numPr>
          <w:ilvl w:val="0"/>
          <w:numId w:val="45"/>
        </w:numPr>
        <w:rPr>
          <w:iCs/>
        </w:rPr>
      </w:pPr>
      <w:hyperlink r:id="rId16" w:history="1">
        <w:r w:rsidR="00D60BCC" w:rsidRPr="00CA059E">
          <w:rPr>
            <w:rStyle w:val="Hyperlink"/>
            <w:iCs/>
          </w:rPr>
          <w:t xml:space="preserve">Guidance </w:t>
        </w:r>
        <w:proofErr w:type="gramStart"/>
        <w:r w:rsidR="00D60BCC" w:rsidRPr="00CA059E">
          <w:rPr>
            <w:rStyle w:val="Hyperlink"/>
            <w:iCs/>
          </w:rPr>
          <w:t>note</w:t>
        </w:r>
        <w:proofErr w:type="gramEnd"/>
        <w:r w:rsidR="00D60BCC" w:rsidRPr="00CA059E">
          <w:rPr>
            <w:rStyle w:val="Hyperlink"/>
            <w:iCs/>
          </w:rPr>
          <w:t>: Admissions (coursework)</w:t>
        </w:r>
      </w:hyperlink>
    </w:p>
    <w:p w14:paraId="2DE28CEE" w14:textId="428776AE" w:rsidR="00F14CCE" w:rsidRPr="00D60BCC" w:rsidRDefault="00D60BCC" w:rsidP="00CA059E">
      <w:pPr>
        <w:pStyle w:val="Bullet1"/>
        <w:numPr>
          <w:ilvl w:val="0"/>
          <w:numId w:val="45"/>
        </w:numPr>
        <w:rPr>
          <w:iCs/>
        </w:rPr>
      </w:pPr>
      <w:r w:rsidRPr="00D60BCC">
        <w:rPr>
          <w:iCs/>
        </w:rPr>
        <w:t xml:space="preserve">Guidance </w:t>
      </w:r>
      <w:proofErr w:type="gramStart"/>
      <w:r w:rsidRPr="00D60BCC">
        <w:rPr>
          <w:iCs/>
        </w:rPr>
        <w:t>note</w:t>
      </w:r>
      <w:proofErr w:type="gramEnd"/>
      <w:r w:rsidRPr="00D60BCC">
        <w:rPr>
          <w:iCs/>
        </w:rPr>
        <w:t xml:space="preserve">: </w:t>
      </w:r>
      <w:r w:rsidRPr="00455F60">
        <w:rPr>
          <w:iCs/>
        </w:rPr>
        <w:t xml:space="preserve">Monitoring, Review, and </w:t>
      </w:r>
      <w:r w:rsidRPr="00D60BCC">
        <w:rPr>
          <w:iCs/>
        </w:rPr>
        <w:t xml:space="preserve">Improvement </w:t>
      </w:r>
      <w:r w:rsidRPr="007E45BA">
        <w:rPr>
          <w:iCs/>
        </w:rPr>
        <w:t>(</w:t>
      </w:r>
      <w:r w:rsidR="00BD0F04" w:rsidRPr="007E45BA">
        <w:rPr>
          <w:iCs/>
        </w:rPr>
        <w:t>in development</w:t>
      </w:r>
      <w:r w:rsidRPr="007E45BA">
        <w:rPr>
          <w:iCs/>
        </w:rPr>
        <w:t>)</w:t>
      </w:r>
    </w:p>
    <w:p w14:paraId="6FD7EB78" w14:textId="0CE5AF1D" w:rsidR="00D60BCC" w:rsidRPr="007E45BA" w:rsidRDefault="00D60BCC" w:rsidP="00CA059E">
      <w:pPr>
        <w:pStyle w:val="Bullet1"/>
        <w:numPr>
          <w:ilvl w:val="0"/>
          <w:numId w:val="45"/>
        </w:numPr>
        <w:rPr>
          <w:iCs/>
        </w:rPr>
      </w:pPr>
      <w:r w:rsidRPr="007E45BA">
        <w:rPr>
          <w:iCs/>
        </w:rPr>
        <w:t xml:space="preserve">Guidance </w:t>
      </w:r>
      <w:proofErr w:type="gramStart"/>
      <w:r w:rsidRPr="007E45BA">
        <w:rPr>
          <w:iCs/>
        </w:rPr>
        <w:t>note</w:t>
      </w:r>
      <w:proofErr w:type="gramEnd"/>
      <w:r w:rsidRPr="007E45BA">
        <w:rPr>
          <w:iCs/>
        </w:rPr>
        <w:t>: Learning Outcomes and Assessment (</w:t>
      </w:r>
      <w:r w:rsidR="00AE4D79" w:rsidRPr="007E45BA">
        <w:rPr>
          <w:iCs/>
        </w:rPr>
        <w:t>(in development)</w:t>
      </w:r>
    </w:p>
    <w:p w14:paraId="68A07655" w14:textId="77777777" w:rsidR="00D60BCC" w:rsidRPr="00F14CCE" w:rsidRDefault="00D60BCC">
      <w:pPr>
        <w:rPr>
          <w:iCs/>
        </w:rPr>
      </w:pPr>
    </w:p>
    <w:tbl>
      <w:tblPr>
        <w:tblW w:w="9356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B759C1" w:rsidRPr="000F117B" w14:paraId="2C4C8AAF" w14:textId="77777777" w:rsidTr="007E45BA">
        <w:trPr>
          <w:tblHeader/>
        </w:trPr>
        <w:tc>
          <w:tcPr>
            <w:tcW w:w="1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7383" w14:textId="64384C76" w:rsidR="00B759C1" w:rsidRPr="007E45BA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7E45BA">
              <w:rPr>
                <w:b/>
                <w:noProof/>
                <w:color w:val="E7E6E6" w:themeColor="background2"/>
                <w:sz w:val="20"/>
                <w:szCs w:val="20"/>
              </w:rPr>
              <w:t>Version #</w:t>
            </w:r>
          </w:p>
        </w:tc>
        <w:tc>
          <w:tcPr>
            <w:tcW w:w="212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F51F0" w14:textId="77777777" w:rsidR="00B759C1" w:rsidRPr="007E45BA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7E45BA">
              <w:rPr>
                <w:b/>
                <w:noProof/>
                <w:color w:val="E7E6E6" w:themeColor="background2"/>
                <w:sz w:val="20"/>
                <w:szCs w:val="20"/>
              </w:rPr>
              <w:t>Date</w:t>
            </w:r>
          </w:p>
        </w:tc>
        <w:tc>
          <w:tcPr>
            <w:tcW w:w="595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74CDC" w14:textId="77777777" w:rsidR="00B759C1" w:rsidRPr="007E45BA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7E45BA">
              <w:rPr>
                <w:b/>
                <w:noProof/>
                <w:color w:val="E7E6E6" w:themeColor="background2"/>
                <w:sz w:val="20"/>
                <w:szCs w:val="20"/>
              </w:rPr>
              <w:t>Key changes</w:t>
            </w:r>
          </w:p>
        </w:tc>
      </w:tr>
      <w:tr w:rsidR="00872FC7" w:rsidRPr="000F117B" w14:paraId="6E946C88" w14:textId="77777777" w:rsidTr="009F5D9A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31AC" w14:textId="1809F0C3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3BA6" w14:textId="506633EB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 October 2017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1091" w14:textId="7BE2985B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Made available as beta version for consultation.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</w:tr>
      <w:tr w:rsidR="00872FC7" w:rsidRPr="000F117B" w14:paraId="0884893F" w14:textId="77777777" w:rsidTr="009F5D9A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FF0" w14:textId="3EFBE108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EEA1" w14:textId="5FF4C10D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  <w:highlight w:val="yellow"/>
              </w:rPr>
            </w:pPr>
            <w:r w:rsidRPr="00653910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 xml:space="preserve"> March 2019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8B87" w14:textId="4B9F050F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Amended in response to consultation feedback.</w:t>
            </w:r>
          </w:p>
        </w:tc>
      </w:tr>
      <w:tr w:rsidR="00872FC7" w:rsidRPr="000F117B" w14:paraId="5C1981F5" w14:textId="77777777" w:rsidTr="009F5D9A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E923" w14:textId="2FEFB134" w:rsidR="00872FC7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C6D7" w14:textId="11F8398F" w:rsidR="00872FC7" w:rsidRPr="00C95EAF" w:rsidRDefault="00BF099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 w:rsidRPr="00BF0997">
              <w:rPr>
                <w:noProof/>
                <w:sz w:val="20"/>
                <w:szCs w:val="20"/>
              </w:rPr>
              <w:t>7 February 2023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F6A6" w14:textId="77777777" w:rsidR="00AA7DEA" w:rsidRDefault="00AA7DEA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Major revision. </w:t>
            </w:r>
          </w:p>
          <w:p w14:paraId="697FCBBB" w14:textId="77777777" w:rsidR="00AA7DEA" w:rsidRDefault="00AA7DEA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</w:p>
          <w:p w14:paraId="3B3E3239" w14:textId="2FA4EB2D" w:rsidR="00AA7DEA" w:rsidRPr="00C95EAF" w:rsidRDefault="00872FC7" w:rsidP="00872FC7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Amended to</w:t>
            </w:r>
            <w:r w:rsidR="00AA7DEA">
              <w:rPr>
                <w:noProof/>
                <w:sz w:val="20"/>
                <w:szCs w:val="20"/>
              </w:rPr>
              <w:t xml:space="preserve"> incorporate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AA7DEA">
              <w:rPr>
                <w:noProof/>
                <w:sz w:val="20"/>
                <w:szCs w:val="20"/>
              </w:rPr>
              <w:t xml:space="preserve">updates to the </w:t>
            </w:r>
            <w:r w:rsidR="00141301">
              <w:rPr>
                <w:noProof/>
                <w:sz w:val="20"/>
                <w:szCs w:val="20"/>
              </w:rPr>
              <w:t>Threshold Standards</w:t>
            </w:r>
            <w:r w:rsidR="00121270">
              <w:rPr>
                <w:noProof/>
                <w:sz w:val="20"/>
                <w:szCs w:val="20"/>
              </w:rPr>
              <w:t>.</w:t>
            </w:r>
          </w:p>
        </w:tc>
      </w:tr>
    </w:tbl>
    <w:p w14:paraId="0B96EDD7" w14:textId="77777777" w:rsidR="007C69C4" w:rsidRPr="00C95EAF" w:rsidRDefault="007C69C4" w:rsidP="00196194">
      <w:pPr>
        <w:pStyle w:val="BulletsL1"/>
        <w:numPr>
          <w:ilvl w:val="0"/>
          <w:numId w:val="0"/>
        </w:numPr>
        <w:rPr>
          <w:rFonts w:cs="Arial"/>
          <w:noProof/>
          <w:lang w:val="en-AU"/>
        </w:rPr>
      </w:pPr>
    </w:p>
    <w:sectPr w:rsidR="007C69C4" w:rsidRPr="00C95EAF" w:rsidSect="00453597">
      <w:headerReference w:type="default" r:id="rId17"/>
      <w:footerReference w:type="default" r:id="rId18"/>
      <w:pgSz w:w="11906" w:h="16838"/>
      <w:pgMar w:top="1985" w:right="849" w:bottom="1418" w:left="1440" w:header="567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A797" w14:textId="77777777" w:rsidR="00BA4036" w:rsidRDefault="00BA4036" w:rsidP="006C328D">
      <w:pPr>
        <w:spacing w:before="0" w:after="0"/>
      </w:pPr>
      <w:r>
        <w:separator/>
      </w:r>
    </w:p>
  </w:endnote>
  <w:endnote w:type="continuationSeparator" w:id="0">
    <w:p w14:paraId="0423AE1A" w14:textId="77777777" w:rsidR="00BA4036" w:rsidRDefault="00BA4036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101057" w14:textId="77777777" w:rsidR="009F5D9A" w:rsidRPr="00FF2540" w:rsidRDefault="009F5D9A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757977">
              <w:rPr>
                <w:color w:val="004D7D"/>
                <w:sz w:val="20"/>
                <w:szCs w:val="20"/>
              </w:rPr>
              <w:t xml:space="preserve">Page 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instrText xml:space="preserve"> PAGE </w:instrTex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Pr="00757977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  <w:r w:rsidRPr="00757977">
              <w:rPr>
                <w:color w:val="004D7D"/>
                <w:sz w:val="20"/>
                <w:szCs w:val="20"/>
              </w:rPr>
              <w:t xml:space="preserve"> of 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instrText xml:space="preserve"> NUMPAGES  </w:instrTex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Pr="00757977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Pr="00757977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</w:p>
        </w:sdtContent>
      </w:sdt>
    </w:sdtContent>
  </w:sdt>
  <w:p w14:paraId="294FC6DA" w14:textId="77777777" w:rsidR="009F5D9A" w:rsidRDefault="009F5D9A" w:rsidP="00AE1FD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04BC" w14:textId="77777777" w:rsidR="00BA4036" w:rsidRDefault="00BA4036" w:rsidP="006C328D">
      <w:pPr>
        <w:spacing w:before="0" w:after="0"/>
      </w:pPr>
      <w:r>
        <w:separator/>
      </w:r>
    </w:p>
  </w:footnote>
  <w:footnote w:type="continuationSeparator" w:id="0">
    <w:p w14:paraId="4AD2FEC8" w14:textId="77777777" w:rsidR="00BA4036" w:rsidRDefault="00BA4036" w:rsidP="006C328D">
      <w:pPr>
        <w:spacing w:before="0" w:after="0"/>
      </w:pPr>
      <w:r>
        <w:continuationSeparator/>
      </w:r>
    </w:p>
  </w:footnote>
  <w:footnote w:id="1">
    <w:p w14:paraId="4C657D41" w14:textId="0D6E5D3D" w:rsidR="00F06697" w:rsidRPr="000377FF" w:rsidRDefault="00F0669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A9201F">
        <w:t xml:space="preserve">Informal learning has no structure or learning objectives and is often the result of practical or work experience. </w:t>
      </w:r>
      <w:r>
        <w:rPr>
          <w:lang w:val="en-AU"/>
        </w:rPr>
        <w:t xml:space="preserve">Non-formal learning </w:t>
      </w:r>
      <w:r w:rsidR="00A9201F">
        <w:rPr>
          <w:lang w:val="en-AU"/>
        </w:rPr>
        <w:t>has</w:t>
      </w:r>
      <w:r>
        <w:rPr>
          <w:lang w:val="en-AU"/>
        </w:rPr>
        <w:t xml:space="preserve"> some structure and learning </w:t>
      </w:r>
      <w:r w:rsidR="00A9201F">
        <w:rPr>
          <w:lang w:val="en-AU"/>
        </w:rPr>
        <w:t>objectives but</w:t>
      </w:r>
      <w:r>
        <w:rPr>
          <w:lang w:val="en-AU"/>
        </w:rPr>
        <w:t xml:space="preserve"> will not </w:t>
      </w:r>
      <w:r w:rsidR="00A9201F">
        <w:rPr>
          <w:lang w:val="en-AU"/>
        </w:rPr>
        <w:t>lead to a formal qualifications/award e.g., tennis lessons.</w:t>
      </w:r>
      <w:r>
        <w:rPr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C76" w14:textId="09555207" w:rsidR="009F5D9A" w:rsidRPr="006C328D" w:rsidRDefault="009F5D9A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1521EB7" wp14:editId="46710E59">
          <wp:extent cx="3228975" cy="476067"/>
          <wp:effectExtent l="0" t="0" r="0" b="635"/>
          <wp:docPr id="31" name="Picture 31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 w:rsidR="00BE0F27">
      <w:rPr>
        <w:noProof/>
      </w:rPr>
      <w:drawing>
        <wp:inline distT="0" distB="0" distL="0" distR="0" wp14:anchorId="293883F4" wp14:editId="782ADDF6">
          <wp:extent cx="1431664" cy="372552"/>
          <wp:effectExtent l="0" t="0" r="0" b="889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9529" cy="38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.5pt" o:bullet="t">
        <v:imagedata r:id="rId1" o:title="Teal-Triangles"/>
      </v:shape>
    </w:pict>
  </w:numPicBullet>
  <w:numPicBullet w:numPicBulletId="1">
    <w:pict>
      <v:shape id="_x0000_i1027" type="#_x0000_t75" style="width:1in;height:36.5pt" o:bullet="t">
        <v:imagedata r:id="rId2" o:title="Pink-Triangles"/>
      </v:shape>
    </w:pict>
  </w:numPicBullet>
  <w:numPicBullet w:numPicBulletId="2">
    <w:pict>
      <v:shape id="_x0000_i1028" type="#_x0000_t75" style="width:1in;height:36.5pt" o:bullet="t">
        <v:imagedata r:id="rId3" o:title="Yellow-Triangles"/>
      </v:shape>
    </w:pict>
  </w:numPicBullet>
  <w:abstractNum w:abstractNumId="0" w15:restartNumberingAfterBreak="0">
    <w:nsid w:val="069111E7"/>
    <w:multiLevelType w:val="hybridMultilevel"/>
    <w:tmpl w:val="0C56C422"/>
    <w:lvl w:ilvl="0" w:tplc="4BCEAB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062437"/>
    <w:multiLevelType w:val="multilevel"/>
    <w:tmpl w:val="8E7C99A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D7D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7D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E382E6F"/>
    <w:multiLevelType w:val="hybridMultilevel"/>
    <w:tmpl w:val="0F1C10F8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7005"/>
    <w:multiLevelType w:val="hybridMultilevel"/>
    <w:tmpl w:val="9D9C00FE"/>
    <w:lvl w:ilvl="0" w:tplc="0C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F0C742A"/>
    <w:multiLevelType w:val="hybridMultilevel"/>
    <w:tmpl w:val="3F6EC4AE"/>
    <w:lvl w:ilvl="0" w:tplc="CBEA68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4D7D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0303D0E"/>
    <w:multiLevelType w:val="hybridMultilevel"/>
    <w:tmpl w:val="125CA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35EF"/>
    <w:multiLevelType w:val="hybridMultilevel"/>
    <w:tmpl w:val="91A27FF2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F3942"/>
    <w:multiLevelType w:val="hybridMultilevel"/>
    <w:tmpl w:val="AAAE5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EC6"/>
    <w:multiLevelType w:val="hybridMultilevel"/>
    <w:tmpl w:val="7B6436D2"/>
    <w:lvl w:ilvl="0" w:tplc="2DB62B8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00485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1F5B"/>
    <w:multiLevelType w:val="hybridMultilevel"/>
    <w:tmpl w:val="1960F49E"/>
    <w:lvl w:ilvl="0" w:tplc="4BCEABD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CD96585"/>
    <w:multiLevelType w:val="hybridMultilevel"/>
    <w:tmpl w:val="D2F8F9A4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6006"/>
    <w:multiLevelType w:val="hybridMultilevel"/>
    <w:tmpl w:val="47F63DD6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1FE541A5"/>
    <w:multiLevelType w:val="multilevel"/>
    <w:tmpl w:val="D2801AA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E7D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D7D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D7D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14644B1"/>
    <w:multiLevelType w:val="hybridMultilevel"/>
    <w:tmpl w:val="EB36FBE8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720" w:hanging="360"/>
      </w:pPr>
      <w:rPr>
        <w:rFonts w:ascii="Webdings" w:hAnsi="Webdings" w:hint="default"/>
        <w:color w:val="00A6A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720" w:hanging="360"/>
      </w:pPr>
      <w:rPr>
        <w:rFonts w:ascii="Webdings" w:hAnsi="Webdings" w:hint="default"/>
        <w:color w:val="00485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34D1A"/>
    <w:multiLevelType w:val="hybridMultilevel"/>
    <w:tmpl w:val="59826892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9520C"/>
    <w:multiLevelType w:val="hybridMultilevel"/>
    <w:tmpl w:val="A23C519E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CB6E53"/>
    <w:multiLevelType w:val="hybridMultilevel"/>
    <w:tmpl w:val="5D5E6F28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E1C51"/>
    <w:multiLevelType w:val="multilevel"/>
    <w:tmpl w:val="CBBCA9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D7D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D7D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35A332E"/>
    <w:multiLevelType w:val="multilevel"/>
    <w:tmpl w:val="780AAF82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4D7D"/>
      </w:rPr>
    </w:lvl>
    <w:lvl w:ilvl="1">
      <w:start w:val="1"/>
      <w:numFmt w:val="bullet"/>
      <w:pStyle w:val="Bullet2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»"/>
      <w:lvlJc w:val="left"/>
      <w:pPr>
        <w:ind w:left="1136" w:hanging="284"/>
      </w:pPr>
      <w:rPr>
        <w:rFonts w:ascii="Arial" w:hAnsi="Arial" w:hint="default"/>
        <w:color w:val="004D7D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24" w15:restartNumberingAfterBreak="0">
    <w:nsid w:val="33CF4C82"/>
    <w:multiLevelType w:val="hybridMultilevel"/>
    <w:tmpl w:val="B6149EF8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D5B51"/>
    <w:multiLevelType w:val="hybridMultilevel"/>
    <w:tmpl w:val="F58A39E2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662B9"/>
    <w:multiLevelType w:val="hybridMultilevel"/>
    <w:tmpl w:val="050AC096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C435E"/>
    <w:multiLevelType w:val="multilevel"/>
    <w:tmpl w:val="8E7C99A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D7D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7D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3AF22498"/>
    <w:multiLevelType w:val="hybridMultilevel"/>
    <w:tmpl w:val="93209CDC"/>
    <w:lvl w:ilvl="0" w:tplc="31CA9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B4B72"/>
    <w:multiLevelType w:val="hybridMultilevel"/>
    <w:tmpl w:val="1B4EF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45448"/>
    <w:multiLevelType w:val="hybridMultilevel"/>
    <w:tmpl w:val="0742B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87D4A"/>
    <w:multiLevelType w:val="hybridMultilevel"/>
    <w:tmpl w:val="9CF04344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34D9F"/>
    <w:multiLevelType w:val="hybridMultilevel"/>
    <w:tmpl w:val="29BA1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F29D3"/>
    <w:multiLevelType w:val="hybridMultilevel"/>
    <w:tmpl w:val="30268208"/>
    <w:lvl w:ilvl="0" w:tplc="FA646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7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A7734"/>
    <w:multiLevelType w:val="hybridMultilevel"/>
    <w:tmpl w:val="81087ACC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DF25E46"/>
    <w:multiLevelType w:val="hybridMultilevel"/>
    <w:tmpl w:val="8AAA1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FB66B8"/>
    <w:multiLevelType w:val="hybridMultilevel"/>
    <w:tmpl w:val="E6828988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A6075"/>
    <w:multiLevelType w:val="hybridMultilevel"/>
    <w:tmpl w:val="618CB63E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60DE6C5C"/>
    <w:multiLevelType w:val="hybridMultilevel"/>
    <w:tmpl w:val="BBA4FF80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001282"/>
    <w:multiLevelType w:val="hybridMultilevel"/>
    <w:tmpl w:val="8F203FC6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237F2"/>
    <w:multiLevelType w:val="hybridMultilevel"/>
    <w:tmpl w:val="E176F9EC"/>
    <w:lvl w:ilvl="0" w:tplc="4BCEABD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71F45E5E"/>
    <w:multiLevelType w:val="multilevel"/>
    <w:tmpl w:val="6354004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4D7D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»"/>
      <w:lvlJc w:val="left"/>
      <w:pPr>
        <w:ind w:left="1136" w:hanging="284"/>
      </w:pPr>
      <w:rPr>
        <w:rFonts w:ascii="Arial" w:hAnsi="Arial" w:hint="default"/>
        <w:color w:val="004D7D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47" w15:restartNumberingAfterBreak="0">
    <w:nsid w:val="7352701B"/>
    <w:multiLevelType w:val="hybridMultilevel"/>
    <w:tmpl w:val="0AD2823E"/>
    <w:lvl w:ilvl="0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8" w15:restartNumberingAfterBreak="0">
    <w:nsid w:val="73BF2ED7"/>
    <w:multiLevelType w:val="hybridMultilevel"/>
    <w:tmpl w:val="8DF0C9D6"/>
    <w:lvl w:ilvl="0" w:tplc="C7185B7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4E7D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 w15:restartNumberingAfterBreak="0">
    <w:nsid w:val="75A9139D"/>
    <w:multiLevelType w:val="hybridMultilevel"/>
    <w:tmpl w:val="CD8E481A"/>
    <w:lvl w:ilvl="0" w:tplc="4BCE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D12D58"/>
    <w:multiLevelType w:val="hybridMultilevel"/>
    <w:tmpl w:val="76505270"/>
    <w:lvl w:ilvl="0" w:tplc="0C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2" w15:restartNumberingAfterBreak="0">
    <w:nsid w:val="7B831E56"/>
    <w:multiLevelType w:val="hybridMultilevel"/>
    <w:tmpl w:val="A3161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96D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3302816">
    <w:abstractNumId w:val="53"/>
  </w:num>
  <w:num w:numId="2" w16cid:durableId="706489164">
    <w:abstractNumId w:val="51"/>
  </w:num>
  <w:num w:numId="3" w16cid:durableId="1877815293">
    <w:abstractNumId w:val="23"/>
  </w:num>
  <w:num w:numId="4" w16cid:durableId="1167551701">
    <w:abstractNumId w:val="39"/>
  </w:num>
  <w:num w:numId="5" w16cid:durableId="1883979341">
    <w:abstractNumId w:val="38"/>
  </w:num>
  <w:num w:numId="6" w16cid:durableId="1415322948">
    <w:abstractNumId w:val="36"/>
  </w:num>
  <w:num w:numId="7" w16cid:durableId="1469516375">
    <w:abstractNumId w:val="18"/>
  </w:num>
  <w:num w:numId="8" w16cid:durableId="1507358132">
    <w:abstractNumId w:val="19"/>
  </w:num>
  <w:num w:numId="9" w16cid:durableId="29425849">
    <w:abstractNumId w:val="20"/>
  </w:num>
  <w:num w:numId="10" w16cid:durableId="1896578489">
    <w:abstractNumId w:val="37"/>
  </w:num>
  <w:num w:numId="11" w16cid:durableId="30887420">
    <w:abstractNumId w:val="29"/>
  </w:num>
  <w:num w:numId="12" w16cid:durableId="1720863470">
    <w:abstractNumId w:val="15"/>
  </w:num>
  <w:num w:numId="13" w16cid:durableId="720205494">
    <w:abstractNumId w:val="14"/>
  </w:num>
  <w:num w:numId="14" w16cid:durableId="90594052">
    <w:abstractNumId w:val="8"/>
  </w:num>
  <w:num w:numId="15" w16cid:durableId="1744255594">
    <w:abstractNumId w:val="32"/>
  </w:num>
  <w:num w:numId="16" w16cid:durableId="2085956328">
    <w:abstractNumId w:val="21"/>
  </w:num>
  <w:num w:numId="17" w16cid:durableId="977537209">
    <w:abstractNumId w:val="35"/>
  </w:num>
  <w:num w:numId="18" w16cid:durableId="80294354">
    <w:abstractNumId w:val="41"/>
  </w:num>
  <w:num w:numId="19" w16cid:durableId="1055785649">
    <w:abstractNumId w:val="10"/>
  </w:num>
  <w:num w:numId="20" w16cid:durableId="1707632938">
    <w:abstractNumId w:val="43"/>
  </w:num>
  <w:num w:numId="21" w16cid:durableId="240985898">
    <w:abstractNumId w:val="44"/>
  </w:num>
  <w:num w:numId="22" w16cid:durableId="1446465843">
    <w:abstractNumId w:val="13"/>
  </w:num>
  <w:num w:numId="23" w16cid:durableId="341785980">
    <w:abstractNumId w:val="2"/>
  </w:num>
  <w:num w:numId="24" w16cid:durableId="1135635923">
    <w:abstractNumId w:val="16"/>
  </w:num>
  <w:num w:numId="25" w16cid:durableId="283200853">
    <w:abstractNumId w:val="25"/>
  </w:num>
  <w:num w:numId="26" w16cid:durableId="1697271927">
    <w:abstractNumId w:val="26"/>
  </w:num>
  <w:num w:numId="27" w16cid:durableId="741026771">
    <w:abstractNumId w:val="6"/>
  </w:num>
  <w:num w:numId="28" w16cid:durableId="283465343">
    <w:abstractNumId w:val="17"/>
  </w:num>
  <w:num w:numId="29" w16cid:durableId="1079210167">
    <w:abstractNumId w:val="45"/>
  </w:num>
  <w:num w:numId="30" w16cid:durableId="1505167012">
    <w:abstractNumId w:val="9"/>
  </w:num>
  <w:num w:numId="31" w16cid:durableId="1871800838">
    <w:abstractNumId w:val="0"/>
  </w:num>
  <w:num w:numId="32" w16cid:durableId="382950288">
    <w:abstractNumId w:val="24"/>
  </w:num>
  <w:num w:numId="33" w16cid:durableId="1719893101">
    <w:abstractNumId w:val="49"/>
  </w:num>
  <w:num w:numId="34" w16cid:durableId="1284580965">
    <w:abstractNumId w:val="28"/>
  </w:num>
  <w:num w:numId="35" w16cid:durableId="1894535913">
    <w:abstractNumId w:val="42"/>
  </w:num>
  <w:num w:numId="36" w16cid:durableId="554390422">
    <w:abstractNumId w:val="4"/>
  </w:num>
  <w:num w:numId="37" w16cid:durableId="178739524">
    <w:abstractNumId w:val="15"/>
  </w:num>
  <w:num w:numId="38" w16cid:durableId="1274478798">
    <w:abstractNumId w:val="33"/>
  </w:num>
  <w:num w:numId="39" w16cid:durableId="1163662144">
    <w:abstractNumId w:val="52"/>
  </w:num>
  <w:num w:numId="40" w16cid:durableId="502093530">
    <w:abstractNumId w:val="30"/>
  </w:num>
  <w:num w:numId="41" w16cid:durableId="1838880165">
    <w:abstractNumId w:val="5"/>
  </w:num>
  <w:num w:numId="42" w16cid:durableId="1574703136">
    <w:abstractNumId w:val="11"/>
  </w:num>
  <w:num w:numId="43" w16cid:durableId="909773064">
    <w:abstractNumId w:val="40"/>
  </w:num>
  <w:num w:numId="44" w16cid:durableId="1547335068">
    <w:abstractNumId w:val="31"/>
  </w:num>
  <w:num w:numId="45" w16cid:durableId="1142042010">
    <w:abstractNumId w:val="12"/>
  </w:num>
  <w:num w:numId="46" w16cid:durableId="129858806">
    <w:abstractNumId w:val="7"/>
  </w:num>
  <w:num w:numId="47" w16cid:durableId="229780125">
    <w:abstractNumId w:val="34"/>
  </w:num>
  <w:num w:numId="48" w16cid:durableId="2112778612">
    <w:abstractNumId w:val="48"/>
  </w:num>
  <w:num w:numId="49" w16cid:durableId="1935554275">
    <w:abstractNumId w:val="22"/>
  </w:num>
  <w:num w:numId="50" w16cid:durableId="828207675">
    <w:abstractNumId w:val="27"/>
  </w:num>
  <w:num w:numId="51" w16cid:durableId="1217814600">
    <w:abstractNumId w:val="1"/>
  </w:num>
  <w:num w:numId="52" w16cid:durableId="2128310307">
    <w:abstractNumId w:val="46"/>
  </w:num>
  <w:num w:numId="53" w16cid:durableId="1489055225">
    <w:abstractNumId w:val="47"/>
  </w:num>
  <w:num w:numId="54" w16cid:durableId="272635668">
    <w:abstractNumId w:val="3"/>
  </w:num>
  <w:num w:numId="55" w16cid:durableId="528762300">
    <w:abstractNumId w:val="50"/>
  </w:num>
  <w:num w:numId="56" w16cid:durableId="46131553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018C1"/>
    <w:rsid w:val="00002015"/>
    <w:rsid w:val="000034A0"/>
    <w:rsid w:val="00005BFD"/>
    <w:rsid w:val="000103BA"/>
    <w:rsid w:val="00014F9D"/>
    <w:rsid w:val="0002032A"/>
    <w:rsid w:val="00022B45"/>
    <w:rsid w:val="000342DB"/>
    <w:rsid w:val="000377FF"/>
    <w:rsid w:val="00040A3A"/>
    <w:rsid w:val="00047FB3"/>
    <w:rsid w:val="00054E40"/>
    <w:rsid w:val="00055F9D"/>
    <w:rsid w:val="00056406"/>
    <w:rsid w:val="00061CF7"/>
    <w:rsid w:val="0007028B"/>
    <w:rsid w:val="000707C1"/>
    <w:rsid w:val="00071592"/>
    <w:rsid w:val="00071696"/>
    <w:rsid w:val="00072880"/>
    <w:rsid w:val="000754E5"/>
    <w:rsid w:val="000766E4"/>
    <w:rsid w:val="00082CF7"/>
    <w:rsid w:val="00085EED"/>
    <w:rsid w:val="00087B74"/>
    <w:rsid w:val="00091FD4"/>
    <w:rsid w:val="000944B4"/>
    <w:rsid w:val="00097AD5"/>
    <w:rsid w:val="000A60F3"/>
    <w:rsid w:val="000B0BA9"/>
    <w:rsid w:val="000B2678"/>
    <w:rsid w:val="000B49DC"/>
    <w:rsid w:val="000B7097"/>
    <w:rsid w:val="000B7D25"/>
    <w:rsid w:val="000C0AB6"/>
    <w:rsid w:val="000C4D9B"/>
    <w:rsid w:val="000D03F5"/>
    <w:rsid w:val="000D3CA6"/>
    <w:rsid w:val="000D461A"/>
    <w:rsid w:val="000E510F"/>
    <w:rsid w:val="000E5FBD"/>
    <w:rsid w:val="000E688F"/>
    <w:rsid w:val="000F00DE"/>
    <w:rsid w:val="000F117B"/>
    <w:rsid w:val="000F26A9"/>
    <w:rsid w:val="000F3699"/>
    <w:rsid w:val="00100520"/>
    <w:rsid w:val="00102AA9"/>
    <w:rsid w:val="00105BF9"/>
    <w:rsid w:val="00107D1B"/>
    <w:rsid w:val="001126FD"/>
    <w:rsid w:val="00116A17"/>
    <w:rsid w:val="00121270"/>
    <w:rsid w:val="001234CA"/>
    <w:rsid w:val="00126E4D"/>
    <w:rsid w:val="00131429"/>
    <w:rsid w:val="0013298A"/>
    <w:rsid w:val="00134DD1"/>
    <w:rsid w:val="00140F62"/>
    <w:rsid w:val="00141301"/>
    <w:rsid w:val="001440A7"/>
    <w:rsid w:val="001473A3"/>
    <w:rsid w:val="00152D17"/>
    <w:rsid w:val="00152EEE"/>
    <w:rsid w:val="001561CC"/>
    <w:rsid w:val="00157FC1"/>
    <w:rsid w:val="00163015"/>
    <w:rsid w:val="00164942"/>
    <w:rsid w:val="001707A3"/>
    <w:rsid w:val="00171319"/>
    <w:rsid w:val="00181D75"/>
    <w:rsid w:val="00181F0E"/>
    <w:rsid w:val="00183BDA"/>
    <w:rsid w:val="001845B1"/>
    <w:rsid w:val="001910C8"/>
    <w:rsid w:val="001937CF"/>
    <w:rsid w:val="00194D16"/>
    <w:rsid w:val="00196194"/>
    <w:rsid w:val="00196F2D"/>
    <w:rsid w:val="001A5D34"/>
    <w:rsid w:val="001A7DEF"/>
    <w:rsid w:val="001B13E9"/>
    <w:rsid w:val="001B7510"/>
    <w:rsid w:val="001C1C22"/>
    <w:rsid w:val="001C1EC9"/>
    <w:rsid w:val="001C43A2"/>
    <w:rsid w:val="001C68AB"/>
    <w:rsid w:val="001D13AE"/>
    <w:rsid w:val="001F0787"/>
    <w:rsid w:val="001F1065"/>
    <w:rsid w:val="001F205F"/>
    <w:rsid w:val="001F2D49"/>
    <w:rsid w:val="001F39F5"/>
    <w:rsid w:val="001F3B80"/>
    <w:rsid w:val="001F58B9"/>
    <w:rsid w:val="001F6F54"/>
    <w:rsid w:val="002019A1"/>
    <w:rsid w:val="00204BC7"/>
    <w:rsid w:val="002075C2"/>
    <w:rsid w:val="00210D74"/>
    <w:rsid w:val="00215A66"/>
    <w:rsid w:val="002238DF"/>
    <w:rsid w:val="0022469E"/>
    <w:rsid w:val="00225EA3"/>
    <w:rsid w:val="00233FDD"/>
    <w:rsid w:val="002363AF"/>
    <w:rsid w:val="0024175C"/>
    <w:rsid w:val="002420FD"/>
    <w:rsid w:val="0024219C"/>
    <w:rsid w:val="00242E49"/>
    <w:rsid w:val="00244814"/>
    <w:rsid w:val="00244D59"/>
    <w:rsid w:val="00252404"/>
    <w:rsid w:val="0025248A"/>
    <w:rsid w:val="002534F8"/>
    <w:rsid w:val="00253EE0"/>
    <w:rsid w:val="00255EA2"/>
    <w:rsid w:val="00276729"/>
    <w:rsid w:val="00276C2E"/>
    <w:rsid w:val="002770FF"/>
    <w:rsid w:val="0028229D"/>
    <w:rsid w:val="002835AD"/>
    <w:rsid w:val="00285FAC"/>
    <w:rsid w:val="002866BA"/>
    <w:rsid w:val="00290A76"/>
    <w:rsid w:val="00292A57"/>
    <w:rsid w:val="002955EE"/>
    <w:rsid w:val="002968FE"/>
    <w:rsid w:val="002A0F67"/>
    <w:rsid w:val="002A2B6C"/>
    <w:rsid w:val="002A56DB"/>
    <w:rsid w:val="002A5D27"/>
    <w:rsid w:val="002A7000"/>
    <w:rsid w:val="002B0C1A"/>
    <w:rsid w:val="002B23DF"/>
    <w:rsid w:val="002B2BD2"/>
    <w:rsid w:val="002B4967"/>
    <w:rsid w:val="002C34A6"/>
    <w:rsid w:val="002C5F51"/>
    <w:rsid w:val="002C794A"/>
    <w:rsid w:val="002C7E4F"/>
    <w:rsid w:val="002D5C5E"/>
    <w:rsid w:val="002E5D7C"/>
    <w:rsid w:val="002E6B3B"/>
    <w:rsid w:val="002F06CD"/>
    <w:rsid w:val="002F0838"/>
    <w:rsid w:val="002F1FD6"/>
    <w:rsid w:val="002F204F"/>
    <w:rsid w:val="002F7389"/>
    <w:rsid w:val="0030065D"/>
    <w:rsid w:val="0030651C"/>
    <w:rsid w:val="00306EDD"/>
    <w:rsid w:val="003124B9"/>
    <w:rsid w:val="003204C6"/>
    <w:rsid w:val="003213FA"/>
    <w:rsid w:val="0032329A"/>
    <w:rsid w:val="0032459E"/>
    <w:rsid w:val="0033210F"/>
    <w:rsid w:val="00333DC1"/>
    <w:rsid w:val="00334C2A"/>
    <w:rsid w:val="00336483"/>
    <w:rsid w:val="0034020D"/>
    <w:rsid w:val="00340768"/>
    <w:rsid w:val="00343A0A"/>
    <w:rsid w:val="00344AE4"/>
    <w:rsid w:val="00344CDA"/>
    <w:rsid w:val="00345122"/>
    <w:rsid w:val="00345AA5"/>
    <w:rsid w:val="00350B0F"/>
    <w:rsid w:val="00350C0A"/>
    <w:rsid w:val="00350F2E"/>
    <w:rsid w:val="00352408"/>
    <w:rsid w:val="00352B57"/>
    <w:rsid w:val="00355B8D"/>
    <w:rsid w:val="00363AA3"/>
    <w:rsid w:val="0036638A"/>
    <w:rsid w:val="003678F1"/>
    <w:rsid w:val="00370759"/>
    <w:rsid w:val="003716A4"/>
    <w:rsid w:val="003734A8"/>
    <w:rsid w:val="003778EB"/>
    <w:rsid w:val="003823FE"/>
    <w:rsid w:val="0038419A"/>
    <w:rsid w:val="00384709"/>
    <w:rsid w:val="00386918"/>
    <w:rsid w:val="00394632"/>
    <w:rsid w:val="003A0BD3"/>
    <w:rsid w:val="003A47CC"/>
    <w:rsid w:val="003A56EB"/>
    <w:rsid w:val="003B092D"/>
    <w:rsid w:val="003B1090"/>
    <w:rsid w:val="003B5CBC"/>
    <w:rsid w:val="003C0410"/>
    <w:rsid w:val="003C559A"/>
    <w:rsid w:val="003C63C2"/>
    <w:rsid w:val="003D4E12"/>
    <w:rsid w:val="003D549B"/>
    <w:rsid w:val="003D5815"/>
    <w:rsid w:val="003E02F2"/>
    <w:rsid w:val="003E0BCC"/>
    <w:rsid w:val="003E0DFA"/>
    <w:rsid w:val="003E4D06"/>
    <w:rsid w:val="003E5248"/>
    <w:rsid w:val="003F2713"/>
    <w:rsid w:val="003F307C"/>
    <w:rsid w:val="003F581D"/>
    <w:rsid w:val="003F7443"/>
    <w:rsid w:val="003F75C3"/>
    <w:rsid w:val="004025FE"/>
    <w:rsid w:val="00402F32"/>
    <w:rsid w:val="00404881"/>
    <w:rsid w:val="00411901"/>
    <w:rsid w:val="004126B0"/>
    <w:rsid w:val="00412DD9"/>
    <w:rsid w:val="00417B39"/>
    <w:rsid w:val="00421DF9"/>
    <w:rsid w:val="00421E22"/>
    <w:rsid w:val="004240B5"/>
    <w:rsid w:val="00425637"/>
    <w:rsid w:val="00425EA1"/>
    <w:rsid w:val="00426114"/>
    <w:rsid w:val="004275A2"/>
    <w:rsid w:val="004304A0"/>
    <w:rsid w:val="004316DC"/>
    <w:rsid w:val="004329D1"/>
    <w:rsid w:val="00435362"/>
    <w:rsid w:val="00436E67"/>
    <w:rsid w:val="00437DEB"/>
    <w:rsid w:val="0044410E"/>
    <w:rsid w:val="00451687"/>
    <w:rsid w:val="00453597"/>
    <w:rsid w:val="00453E90"/>
    <w:rsid w:val="00455DEF"/>
    <w:rsid w:val="00455F60"/>
    <w:rsid w:val="0045740F"/>
    <w:rsid w:val="00465A13"/>
    <w:rsid w:val="004677FD"/>
    <w:rsid w:val="0048160D"/>
    <w:rsid w:val="00484490"/>
    <w:rsid w:val="004854F4"/>
    <w:rsid w:val="00495B5B"/>
    <w:rsid w:val="004A076E"/>
    <w:rsid w:val="004A09F6"/>
    <w:rsid w:val="004A438F"/>
    <w:rsid w:val="004A4879"/>
    <w:rsid w:val="004B0EA6"/>
    <w:rsid w:val="004B2444"/>
    <w:rsid w:val="004C020E"/>
    <w:rsid w:val="004C20B3"/>
    <w:rsid w:val="004C39E3"/>
    <w:rsid w:val="004C5185"/>
    <w:rsid w:val="004C569B"/>
    <w:rsid w:val="004C6C45"/>
    <w:rsid w:val="004D2471"/>
    <w:rsid w:val="004D3F1D"/>
    <w:rsid w:val="004E5C4D"/>
    <w:rsid w:val="004E6134"/>
    <w:rsid w:val="004E7A10"/>
    <w:rsid w:val="004F0130"/>
    <w:rsid w:val="004F09A5"/>
    <w:rsid w:val="004F190C"/>
    <w:rsid w:val="004F1B3E"/>
    <w:rsid w:val="004F3048"/>
    <w:rsid w:val="004F5D9C"/>
    <w:rsid w:val="004F7E8A"/>
    <w:rsid w:val="00503AB3"/>
    <w:rsid w:val="00506699"/>
    <w:rsid w:val="00511505"/>
    <w:rsid w:val="00512B6C"/>
    <w:rsid w:val="00513E63"/>
    <w:rsid w:val="00514218"/>
    <w:rsid w:val="00516F60"/>
    <w:rsid w:val="00524886"/>
    <w:rsid w:val="00525720"/>
    <w:rsid w:val="005300D5"/>
    <w:rsid w:val="005410A8"/>
    <w:rsid w:val="00541321"/>
    <w:rsid w:val="005424C2"/>
    <w:rsid w:val="00543277"/>
    <w:rsid w:val="00545F0E"/>
    <w:rsid w:val="00550214"/>
    <w:rsid w:val="00550D0B"/>
    <w:rsid w:val="00552A2D"/>
    <w:rsid w:val="00553E37"/>
    <w:rsid w:val="00555161"/>
    <w:rsid w:val="0056238D"/>
    <w:rsid w:val="00562952"/>
    <w:rsid w:val="00562EE5"/>
    <w:rsid w:val="00563CE9"/>
    <w:rsid w:val="00565155"/>
    <w:rsid w:val="00566BAA"/>
    <w:rsid w:val="00571736"/>
    <w:rsid w:val="00582D53"/>
    <w:rsid w:val="00587DDA"/>
    <w:rsid w:val="00593FF3"/>
    <w:rsid w:val="0059539E"/>
    <w:rsid w:val="0059693A"/>
    <w:rsid w:val="005A2D92"/>
    <w:rsid w:val="005A4369"/>
    <w:rsid w:val="005B458E"/>
    <w:rsid w:val="005B6A0C"/>
    <w:rsid w:val="005B7808"/>
    <w:rsid w:val="005C51B5"/>
    <w:rsid w:val="005C5C91"/>
    <w:rsid w:val="005D09B1"/>
    <w:rsid w:val="005D3C28"/>
    <w:rsid w:val="005D3F2B"/>
    <w:rsid w:val="005D52D0"/>
    <w:rsid w:val="005D6886"/>
    <w:rsid w:val="005E1862"/>
    <w:rsid w:val="005E3F68"/>
    <w:rsid w:val="005E79E5"/>
    <w:rsid w:val="005F760D"/>
    <w:rsid w:val="006009B0"/>
    <w:rsid w:val="00603684"/>
    <w:rsid w:val="0060784D"/>
    <w:rsid w:val="00614871"/>
    <w:rsid w:val="00616BF6"/>
    <w:rsid w:val="00620E25"/>
    <w:rsid w:val="00620F17"/>
    <w:rsid w:val="00622FA1"/>
    <w:rsid w:val="006262D8"/>
    <w:rsid w:val="006265D4"/>
    <w:rsid w:val="00627B74"/>
    <w:rsid w:val="00631335"/>
    <w:rsid w:val="00634003"/>
    <w:rsid w:val="00641C46"/>
    <w:rsid w:val="00642955"/>
    <w:rsid w:val="0064328F"/>
    <w:rsid w:val="00651286"/>
    <w:rsid w:val="0065301B"/>
    <w:rsid w:val="00656932"/>
    <w:rsid w:val="00657418"/>
    <w:rsid w:val="00661029"/>
    <w:rsid w:val="00663306"/>
    <w:rsid w:val="0066531B"/>
    <w:rsid w:val="0066741F"/>
    <w:rsid w:val="00670780"/>
    <w:rsid w:val="00671ABE"/>
    <w:rsid w:val="00673F43"/>
    <w:rsid w:val="006908BA"/>
    <w:rsid w:val="00691462"/>
    <w:rsid w:val="006964EB"/>
    <w:rsid w:val="00696B8F"/>
    <w:rsid w:val="006A3536"/>
    <w:rsid w:val="006A420F"/>
    <w:rsid w:val="006A46A8"/>
    <w:rsid w:val="006A730B"/>
    <w:rsid w:val="006A7631"/>
    <w:rsid w:val="006A7F50"/>
    <w:rsid w:val="006B0363"/>
    <w:rsid w:val="006B0B86"/>
    <w:rsid w:val="006B1F26"/>
    <w:rsid w:val="006B2B2D"/>
    <w:rsid w:val="006B32EA"/>
    <w:rsid w:val="006B4435"/>
    <w:rsid w:val="006C328D"/>
    <w:rsid w:val="006C4CBB"/>
    <w:rsid w:val="006C5AC7"/>
    <w:rsid w:val="006D17A1"/>
    <w:rsid w:val="006D257A"/>
    <w:rsid w:val="006D3402"/>
    <w:rsid w:val="006D351C"/>
    <w:rsid w:val="006D3C1C"/>
    <w:rsid w:val="006E143D"/>
    <w:rsid w:val="006E3AA7"/>
    <w:rsid w:val="006E4B99"/>
    <w:rsid w:val="006E54DE"/>
    <w:rsid w:val="006F7488"/>
    <w:rsid w:val="006F79B0"/>
    <w:rsid w:val="00703469"/>
    <w:rsid w:val="00703B30"/>
    <w:rsid w:val="007121BF"/>
    <w:rsid w:val="00713B43"/>
    <w:rsid w:val="007148AD"/>
    <w:rsid w:val="0072176E"/>
    <w:rsid w:val="00726605"/>
    <w:rsid w:val="00726CC7"/>
    <w:rsid w:val="00727494"/>
    <w:rsid w:val="00733596"/>
    <w:rsid w:val="00734B93"/>
    <w:rsid w:val="007409CB"/>
    <w:rsid w:val="00746FD1"/>
    <w:rsid w:val="0075059A"/>
    <w:rsid w:val="00751991"/>
    <w:rsid w:val="00754FB9"/>
    <w:rsid w:val="00757977"/>
    <w:rsid w:val="007626A4"/>
    <w:rsid w:val="0076372D"/>
    <w:rsid w:val="00764CA7"/>
    <w:rsid w:val="00770C2B"/>
    <w:rsid w:val="00772E72"/>
    <w:rsid w:val="007760B8"/>
    <w:rsid w:val="00776501"/>
    <w:rsid w:val="00781191"/>
    <w:rsid w:val="007822F4"/>
    <w:rsid w:val="007921C9"/>
    <w:rsid w:val="00792976"/>
    <w:rsid w:val="00793A7D"/>
    <w:rsid w:val="007952AF"/>
    <w:rsid w:val="00795C9D"/>
    <w:rsid w:val="007B01C8"/>
    <w:rsid w:val="007B13B9"/>
    <w:rsid w:val="007B36ED"/>
    <w:rsid w:val="007B4E65"/>
    <w:rsid w:val="007B7234"/>
    <w:rsid w:val="007B730D"/>
    <w:rsid w:val="007B77C7"/>
    <w:rsid w:val="007C2827"/>
    <w:rsid w:val="007C32EE"/>
    <w:rsid w:val="007C423A"/>
    <w:rsid w:val="007C4501"/>
    <w:rsid w:val="007C69C4"/>
    <w:rsid w:val="007C76A1"/>
    <w:rsid w:val="007D115E"/>
    <w:rsid w:val="007D4F47"/>
    <w:rsid w:val="007D51C7"/>
    <w:rsid w:val="007E45BA"/>
    <w:rsid w:val="007F00B4"/>
    <w:rsid w:val="007F12EC"/>
    <w:rsid w:val="007F1708"/>
    <w:rsid w:val="007F3A02"/>
    <w:rsid w:val="007F3D0D"/>
    <w:rsid w:val="007F59E6"/>
    <w:rsid w:val="007F78F7"/>
    <w:rsid w:val="00801A19"/>
    <w:rsid w:val="00805B6F"/>
    <w:rsid w:val="00807BDA"/>
    <w:rsid w:val="008109BC"/>
    <w:rsid w:val="00811EC2"/>
    <w:rsid w:val="00813DF0"/>
    <w:rsid w:val="00817324"/>
    <w:rsid w:val="00823257"/>
    <w:rsid w:val="00832920"/>
    <w:rsid w:val="00834A6E"/>
    <w:rsid w:val="00836815"/>
    <w:rsid w:val="00837FCD"/>
    <w:rsid w:val="00844EE8"/>
    <w:rsid w:val="00845356"/>
    <w:rsid w:val="0085214B"/>
    <w:rsid w:val="00853F0B"/>
    <w:rsid w:val="00854C1D"/>
    <w:rsid w:val="00854F82"/>
    <w:rsid w:val="00855823"/>
    <w:rsid w:val="00855952"/>
    <w:rsid w:val="008569FD"/>
    <w:rsid w:val="00861EEA"/>
    <w:rsid w:val="0086426F"/>
    <w:rsid w:val="008646EE"/>
    <w:rsid w:val="00864F3F"/>
    <w:rsid w:val="008709DD"/>
    <w:rsid w:val="008724D7"/>
    <w:rsid w:val="00872FC7"/>
    <w:rsid w:val="0087675E"/>
    <w:rsid w:val="00880DE1"/>
    <w:rsid w:val="00883173"/>
    <w:rsid w:val="008835CA"/>
    <w:rsid w:val="0088407A"/>
    <w:rsid w:val="008861F4"/>
    <w:rsid w:val="00886C55"/>
    <w:rsid w:val="00893420"/>
    <w:rsid w:val="0089776B"/>
    <w:rsid w:val="008A1197"/>
    <w:rsid w:val="008A2F33"/>
    <w:rsid w:val="008A5E07"/>
    <w:rsid w:val="008A781D"/>
    <w:rsid w:val="008B2322"/>
    <w:rsid w:val="008B3F3C"/>
    <w:rsid w:val="008B63C8"/>
    <w:rsid w:val="008C08FB"/>
    <w:rsid w:val="008C3F0D"/>
    <w:rsid w:val="008C64D2"/>
    <w:rsid w:val="008C6E4F"/>
    <w:rsid w:val="008C7FA0"/>
    <w:rsid w:val="008D0EB4"/>
    <w:rsid w:val="008D56DF"/>
    <w:rsid w:val="008D57F8"/>
    <w:rsid w:val="008E44BA"/>
    <w:rsid w:val="008E7C67"/>
    <w:rsid w:val="008F0AA3"/>
    <w:rsid w:val="008F4CD9"/>
    <w:rsid w:val="0090146D"/>
    <w:rsid w:val="00903D86"/>
    <w:rsid w:val="009136B7"/>
    <w:rsid w:val="0091376E"/>
    <w:rsid w:val="00915932"/>
    <w:rsid w:val="00922B59"/>
    <w:rsid w:val="00923803"/>
    <w:rsid w:val="00924600"/>
    <w:rsid w:val="00931BE8"/>
    <w:rsid w:val="00933C31"/>
    <w:rsid w:val="0093760C"/>
    <w:rsid w:val="00942039"/>
    <w:rsid w:val="00956850"/>
    <w:rsid w:val="00960383"/>
    <w:rsid w:val="00962BC8"/>
    <w:rsid w:val="00964E4D"/>
    <w:rsid w:val="00965E05"/>
    <w:rsid w:val="00970CE3"/>
    <w:rsid w:val="009732E4"/>
    <w:rsid w:val="00975A20"/>
    <w:rsid w:val="00981786"/>
    <w:rsid w:val="00984790"/>
    <w:rsid w:val="009935C4"/>
    <w:rsid w:val="00995E51"/>
    <w:rsid w:val="00996534"/>
    <w:rsid w:val="009A0CDE"/>
    <w:rsid w:val="009A10F5"/>
    <w:rsid w:val="009A1C01"/>
    <w:rsid w:val="009A5392"/>
    <w:rsid w:val="009A56DC"/>
    <w:rsid w:val="009B2881"/>
    <w:rsid w:val="009B4C7E"/>
    <w:rsid w:val="009B5C04"/>
    <w:rsid w:val="009B5F07"/>
    <w:rsid w:val="009B6A05"/>
    <w:rsid w:val="009B75DC"/>
    <w:rsid w:val="009B769E"/>
    <w:rsid w:val="009C281C"/>
    <w:rsid w:val="009C2BE6"/>
    <w:rsid w:val="009C3DAC"/>
    <w:rsid w:val="009C5126"/>
    <w:rsid w:val="009C5167"/>
    <w:rsid w:val="009C5E8A"/>
    <w:rsid w:val="009C6277"/>
    <w:rsid w:val="009D3138"/>
    <w:rsid w:val="009D53A7"/>
    <w:rsid w:val="009D64A4"/>
    <w:rsid w:val="009D71C7"/>
    <w:rsid w:val="009D7F26"/>
    <w:rsid w:val="009E0EB2"/>
    <w:rsid w:val="009E73BE"/>
    <w:rsid w:val="009F5D9A"/>
    <w:rsid w:val="00A02574"/>
    <w:rsid w:val="00A02CF3"/>
    <w:rsid w:val="00A05020"/>
    <w:rsid w:val="00A0583F"/>
    <w:rsid w:val="00A103B4"/>
    <w:rsid w:val="00A141EC"/>
    <w:rsid w:val="00A14ACC"/>
    <w:rsid w:val="00A158E8"/>
    <w:rsid w:val="00A20C23"/>
    <w:rsid w:val="00A211EA"/>
    <w:rsid w:val="00A21EC6"/>
    <w:rsid w:val="00A24049"/>
    <w:rsid w:val="00A36532"/>
    <w:rsid w:val="00A43EC1"/>
    <w:rsid w:val="00A4586F"/>
    <w:rsid w:val="00A523EE"/>
    <w:rsid w:val="00A528A3"/>
    <w:rsid w:val="00A52DE7"/>
    <w:rsid w:val="00A53E55"/>
    <w:rsid w:val="00A577B8"/>
    <w:rsid w:val="00A61FC6"/>
    <w:rsid w:val="00A62649"/>
    <w:rsid w:val="00A74724"/>
    <w:rsid w:val="00A7619B"/>
    <w:rsid w:val="00A9201F"/>
    <w:rsid w:val="00AA03FC"/>
    <w:rsid w:val="00AA1739"/>
    <w:rsid w:val="00AA4D88"/>
    <w:rsid w:val="00AA7DEA"/>
    <w:rsid w:val="00AB05CB"/>
    <w:rsid w:val="00AB5079"/>
    <w:rsid w:val="00AC0A72"/>
    <w:rsid w:val="00AC0C85"/>
    <w:rsid w:val="00AD204E"/>
    <w:rsid w:val="00AD26B9"/>
    <w:rsid w:val="00AD5166"/>
    <w:rsid w:val="00AD5366"/>
    <w:rsid w:val="00AD584F"/>
    <w:rsid w:val="00AE1FDB"/>
    <w:rsid w:val="00AE3FEA"/>
    <w:rsid w:val="00AE4D79"/>
    <w:rsid w:val="00AF028D"/>
    <w:rsid w:val="00AF21BB"/>
    <w:rsid w:val="00AF6D16"/>
    <w:rsid w:val="00B00764"/>
    <w:rsid w:val="00B02B6D"/>
    <w:rsid w:val="00B07A9E"/>
    <w:rsid w:val="00B16252"/>
    <w:rsid w:val="00B21B26"/>
    <w:rsid w:val="00B32128"/>
    <w:rsid w:val="00B329B4"/>
    <w:rsid w:val="00B3402D"/>
    <w:rsid w:val="00B35404"/>
    <w:rsid w:val="00B366DD"/>
    <w:rsid w:val="00B36F78"/>
    <w:rsid w:val="00B37A5B"/>
    <w:rsid w:val="00B42CA9"/>
    <w:rsid w:val="00B4364A"/>
    <w:rsid w:val="00B43705"/>
    <w:rsid w:val="00B44995"/>
    <w:rsid w:val="00B4578F"/>
    <w:rsid w:val="00B52523"/>
    <w:rsid w:val="00B53A98"/>
    <w:rsid w:val="00B553CF"/>
    <w:rsid w:val="00B556BD"/>
    <w:rsid w:val="00B567B9"/>
    <w:rsid w:val="00B624C3"/>
    <w:rsid w:val="00B65F2D"/>
    <w:rsid w:val="00B66CFF"/>
    <w:rsid w:val="00B67858"/>
    <w:rsid w:val="00B7099C"/>
    <w:rsid w:val="00B71DA1"/>
    <w:rsid w:val="00B7264E"/>
    <w:rsid w:val="00B72B92"/>
    <w:rsid w:val="00B730A6"/>
    <w:rsid w:val="00B733BE"/>
    <w:rsid w:val="00B759C1"/>
    <w:rsid w:val="00B77BDC"/>
    <w:rsid w:val="00B806F9"/>
    <w:rsid w:val="00B8295E"/>
    <w:rsid w:val="00B8518D"/>
    <w:rsid w:val="00B85AEE"/>
    <w:rsid w:val="00B94827"/>
    <w:rsid w:val="00BA3508"/>
    <w:rsid w:val="00BA369E"/>
    <w:rsid w:val="00BA3FA7"/>
    <w:rsid w:val="00BA4036"/>
    <w:rsid w:val="00BA674C"/>
    <w:rsid w:val="00BA6AD8"/>
    <w:rsid w:val="00BA6E2F"/>
    <w:rsid w:val="00BC073D"/>
    <w:rsid w:val="00BD0F04"/>
    <w:rsid w:val="00BD2C7B"/>
    <w:rsid w:val="00BE02CE"/>
    <w:rsid w:val="00BE09FA"/>
    <w:rsid w:val="00BE0F27"/>
    <w:rsid w:val="00BE22D8"/>
    <w:rsid w:val="00BE287E"/>
    <w:rsid w:val="00BE795B"/>
    <w:rsid w:val="00BF0997"/>
    <w:rsid w:val="00BF0FB6"/>
    <w:rsid w:val="00BF371E"/>
    <w:rsid w:val="00BF607D"/>
    <w:rsid w:val="00C02630"/>
    <w:rsid w:val="00C026A8"/>
    <w:rsid w:val="00C03B09"/>
    <w:rsid w:val="00C061FC"/>
    <w:rsid w:val="00C10712"/>
    <w:rsid w:val="00C14D46"/>
    <w:rsid w:val="00C24719"/>
    <w:rsid w:val="00C33D87"/>
    <w:rsid w:val="00C347B4"/>
    <w:rsid w:val="00C41185"/>
    <w:rsid w:val="00C41AA7"/>
    <w:rsid w:val="00C46CBF"/>
    <w:rsid w:val="00C47704"/>
    <w:rsid w:val="00C509C2"/>
    <w:rsid w:val="00C51933"/>
    <w:rsid w:val="00C51E7B"/>
    <w:rsid w:val="00C52982"/>
    <w:rsid w:val="00C565B3"/>
    <w:rsid w:val="00C6109E"/>
    <w:rsid w:val="00C66C0D"/>
    <w:rsid w:val="00C72C8A"/>
    <w:rsid w:val="00C8002C"/>
    <w:rsid w:val="00C820D0"/>
    <w:rsid w:val="00C82945"/>
    <w:rsid w:val="00C8318A"/>
    <w:rsid w:val="00C87D84"/>
    <w:rsid w:val="00C922EE"/>
    <w:rsid w:val="00C9364A"/>
    <w:rsid w:val="00C94B96"/>
    <w:rsid w:val="00C95EAF"/>
    <w:rsid w:val="00C97ACC"/>
    <w:rsid w:val="00CA0240"/>
    <w:rsid w:val="00CA059E"/>
    <w:rsid w:val="00CA06A2"/>
    <w:rsid w:val="00CB19E1"/>
    <w:rsid w:val="00CB29B8"/>
    <w:rsid w:val="00CB6C8E"/>
    <w:rsid w:val="00CC15CB"/>
    <w:rsid w:val="00CC3D8A"/>
    <w:rsid w:val="00CD271B"/>
    <w:rsid w:val="00CD2CED"/>
    <w:rsid w:val="00CD32F7"/>
    <w:rsid w:val="00CD4320"/>
    <w:rsid w:val="00CD70AF"/>
    <w:rsid w:val="00CD71A2"/>
    <w:rsid w:val="00CD74B3"/>
    <w:rsid w:val="00CD7B1A"/>
    <w:rsid w:val="00CE0F8D"/>
    <w:rsid w:val="00CE27CE"/>
    <w:rsid w:val="00CE2DB2"/>
    <w:rsid w:val="00CE46E5"/>
    <w:rsid w:val="00CE56E5"/>
    <w:rsid w:val="00CE5731"/>
    <w:rsid w:val="00CF0246"/>
    <w:rsid w:val="00CF0DFE"/>
    <w:rsid w:val="00CF0F9B"/>
    <w:rsid w:val="00D00F07"/>
    <w:rsid w:val="00D00FC0"/>
    <w:rsid w:val="00D01815"/>
    <w:rsid w:val="00D062E8"/>
    <w:rsid w:val="00D066C3"/>
    <w:rsid w:val="00D116E4"/>
    <w:rsid w:val="00D16F4C"/>
    <w:rsid w:val="00D17090"/>
    <w:rsid w:val="00D211FE"/>
    <w:rsid w:val="00D24F75"/>
    <w:rsid w:val="00D2650E"/>
    <w:rsid w:val="00D267A4"/>
    <w:rsid w:val="00D278B6"/>
    <w:rsid w:val="00D30406"/>
    <w:rsid w:val="00D319B4"/>
    <w:rsid w:val="00D32269"/>
    <w:rsid w:val="00D37DA5"/>
    <w:rsid w:val="00D410F0"/>
    <w:rsid w:val="00D4364F"/>
    <w:rsid w:val="00D46A37"/>
    <w:rsid w:val="00D5174C"/>
    <w:rsid w:val="00D5442C"/>
    <w:rsid w:val="00D55511"/>
    <w:rsid w:val="00D571D4"/>
    <w:rsid w:val="00D60BCC"/>
    <w:rsid w:val="00D61780"/>
    <w:rsid w:val="00D6180E"/>
    <w:rsid w:val="00D76C7F"/>
    <w:rsid w:val="00D76FEB"/>
    <w:rsid w:val="00D812CC"/>
    <w:rsid w:val="00D833B5"/>
    <w:rsid w:val="00D83A60"/>
    <w:rsid w:val="00D8448C"/>
    <w:rsid w:val="00D85C53"/>
    <w:rsid w:val="00D865A4"/>
    <w:rsid w:val="00D87C67"/>
    <w:rsid w:val="00D91C3A"/>
    <w:rsid w:val="00D94E92"/>
    <w:rsid w:val="00D95764"/>
    <w:rsid w:val="00D95877"/>
    <w:rsid w:val="00D97FAA"/>
    <w:rsid w:val="00DA7E28"/>
    <w:rsid w:val="00DB36C7"/>
    <w:rsid w:val="00DB55A1"/>
    <w:rsid w:val="00DB70A2"/>
    <w:rsid w:val="00DC2CF5"/>
    <w:rsid w:val="00DC4258"/>
    <w:rsid w:val="00DC4422"/>
    <w:rsid w:val="00DC4564"/>
    <w:rsid w:val="00DD0218"/>
    <w:rsid w:val="00DD1115"/>
    <w:rsid w:val="00DD1851"/>
    <w:rsid w:val="00DD5042"/>
    <w:rsid w:val="00DE2709"/>
    <w:rsid w:val="00DE2996"/>
    <w:rsid w:val="00DE3ABE"/>
    <w:rsid w:val="00DE633F"/>
    <w:rsid w:val="00DE71D8"/>
    <w:rsid w:val="00DF03D7"/>
    <w:rsid w:val="00DF18A0"/>
    <w:rsid w:val="00DF342B"/>
    <w:rsid w:val="00E03EB9"/>
    <w:rsid w:val="00E04008"/>
    <w:rsid w:val="00E04924"/>
    <w:rsid w:val="00E05BCD"/>
    <w:rsid w:val="00E060F7"/>
    <w:rsid w:val="00E14487"/>
    <w:rsid w:val="00E17BFE"/>
    <w:rsid w:val="00E203D3"/>
    <w:rsid w:val="00E218A3"/>
    <w:rsid w:val="00E25C52"/>
    <w:rsid w:val="00E25C65"/>
    <w:rsid w:val="00E25DEF"/>
    <w:rsid w:val="00E2779C"/>
    <w:rsid w:val="00E27AD7"/>
    <w:rsid w:val="00E33109"/>
    <w:rsid w:val="00E338C7"/>
    <w:rsid w:val="00E359BC"/>
    <w:rsid w:val="00E4429F"/>
    <w:rsid w:val="00E45B8D"/>
    <w:rsid w:val="00E45EA3"/>
    <w:rsid w:val="00E47080"/>
    <w:rsid w:val="00E537A2"/>
    <w:rsid w:val="00E54D1D"/>
    <w:rsid w:val="00E5586B"/>
    <w:rsid w:val="00E55D63"/>
    <w:rsid w:val="00E613C9"/>
    <w:rsid w:val="00E644A8"/>
    <w:rsid w:val="00E66AE9"/>
    <w:rsid w:val="00E71234"/>
    <w:rsid w:val="00E823FA"/>
    <w:rsid w:val="00E83961"/>
    <w:rsid w:val="00E85972"/>
    <w:rsid w:val="00E86881"/>
    <w:rsid w:val="00E90A04"/>
    <w:rsid w:val="00E93A2B"/>
    <w:rsid w:val="00E9410F"/>
    <w:rsid w:val="00E94FBA"/>
    <w:rsid w:val="00EA3ED9"/>
    <w:rsid w:val="00EA4D67"/>
    <w:rsid w:val="00EA69A0"/>
    <w:rsid w:val="00EB0C56"/>
    <w:rsid w:val="00EB2087"/>
    <w:rsid w:val="00EC1815"/>
    <w:rsid w:val="00EC1846"/>
    <w:rsid w:val="00EC499C"/>
    <w:rsid w:val="00EC4A0B"/>
    <w:rsid w:val="00EC5DD6"/>
    <w:rsid w:val="00EC632F"/>
    <w:rsid w:val="00EC7DC7"/>
    <w:rsid w:val="00ED2C0D"/>
    <w:rsid w:val="00ED6B47"/>
    <w:rsid w:val="00ED7966"/>
    <w:rsid w:val="00ED7DC8"/>
    <w:rsid w:val="00EE0396"/>
    <w:rsid w:val="00EE0522"/>
    <w:rsid w:val="00EE2440"/>
    <w:rsid w:val="00EE2566"/>
    <w:rsid w:val="00EE375E"/>
    <w:rsid w:val="00EE3BF8"/>
    <w:rsid w:val="00EE545D"/>
    <w:rsid w:val="00EE7CE1"/>
    <w:rsid w:val="00EF4D66"/>
    <w:rsid w:val="00EF52E8"/>
    <w:rsid w:val="00EF7145"/>
    <w:rsid w:val="00EF7220"/>
    <w:rsid w:val="00F022D5"/>
    <w:rsid w:val="00F02411"/>
    <w:rsid w:val="00F02D59"/>
    <w:rsid w:val="00F039DC"/>
    <w:rsid w:val="00F053D4"/>
    <w:rsid w:val="00F06697"/>
    <w:rsid w:val="00F0763F"/>
    <w:rsid w:val="00F11561"/>
    <w:rsid w:val="00F14CCE"/>
    <w:rsid w:val="00F15AFA"/>
    <w:rsid w:val="00F15E29"/>
    <w:rsid w:val="00F17802"/>
    <w:rsid w:val="00F20CC8"/>
    <w:rsid w:val="00F20E6C"/>
    <w:rsid w:val="00F21C3A"/>
    <w:rsid w:val="00F21FC0"/>
    <w:rsid w:val="00F22638"/>
    <w:rsid w:val="00F25CEC"/>
    <w:rsid w:val="00F3628A"/>
    <w:rsid w:val="00F400FF"/>
    <w:rsid w:val="00F40B3D"/>
    <w:rsid w:val="00F416B7"/>
    <w:rsid w:val="00F469C0"/>
    <w:rsid w:val="00F50823"/>
    <w:rsid w:val="00F539B4"/>
    <w:rsid w:val="00F61176"/>
    <w:rsid w:val="00F64126"/>
    <w:rsid w:val="00F67EE5"/>
    <w:rsid w:val="00F77ACD"/>
    <w:rsid w:val="00F83297"/>
    <w:rsid w:val="00F8449E"/>
    <w:rsid w:val="00F90363"/>
    <w:rsid w:val="00F965DB"/>
    <w:rsid w:val="00F96D7E"/>
    <w:rsid w:val="00FA3577"/>
    <w:rsid w:val="00FA382F"/>
    <w:rsid w:val="00FA7333"/>
    <w:rsid w:val="00FB1EC7"/>
    <w:rsid w:val="00FB2B29"/>
    <w:rsid w:val="00FC38AD"/>
    <w:rsid w:val="00FC7686"/>
    <w:rsid w:val="00FD0682"/>
    <w:rsid w:val="00FD1349"/>
    <w:rsid w:val="00FD5F80"/>
    <w:rsid w:val="00FD7985"/>
    <w:rsid w:val="00FE36B1"/>
    <w:rsid w:val="00FE5219"/>
    <w:rsid w:val="00FE77D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."/>
  <w:listSeparator w:val=","/>
  <w14:docId w14:val="58D4F460"/>
  <w15:docId w15:val="{479BCE6D-581E-42FB-B3D6-B0D7BFE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C1815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815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1815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  <w:tabs>
        <w:tab w:val="num" w:pos="360"/>
      </w:tabs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C1815"/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3"/>
      </w:numPr>
    </w:pPr>
  </w:style>
  <w:style w:type="paragraph" w:customStyle="1" w:styleId="FigureTitle">
    <w:name w:val="Figure Title"/>
    <w:basedOn w:val="Normal"/>
    <w:uiPriority w:val="12"/>
    <w:qFormat/>
    <w:rsid w:val="00EC1815"/>
    <w:pPr>
      <w:keepNext/>
      <w:numPr>
        <w:numId w:val="4"/>
      </w:numPr>
      <w:spacing w:before="240"/>
    </w:pPr>
    <w:rPr>
      <w:rFonts w:asciiTheme="majorHAnsi" w:hAnsiTheme="majorHAnsi"/>
      <w:color w:val="004D7D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C1815"/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C1815"/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7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22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customStyle="1" w:styleId="BulletsL1">
    <w:name w:val="Bullets L1"/>
    <w:basedOn w:val="ListParagraph"/>
    <w:link w:val="BulletsL1Char"/>
    <w:qFormat/>
    <w:rsid w:val="00B759C1"/>
    <w:pPr>
      <w:numPr>
        <w:numId w:val="12"/>
      </w:numPr>
      <w:spacing w:before="40" w:line="280" w:lineRule="exact"/>
      <w:ind w:left="426" w:hanging="426"/>
      <w:contextualSpacing w:val="0"/>
    </w:pPr>
    <w:rPr>
      <w:rFonts w:ascii="Arial" w:hAnsi="Arial"/>
      <w:color w:val="auto"/>
      <w:lang w:val="en-US"/>
    </w:rPr>
  </w:style>
  <w:style w:type="paragraph" w:customStyle="1" w:styleId="BulletsL2">
    <w:name w:val="Bullets L2"/>
    <w:basedOn w:val="BulletsL1"/>
    <w:link w:val="BulletsL2Char"/>
    <w:qFormat/>
    <w:rsid w:val="00B759C1"/>
    <w:pPr>
      <w:numPr>
        <w:numId w:val="13"/>
      </w:numPr>
    </w:pPr>
  </w:style>
  <w:style w:type="character" w:customStyle="1" w:styleId="BulletsL1Char">
    <w:name w:val="Bullets L1 Char"/>
    <w:basedOn w:val="DefaultParagraphFont"/>
    <w:link w:val="BulletsL1"/>
    <w:rsid w:val="00B759C1"/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BulletsL1Char"/>
    <w:link w:val="BulletsL2"/>
    <w:rsid w:val="00B759C1"/>
    <w:rPr>
      <w:rFonts w:ascii="Arial" w:hAnsi="Arial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9C1"/>
    <w:pPr>
      <w:spacing w:before="0" w:after="0"/>
    </w:pPr>
    <w:rPr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9C1"/>
    <w:rPr>
      <w:color w:val="auto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759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0997"/>
    <w:rPr>
      <w:color w:val="004E7D"/>
      <w:u w:val="single"/>
    </w:rPr>
  </w:style>
  <w:style w:type="paragraph" w:customStyle="1" w:styleId="Normal1">
    <w:name w:val="Normal1"/>
    <w:basedOn w:val="Normal"/>
    <w:rsid w:val="00B759C1"/>
    <w:pPr>
      <w:spacing w:before="0" w:after="0" w:line="276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B759C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59C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8C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08FB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E93A2B"/>
    <w:rPr>
      <w:color w:val="00847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2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29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D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qf.edu.au/publication/aqf-qualifications-pathways-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qf.edu.au/framework/australian-qualifications-frame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qsa.gov.au/guides-resources/resources/guidance-notes/guidance-note-admissions-coursewor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qsa.gov.au/higher-education-standards-framework-20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C2022C0006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17L011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ac4e8-3feb-44f4-96ca-b86e7c14d0f6">
      <Value>45</Value>
    </TaxCatchAll>
    <DocumentOwner xmlns="c7dac4e8-3feb-44f4-96ca-b86e7c14d0f6">
      <UserInfo>
        <DisplayName>Treloar, Karen</DisplayName>
        <AccountId>397</AccountId>
        <AccountType/>
      </UserInfo>
    </DocumentOwner>
    <DatePublished xmlns="c7dac4e8-3feb-44f4-96ca-b86e7c14d0f6">2017-08-06T14:00:00+00:00</DatePublished>
    <FormOrTemplate xmlns="c7dac4e8-3feb-44f4-96ca-b86e7c14d0f6">Template</FormOrTemplate>
    <e6aacab2b3734039bc8633068afcfbf5 xmlns="c7dac4e8-3feb-44f4-96ca-b86e7c14d0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International</TermName>
          <TermId xmlns="http://schemas.microsoft.com/office/infopath/2007/PartnerControls">f1db5572-7306-443e-a442-d56c9f2c52d1</TermId>
        </TermInfo>
      </Terms>
    </e6aacab2b3734039bc8633068afcfbf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8B12DBA0513E054CBBB1E0A6BA75A4240300D297527A5029E444B0C317D38D273153" ma:contentTypeVersion="4" ma:contentTypeDescription="" ma:contentTypeScope="" ma:versionID="2e25f12e526be21e8e57d9281c7f5faa">
  <xsd:schema xmlns:xsd="http://www.w3.org/2001/XMLSchema" xmlns:xs="http://www.w3.org/2001/XMLSchema" xmlns:p="http://schemas.microsoft.com/office/2006/metadata/properties" xmlns:ns2="c7dac4e8-3feb-44f4-96ca-b86e7c14d0f6" targetNamespace="http://schemas.microsoft.com/office/2006/metadata/properties" ma:root="true" ma:fieldsID="73f842c38cd15afe6ce6e7cf45703cde" ns2:_="">
    <xsd:import namespace="c7dac4e8-3feb-44f4-96ca-b86e7c14d0f6"/>
    <xsd:element name="properties">
      <xsd:complexType>
        <xsd:sequence>
          <xsd:element name="documentManagement">
            <xsd:complexType>
              <xsd:all>
                <xsd:element ref="ns2:e6aacab2b3734039bc8633068afcfbf5" minOccurs="0"/>
                <xsd:element ref="ns2:TaxCatchAll" minOccurs="0"/>
                <xsd:element ref="ns2:TaxCatchAllLabel" minOccurs="0"/>
                <xsd:element ref="ns2:DocumentOwner"/>
                <xsd:element ref="ns2:DatePublished"/>
                <xsd:element ref="ns2:FormOrTempl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c4e8-3feb-44f4-96ca-b86e7c14d0f6" elementFormDefault="qualified">
    <xsd:import namespace="http://schemas.microsoft.com/office/2006/documentManagement/types"/>
    <xsd:import namespace="http://schemas.microsoft.com/office/infopath/2007/PartnerControls"/>
    <xsd:element name="e6aacab2b3734039bc8633068afcfbf5" ma:index="8" nillable="true" ma:taxonomy="true" ma:internalName="e6aacab2b3734039bc8633068afcfbf5" ma:taxonomyFieldName="Team" ma:displayName="Team" ma:default="" ma:fieldId="{e6aacab2-b373-4039-bc86-33068afcfbf5}" ma:taxonomyMulti="true" ma:sspId="be8905b2-f52b-44de-a206-1b32cf4e62f6" ma:termSetId="106e9e8c-657b-438c-9955-5d7da1bc38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f939d1-56bc-40c0-957d-36b9f39c0f6e}" ma:internalName="TaxCatchAll" ma:showField="CatchAllData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f939d1-56bc-40c0-957d-36b9f39c0f6e}" ma:internalName="TaxCatchAllLabel" ma:readOnly="true" ma:showField="CatchAllDataLabel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3" ma:displayName="Date Published" ma:default="[today]" ma:format="DateOnly" ma:internalName="DatePublished" ma:readOnly="false">
      <xsd:simpleType>
        <xsd:restriction base="dms:DateTime"/>
      </xsd:simpleType>
    </xsd:element>
    <xsd:element name="FormOrTemplate" ma:index="14" ma:displayName="Form/Template" ma:format="Dropdown" ma:internalName="FormOrTemplate" ma:readOnly="false">
      <xsd:simpleType>
        <xsd:restriction base="dms:Choice">
          <xsd:enumeration value="Form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purl.org/dc/dcmitype/"/>
    <ds:schemaRef ds:uri="c7dac4e8-3feb-44f4-96ca-b86e7c14d0f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51B5C7-9E51-4834-9887-F9A97C4929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3932-8B59-49A4-AA6D-1679CC7B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c4e8-3feb-44f4-96ca-b86e7c1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note: Credit and recognition of prior learning</vt:lpstr>
    </vt:vector>
  </TitlesOfParts>
  <Company>Tertiary Education Quality and Standards Agency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note: Credit and recognition of prior learning</dc:title>
  <dc:creator/>
  <cp:lastModifiedBy>Tom Hewitt-McManus</cp:lastModifiedBy>
  <cp:revision>6</cp:revision>
  <cp:lastPrinted>2018-12-12T03:47:00Z</cp:lastPrinted>
  <dcterms:created xsi:type="dcterms:W3CDTF">2023-02-06T06:29:00Z</dcterms:created>
  <dcterms:modified xsi:type="dcterms:W3CDTF">2023-02-06T06:37:00Z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0x0101008B12DBA0513E054CBBB1E0A6BA75A4240300D297527A5029E444B0C317D38D273153</vt:lpwstr>
  </property>
  <property fmtid="{D5CDD505-2E9C-101B-9397-08002B2CF9AE}" pid="3" name="Team">
    <vt:lpwstr>45;#Comms and International|f1db5572-7306-443e-a442-d56c9f2c52d1</vt:lpwstr>
  </property>
</Properties>
</file>