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73529" w14:textId="77777777" w:rsidR="00521EAE" w:rsidRDefault="00521EAE">
      <w:pPr>
        <w:rPr>
          <w:b/>
        </w:rPr>
      </w:pPr>
      <w:bookmarkStart w:id="0" w:name="_GoBack"/>
      <w:r w:rsidRPr="00521EAE">
        <w:rPr>
          <w:b/>
        </w:rPr>
        <w:t>Self-evaluation and benchmarking checklist for academic integrity</w:t>
      </w:r>
    </w:p>
    <w:bookmarkEnd w:id="0"/>
    <w:p w14:paraId="12AF1837" w14:textId="64AEFFC2" w:rsidR="00821A24" w:rsidRDefault="00206791">
      <w:r w:rsidRPr="00206791">
        <w:t xml:space="preserve">Academic integrity is specifically mentioned in the higher education standards framework however it also features in </w:t>
      </w:r>
      <w:r>
        <w:t xml:space="preserve">almost all aspects of good practice in learning, teaching and research. </w:t>
      </w:r>
    </w:p>
    <w:p w14:paraId="64393BF8" w14:textId="2FE01488" w:rsidR="00206791" w:rsidRDefault="001F5618">
      <w:r>
        <w:t>“</w:t>
      </w:r>
      <w:r w:rsidRPr="001F5618">
        <w:t>Academic integrity is such a core requirement of higher education that it must be defended at all points where a breach could occur. The intent of the Standards is for providers to consider all potential risks to academic integrity, in learning and teaching, and in research, and ta</w:t>
      </w:r>
      <w:r>
        <w:t xml:space="preserve">ke steps to control these risks” </w:t>
      </w:r>
      <w:r w:rsidRPr="001F5618">
        <w:t>(Bretag et al., 2011</w:t>
      </w:r>
      <w:r w:rsidR="000810A7">
        <w:t xml:space="preserve"> cited in TEQSA 2019</w:t>
      </w:r>
      <w:r w:rsidRPr="001F5618">
        <w:t>)</w:t>
      </w:r>
      <w:r>
        <w:t>.</w:t>
      </w:r>
    </w:p>
    <w:p w14:paraId="4D794FE4" w14:textId="345640E5" w:rsidR="00206791" w:rsidRDefault="00206791">
      <w:r>
        <w:t>Use this checklist to evaluate the culture and practice of academic integrity in your institution or to benchmark with institutional partners</w:t>
      </w:r>
      <w:r w:rsidR="00534141">
        <w:t>.</w:t>
      </w:r>
    </w:p>
    <w:p w14:paraId="75A5FDFA" w14:textId="7E7E0A43" w:rsidR="001F5618" w:rsidRDefault="001F5618">
      <w:r>
        <w:t>Please refer to the TEQSA Guidance Note: Academic Integrity</w:t>
      </w:r>
      <w:r w:rsidR="000810A7">
        <w:t xml:space="preserve"> (2019)</w:t>
      </w:r>
      <w:r w:rsidR="00DC0429">
        <w:t>.</w:t>
      </w:r>
    </w:p>
    <w:p w14:paraId="69397F39" w14:textId="77777777" w:rsidR="001F5618" w:rsidRPr="001F5618" w:rsidRDefault="00352F37" w:rsidP="001F5618">
      <w:hyperlink r:id="rId10" w:history="1">
        <w:r w:rsidR="001F5618" w:rsidRPr="001F5618">
          <w:rPr>
            <w:rStyle w:val="Hyperlink"/>
          </w:rPr>
          <w:t>https://www.teqsa.gov.au/latest-news/publications/guidance-note-academic-integrity</w:t>
        </w:r>
      </w:hyperlink>
      <w:r w:rsidR="001F5618" w:rsidRPr="001F5618">
        <w:t xml:space="preserve"> </w:t>
      </w:r>
    </w:p>
    <w:tbl>
      <w:tblPr>
        <w:tblStyle w:val="TableGrid"/>
        <w:tblW w:w="13948" w:type="dxa"/>
        <w:tblLook w:val="04A0" w:firstRow="1" w:lastRow="0" w:firstColumn="1" w:lastColumn="0" w:noHBand="0" w:noVBand="1"/>
      </w:tblPr>
      <w:tblGrid>
        <w:gridCol w:w="6352"/>
        <w:gridCol w:w="3423"/>
        <w:gridCol w:w="1534"/>
        <w:gridCol w:w="1445"/>
        <w:gridCol w:w="1194"/>
      </w:tblGrid>
      <w:tr w:rsidR="000810A7" w:rsidRPr="00521EAE" w14:paraId="11B04383" w14:textId="77777777" w:rsidTr="5F1C9727">
        <w:tc>
          <w:tcPr>
            <w:tcW w:w="6352" w:type="dxa"/>
            <w:shd w:val="clear" w:color="auto" w:fill="E2EFD9" w:themeFill="accent6" w:themeFillTint="33"/>
          </w:tcPr>
          <w:p w14:paraId="632B74DE" w14:textId="16BF512A" w:rsidR="000810A7" w:rsidRPr="00521EAE" w:rsidRDefault="2D34FE21" w:rsidP="2D34FE21">
            <w:pPr>
              <w:rPr>
                <w:b/>
                <w:bCs/>
              </w:rPr>
            </w:pPr>
            <w:r w:rsidRPr="2D34FE21">
              <w:rPr>
                <w:rFonts w:ascii="Calibri" w:eastAsia="Calibri" w:hAnsi="Calibri" w:cs="Calibri"/>
                <w:b/>
                <w:bCs/>
              </w:rPr>
              <w:t>Complying with the Higher Education Standards requirements on Academic Integrity</w:t>
            </w:r>
          </w:p>
        </w:tc>
        <w:tc>
          <w:tcPr>
            <w:tcW w:w="3423" w:type="dxa"/>
            <w:shd w:val="clear" w:color="auto" w:fill="E2EFD9" w:themeFill="accent6" w:themeFillTint="33"/>
          </w:tcPr>
          <w:p w14:paraId="3DD2D21F" w14:textId="303059C1" w:rsidR="000810A7" w:rsidRPr="000810A7" w:rsidRDefault="000810A7" w:rsidP="000810A7">
            <w:pPr>
              <w:rPr>
                <w:b/>
              </w:rPr>
            </w:pPr>
            <w:r w:rsidRPr="000810A7">
              <w:rPr>
                <w:b/>
              </w:rPr>
              <w:t>Evidence</w:t>
            </w:r>
          </w:p>
        </w:tc>
        <w:tc>
          <w:tcPr>
            <w:tcW w:w="1534" w:type="dxa"/>
            <w:shd w:val="clear" w:color="auto" w:fill="E2EFD9" w:themeFill="accent6" w:themeFillTint="33"/>
          </w:tcPr>
          <w:p w14:paraId="152F49AF" w14:textId="2E884BDB" w:rsidR="000810A7" w:rsidRPr="000810A7" w:rsidRDefault="000810A7" w:rsidP="00521EAE">
            <w:pPr>
              <w:rPr>
                <w:b/>
              </w:rPr>
            </w:pPr>
            <w:r w:rsidRPr="000810A7">
              <w:rPr>
                <w:b/>
              </w:rPr>
              <w:t>Planned and implemented</w:t>
            </w:r>
          </w:p>
        </w:tc>
        <w:tc>
          <w:tcPr>
            <w:tcW w:w="1445" w:type="dxa"/>
            <w:shd w:val="clear" w:color="auto" w:fill="E2EFD9" w:themeFill="accent6" w:themeFillTint="33"/>
          </w:tcPr>
          <w:p w14:paraId="522A7AAA" w14:textId="67D173F0" w:rsidR="000810A7" w:rsidRPr="000810A7" w:rsidRDefault="000810A7" w:rsidP="00521EAE">
            <w:pPr>
              <w:rPr>
                <w:b/>
              </w:rPr>
            </w:pPr>
            <w:r w:rsidRPr="000810A7">
              <w:rPr>
                <w:b/>
              </w:rPr>
              <w:t>Planned but not yet implemented</w:t>
            </w:r>
          </w:p>
        </w:tc>
        <w:tc>
          <w:tcPr>
            <w:tcW w:w="1194" w:type="dxa"/>
            <w:shd w:val="clear" w:color="auto" w:fill="E2EFD9" w:themeFill="accent6" w:themeFillTint="33"/>
          </w:tcPr>
          <w:p w14:paraId="42B0BF86" w14:textId="5BE3AFB2" w:rsidR="000810A7" w:rsidRPr="000810A7" w:rsidRDefault="000810A7" w:rsidP="00521EAE">
            <w:pPr>
              <w:rPr>
                <w:b/>
              </w:rPr>
            </w:pPr>
            <w:r w:rsidRPr="000810A7">
              <w:rPr>
                <w:b/>
              </w:rPr>
              <w:t>Not yet planned</w:t>
            </w:r>
          </w:p>
        </w:tc>
      </w:tr>
      <w:tr w:rsidR="00F12808" w14:paraId="3DD10CEF" w14:textId="77777777" w:rsidTr="00C77F64">
        <w:tc>
          <w:tcPr>
            <w:tcW w:w="13948" w:type="dxa"/>
            <w:gridSpan w:val="5"/>
          </w:tcPr>
          <w:p w14:paraId="3B3A4736" w14:textId="653331D8" w:rsidR="00F12808" w:rsidRDefault="00F12808" w:rsidP="315072A9">
            <w:r w:rsidRPr="760A453A">
              <w:rPr>
                <w:b/>
                <w:bCs/>
              </w:rPr>
              <w:t>Rate your institution’s current status against the following HESF standards?</w:t>
            </w:r>
          </w:p>
        </w:tc>
      </w:tr>
      <w:tr w:rsidR="315072A9" w14:paraId="51E24CE5" w14:textId="77777777" w:rsidTr="5F1C9727">
        <w:tc>
          <w:tcPr>
            <w:tcW w:w="6352" w:type="dxa"/>
          </w:tcPr>
          <w:p w14:paraId="31EB93B4" w14:textId="39BF22C4" w:rsidR="315072A9" w:rsidRDefault="315072A9" w:rsidP="315072A9">
            <w:pPr>
              <w:rPr>
                <w:b/>
                <w:bCs/>
              </w:rPr>
            </w:pPr>
            <w:r w:rsidRPr="315072A9">
              <w:rPr>
                <w:b/>
                <w:bCs/>
              </w:rPr>
              <w:t xml:space="preserve">5.2 </w:t>
            </w:r>
            <w:r w:rsidRPr="315072A9">
              <w:rPr>
                <w:b/>
                <w:bCs/>
                <w:i/>
                <w:iCs/>
              </w:rPr>
              <w:t>Academic and Research Integrity</w:t>
            </w:r>
          </w:p>
        </w:tc>
        <w:tc>
          <w:tcPr>
            <w:tcW w:w="3423" w:type="dxa"/>
          </w:tcPr>
          <w:p w14:paraId="05C5BF49" w14:textId="5F03BC81" w:rsidR="315072A9" w:rsidRDefault="315072A9" w:rsidP="315072A9"/>
        </w:tc>
        <w:tc>
          <w:tcPr>
            <w:tcW w:w="1534" w:type="dxa"/>
          </w:tcPr>
          <w:p w14:paraId="15E6F7AB" w14:textId="5B44ECB4" w:rsidR="315072A9" w:rsidRDefault="315072A9" w:rsidP="315072A9"/>
        </w:tc>
        <w:tc>
          <w:tcPr>
            <w:tcW w:w="1445" w:type="dxa"/>
          </w:tcPr>
          <w:p w14:paraId="17B136F5" w14:textId="07DD22FC" w:rsidR="315072A9" w:rsidRDefault="315072A9" w:rsidP="315072A9"/>
        </w:tc>
        <w:tc>
          <w:tcPr>
            <w:tcW w:w="1194" w:type="dxa"/>
          </w:tcPr>
          <w:p w14:paraId="1400D26A" w14:textId="40D33410" w:rsidR="315072A9" w:rsidRDefault="315072A9" w:rsidP="315072A9"/>
        </w:tc>
      </w:tr>
      <w:tr w:rsidR="000810A7" w:rsidRPr="00521EAE" w14:paraId="49EC4C08" w14:textId="77777777" w:rsidTr="5F1C9727">
        <w:tc>
          <w:tcPr>
            <w:tcW w:w="6352" w:type="dxa"/>
          </w:tcPr>
          <w:p w14:paraId="6774BAE5" w14:textId="43E57644" w:rsidR="000810A7" w:rsidRPr="000810A7" w:rsidRDefault="760A453A" w:rsidP="760A453A">
            <w:pPr>
              <w:spacing w:line="259" w:lineRule="auto"/>
              <w:rPr>
                <w:rFonts w:cs="Arial"/>
              </w:rPr>
            </w:pPr>
            <w:r>
              <w:t>A) Policies that promote and uphold academic integrity and policies and procedures which address allegations of misconduct</w:t>
            </w:r>
            <w:bookmarkStart w:id="1" w:name="_Toc428368867"/>
            <w:bookmarkStart w:id="2" w:name="_Toc418684285"/>
          </w:p>
          <w:bookmarkEnd w:id="1"/>
          <w:bookmarkEnd w:id="2"/>
          <w:p w14:paraId="7EB580C2" w14:textId="38946D18" w:rsidR="000810A7" w:rsidRPr="00521EAE" w:rsidRDefault="000810A7" w:rsidP="000810A7">
            <w:pPr>
              <w:pStyle w:val="ListParagraph"/>
            </w:pPr>
          </w:p>
        </w:tc>
        <w:tc>
          <w:tcPr>
            <w:tcW w:w="3423" w:type="dxa"/>
          </w:tcPr>
          <w:p w14:paraId="47596813" w14:textId="77777777" w:rsidR="000810A7" w:rsidRPr="00521EAE" w:rsidRDefault="000810A7" w:rsidP="00521EAE">
            <w:pPr>
              <w:pStyle w:val="ListParagraph"/>
            </w:pPr>
          </w:p>
        </w:tc>
        <w:tc>
          <w:tcPr>
            <w:tcW w:w="1534" w:type="dxa"/>
          </w:tcPr>
          <w:p w14:paraId="14199BF9" w14:textId="0BBC06B1" w:rsidR="000810A7" w:rsidRPr="00521EAE" w:rsidRDefault="000810A7" w:rsidP="00521EAE">
            <w:pPr>
              <w:pStyle w:val="ListParagraph"/>
            </w:pPr>
          </w:p>
        </w:tc>
        <w:tc>
          <w:tcPr>
            <w:tcW w:w="1445" w:type="dxa"/>
          </w:tcPr>
          <w:p w14:paraId="35815EEC" w14:textId="77777777" w:rsidR="000810A7" w:rsidRPr="00521EAE" w:rsidRDefault="000810A7" w:rsidP="00521EAE">
            <w:pPr>
              <w:pStyle w:val="ListParagraph"/>
            </w:pPr>
          </w:p>
        </w:tc>
        <w:tc>
          <w:tcPr>
            <w:tcW w:w="1194" w:type="dxa"/>
          </w:tcPr>
          <w:p w14:paraId="3F2357CE" w14:textId="77777777" w:rsidR="000810A7" w:rsidRPr="00521EAE" w:rsidRDefault="000810A7" w:rsidP="00521EAE">
            <w:pPr>
              <w:pStyle w:val="ListParagraph"/>
            </w:pPr>
          </w:p>
        </w:tc>
      </w:tr>
      <w:tr w:rsidR="315072A9" w14:paraId="163C8281" w14:textId="77777777" w:rsidTr="5F1C9727">
        <w:tc>
          <w:tcPr>
            <w:tcW w:w="6352" w:type="dxa"/>
          </w:tcPr>
          <w:p w14:paraId="25AC0D95" w14:textId="4314F373" w:rsidR="315072A9" w:rsidRDefault="760A453A" w:rsidP="315072A9">
            <w:pPr>
              <w:spacing w:line="259" w:lineRule="auto"/>
            </w:pPr>
            <w:r>
              <w:t>B) Actions to mitigate foreseeable risks to academic and research integrity</w:t>
            </w:r>
          </w:p>
          <w:p w14:paraId="7657614E" w14:textId="1D4C1B76" w:rsidR="315072A9" w:rsidRDefault="315072A9" w:rsidP="315072A9">
            <w:pPr>
              <w:pStyle w:val="ListParagraph"/>
              <w:spacing w:line="280" w:lineRule="exact"/>
              <w:rPr>
                <w:rFonts w:cs="Arial"/>
              </w:rPr>
            </w:pPr>
          </w:p>
        </w:tc>
        <w:tc>
          <w:tcPr>
            <w:tcW w:w="3423" w:type="dxa"/>
          </w:tcPr>
          <w:p w14:paraId="0A7E73E6" w14:textId="645E4C94" w:rsidR="315072A9" w:rsidRDefault="315072A9" w:rsidP="315072A9">
            <w:pPr>
              <w:pStyle w:val="ListParagraph"/>
            </w:pPr>
          </w:p>
        </w:tc>
        <w:tc>
          <w:tcPr>
            <w:tcW w:w="1534" w:type="dxa"/>
          </w:tcPr>
          <w:p w14:paraId="202F22F8" w14:textId="6317E01E" w:rsidR="315072A9" w:rsidRDefault="315072A9" w:rsidP="315072A9">
            <w:pPr>
              <w:pStyle w:val="ListParagraph"/>
            </w:pPr>
          </w:p>
        </w:tc>
        <w:tc>
          <w:tcPr>
            <w:tcW w:w="1445" w:type="dxa"/>
          </w:tcPr>
          <w:p w14:paraId="505FA185" w14:textId="3901FEFF" w:rsidR="315072A9" w:rsidRDefault="315072A9" w:rsidP="315072A9">
            <w:pPr>
              <w:pStyle w:val="ListParagraph"/>
            </w:pPr>
          </w:p>
        </w:tc>
        <w:tc>
          <w:tcPr>
            <w:tcW w:w="1194" w:type="dxa"/>
          </w:tcPr>
          <w:p w14:paraId="79BDDE39" w14:textId="506ED848" w:rsidR="315072A9" w:rsidRDefault="315072A9" w:rsidP="315072A9">
            <w:pPr>
              <w:pStyle w:val="ListParagraph"/>
            </w:pPr>
          </w:p>
        </w:tc>
      </w:tr>
      <w:tr w:rsidR="315072A9" w14:paraId="4EB893AF" w14:textId="77777777" w:rsidTr="5F1C9727">
        <w:tc>
          <w:tcPr>
            <w:tcW w:w="6352" w:type="dxa"/>
          </w:tcPr>
          <w:p w14:paraId="0FDF2BFB" w14:textId="500D629F" w:rsidR="315072A9" w:rsidRDefault="760A453A" w:rsidP="315072A9">
            <w:pPr>
              <w:spacing w:line="259" w:lineRule="auto"/>
            </w:pPr>
            <w:r>
              <w:t>C) Guidance and training for students and staff on what constitutes academic misconduct and the development of good practices in maintaining academic integrity</w:t>
            </w:r>
          </w:p>
          <w:p w14:paraId="41877D07" w14:textId="698408CB" w:rsidR="315072A9" w:rsidRDefault="315072A9" w:rsidP="315072A9">
            <w:pPr>
              <w:pStyle w:val="ListParagraph"/>
              <w:spacing w:line="280" w:lineRule="exact"/>
              <w:rPr>
                <w:rFonts w:cs="Arial"/>
              </w:rPr>
            </w:pPr>
          </w:p>
        </w:tc>
        <w:tc>
          <w:tcPr>
            <w:tcW w:w="3423" w:type="dxa"/>
          </w:tcPr>
          <w:p w14:paraId="68604642" w14:textId="73E63A2A" w:rsidR="315072A9" w:rsidRDefault="315072A9" w:rsidP="315072A9">
            <w:pPr>
              <w:pStyle w:val="ListParagraph"/>
            </w:pPr>
          </w:p>
        </w:tc>
        <w:tc>
          <w:tcPr>
            <w:tcW w:w="1534" w:type="dxa"/>
          </w:tcPr>
          <w:p w14:paraId="01A30C50" w14:textId="1538697E" w:rsidR="315072A9" w:rsidRDefault="315072A9" w:rsidP="315072A9">
            <w:pPr>
              <w:pStyle w:val="ListParagraph"/>
            </w:pPr>
          </w:p>
        </w:tc>
        <w:tc>
          <w:tcPr>
            <w:tcW w:w="1445" w:type="dxa"/>
          </w:tcPr>
          <w:p w14:paraId="648884F4" w14:textId="0C65B135" w:rsidR="315072A9" w:rsidRDefault="315072A9" w:rsidP="315072A9">
            <w:pPr>
              <w:pStyle w:val="ListParagraph"/>
            </w:pPr>
          </w:p>
        </w:tc>
        <w:tc>
          <w:tcPr>
            <w:tcW w:w="1194" w:type="dxa"/>
          </w:tcPr>
          <w:p w14:paraId="4B09DCBC" w14:textId="1726BEBC" w:rsidR="315072A9" w:rsidRDefault="315072A9" w:rsidP="315072A9">
            <w:pPr>
              <w:pStyle w:val="ListParagraph"/>
            </w:pPr>
          </w:p>
        </w:tc>
      </w:tr>
      <w:tr w:rsidR="315072A9" w14:paraId="395903D9" w14:textId="77777777" w:rsidTr="5F1C9727">
        <w:tc>
          <w:tcPr>
            <w:tcW w:w="6352" w:type="dxa"/>
          </w:tcPr>
          <w:p w14:paraId="5CE70BD8" w14:textId="6DA4E932" w:rsidR="315072A9" w:rsidRDefault="760A453A" w:rsidP="315072A9">
            <w:pPr>
              <w:spacing w:line="259" w:lineRule="auto"/>
            </w:pPr>
            <w:r>
              <w:t>D) Academic integrity is maintained in arrangements with any other party involved in the provision of higher education</w:t>
            </w:r>
          </w:p>
          <w:p w14:paraId="653861B7" w14:textId="0DC5FC65" w:rsidR="315072A9" w:rsidRDefault="315072A9" w:rsidP="315072A9">
            <w:pPr>
              <w:pStyle w:val="ListParagraph"/>
              <w:spacing w:line="280" w:lineRule="exact"/>
              <w:rPr>
                <w:rFonts w:cs="Arial"/>
              </w:rPr>
            </w:pPr>
          </w:p>
        </w:tc>
        <w:tc>
          <w:tcPr>
            <w:tcW w:w="3423" w:type="dxa"/>
          </w:tcPr>
          <w:p w14:paraId="74A17914" w14:textId="10FA4935" w:rsidR="315072A9" w:rsidRDefault="315072A9" w:rsidP="315072A9">
            <w:pPr>
              <w:pStyle w:val="ListParagraph"/>
            </w:pPr>
          </w:p>
        </w:tc>
        <w:tc>
          <w:tcPr>
            <w:tcW w:w="1534" w:type="dxa"/>
          </w:tcPr>
          <w:p w14:paraId="0243CF6B" w14:textId="42C64A92" w:rsidR="315072A9" w:rsidRDefault="315072A9" w:rsidP="315072A9">
            <w:pPr>
              <w:pStyle w:val="ListParagraph"/>
            </w:pPr>
          </w:p>
        </w:tc>
        <w:tc>
          <w:tcPr>
            <w:tcW w:w="1445" w:type="dxa"/>
          </w:tcPr>
          <w:p w14:paraId="08196116" w14:textId="74C3F357" w:rsidR="315072A9" w:rsidRDefault="315072A9" w:rsidP="315072A9">
            <w:pPr>
              <w:pStyle w:val="ListParagraph"/>
            </w:pPr>
          </w:p>
        </w:tc>
        <w:tc>
          <w:tcPr>
            <w:tcW w:w="1194" w:type="dxa"/>
          </w:tcPr>
          <w:p w14:paraId="6A3ED92B" w14:textId="65DB8C13" w:rsidR="315072A9" w:rsidRDefault="315072A9" w:rsidP="315072A9">
            <w:pPr>
              <w:pStyle w:val="ListParagraph"/>
            </w:pPr>
          </w:p>
        </w:tc>
      </w:tr>
      <w:tr w:rsidR="000810A7" w:rsidRPr="00521EAE" w14:paraId="4E6FCFB5" w14:textId="77777777" w:rsidTr="5F1C9727">
        <w:tc>
          <w:tcPr>
            <w:tcW w:w="6352" w:type="dxa"/>
          </w:tcPr>
          <w:p w14:paraId="092DB2B7" w14:textId="5D46865F" w:rsidR="000810A7" w:rsidRPr="00521EAE" w:rsidRDefault="315072A9" w:rsidP="315072A9">
            <w:pPr>
              <w:rPr>
                <w:i/>
                <w:iCs/>
              </w:rPr>
            </w:pPr>
            <w:r w:rsidRPr="315072A9">
              <w:rPr>
                <w:b/>
                <w:bCs/>
                <w:i/>
                <w:iCs/>
              </w:rPr>
              <w:t>Section 6.2 Corporate Monitoring and Accountability</w:t>
            </w:r>
          </w:p>
        </w:tc>
        <w:tc>
          <w:tcPr>
            <w:tcW w:w="3423" w:type="dxa"/>
          </w:tcPr>
          <w:p w14:paraId="77F676A3" w14:textId="77777777" w:rsidR="000810A7" w:rsidRPr="00521EAE" w:rsidRDefault="000810A7" w:rsidP="00521EAE">
            <w:pPr>
              <w:pStyle w:val="ListParagraph"/>
            </w:pPr>
          </w:p>
        </w:tc>
        <w:tc>
          <w:tcPr>
            <w:tcW w:w="1534" w:type="dxa"/>
          </w:tcPr>
          <w:p w14:paraId="392DC7DC" w14:textId="7E35FB4B" w:rsidR="000810A7" w:rsidRPr="00521EAE" w:rsidRDefault="000810A7" w:rsidP="00521EAE">
            <w:pPr>
              <w:pStyle w:val="ListParagraph"/>
            </w:pPr>
          </w:p>
        </w:tc>
        <w:tc>
          <w:tcPr>
            <w:tcW w:w="1445" w:type="dxa"/>
          </w:tcPr>
          <w:p w14:paraId="2C59114C" w14:textId="77777777" w:rsidR="000810A7" w:rsidRPr="00521EAE" w:rsidRDefault="000810A7" w:rsidP="00521EAE">
            <w:pPr>
              <w:pStyle w:val="ListParagraph"/>
            </w:pPr>
          </w:p>
        </w:tc>
        <w:tc>
          <w:tcPr>
            <w:tcW w:w="1194" w:type="dxa"/>
          </w:tcPr>
          <w:p w14:paraId="6FF96A4C" w14:textId="77777777" w:rsidR="000810A7" w:rsidRPr="00521EAE" w:rsidRDefault="000810A7" w:rsidP="00521EAE">
            <w:pPr>
              <w:pStyle w:val="ListParagraph"/>
            </w:pPr>
          </w:p>
        </w:tc>
      </w:tr>
      <w:tr w:rsidR="315072A9" w14:paraId="7415A8E2" w14:textId="77777777" w:rsidTr="5F1C9727">
        <w:tc>
          <w:tcPr>
            <w:tcW w:w="6352" w:type="dxa"/>
          </w:tcPr>
          <w:p w14:paraId="612E56D6" w14:textId="28969CE1" w:rsidR="315072A9" w:rsidRDefault="760A453A">
            <w:r>
              <w:lastRenderedPageBreak/>
              <w:t>A) Governing bodies ensure that the occurrence and nature of misconduct and breaches of academic integrity are monitored, and that action is taken to address underlying causes (Standard 6.2.1j)</w:t>
            </w:r>
          </w:p>
          <w:p w14:paraId="7FCC4ECD" w14:textId="4FACD871" w:rsidR="315072A9" w:rsidRDefault="315072A9" w:rsidP="315072A9">
            <w:pPr>
              <w:rPr>
                <w:b/>
                <w:bCs/>
              </w:rPr>
            </w:pPr>
          </w:p>
        </w:tc>
        <w:tc>
          <w:tcPr>
            <w:tcW w:w="3423" w:type="dxa"/>
          </w:tcPr>
          <w:p w14:paraId="2AF9AD19" w14:textId="4C47AAA4" w:rsidR="315072A9" w:rsidRDefault="315072A9" w:rsidP="315072A9">
            <w:pPr>
              <w:pStyle w:val="ListParagraph"/>
            </w:pPr>
          </w:p>
        </w:tc>
        <w:tc>
          <w:tcPr>
            <w:tcW w:w="1534" w:type="dxa"/>
          </w:tcPr>
          <w:p w14:paraId="448E2EC8" w14:textId="33215411" w:rsidR="315072A9" w:rsidRDefault="315072A9" w:rsidP="315072A9">
            <w:pPr>
              <w:pStyle w:val="ListParagraph"/>
            </w:pPr>
          </w:p>
        </w:tc>
        <w:tc>
          <w:tcPr>
            <w:tcW w:w="1445" w:type="dxa"/>
          </w:tcPr>
          <w:p w14:paraId="36C82DDE" w14:textId="0D12790C" w:rsidR="315072A9" w:rsidRDefault="315072A9" w:rsidP="315072A9">
            <w:pPr>
              <w:pStyle w:val="ListParagraph"/>
            </w:pPr>
          </w:p>
        </w:tc>
        <w:tc>
          <w:tcPr>
            <w:tcW w:w="1194" w:type="dxa"/>
          </w:tcPr>
          <w:p w14:paraId="7EFD9C95" w14:textId="6723BDDD" w:rsidR="315072A9" w:rsidRDefault="315072A9" w:rsidP="315072A9">
            <w:pPr>
              <w:pStyle w:val="ListParagraph"/>
            </w:pPr>
          </w:p>
        </w:tc>
      </w:tr>
      <w:tr w:rsidR="000810A7" w:rsidRPr="00521EAE" w14:paraId="3D443D0A" w14:textId="77777777" w:rsidTr="5F1C9727">
        <w:tc>
          <w:tcPr>
            <w:tcW w:w="6352" w:type="dxa"/>
          </w:tcPr>
          <w:p w14:paraId="32803463" w14:textId="352BFBCF" w:rsidR="000810A7" w:rsidRPr="00521EAE" w:rsidRDefault="315072A9" w:rsidP="315072A9">
            <w:pPr>
              <w:rPr>
                <w:b/>
                <w:bCs/>
              </w:rPr>
            </w:pPr>
            <w:r w:rsidRPr="315072A9">
              <w:rPr>
                <w:b/>
                <w:bCs/>
                <w:i/>
                <w:iCs/>
              </w:rPr>
              <w:t>Section 6.3 Academic Governance</w:t>
            </w:r>
            <w:r w:rsidRPr="315072A9">
              <w:rPr>
                <w:b/>
                <w:bCs/>
              </w:rPr>
              <w:t xml:space="preserve"> </w:t>
            </w:r>
          </w:p>
        </w:tc>
        <w:tc>
          <w:tcPr>
            <w:tcW w:w="3423" w:type="dxa"/>
          </w:tcPr>
          <w:p w14:paraId="3D0A41DD" w14:textId="77777777" w:rsidR="000810A7" w:rsidRPr="00521EAE" w:rsidRDefault="000810A7" w:rsidP="00521EAE">
            <w:pPr>
              <w:pStyle w:val="ListParagraph"/>
            </w:pPr>
          </w:p>
        </w:tc>
        <w:tc>
          <w:tcPr>
            <w:tcW w:w="1534" w:type="dxa"/>
          </w:tcPr>
          <w:p w14:paraId="7B668770" w14:textId="28541730" w:rsidR="000810A7" w:rsidRPr="00521EAE" w:rsidRDefault="000810A7" w:rsidP="00521EAE">
            <w:pPr>
              <w:pStyle w:val="ListParagraph"/>
            </w:pPr>
          </w:p>
        </w:tc>
        <w:tc>
          <w:tcPr>
            <w:tcW w:w="1445" w:type="dxa"/>
          </w:tcPr>
          <w:p w14:paraId="2766CCD9" w14:textId="77777777" w:rsidR="000810A7" w:rsidRPr="00521EAE" w:rsidRDefault="000810A7" w:rsidP="00521EAE">
            <w:pPr>
              <w:pStyle w:val="ListParagraph"/>
            </w:pPr>
          </w:p>
        </w:tc>
        <w:tc>
          <w:tcPr>
            <w:tcW w:w="1194" w:type="dxa"/>
          </w:tcPr>
          <w:p w14:paraId="2DCD6FBC" w14:textId="77777777" w:rsidR="000810A7" w:rsidRPr="00521EAE" w:rsidRDefault="000810A7" w:rsidP="00521EAE">
            <w:pPr>
              <w:pStyle w:val="ListParagraph"/>
            </w:pPr>
          </w:p>
        </w:tc>
      </w:tr>
      <w:tr w:rsidR="315072A9" w14:paraId="6B95A758" w14:textId="77777777" w:rsidTr="5F1C9727">
        <w:tc>
          <w:tcPr>
            <w:tcW w:w="6352" w:type="dxa"/>
          </w:tcPr>
          <w:p w14:paraId="17B9022F" w14:textId="77777777" w:rsidR="315072A9" w:rsidRDefault="760A453A" w:rsidP="315072A9">
            <w:r>
              <w:t>A) Governing academic bodies maintain oversight of academic integrity, including the monitoring of potential risks (Standard 6.3.2d</w:t>
            </w:r>
          </w:p>
          <w:p w14:paraId="69870C97" w14:textId="15F94AD8" w:rsidR="00291694" w:rsidRDefault="00291694" w:rsidP="315072A9"/>
        </w:tc>
        <w:tc>
          <w:tcPr>
            <w:tcW w:w="3423" w:type="dxa"/>
          </w:tcPr>
          <w:p w14:paraId="6687FDDF" w14:textId="7C2A5308" w:rsidR="315072A9" w:rsidRDefault="315072A9" w:rsidP="315072A9">
            <w:pPr>
              <w:pStyle w:val="ListParagraph"/>
            </w:pPr>
          </w:p>
        </w:tc>
        <w:tc>
          <w:tcPr>
            <w:tcW w:w="1534" w:type="dxa"/>
          </w:tcPr>
          <w:p w14:paraId="2B8D16A9" w14:textId="5C5143A5" w:rsidR="315072A9" w:rsidRDefault="315072A9" w:rsidP="315072A9">
            <w:pPr>
              <w:pStyle w:val="ListParagraph"/>
            </w:pPr>
          </w:p>
        </w:tc>
        <w:tc>
          <w:tcPr>
            <w:tcW w:w="1445" w:type="dxa"/>
          </w:tcPr>
          <w:p w14:paraId="59D7DD1E" w14:textId="7B620508" w:rsidR="315072A9" w:rsidRDefault="315072A9" w:rsidP="315072A9">
            <w:pPr>
              <w:pStyle w:val="ListParagraph"/>
            </w:pPr>
          </w:p>
        </w:tc>
        <w:tc>
          <w:tcPr>
            <w:tcW w:w="1194" w:type="dxa"/>
          </w:tcPr>
          <w:p w14:paraId="5CE1B6C5" w14:textId="0A35C18C" w:rsidR="315072A9" w:rsidRDefault="315072A9" w:rsidP="315072A9">
            <w:pPr>
              <w:pStyle w:val="ListParagraph"/>
            </w:pPr>
          </w:p>
        </w:tc>
      </w:tr>
      <w:tr w:rsidR="000810A7" w:rsidRPr="00521EAE" w14:paraId="0EA30047" w14:textId="77777777" w:rsidTr="5F1C9727">
        <w:tc>
          <w:tcPr>
            <w:tcW w:w="6352" w:type="dxa"/>
          </w:tcPr>
          <w:p w14:paraId="7DE675E1" w14:textId="3C434068" w:rsidR="000810A7" w:rsidRPr="00521EAE" w:rsidRDefault="315072A9" w:rsidP="315072A9">
            <w:pPr>
              <w:rPr>
                <w:i/>
                <w:iCs/>
              </w:rPr>
            </w:pPr>
            <w:r w:rsidRPr="315072A9">
              <w:rPr>
                <w:b/>
                <w:bCs/>
                <w:i/>
                <w:iCs/>
              </w:rPr>
              <w:t xml:space="preserve">Section 7.2 Information for Prospective and Current Students </w:t>
            </w:r>
            <w:r w:rsidRPr="315072A9">
              <w:rPr>
                <w:i/>
                <w:iCs/>
              </w:rPr>
              <w:t xml:space="preserve"> </w:t>
            </w:r>
          </w:p>
        </w:tc>
        <w:tc>
          <w:tcPr>
            <w:tcW w:w="3423" w:type="dxa"/>
          </w:tcPr>
          <w:p w14:paraId="23FF8255" w14:textId="77777777" w:rsidR="000810A7" w:rsidRPr="00521EAE" w:rsidRDefault="000810A7" w:rsidP="00521EAE">
            <w:pPr>
              <w:pStyle w:val="ListParagraph"/>
              <w:ind w:left="0"/>
            </w:pPr>
          </w:p>
        </w:tc>
        <w:tc>
          <w:tcPr>
            <w:tcW w:w="1534" w:type="dxa"/>
          </w:tcPr>
          <w:p w14:paraId="0D45435C" w14:textId="04ED7072" w:rsidR="000810A7" w:rsidRPr="00521EAE" w:rsidRDefault="000810A7" w:rsidP="00521EAE">
            <w:pPr>
              <w:pStyle w:val="ListParagraph"/>
              <w:ind w:left="0"/>
            </w:pPr>
          </w:p>
        </w:tc>
        <w:tc>
          <w:tcPr>
            <w:tcW w:w="1445" w:type="dxa"/>
          </w:tcPr>
          <w:p w14:paraId="3535D566" w14:textId="77777777" w:rsidR="000810A7" w:rsidRPr="00521EAE" w:rsidRDefault="000810A7" w:rsidP="00521EAE">
            <w:pPr>
              <w:pStyle w:val="ListParagraph"/>
              <w:ind w:left="0"/>
            </w:pPr>
          </w:p>
        </w:tc>
        <w:tc>
          <w:tcPr>
            <w:tcW w:w="1194" w:type="dxa"/>
          </w:tcPr>
          <w:p w14:paraId="6D486DA3" w14:textId="77777777" w:rsidR="000810A7" w:rsidRPr="00521EAE" w:rsidRDefault="000810A7" w:rsidP="00521EAE">
            <w:pPr>
              <w:pStyle w:val="ListParagraph"/>
              <w:ind w:left="0"/>
            </w:pPr>
          </w:p>
        </w:tc>
      </w:tr>
      <w:tr w:rsidR="315072A9" w14:paraId="1363BCDB" w14:textId="77777777" w:rsidTr="5F1C9727">
        <w:tc>
          <w:tcPr>
            <w:tcW w:w="6352" w:type="dxa"/>
          </w:tcPr>
          <w:p w14:paraId="622FC6DF" w14:textId="4460492D" w:rsidR="315072A9" w:rsidRDefault="760A453A">
            <w:r>
              <w:t xml:space="preserve">A) Information on and expectations of academic integrity are available to students before their acceptance of an offer (Standard 7.2.2d) </w:t>
            </w:r>
          </w:p>
          <w:p w14:paraId="31E9EA54" w14:textId="70555334" w:rsidR="315072A9" w:rsidRDefault="315072A9" w:rsidP="315072A9"/>
        </w:tc>
        <w:tc>
          <w:tcPr>
            <w:tcW w:w="3423" w:type="dxa"/>
          </w:tcPr>
          <w:p w14:paraId="567459E8" w14:textId="2EE0C573" w:rsidR="315072A9" w:rsidRDefault="315072A9" w:rsidP="315072A9">
            <w:pPr>
              <w:pStyle w:val="ListParagraph"/>
            </w:pPr>
          </w:p>
        </w:tc>
        <w:tc>
          <w:tcPr>
            <w:tcW w:w="1534" w:type="dxa"/>
          </w:tcPr>
          <w:p w14:paraId="103FCE82" w14:textId="58865507" w:rsidR="315072A9" w:rsidRDefault="315072A9" w:rsidP="315072A9">
            <w:pPr>
              <w:pStyle w:val="ListParagraph"/>
            </w:pPr>
          </w:p>
        </w:tc>
        <w:tc>
          <w:tcPr>
            <w:tcW w:w="1445" w:type="dxa"/>
          </w:tcPr>
          <w:p w14:paraId="2EA6226C" w14:textId="41F46623" w:rsidR="315072A9" w:rsidRDefault="315072A9" w:rsidP="315072A9">
            <w:pPr>
              <w:pStyle w:val="ListParagraph"/>
            </w:pPr>
          </w:p>
        </w:tc>
        <w:tc>
          <w:tcPr>
            <w:tcW w:w="1194" w:type="dxa"/>
          </w:tcPr>
          <w:p w14:paraId="656BBD4F" w14:textId="3DCFF5B3" w:rsidR="315072A9" w:rsidRDefault="315072A9" w:rsidP="315072A9">
            <w:pPr>
              <w:pStyle w:val="ListParagraph"/>
            </w:pPr>
          </w:p>
        </w:tc>
      </w:tr>
      <w:tr w:rsidR="000810A7" w:rsidRPr="00521EAE" w14:paraId="3619D9FF" w14:textId="77777777" w:rsidTr="5F1C9727">
        <w:tc>
          <w:tcPr>
            <w:tcW w:w="6352" w:type="dxa"/>
          </w:tcPr>
          <w:p w14:paraId="38562FFD" w14:textId="02EFF399" w:rsidR="000810A7" w:rsidRDefault="315072A9" w:rsidP="001F5618">
            <w:r w:rsidRPr="315072A9">
              <w:rPr>
                <w:b/>
                <w:bCs/>
              </w:rPr>
              <w:t xml:space="preserve">Section 7.3 on Information Management </w:t>
            </w:r>
          </w:p>
        </w:tc>
        <w:tc>
          <w:tcPr>
            <w:tcW w:w="3423" w:type="dxa"/>
          </w:tcPr>
          <w:p w14:paraId="7F33BD54" w14:textId="77777777" w:rsidR="000810A7" w:rsidRPr="00521EAE" w:rsidRDefault="000810A7" w:rsidP="00521EAE">
            <w:pPr>
              <w:pStyle w:val="ListParagraph"/>
              <w:ind w:left="0"/>
            </w:pPr>
          </w:p>
        </w:tc>
        <w:tc>
          <w:tcPr>
            <w:tcW w:w="1534" w:type="dxa"/>
          </w:tcPr>
          <w:p w14:paraId="5D7BDB65" w14:textId="1418319B" w:rsidR="000810A7" w:rsidRPr="00521EAE" w:rsidRDefault="000810A7" w:rsidP="00521EAE">
            <w:pPr>
              <w:pStyle w:val="ListParagraph"/>
              <w:ind w:left="0"/>
            </w:pPr>
          </w:p>
        </w:tc>
        <w:tc>
          <w:tcPr>
            <w:tcW w:w="1445" w:type="dxa"/>
          </w:tcPr>
          <w:p w14:paraId="739C8D67" w14:textId="77777777" w:rsidR="000810A7" w:rsidRPr="00521EAE" w:rsidRDefault="000810A7" w:rsidP="00521EAE">
            <w:pPr>
              <w:pStyle w:val="ListParagraph"/>
              <w:ind w:left="0"/>
            </w:pPr>
          </w:p>
        </w:tc>
        <w:tc>
          <w:tcPr>
            <w:tcW w:w="1194" w:type="dxa"/>
          </w:tcPr>
          <w:p w14:paraId="57E98ED8" w14:textId="77777777" w:rsidR="000810A7" w:rsidRPr="00521EAE" w:rsidRDefault="000810A7" w:rsidP="00521EAE">
            <w:pPr>
              <w:pStyle w:val="ListParagraph"/>
              <w:ind w:left="0"/>
            </w:pPr>
          </w:p>
        </w:tc>
      </w:tr>
      <w:tr w:rsidR="000810A7" w:rsidRPr="00521EAE" w14:paraId="26D1D7D3" w14:textId="77777777" w:rsidTr="5F1C9727">
        <w:tc>
          <w:tcPr>
            <w:tcW w:w="6352" w:type="dxa"/>
          </w:tcPr>
          <w:p w14:paraId="507D90CF" w14:textId="2B7E7E4B" w:rsidR="000810A7" w:rsidRDefault="760A453A" w:rsidP="001F5618">
            <w:r>
              <w:t xml:space="preserve">A) Unauthorised or fraudulent access is prevented to private or sensitive information, including information where unauthorised access may compromise academic integrity (Standard 7.3.3b). One example of this would be unauthorised access to students’ academic records </w:t>
            </w:r>
          </w:p>
          <w:p w14:paraId="11766F6C" w14:textId="07B2F077" w:rsidR="000810A7" w:rsidRDefault="000810A7" w:rsidP="315072A9"/>
        </w:tc>
        <w:tc>
          <w:tcPr>
            <w:tcW w:w="3423" w:type="dxa"/>
          </w:tcPr>
          <w:p w14:paraId="40B62636" w14:textId="77777777" w:rsidR="000810A7" w:rsidRPr="00521EAE" w:rsidRDefault="000810A7" w:rsidP="00521EAE">
            <w:pPr>
              <w:pStyle w:val="ListParagraph"/>
              <w:ind w:left="0"/>
            </w:pPr>
          </w:p>
        </w:tc>
        <w:tc>
          <w:tcPr>
            <w:tcW w:w="1534" w:type="dxa"/>
          </w:tcPr>
          <w:p w14:paraId="079D4D3E" w14:textId="0BEA9080" w:rsidR="000810A7" w:rsidRPr="00521EAE" w:rsidRDefault="000810A7" w:rsidP="00521EAE">
            <w:pPr>
              <w:pStyle w:val="ListParagraph"/>
              <w:ind w:left="0"/>
            </w:pPr>
          </w:p>
        </w:tc>
        <w:tc>
          <w:tcPr>
            <w:tcW w:w="1445" w:type="dxa"/>
          </w:tcPr>
          <w:p w14:paraId="38A8F02E" w14:textId="77777777" w:rsidR="000810A7" w:rsidRPr="00521EAE" w:rsidRDefault="000810A7" w:rsidP="00521EAE">
            <w:pPr>
              <w:pStyle w:val="ListParagraph"/>
              <w:ind w:left="0"/>
            </w:pPr>
          </w:p>
        </w:tc>
        <w:tc>
          <w:tcPr>
            <w:tcW w:w="1194" w:type="dxa"/>
          </w:tcPr>
          <w:p w14:paraId="4412F871" w14:textId="77777777" w:rsidR="000810A7" w:rsidRDefault="000810A7" w:rsidP="00521EAE">
            <w:pPr>
              <w:pStyle w:val="ListParagraph"/>
              <w:ind w:left="0"/>
            </w:pPr>
          </w:p>
        </w:tc>
      </w:tr>
      <w:tr w:rsidR="315072A9" w14:paraId="60064DD5" w14:textId="77777777" w:rsidTr="5F1C9727">
        <w:tc>
          <w:tcPr>
            <w:tcW w:w="6352" w:type="dxa"/>
          </w:tcPr>
          <w:p w14:paraId="6A547CAF" w14:textId="350D30B1" w:rsidR="315072A9" w:rsidRDefault="760A453A" w:rsidP="315072A9">
            <w:r>
              <w:t>B) Responses to allegations of misconduct and breaches of academic integrity</w:t>
            </w:r>
            <w:r w:rsidR="00F12808">
              <w:t xml:space="preserve"> a</w:t>
            </w:r>
            <w:r>
              <w:t>re documented and recorded. This can be the basis for analysis and identification of recurring issues.</w:t>
            </w:r>
          </w:p>
          <w:p w14:paraId="7E585CFC" w14:textId="4725E5EB" w:rsidR="315072A9" w:rsidRDefault="315072A9" w:rsidP="315072A9"/>
        </w:tc>
        <w:tc>
          <w:tcPr>
            <w:tcW w:w="3423" w:type="dxa"/>
          </w:tcPr>
          <w:p w14:paraId="1458AF6A" w14:textId="754A1799" w:rsidR="315072A9" w:rsidRDefault="315072A9" w:rsidP="315072A9">
            <w:pPr>
              <w:pStyle w:val="ListParagraph"/>
            </w:pPr>
          </w:p>
        </w:tc>
        <w:tc>
          <w:tcPr>
            <w:tcW w:w="1534" w:type="dxa"/>
          </w:tcPr>
          <w:p w14:paraId="6D67333D" w14:textId="3F3C93B4" w:rsidR="315072A9" w:rsidRDefault="315072A9" w:rsidP="315072A9">
            <w:pPr>
              <w:pStyle w:val="ListParagraph"/>
            </w:pPr>
          </w:p>
        </w:tc>
        <w:tc>
          <w:tcPr>
            <w:tcW w:w="1445" w:type="dxa"/>
          </w:tcPr>
          <w:p w14:paraId="3BB4BC1E" w14:textId="3D66F478" w:rsidR="315072A9" w:rsidRDefault="315072A9" w:rsidP="315072A9">
            <w:pPr>
              <w:pStyle w:val="ListParagraph"/>
            </w:pPr>
          </w:p>
        </w:tc>
        <w:tc>
          <w:tcPr>
            <w:tcW w:w="1194" w:type="dxa"/>
          </w:tcPr>
          <w:p w14:paraId="7317D946" w14:textId="2ED7E42A" w:rsidR="315072A9" w:rsidRDefault="315072A9" w:rsidP="315072A9">
            <w:pPr>
              <w:pStyle w:val="ListParagraph"/>
            </w:pPr>
          </w:p>
        </w:tc>
      </w:tr>
      <w:tr w:rsidR="000810A7" w:rsidRPr="00521EAE" w14:paraId="7631059E" w14:textId="77777777" w:rsidTr="5F1C9727">
        <w:tc>
          <w:tcPr>
            <w:tcW w:w="6352" w:type="dxa"/>
          </w:tcPr>
          <w:p w14:paraId="1ECC466A" w14:textId="5039DC72" w:rsidR="000810A7" w:rsidRPr="00521EAE" w:rsidRDefault="00F12808" w:rsidP="315072A9">
            <w:r>
              <w:t>C</w:t>
            </w:r>
            <w:r w:rsidR="760A453A">
              <w:t xml:space="preserve">) Outcomes </w:t>
            </w:r>
            <w:r w:rsidR="760A453A" w:rsidRPr="00291694">
              <w:t>for breaches are</w:t>
            </w:r>
            <w:r w:rsidR="760A453A">
              <w:t xml:space="preserve"> f</w:t>
            </w:r>
            <w:r w:rsidR="760A453A" w:rsidRPr="5F1C9727">
              <w:rPr>
                <w:lang w:val="en-GB"/>
              </w:rPr>
              <w:t>air and proportional across the Institution</w:t>
            </w:r>
          </w:p>
          <w:p w14:paraId="4CD0BF15" w14:textId="6C0FA473" w:rsidR="000810A7" w:rsidRPr="00521EAE" w:rsidRDefault="000810A7" w:rsidP="5F1C9727">
            <w:pPr>
              <w:rPr>
                <w:lang w:val="en-GB"/>
              </w:rPr>
            </w:pPr>
          </w:p>
        </w:tc>
        <w:tc>
          <w:tcPr>
            <w:tcW w:w="3423" w:type="dxa"/>
          </w:tcPr>
          <w:p w14:paraId="75477027" w14:textId="77777777" w:rsidR="000810A7" w:rsidRPr="00521EAE" w:rsidRDefault="000810A7" w:rsidP="00521EAE">
            <w:pPr>
              <w:pStyle w:val="ListParagraph"/>
            </w:pPr>
          </w:p>
        </w:tc>
        <w:tc>
          <w:tcPr>
            <w:tcW w:w="1534" w:type="dxa"/>
          </w:tcPr>
          <w:p w14:paraId="7F3F55E0" w14:textId="1586F3E6" w:rsidR="000810A7" w:rsidRPr="00521EAE" w:rsidRDefault="000810A7" w:rsidP="00521EAE">
            <w:pPr>
              <w:pStyle w:val="ListParagraph"/>
            </w:pPr>
          </w:p>
        </w:tc>
        <w:tc>
          <w:tcPr>
            <w:tcW w:w="1445" w:type="dxa"/>
          </w:tcPr>
          <w:p w14:paraId="3BCE7CFE" w14:textId="77777777" w:rsidR="000810A7" w:rsidRPr="00521EAE" w:rsidRDefault="000810A7" w:rsidP="00521EAE">
            <w:pPr>
              <w:pStyle w:val="ListParagraph"/>
            </w:pPr>
          </w:p>
        </w:tc>
        <w:tc>
          <w:tcPr>
            <w:tcW w:w="1194" w:type="dxa"/>
          </w:tcPr>
          <w:p w14:paraId="7B9DF79C" w14:textId="77777777" w:rsidR="000810A7" w:rsidRPr="00521EAE" w:rsidRDefault="000810A7" w:rsidP="00521EAE">
            <w:pPr>
              <w:pStyle w:val="ListParagraph"/>
            </w:pPr>
          </w:p>
        </w:tc>
      </w:tr>
    </w:tbl>
    <w:p w14:paraId="15F6571C" w14:textId="77777777" w:rsidR="00291694" w:rsidRDefault="00291694">
      <w:r>
        <w:br w:type="page"/>
      </w:r>
    </w:p>
    <w:tbl>
      <w:tblPr>
        <w:tblStyle w:val="TableGrid"/>
        <w:tblW w:w="13948" w:type="dxa"/>
        <w:tblLook w:val="04A0" w:firstRow="1" w:lastRow="0" w:firstColumn="1" w:lastColumn="0" w:noHBand="0" w:noVBand="1"/>
      </w:tblPr>
      <w:tblGrid>
        <w:gridCol w:w="6352"/>
        <w:gridCol w:w="3423"/>
        <w:gridCol w:w="1534"/>
        <w:gridCol w:w="1445"/>
        <w:gridCol w:w="1194"/>
      </w:tblGrid>
      <w:tr w:rsidR="000810A7" w:rsidRPr="007D7B69" w14:paraId="1D9AB4D8" w14:textId="77777777" w:rsidTr="5F1C9727">
        <w:tc>
          <w:tcPr>
            <w:tcW w:w="6352" w:type="dxa"/>
            <w:shd w:val="clear" w:color="auto" w:fill="E2EFD9" w:themeFill="accent6" w:themeFillTint="33"/>
          </w:tcPr>
          <w:p w14:paraId="0521CEDA" w14:textId="2F958404" w:rsidR="000810A7" w:rsidRPr="007D7B69" w:rsidRDefault="000810A7" w:rsidP="00521EAE">
            <w:pPr>
              <w:rPr>
                <w:b/>
              </w:rPr>
            </w:pPr>
            <w:r w:rsidRPr="007D7B69">
              <w:rPr>
                <w:b/>
              </w:rPr>
              <w:lastRenderedPageBreak/>
              <w:t>Strategies for sustaining a culture of academic integrity</w:t>
            </w:r>
          </w:p>
        </w:tc>
        <w:tc>
          <w:tcPr>
            <w:tcW w:w="3423" w:type="dxa"/>
            <w:shd w:val="clear" w:color="auto" w:fill="E2EFD9" w:themeFill="accent6" w:themeFillTint="33"/>
          </w:tcPr>
          <w:p w14:paraId="208D44C3" w14:textId="0E0A555A" w:rsidR="000810A7" w:rsidRPr="007D7B69" w:rsidRDefault="760A453A" w:rsidP="760A453A">
            <w:pPr>
              <w:rPr>
                <w:b/>
                <w:bCs/>
              </w:rPr>
            </w:pPr>
            <w:r w:rsidRPr="760A453A">
              <w:rPr>
                <w:b/>
                <w:bCs/>
              </w:rPr>
              <w:t>Evidence</w:t>
            </w:r>
          </w:p>
        </w:tc>
        <w:tc>
          <w:tcPr>
            <w:tcW w:w="1534" w:type="dxa"/>
            <w:shd w:val="clear" w:color="auto" w:fill="E2EFD9" w:themeFill="accent6" w:themeFillTint="33"/>
          </w:tcPr>
          <w:p w14:paraId="7D09471A" w14:textId="4ABE6EC1" w:rsidR="000810A7" w:rsidRPr="007D7B69" w:rsidRDefault="760A453A" w:rsidP="760A453A">
            <w:pPr>
              <w:rPr>
                <w:b/>
                <w:bCs/>
              </w:rPr>
            </w:pPr>
            <w:r w:rsidRPr="760A453A">
              <w:rPr>
                <w:b/>
                <w:bCs/>
              </w:rPr>
              <w:t>Planned and implemented</w:t>
            </w:r>
          </w:p>
        </w:tc>
        <w:tc>
          <w:tcPr>
            <w:tcW w:w="1445" w:type="dxa"/>
            <w:shd w:val="clear" w:color="auto" w:fill="E2EFD9" w:themeFill="accent6" w:themeFillTint="33"/>
          </w:tcPr>
          <w:p w14:paraId="67F99C57" w14:textId="4A17FDBE" w:rsidR="000810A7" w:rsidRPr="007D7B69" w:rsidRDefault="760A453A" w:rsidP="760A453A">
            <w:pPr>
              <w:rPr>
                <w:b/>
                <w:bCs/>
              </w:rPr>
            </w:pPr>
            <w:r w:rsidRPr="760A453A">
              <w:rPr>
                <w:b/>
                <w:bCs/>
              </w:rPr>
              <w:t>Planned but not yet implemented</w:t>
            </w:r>
          </w:p>
        </w:tc>
        <w:tc>
          <w:tcPr>
            <w:tcW w:w="1194" w:type="dxa"/>
            <w:shd w:val="clear" w:color="auto" w:fill="E2EFD9" w:themeFill="accent6" w:themeFillTint="33"/>
          </w:tcPr>
          <w:p w14:paraId="6DEFA505" w14:textId="3E33E16C" w:rsidR="000810A7" w:rsidRPr="007D7B69" w:rsidRDefault="760A453A" w:rsidP="760A453A">
            <w:pPr>
              <w:rPr>
                <w:b/>
                <w:bCs/>
              </w:rPr>
            </w:pPr>
            <w:r w:rsidRPr="760A453A">
              <w:rPr>
                <w:b/>
                <w:bCs/>
              </w:rPr>
              <w:t>Not yet planned</w:t>
            </w:r>
          </w:p>
        </w:tc>
      </w:tr>
      <w:tr w:rsidR="00DC0429" w14:paraId="2F093B3C" w14:textId="77777777" w:rsidTr="00F21E91">
        <w:tc>
          <w:tcPr>
            <w:tcW w:w="13948" w:type="dxa"/>
            <w:gridSpan w:val="5"/>
          </w:tcPr>
          <w:p w14:paraId="7B528679" w14:textId="0A52104D" w:rsidR="00DC0429" w:rsidRDefault="00DC0429" w:rsidP="315072A9">
            <w:pPr>
              <w:rPr>
                <w:b/>
                <w:bCs/>
              </w:rPr>
            </w:pPr>
            <w:r w:rsidRPr="2D34FE21">
              <w:rPr>
                <w:b/>
                <w:bCs/>
              </w:rPr>
              <w:t>In addition to complying with the HESF, the following are some strategies for sustaining a culture of academic integrity</w:t>
            </w:r>
          </w:p>
        </w:tc>
      </w:tr>
      <w:tr w:rsidR="000810A7" w:rsidRPr="00521EAE" w14:paraId="6F9B658B" w14:textId="77777777" w:rsidTr="5F1C9727">
        <w:tc>
          <w:tcPr>
            <w:tcW w:w="6352" w:type="dxa"/>
          </w:tcPr>
          <w:p w14:paraId="04674109" w14:textId="1B628649" w:rsidR="000810A7" w:rsidRPr="00521EAE" w:rsidRDefault="760A453A" w:rsidP="008F3551">
            <w:r>
              <w:t xml:space="preserve">There is a top-level </w:t>
            </w:r>
            <w:r w:rsidRPr="634D1939">
              <w:rPr>
                <w:b/>
                <w:bCs/>
              </w:rPr>
              <w:t>strategic commitment</w:t>
            </w:r>
            <w:r>
              <w:t xml:space="preserve"> to academic integrity</w:t>
            </w:r>
          </w:p>
          <w:p w14:paraId="5318780B" w14:textId="54D67DDA" w:rsidR="000810A7" w:rsidRPr="00521EAE" w:rsidRDefault="000810A7" w:rsidP="760A453A"/>
        </w:tc>
        <w:tc>
          <w:tcPr>
            <w:tcW w:w="3423" w:type="dxa"/>
          </w:tcPr>
          <w:p w14:paraId="6998F223" w14:textId="77777777" w:rsidR="000810A7" w:rsidRPr="00521EAE" w:rsidRDefault="000810A7" w:rsidP="00521EAE"/>
        </w:tc>
        <w:tc>
          <w:tcPr>
            <w:tcW w:w="1534" w:type="dxa"/>
          </w:tcPr>
          <w:p w14:paraId="6CC212F6" w14:textId="1868051D" w:rsidR="000810A7" w:rsidRPr="00521EAE" w:rsidRDefault="000810A7" w:rsidP="00521EAE"/>
        </w:tc>
        <w:tc>
          <w:tcPr>
            <w:tcW w:w="1445" w:type="dxa"/>
          </w:tcPr>
          <w:p w14:paraId="6C5E66D1" w14:textId="77777777" w:rsidR="000810A7" w:rsidRPr="00521EAE" w:rsidRDefault="000810A7" w:rsidP="00521EAE"/>
        </w:tc>
        <w:tc>
          <w:tcPr>
            <w:tcW w:w="1194" w:type="dxa"/>
          </w:tcPr>
          <w:p w14:paraId="7C9B5F13" w14:textId="77777777" w:rsidR="000810A7" w:rsidRPr="00521EAE" w:rsidRDefault="000810A7" w:rsidP="00521EAE"/>
        </w:tc>
      </w:tr>
      <w:tr w:rsidR="000810A7" w:rsidRPr="00521EAE" w14:paraId="018492D6" w14:textId="77777777" w:rsidTr="5F1C9727">
        <w:tc>
          <w:tcPr>
            <w:tcW w:w="6352" w:type="dxa"/>
          </w:tcPr>
          <w:p w14:paraId="091CB050" w14:textId="0DB46600" w:rsidR="000810A7" w:rsidRPr="007D7B69" w:rsidRDefault="760A453A" w:rsidP="760A453A">
            <w:pPr>
              <w:rPr>
                <w:rFonts w:ascii="Calibri" w:eastAsia="Calibri" w:hAnsi="Calibri" w:cs="Calibri"/>
                <w:lang w:val="en-US"/>
              </w:rPr>
            </w:pPr>
            <w:r w:rsidRPr="760A453A">
              <w:rPr>
                <w:rFonts w:ascii="Calibri" w:eastAsia="Calibri" w:hAnsi="Calibri" w:cs="Calibri"/>
                <w:lang w:val="en-US"/>
              </w:rPr>
              <w:t xml:space="preserve">The culture of the institution encourages </w:t>
            </w:r>
            <w:r w:rsidRPr="760A453A">
              <w:rPr>
                <w:rFonts w:ascii="Calibri" w:eastAsia="Calibri" w:hAnsi="Calibri" w:cs="Calibri"/>
                <w:b/>
                <w:bCs/>
                <w:lang w:val="en-US"/>
              </w:rPr>
              <w:t>all staff</w:t>
            </w:r>
            <w:r w:rsidRPr="760A453A">
              <w:rPr>
                <w:rFonts w:ascii="Calibri" w:eastAsia="Calibri" w:hAnsi="Calibri" w:cs="Calibri"/>
                <w:lang w:val="en-US"/>
              </w:rPr>
              <w:t xml:space="preserve"> to take responsibility for detecting and reporting on breaches</w:t>
            </w:r>
          </w:p>
          <w:p w14:paraId="1E82D5E2" w14:textId="2E90A326" w:rsidR="000810A7" w:rsidRPr="007D7B69" w:rsidRDefault="000810A7" w:rsidP="2D34FE21">
            <w:pPr>
              <w:rPr>
                <w:lang w:val="en-GB"/>
              </w:rPr>
            </w:pPr>
          </w:p>
        </w:tc>
        <w:tc>
          <w:tcPr>
            <w:tcW w:w="3423" w:type="dxa"/>
          </w:tcPr>
          <w:p w14:paraId="0E1A3135" w14:textId="77777777" w:rsidR="000810A7" w:rsidRPr="00521EAE" w:rsidRDefault="000810A7" w:rsidP="00521EAE">
            <w:pPr>
              <w:pStyle w:val="ListParagraph"/>
              <w:rPr>
                <w:bCs/>
                <w:lang w:val="en-GB"/>
              </w:rPr>
            </w:pPr>
          </w:p>
        </w:tc>
        <w:tc>
          <w:tcPr>
            <w:tcW w:w="1534" w:type="dxa"/>
          </w:tcPr>
          <w:p w14:paraId="1C53F667" w14:textId="425D3DD7" w:rsidR="000810A7" w:rsidRPr="00521EAE" w:rsidRDefault="000810A7" w:rsidP="00521EAE">
            <w:pPr>
              <w:pStyle w:val="ListParagraph"/>
              <w:rPr>
                <w:bCs/>
                <w:lang w:val="en-GB"/>
              </w:rPr>
            </w:pPr>
          </w:p>
        </w:tc>
        <w:tc>
          <w:tcPr>
            <w:tcW w:w="1445" w:type="dxa"/>
          </w:tcPr>
          <w:p w14:paraId="5C2082D7" w14:textId="77777777" w:rsidR="000810A7" w:rsidRPr="00521EAE" w:rsidRDefault="000810A7" w:rsidP="00521EAE">
            <w:pPr>
              <w:pStyle w:val="ListParagraph"/>
              <w:rPr>
                <w:bCs/>
                <w:lang w:val="en-GB"/>
              </w:rPr>
            </w:pPr>
          </w:p>
        </w:tc>
        <w:tc>
          <w:tcPr>
            <w:tcW w:w="1194" w:type="dxa"/>
          </w:tcPr>
          <w:p w14:paraId="66485F80" w14:textId="77777777" w:rsidR="000810A7" w:rsidRPr="00521EAE" w:rsidRDefault="000810A7" w:rsidP="00521EAE">
            <w:pPr>
              <w:pStyle w:val="ListParagraph"/>
              <w:rPr>
                <w:bCs/>
                <w:lang w:val="en-GB"/>
              </w:rPr>
            </w:pPr>
          </w:p>
        </w:tc>
      </w:tr>
      <w:tr w:rsidR="2D34FE21" w14:paraId="2CC801A3" w14:textId="77777777" w:rsidTr="5F1C9727">
        <w:tc>
          <w:tcPr>
            <w:tcW w:w="6352" w:type="dxa"/>
          </w:tcPr>
          <w:p w14:paraId="2C402DC5" w14:textId="78A127B7" w:rsidR="2D34FE21" w:rsidRDefault="760A453A" w:rsidP="2D34FE21">
            <w:r w:rsidRPr="760A453A">
              <w:rPr>
                <w:rFonts w:ascii="Calibri" w:eastAsia="Calibri" w:hAnsi="Calibri" w:cs="Calibri"/>
                <w:b/>
                <w:bCs/>
                <w:lang w:val="en-US"/>
              </w:rPr>
              <w:t xml:space="preserve">Specific staff </w:t>
            </w:r>
            <w:r w:rsidRPr="760A453A">
              <w:rPr>
                <w:rFonts w:ascii="Calibri" w:eastAsia="Calibri" w:hAnsi="Calibri" w:cs="Calibri"/>
                <w:lang w:val="en-US"/>
              </w:rPr>
              <w:t>have responsibility for analysing and determining the consequences for more serious breaches, built into position descriptions</w:t>
            </w:r>
          </w:p>
          <w:p w14:paraId="1F80D616" w14:textId="0C91E41C" w:rsidR="2D34FE21" w:rsidRDefault="2D34FE21" w:rsidP="2D34FE21">
            <w:pPr>
              <w:rPr>
                <w:rFonts w:ascii="Calibri" w:eastAsia="Calibri" w:hAnsi="Calibri" w:cs="Calibri"/>
                <w:b/>
                <w:bCs/>
                <w:lang w:val="en-US"/>
              </w:rPr>
            </w:pPr>
          </w:p>
        </w:tc>
        <w:tc>
          <w:tcPr>
            <w:tcW w:w="3423" w:type="dxa"/>
          </w:tcPr>
          <w:p w14:paraId="6F15A624" w14:textId="4E5CECBD" w:rsidR="2D34FE21" w:rsidRDefault="2D34FE21" w:rsidP="2D34FE21">
            <w:pPr>
              <w:pStyle w:val="ListParagraph"/>
              <w:rPr>
                <w:lang w:val="en-GB"/>
              </w:rPr>
            </w:pPr>
          </w:p>
        </w:tc>
        <w:tc>
          <w:tcPr>
            <w:tcW w:w="1534" w:type="dxa"/>
          </w:tcPr>
          <w:p w14:paraId="7B37EAE0" w14:textId="45C3981A" w:rsidR="2D34FE21" w:rsidRDefault="2D34FE21" w:rsidP="2D34FE21">
            <w:pPr>
              <w:pStyle w:val="ListParagraph"/>
              <w:rPr>
                <w:lang w:val="en-GB"/>
              </w:rPr>
            </w:pPr>
          </w:p>
        </w:tc>
        <w:tc>
          <w:tcPr>
            <w:tcW w:w="1445" w:type="dxa"/>
          </w:tcPr>
          <w:p w14:paraId="62B4833A" w14:textId="41EB2959" w:rsidR="2D34FE21" w:rsidRDefault="2D34FE21" w:rsidP="2D34FE21">
            <w:pPr>
              <w:pStyle w:val="ListParagraph"/>
              <w:rPr>
                <w:lang w:val="en-GB"/>
              </w:rPr>
            </w:pPr>
          </w:p>
        </w:tc>
        <w:tc>
          <w:tcPr>
            <w:tcW w:w="1194" w:type="dxa"/>
          </w:tcPr>
          <w:p w14:paraId="5417E68B" w14:textId="7C083121" w:rsidR="2D34FE21" w:rsidRDefault="2D34FE21" w:rsidP="2D34FE21">
            <w:pPr>
              <w:pStyle w:val="ListParagraph"/>
              <w:rPr>
                <w:lang w:val="en-GB"/>
              </w:rPr>
            </w:pPr>
          </w:p>
        </w:tc>
      </w:tr>
      <w:tr w:rsidR="2D34FE21" w14:paraId="543386CB" w14:textId="77777777" w:rsidTr="5F1C9727">
        <w:tc>
          <w:tcPr>
            <w:tcW w:w="6352" w:type="dxa"/>
          </w:tcPr>
          <w:p w14:paraId="2B2C09CE" w14:textId="64D8E4E9" w:rsidR="2D34FE21" w:rsidRDefault="760A453A" w:rsidP="2D34FE21">
            <w:r w:rsidRPr="760A453A">
              <w:rPr>
                <w:rFonts w:ascii="Calibri" w:eastAsia="Calibri" w:hAnsi="Calibri" w:cs="Calibri"/>
                <w:b/>
                <w:bCs/>
                <w:lang w:val="en-US"/>
              </w:rPr>
              <w:t>Staff</w:t>
            </w:r>
            <w:r w:rsidRPr="760A453A">
              <w:rPr>
                <w:rFonts w:ascii="Calibri" w:eastAsia="Calibri" w:hAnsi="Calibri" w:cs="Calibri"/>
                <w:lang w:val="en-US"/>
              </w:rPr>
              <w:t xml:space="preserve"> have access to </w:t>
            </w:r>
            <w:r w:rsidRPr="760A453A">
              <w:rPr>
                <w:rFonts w:ascii="Calibri" w:eastAsia="Calibri" w:hAnsi="Calibri" w:cs="Calibri"/>
                <w:b/>
                <w:bCs/>
                <w:lang w:val="en-US"/>
              </w:rPr>
              <w:t>checklists or rubrics</w:t>
            </w:r>
            <w:r w:rsidRPr="760A453A">
              <w:rPr>
                <w:rFonts w:ascii="Calibri" w:eastAsia="Calibri" w:hAnsi="Calibri" w:cs="Calibri"/>
                <w:lang w:val="en-US"/>
              </w:rPr>
              <w:t xml:space="preserve"> to guide in detecting breaches</w:t>
            </w:r>
          </w:p>
          <w:p w14:paraId="5F9C6DB0" w14:textId="48145504" w:rsidR="2D34FE21" w:rsidRDefault="2D34FE21" w:rsidP="2D34FE21">
            <w:pPr>
              <w:rPr>
                <w:rFonts w:ascii="Calibri" w:eastAsia="Calibri" w:hAnsi="Calibri" w:cs="Calibri"/>
                <w:b/>
                <w:bCs/>
                <w:lang w:val="en-US"/>
              </w:rPr>
            </w:pPr>
          </w:p>
        </w:tc>
        <w:tc>
          <w:tcPr>
            <w:tcW w:w="3423" w:type="dxa"/>
          </w:tcPr>
          <w:p w14:paraId="6D394044" w14:textId="660555F5" w:rsidR="2D34FE21" w:rsidRDefault="2D34FE21" w:rsidP="2D34FE21">
            <w:pPr>
              <w:pStyle w:val="ListParagraph"/>
              <w:rPr>
                <w:lang w:val="en-GB"/>
              </w:rPr>
            </w:pPr>
          </w:p>
        </w:tc>
        <w:tc>
          <w:tcPr>
            <w:tcW w:w="1534" w:type="dxa"/>
          </w:tcPr>
          <w:p w14:paraId="2C155CB2" w14:textId="53CD739B" w:rsidR="2D34FE21" w:rsidRDefault="2D34FE21" w:rsidP="2D34FE21">
            <w:pPr>
              <w:pStyle w:val="ListParagraph"/>
              <w:rPr>
                <w:lang w:val="en-GB"/>
              </w:rPr>
            </w:pPr>
          </w:p>
        </w:tc>
        <w:tc>
          <w:tcPr>
            <w:tcW w:w="1445" w:type="dxa"/>
          </w:tcPr>
          <w:p w14:paraId="329E629F" w14:textId="5E0A454A" w:rsidR="2D34FE21" w:rsidRDefault="2D34FE21" w:rsidP="2D34FE21">
            <w:pPr>
              <w:pStyle w:val="ListParagraph"/>
              <w:rPr>
                <w:lang w:val="en-GB"/>
              </w:rPr>
            </w:pPr>
          </w:p>
        </w:tc>
        <w:tc>
          <w:tcPr>
            <w:tcW w:w="1194" w:type="dxa"/>
          </w:tcPr>
          <w:p w14:paraId="15C59409" w14:textId="601035A0" w:rsidR="2D34FE21" w:rsidRDefault="2D34FE21" w:rsidP="2D34FE21">
            <w:pPr>
              <w:pStyle w:val="ListParagraph"/>
              <w:rPr>
                <w:lang w:val="en-GB"/>
              </w:rPr>
            </w:pPr>
          </w:p>
        </w:tc>
      </w:tr>
      <w:tr w:rsidR="000810A7" w:rsidRPr="00521EAE" w14:paraId="697023C8" w14:textId="77777777" w:rsidTr="5F1C9727">
        <w:tc>
          <w:tcPr>
            <w:tcW w:w="6352" w:type="dxa"/>
          </w:tcPr>
          <w:p w14:paraId="25DBCCC1" w14:textId="0358AD71" w:rsidR="000810A7" w:rsidRPr="007D7B69" w:rsidRDefault="760A453A" w:rsidP="2D34FE21">
            <w:r w:rsidRPr="760A453A">
              <w:rPr>
                <w:rFonts w:ascii="Calibri" w:eastAsia="Calibri" w:hAnsi="Calibri" w:cs="Calibri"/>
                <w:b/>
                <w:bCs/>
                <w:lang w:val="en-US"/>
              </w:rPr>
              <w:t>Students</w:t>
            </w:r>
            <w:r w:rsidRPr="760A453A">
              <w:rPr>
                <w:rFonts w:ascii="Calibri" w:eastAsia="Calibri" w:hAnsi="Calibri" w:cs="Calibri"/>
                <w:lang w:val="en-US"/>
              </w:rPr>
              <w:t xml:space="preserve"> have access to </w:t>
            </w:r>
            <w:r w:rsidRPr="760A453A">
              <w:rPr>
                <w:rFonts w:ascii="Calibri" w:eastAsia="Calibri" w:hAnsi="Calibri" w:cs="Calibri"/>
                <w:b/>
                <w:bCs/>
                <w:lang w:val="en-US"/>
              </w:rPr>
              <w:t>checklists or rubrics</w:t>
            </w:r>
            <w:r w:rsidRPr="760A453A">
              <w:rPr>
                <w:rFonts w:ascii="Calibri" w:eastAsia="Calibri" w:hAnsi="Calibri" w:cs="Calibri"/>
                <w:lang w:val="en-US"/>
              </w:rPr>
              <w:t xml:space="preserve"> to guide in maintaining academic integrity</w:t>
            </w:r>
          </w:p>
          <w:p w14:paraId="37937943" w14:textId="5979B955" w:rsidR="000810A7" w:rsidRPr="007D7B69" w:rsidRDefault="000810A7" w:rsidP="2D34FE21">
            <w:pPr>
              <w:rPr>
                <w:lang w:val="en-GB"/>
              </w:rPr>
            </w:pPr>
          </w:p>
        </w:tc>
        <w:tc>
          <w:tcPr>
            <w:tcW w:w="3423" w:type="dxa"/>
          </w:tcPr>
          <w:p w14:paraId="5B086E72" w14:textId="77777777" w:rsidR="000810A7" w:rsidRPr="00521EAE" w:rsidRDefault="000810A7" w:rsidP="00521EAE">
            <w:pPr>
              <w:pStyle w:val="ListParagraph"/>
              <w:rPr>
                <w:bCs/>
                <w:lang w:val="en-GB"/>
              </w:rPr>
            </w:pPr>
          </w:p>
        </w:tc>
        <w:tc>
          <w:tcPr>
            <w:tcW w:w="1534" w:type="dxa"/>
          </w:tcPr>
          <w:p w14:paraId="2F9FCB3E" w14:textId="5B72B7F7" w:rsidR="000810A7" w:rsidRPr="00521EAE" w:rsidRDefault="000810A7" w:rsidP="00521EAE">
            <w:pPr>
              <w:pStyle w:val="ListParagraph"/>
              <w:rPr>
                <w:bCs/>
                <w:lang w:val="en-GB"/>
              </w:rPr>
            </w:pPr>
          </w:p>
        </w:tc>
        <w:tc>
          <w:tcPr>
            <w:tcW w:w="1445" w:type="dxa"/>
          </w:tcPr>
          <w:p w14:paraId="2044E371" w14:textId="77777777" w:rsidR="000810A7" w:rsidRPr="00521EAE" w:rsidRDefault="000810A7" w:rsidP="00521EAE">
            <w:pPr>
              <w:pStyle w:val="ListParagraph"/>
              <w:rPr>
                <w:bCs/>
                <w:lang w:val="en-GB"/>
              </w:rPr>
            </w:pPr>
          </w:p>
        </w:tc>
        <w:tc>
          <w:tcPr>
            <w:tcW w:w="1194" w:type="dxa"/>
          </w:tcPr>
          <w:p w14:paraId="0DD61855" w14:textId="77777777" w:rsidR="000810A7" w:rsidRPr="00521EAE" w:rsidRDefault="000810A7" w:rsidP="00521EAE">
            <w:pPr>
              <w:pStyle w:val="ListParagraph"/>
              <w:rPr>
                <w:bCs/>
                <w:lang w:val="en-GB"/>
              </w:rPr>
            </w:pPr>
          </w:p>
        </w:tc>
      </w:tr>
      <w:tr w:rsidR="000810A7" w:rsidRPr="00521EAE" w14:paraId="57C9BA50" w14:textId="77777777" w:rsidTr="5F1C9727">
        <w:tc>
          <w:tcPr>
            <w:tcW w:w="6352" w:type="dxa"/>
          </w:tcPr>
          <w:p w14:paraId="6A981442" w14:textId="720006D9" w:rsidR="000810A7" w:rsidRPr="007D7B69" w:rsidRDefault="760A453A" w:rsidP="760A453A">
            <w:pPr>
              <w:rPr>
                <w:lang w:val="en-GB"/>
              </w:rPr>
            </w:pPr>
            <w:r w:rsidRPr="760A453A">
              <w:rPr>
                <w:b/>
                <w:bCs/>
                <w:lang w:val="en-GB"/>
              </w:rPr>
              <w:t>Research training</w:t>
            </w:r>
            <w:r w:rsidRPr="760A453A">
              <w:rPr>
                <w:lang w:val="en-GB"/>
              </w:rPr>
              <w:t xml:space="preserve"> includes support for academic integrity</w:t>
            </w:r>
          </w:p>
          <w:p w14:paraId="112BEAC1" w14:textId="5D474454" w:rsidR="000810A7" w:rsidRPr="007D7B69" w:rsidRDefault="000810A7" w:rsidP="760A453A">
            <w:pPr>
              <w:rPr>
                <w:lang w:val="en-GB"/>
              </w:rPr>
            </w:pPr>
          </w:p>
        </w:tc>
        <w:tc>
          <w:tcPr>
            <w:tcW w:w="3423" w:type="dxa"/>
          </w:tcPr>
          <w:p w14:paraId="687FE382" w14:textId="77777777" w:rsidR="000810A7" w:rsidRPr="00521EAE" w:rsidRDefault="000810A7" w:rsidP="00521EAE">
            <w:pPr>
              <w:pStyle w:val="ListParagraph"/>
              <w:rPr>
                <w:bCs/>
                <w:lang w:val="en-GB"/>
              </w:rPr>
            </w:pPr>
          </w:p>
        </w:tc>
        <w:tc>
          <w:tcPr>
            <w:tcW w:w="1534" w:type="dxa"/>
          </w:tcPr>
          <w:p w14:paraId="5CD99B38" w14:textId="3DEA81BC" w:rsidR="000810A7" w:rsidRPr="00521EAE" w:rsidRDefault="000810A7" w:rsidP="00521EAE">
            <w:pPr>
              <w:pStyle w:val="ListParagraph"/>
              <w:rPr>
                <w:bCs/>
                <w:lang w:val="en-GB"/>
              </w:rPr>
            </w:pPr>
          </w:p>
        </w:tc>
        <w:tc>
          <w:tcPr>
            <w:tcW w:w="1445" w:type="dxa"/>
          </w:tcPr>
          <w:p w14:paraId="23249A86" w14:textId="77777777" w:rsidR="000810A7" w:rsidRPr="00521EAE" w:rsidRDefault="000810A7" w:rsidP="00521EAE">
            <w:pPr>
              <w:pStyle w:val="ListParagraph"/>
              <w:rPr>
                <w:bCs/>
                <w:lang w:val="en-GB"/>
              </w:rPr>
            </w:pPr>
          </w:p>
        </w:tc>
        <w:tc>
          <w:tcPr>
            <w:tcW w:w="1194" w:type="dxa"/>
          </w:tcPr>
          <w:p w14:paraId="4E48BEBA" w14:textId="77777777" w:rsidR="000810A7" w:rsidRPr="00521EAE" w:rsidRDefault="000810A7" w:rsidP="00521EAE">
            <w:pPr>
              <w:pStyle w:val="ListParagraph"/>
              <w:rPr>
                <w:bCs/>
                <w:lang w:val="en-GB"/>
              </w:rPr>
            </w:pPr>
          </w:p>
        </w:tc>
      </w:tr>
      <w:tr w:rsidR="000810A7" w:rsidRPr="00521EAE" w14:paraId="205033F6" w14:textId="77777777" w:rsidTr="5F1C9727">
        <w:tc>
          <w:tcPr>
            <w:tcW w:w="6352" w:type="dxa"/>
          </w:tcPr>
          <w:p w14:paraId="5144D6D4" w14:textId="17402093" w:rsidR="000810A7" w:rsidRPr="007D7B69" w:rsidRDefault="760A453A" w:rsidP="760A453A">
            <w:pPr>
              <w:rPr>
                <w:lang w:val="en-GB"/>
              </w:rPr>
            </w:pPr>
            <w:r w:rsidRPr="634D1939">
              <w:rPr>
                <w:lang w:val="en-GB"/>
              </w:rPr>
              <w:t xml:space="preserve">Processes are in place to protect </w:t>
            </w:r>
            <w:r w:rsidRPr="634D1939">
              <w:rPr>
                <w:b/>
                <w:bCs/>
                <w:lang w:val="en-GB"/>
              </w:rPr>
              <w:t>whistle blowers</w:t>
            </w:r>
          </w:p>
          <w:p w14:paraId="0E19A49F" w14:textId="11577BD0" w:rsidR="000810A7" w:rsidRPr="007D7B69" w:rsidRDefault="000810A7" w:rsidP="760A453A">
            <w:pPr>
              <w:rPr>
                <w:lang w:val="en-GB"/>
              </w:rPr>
            </w:pPr>
          </w:p>
        </w:tc>
        <w:tc>
          <w:tcPr>
            <w:tcW w:w="3423" w:type="dxa"/>
          </w:tcPr>
          <w:p w14:paraId="4424081E" w14:textId="77777777" w:rsidR="000810A7" w:rsidRPr="00521EAE" w:rsidRDefault="000810A7" w:rsidP="00521EAE">
            <w:pPr>
              <w:pStyle w:val="ListParagraph"/>
              <w:rPr>
                <w:bCs/>
                <w:lang w:val="en-GB"/>
              </w:rPr>
            </w:pPr>
          </w:p>
        </w:tc>
        <w:tc>
          <w:tcPr>
            <w:tcW w:w="1534" w:type="dxa"/>
          </w:tcPr>
          <w:p w14:paraId="08CD2FFF" w14:textId="3476944C" w:rsidR="000810A7" w:rsidRPr="00521EAE" w:rsidRDefault="000810A7" w:rsidP="00521EAE">
            <w:pPr>
              <w:pStyle w:val="ListParagraph"/>
              <w:rPr>
                <w:bCs/>
                <w:lang w:val="en-GB"/>
              </w:rPr>
            </w:pPr>
          </w:p>
        </w:tc>
        <w:tc>
          <w:tcPr>
            <w:tcW w:w="1445" w:type="dxa"/>
          </w:tcPr>
          <w:p w14:paraId="42B70102" w14:textId="77777777" w:rsidR="000810A7" w:rsidRPr="00521EAE" w:rsidRDefault="000810A7" w:rsidP="00521EAE">
            <w:pPr>
              <w:pStyle w:val="ListParagraph"/>
              <w:rPr>
                <w:bCs/>
                <w:lang w:val="en-GB"/>
              </w:rPr>
            </w:pPr>
          </w:p>
        </w:tc>
        <w:tc>
          <w:tcPr>
            <w:tcW w:w="1194" w:type="dxa"/>
          </w:tcPr>
          <w:p w14:paraId="01AE8C7C" w14:textId="77777777" w:rsidR="000810A7" w:rsidRPr="00521EAE" w:rsidRDefault="000810A7" w:rsidP="00521EAE">
            <w:pPr>
              <w:pStyle w:val="ListParagraph"/>
              <w:rPr>
                <w:bCs/>
                <w:lang w:val="en-GB"/>
              </w:rPr>
            </w:pPr>
          </w:p>
        </w:tc>
      </w:tr>
      <w:tr w:rsidR="000810A7" w:rsidRPr="00521EAE" w14:paraId="324511E8" w14:textId="77777777" w:rsidTr="5F1C9727">
        <w:tc>
          <w:tcPr>
            <w:tcW w:w="6352" w:type="dxa"/>
          </w:tcPr>
          <w:p w14:paraId="3CFF197F" w14:textId="4E175257" w:rsidR="000810A7" w:rsidRPr="00534141" w:rsidRDefault="760A453A" w:rsidP="760A453A">
            <w:pPr>
              <w:rPr>
                <w:lang w:val="en-GB"/>
              </w:rPr>
            </w:pPr>
            <w:r w:rsidRPr="634D1939">
              <w:rPr>
                <w:b/>
                <w:bCs/>
                <w:lang w:val="en-GB"/>
              </w:rPr>
              <w:t>Students have input</w:t>
            </w:r>
            <w:r w:rsidRPr="634D1939">
              <w:rPr>
                <w:lang w:val="en-GB"/>
              </w:rPr>
              <w:t xml:space="preserve"> into engagement and promotion strategies for academic integrity</w:t>
            </w:r>
          </w:p>
          <w:p w14:paraId="3FE61FB7" w14:textId="55887946" w:rsidR="000810A7" w:rsidRPr="00534141" w:rsidRDefault="000810A7" w:rsidP="760A453A">
            <w:pPr>
              <w:rPr>
                <w:lang w:val="en-GB"/>
              </w:rPr>
            </w:pPr>
          </w:p>
        </w:tc>
        <w:tc>
          <w:tcPr>
            <w:tcW w:w="3423" w:type="dxa"/>
          </w:tcPr>
          <w:p w14:paraId="3C19A26D" w14:textId="77777777" w:rsidR="000810A7" w:rsidRPr="00521EAE" w:rsidRDefault="000810A7" w:rsidP="00521EAE">
            <w:pPr>
              <w:pStyle w:val="ListParagraph"/>
              <w:rPr>
                <w:bCs/>
                <w:lang w:val="en-GB"/>
              </w:rPr>
            </w:pPr>
          </w:p>
        </w:tc>
        <w:tc>
          <w:tcPr>
            <w:tcW w:w="1534" w:type="dxa"/>
          </w:tcPr>
          <w:p w14:paraId="7A5B7490" w14:textId="0753FCE5" w:rsidR="000810A7" w:rsidRPr="00521EAE" w:rsidRDefault="000810A7" w:rsidP="00521EAE">
            <w:pPr>
              <w:pStyle w:val="ListParagraph"/>
              <w:rPr>
                <w:bCs/>
                <w:lang w:val="en-GB"/>
              </w:rPr>
            </w:pPr>
          </w:p>
        </w:tc>
        <w:tc>
          <w:tcPr>
            <w:tcW w:w="1445" w:type="dxa"/>
          </w:tcPr>
          <w:p w14:paraId="2193A449" w14:textId="77777777" w:rsidR="000810A7" w:rsidRPr="00521EAE" w:rsidRDefault="000810A7" w:rsidP="00521EAE">
            <w:pPr>
              <w:pStyle w:val="ListParagraph"/>
              <w:rPr>
                <w:bCs/>
                <w:lang w:val="en-GB"/>
              </w:rPr>
            </w:pPr>
          </w:p>
        </w:tc>
        <w:tc>
          <w:tcPr>
            <w:tcW w:w="1194" w:type="dxa"/>
          </w:tcPr>
          <w:p w14:paraId="3812549E" w14:textId="77777777" w:rsidR="000810A7" w:rsidRPr="00521EAE" w:rsidRDefault="000810A7" w:rsidP="00521EAE">
            <w:pPr>
              <w:pStyle w:val="ListParagraph"/>
              <w:rPr>
                <w:bCs/>
                <w:lang w:val="en-GB"/>
              </w:rPr>
            </w:pPr>
          </w:p>
        </w:tc>
      </w:tr>
      <w:tr w:rsidR="000810A7" w:rsidRPr="00521EAE" w14:paraId="1872DA53" w14:textId="77777777" w:rsidTr="5F1C9727">
        <w:tc>
          <w:tcPr>
            <w:tcW w:w="6352" w:type="dxa"/>
          </w:tcPr>
          <w:p w14:paraId="71FF6A99" w14:textId="21D43021" w:rsidR="000810A7" w:rsidRPr="00521EAE" w:rsidRDefault="760A453A" w:rsidP="760A453A">
            <w:pPr>
              <w:rPr>
                <w:lang w:val="en-GB"/>
              </w:rPr>
            </w:pPr>
            <w:r w:rsidRPr="634D1939">
              <w:rPr>
                <w:lang w:val="en-GB"/>
              </w:rPr>
              <w:t xml:space="preserve">Academic integrity is designed into the </w:t>
            </w:r>
            <w:r w:rsidRPr="634D1939">
              <w:rPr>
                <w:b/>
                <w:bCs/>
                <w:lang w:val="en-GB"/>
              </w:rPr>
              <w:t>curriculum</w:t>
            </w:r>
            <w:r w:rsidRPr="634D1939">
              <w:rPr>
                <w:lang w:val="en-GB"/>
              </w:rPr>
              <w:t xml:space="preserve"> and addressed in subject materials for all courses</w:t>
            </w:r>
          </w:p>
          <w:p w14:paraId="3E8C0EC7" w14:textId="432CFEC8" w:rsidR="000810A7" w:rsidRPr="00521EAE" w:rsidRDefault="000810A7" w:rsidP="760A453A">
            <w:pPr>
              <w:rPr>
                <w:lang w:val="en-GB"/>
              </w:rPr>
            </w:pPr>
          </w:p>
        </w:tc>
        <w:tc>
          <w:tcPr>
            <w:tcW w:w="3423" w:type="dxa"/>
          </w:tcPr>
          <w:p w14:paraId="102F99C2" w14:textId="77777777" w:rsidR="000810A7" w:rsidRPr="00521EAE" w:rsidRDefault="000810A7" w:rsidP="00521EAE">
            <w:pPr>
              <w:pStyle w:val="ListParagraph"/>
              <w:rPr>
                <w:bCs/>
                <w:lang w:val="en-GB"/>
              </w:rPr>
            </w:pPr>
          </w:p>
        </w:tc>
        <w:tc>
          <w:tcPr>
            <w:tcW w:w="1534" w:type="dxa"/>
          </w:tcPr>
          <w:p w14:paraId="1E1FC3A2" w14:textId="4A49E6FF" w:rsidR="000810A7" w:rsidRPr="00521EAE" w:rsidRDefault="000810A7" w:rsidP="00521EAE">
            <w:pPr>
              <w:pStyle w:val="ListParagraph"/>
              <w:rPr>
                <w:bCs/>
                <w:lang w:val="en-GB"/>
              </w:rPr>
            </w:pPr>
          </w:p>
        </w:tc>
        <w:tc>
          <w:tcPr>
            <w:tcW w:w="1445" w:type="dxa"/>
          </w:tcPr>
          <w:p w14:paraId="43A0E170" w14:textId="77777777" w:rsidR="000810A7" w:rsidRPr="00521EAE" w:rsidRDefault="000810A7" w:rsidP="00521EAE">
            <w:pPr>
              <w:pStyle w:val="ListParagraph"/>
              <w:rPr>
                <w:bCs/>
                <w:lang w:val="en-GB"/>
              </w:rPr>
            </w:pPr>
          </w:p>
        </w:tc>
        <w:tc>
          <w:tcPr>
            <w:tcW w:w="1194" w:type="dxa"/>
          </w:tcPr>
          <w:p w14:paraId="0DF55963" w14:textId="77777777" w:rsidR="000810A7" w:rsidRPr="00521EAE" w:rsidRDefault="000810A7" w:rsidP="00521EAE">
            <w:pPr>
              <w:pStyle w:val="ListParagraph"/>
              <w:rPr>
                <w:bCs/>
                <w:lang w:val="en-GB"/>
              </w:rPr>
            </w:pPr>
          </w:p>
        </w:tc>
      </w:tr>
      <w:tr w:rsidR="000810A7" w:rsidRPr="00521EAE" w14:paraId="678B6B26" w14:textId="77777777" w:rsidTr="5F1C9727">
        <w:tc>
          <w:tcPr>
            <w:tcW w:w="6352" w:type="dxa"/>
          </w:tcPr>
          <w:p w14:paraId="005C775D" w14:textId="55F2F6CF" w:rsidR="000810A7" w:rsidRPr="00521EAE" w:rsidRDefault="760A453A" w:rsidP="760A453A">
            <w:pPr>
              <w:spacing w:line="259" w:lineRule="auto"/>
              <w:rPr>
                <w:lang w:val="en-GB"/>
              </w:rPr>
            </w:pPr>
            <w:r w:rsidRPr="5F1C9727">
              <w:rPr>
                <w:b/>
                <w:bCs/>
                <w:lang w:val="en-GB"/>
              </w:rPr>
              <w:t xml:space="preserve">Assessment design </w:t>
            </w:r>
            <w:r w:rsidRPr="5F1C9727">
              <w:rPr>
                <w:lang w:val="en-GB"/>
              </w:rPr>
              <w:t>includes consideration of academic integrity risks</w:t>
            </w:r>
            <w:r w:rsidR="4BF9418A" w:rsidRPr="5F1C9727">
              <w:rPr>
                <w:lang w:val="en-GB"/>
              </w:rPr>
              <w:t>, regardless of task type or delivery mode</w:t>
            </w:r>
          </w:p>
          <w:p w14:paraId="1ECCC953" w14:textId="54243BB2" w:rsidR="000810A7" w:rsidRPr="00521EAE" w:rsidRDefault="000810A7" w:rsidP="760A453A">
            <w:pPr>
              <w:spacing w:line="259" w:lineRule="auto"/>
              <w:rPr>
                <w:lang w:val="en-GB"/>
              </w:rPr>
            </w:pPr>
          </w:p>
        </w:tc>
        <w:tc>
          <w:tcPr>
            <w:tcW w:w="3423" w:type="dxa"/>
          </w:tcPr>
          <w:p w14:paraId="5AA2C60D" w14:textId="77777777" w:rsidR="000810A7" w:rsidRPr="00521EAE" w:rsidRDefault="000810A7" w:rsidP="00521EAE">
            <w:pPr>
              <w:pStyle w:val="ListParagraph"/>
              <w:rPr>
                <w:bCs/>
                <w:lang w:val="en-GB"/>
              </w:rPr>
            </w:pPr>
          </w:p>
        </w:tc>
        <w:tc>
          <w:tcPr>
            <w:tcW w:w="1534" w:type="dxa"/>
          </w:tcPr>
          <w:p w14:paraId="3154390A" w14:textId="61B0E735" w:rsidR="000810A7" w:rsidRPr="00521EAE" w:rsidRDefault="000810A7" w:rsidP="00521EAE">
            <w:pPr>
              <w:pStyle w:val="ListParagraph"/>
              <w:rPr>
                <w:bCs/>
                <w:lang w:val="en-GB"/>
              </w:rPr>
            </w:pPr>
          </w:p>
        </w:tc>
        <w:tc>
          <w:tcPr>
            <w:tcW w:w="1445" w:type="dxa"/>
          </w:tcPr>
          <w:p w14:paraId="071CFDD7" w14:textId="77777777" w:rsidR="000810A7" w:rsidRPr="00521EAE" w:rsidRDefault="000810A7" w:rsidP="00521EAE">
            <w:pPr>
              <w:pStyle w:val="ListParagraph"/>
              <w:rPr>
                <w:bCs/>
                <w:lang w:val="en-GB"/>
              </w:rPr>
            </w:pPr>
          </w:p>
        </w:tc>
        <w:tc>
          <w:tcPr>
            <w:tcW w:w="1194" w:type="dxa"/>
          </w:tcPr>
          <w:p w14:paraId="7E42E656" w14:textId="77777777" w:rsidR="000810A7" w:rsidRPr="00521EAE" w:rsidRDefault="000810A7" w:rsidP="00521EAE">
            <w:pPr>
              <w:pStyle w:val="ListParagraph"/>
              <w:rPr>
                <w:bCs/>
                <w:lang w:val="en-GB"/>
              </w:rPr>
            </w:pPr>
          </w:p>
        </w:tc>
      </w:tr>
      <w:tr w:rsidR="000810A7" w:rsidRPr="00521EAE" w14:paraId="735296C5" w14:textId="77777777" w:rsidTr="5F1C9727">
        <w:tc>
          <w:tcPr>
            <w:tcW w:w="6352" w:type="dxa"/>
          </w:tcPr>
          <w:p w14:paraId="541C9DF9" w14:textId="6789E5F3" w:rsidR="000810A7" w:rsidRPr="00521EAE" w:rsidRDefault="760A453A" w:rsidP="760A453A">
            <w:pPr>
              <w:spacing w:line="259" w:lineRule="auto"/>
            </w:pPr>
            <w:r>
              <w:lastRenderedPageBreak/>
              <w:t xml:space="preserve">Policies, procedures and systems relating to academic integrity are </w:t>
            </w:r>
            <w:r w:rsidRPr="634D1939">
              <w:rPr>
                <w:b/>
                <w:bCs/>
              </w:rPr>
              <w:t>reviewed regularly</w:t>
            </w:r>
          </w:p>
          <w:p w14:paraId="6A9A7F06" w14:textId="700DAB0B" w:rsidR="000810A7" w:rsidRPr="00521EAE" w:rsidRDefault="000810A7" w:rsidP="760A453A">
            <w:pPr>
              <w:spacing w:line="259" w:lineRule="auto"/>
            </w:pPr>
          </w:p>
        </w:tc>
        <w:tc>
          <w:tcPr>
            <w:tcW w:w="3423" w:type="dxa"/>
          </w:tcPr>
          <w:p w14:paraId="2941D1E4" w14:textId="77777777" w:rsidR="000810A7" w:rsidRPr="00521EAE" w:rsidRDefault="000810A7" w:rsidP="00521EAE">
            <w:pPr>
              <w:pStyle w:val="ListParagraph"/>
            </w:pPr>
          </w:p>
        </w:tc>
        <w:tc>
          <w:tcPr>
            <w:tcW w:w="1534" w:type="dxa"/>
          </w:tcPr>
          <w:p w14:paraId="4407EA70" w14:textId="2DE44542" w:rsidR="000810A7" w:rsidRPr="00521EAE" w:rsidRDefault="000810A7" w:rsidP="00521EAE">
            <w:pPr>
              <w:pStyle w:val="ListParagraph"/>
            </w:pPr>
          </w:p>
        </w:tc>
        <w:tc>
          <w:tcPr>
            <w:tcW w:w="1445" w:type="dxa"/>
          </w:tcPr>
          <w:p w14:paraId="7EB99BAE" w14:textId="77777777" w:rsidR="000810A7" w:rsidRPr="00521EAE" w:rsidRDefault="000810A7" w:rsidP="00521EAE">
            <w:pPr>
              <w:pStyle w:val="ListParagraph"/>
            </w:pPr>
          </w:p>
        </w:tc>
        <w:tc>
          <w:tcPr>
            <w:tcW w:w="1194" w:type="dxa"/>
          </w:tcPr>
          <w:p w14:paraId="31966FFA" w14:textId="77777777" w:rsidR="000810A7" w:rsidRPr="00521EAE" w:rsidRDefault="000810A7" w:rsidP="00521EAE">
            <w:pPr>
              <w:pStyle w:val="ListParagraph"/>
            </w:pPr>
          </w:p>
        </w:tc>
      </w:tr>
      <w:tr w:rsidR="000810A7" w14:paraId="5457A0E6" w14:textId="77777777" w:rsidTr="5F1C9727">
        <w:tc>
          <w:tcPr>
            <w:tcW w:w="6352" w:type="dxa"/>
          </w:tcPr>
          <w:p w14:paraId="70B9E5A6" w14:textId="1352B047" w:rsidR="000810A7" w:rsidRPr="00521EAE" w:rsidRDefault="5011AF8F" w:rsidP="634D1939">
            <w:pPr>
              <w:pStyle w:val="ListParagraph"/>
              <w:ind w:left="0"/>
            </w:pPr>
            <w:r>
              <w:t xml:space="preserve">Assessment innovations and </w:t>
            </w:r>
            <w:r w:rsidRPr="5F1C9727">
              <w:rPr>
                <w:b/>
                <w:bCs/>
              </w:rPr>
              <w:t>curriculum review processes</w:t>
            </w:r>
            <w:r>
              <w:t xml:space="preserve"> include consideration of academic integrity</w:t>
            </w:r>
          </w:p>
          <w:p w14:paraId="7F2604C6" w14:textId="511236D8" w:rsidR="000810A7" w:rsidRPr="00521EAE" w:rsidRDefault="000810A7" w:rsidP="634D1939">
            <w:pPr>
              <w:pStyle w:val="ListParagraph"/>
              <w:ind w:left="0"/>
            </w:pPr>
          </w:p>
        </w:tc>
        <w:tc>
          <w:tcPr>
            <w:tcW w:w="3423" w:type="dxa"/>
          </w:tcPr>
          <w:p w14:paraId="179BA071" w14:textId="77777777" w:rsidR="000810A7" w:rsidRPr="00521EAE" w:rsidRDefault="000810A7" w:rsidP="00521EAE">
            <w:pPr>
              <w:pStyle w:val="ListParagraph"/>
            </w:pPr>
          </w:p>
        </w:tc>
        <w:tc>
          <w:tcPr>
            <w:tcW w:w="1534" w:type="dxa"/>
          </w:tcPr>
          <w:p w14:paraId="70920C80" w14:textId="47515E4E" w:rsidR="000810A7" w:rsidRPr="00521EAE" w:rsidRDefault="000810A7" w:rsidP="00521EAE">
            <w:pPr>
              <w:pStyle w:val="ListParagraph"/>
            </w:pPr>
          </w:p>
        </w:tc>
        <w:tc>
          <w:tcPr>
            <w:tcW w:w="1445" w:type="dxa"/>
          </w:tcPr>
          <w:p w14:paraId="2DF66BFC" w14:textId="77777777" w:rsidR="000810A7" w:rsidRPr="00521EAE" w:rsidRDefault="000810A7" w:rsidP="00521EAE">
            <w:pPr>
              <w:pStyle w:val="ListParagraph"/>
            </w:pPr>
          </w:p>
        </w:tc>
        <w:tc>
          <w:tcPr>
            <w:tcW w:w="1194" w:type="dxa"/>
          </w:tcPr>
          <w:p w14:paraId="61996229" w14:textId="77777777" w:rsidR="000810A7" w:rsidRPr="00521EAE" w:rsidRDefault="000810A7" w:rsidP="00521EAE">
            <w:pPr>
              <w:pStyle w:val="ListParagraph"/>
            </w:pPr>
          </w:p>
        </w:tc>
      </w:tr>
    </w:tbl>
    <w:p w14:paraId="66076D07" w14:textId="3B97049B" w:rsidR="5F1C9727" w:rsidRDefault="5F1C9727"/>
    <w:p w14:paraId="5B7B7433" w14:textId="4D99BB83" w:rsidR="22FD3BCA" w:rsidRDefault="22FD3BCA" w:rsidP="78A7EDF3">
      <w:pPr>
        <w:rPr>
          <w:b/>
          <w:bCs/>
        </w:rPr>
      </w:pPr>
      <w:r w:rsidRPr="78A7EDF3">
        <w:rPr>
          <w:b/>
          <w:bCs/>
        </w:rPr>
        <w:t>Additional reading about maturity scales</w:t>
      </w:r>
    </w:p>
    <w:p w14:paraId="003C81B4" w14:textId="7A7BF4A4" w:rsidR="22FD3BCA" w:rsidRDefault="22FD3BCA" w:rsidP="78A7EDF3">
      <w:r>
        <w:t>International Centre for Academic Integrity ‘Academic Integrity Rating System’:</w:t>
      </w:r>
    </w:p>
    <w:p w14:paraId="688B8B7E" w14:textId="698A6590" w:rsidR="22FD3BCA" w:rsidRDefault="00352F37" w:rsidP="78A7EDF3">
      <w:hyperlink r:id="rId11">
        <w:r w:rsidR="22FD3BCA" w:rsidRPr="78A7EDF3">
          <w:rPr>
            <w:rStyle w:val="Hyperlink"/>
            <w:rFonts w:ascii="Calibri" w:eastAsia="Calibri" w:hAnsi="Calibri" w:cs="Calibri"/>
          </w:rPr>
          <w:t>https://www.academicintegrity.org/academic-integrity-rating-system-ai/</w:t>
        </w:r>
      </w:hyperlink>
    </w:p>
    <w:p w14:paraId="64FBCDCA" w14:textId="57CF5E7B" w:rsidR="78A7EDF3" w:rsidRDefault="78A7EDF3"/>
    <w:p w14:paraId="7469F660" w14:textId="5FED19D1" w:rsidR="3B936BA4" w:rsidRDefault="3B936BA4" w:rsidP="78A7EDF3">
      <w:r w:rsidRPr="78A7EDF3">
        <w:rPr>
          <w:rFonts w:ascii="Calibri" w:eastAsia="Calibri" w:hAnsi="Calibri" w:cs="Calibri"/>
        </w:rPr>
        <w:t>Glendinning, I. (201</w:t>
      </w:r>
      <w:r w:rsidR="3E24C3F3" w:rsidRPr="78A7EDF3">
        <w:rPr>
          <w:rFonts w:ascii="Calibri" w:eastAsia="Calibri" w:hAnsi="Calibri" w:cs="Calibri"/>
        </w:rPr>
        <w:t>7</w:t>
      </w:r>
      <w:r w:rsidRPr="78A7EDF3">
        <w:rPr>
          <w:rFonts w:ascii="Calibri" w:eastAsia="Calibri" w:hAnsi="Calibri" w:cs="Calibri"/>
        </w:rPr>
        <w:t>) ‘</w:t>
      </w:r>
      <w:r w:rsidR="5E706B27" w:rsidRPr="78A7EDF3">
        <w:rPr>
          <w:rFonts w:ascii="Calibri" w:eastAsia="Calibri" w:hAnsi="Calibri" w:cs="Calibri"/>
        </w:rPr>
        <w:t>S</w:t>
      </w:r>
      <w:r w:rsidR="007D7B69">
        <w:t>corecard for academic integrity development: benchmarks and evaluation of institutional strategies</w:t>
      </w:r>
      <w:r w:rsidR="51EFE9D3">
        <w:t>’</w:t>
      </w:r>
      <w:r w:rsidR="218DCA1B">
        <w:t>.</w:t>
      </w:r>
      <w:r w:rsidR="51EFE9D3">
        <w:t xml:space="preserve"> In</w:t>
      </w:r>
      <w:r w:rsidR="007D7B69">
        <w:t xml:space="preserve"> </w:t>
      </w:r>
      <w:r w:rsidR="535E6D72">
        <w:t>P</w:t>
      </w:r>
      <w:r w:rsidR="007D7B69">
        <w:t xml:space="preserve">lagiarism across Europe and beyond, </w:t>
      </w:r>
      <w:r w:rsidR="46A35E04">
        <w:t xml:space="preserve">conference </w:t>
      </w:r>
      <w:r w:rsidR="007D7B69">
        <w:t>proceedings pp 25-34</w:t>
      </w:r>
      <w:r w:rsidR="573A969B">
        <w:t>. Ava</w:t>
      </w:r>
      <w:r w:rsidR="04E582CD">
        <w:t>il</w:t>
      </w:r>
      <w:r w:rsidR="573A969B">
        <w:t xml:space="preserve">able at </w:t>
      </w:r>
      <w:hyperlink r:id="rId12">
        <w:r w:rsidR="573A969B" w:rsidRPr="78A7EDF3">
          <w:rPr>
            <w:rStyle w:val="Hyperlink"/>
            <w:rFonts w:ascii="Calibri" w:eastAsia="Calibri" w:hAnsi="Calibri" w:cs="Calibri"/>
          </w:rPr>
          <w:t>http://academicintegrity.eu/conference/proceedings/2017/Glendinning_Scorecard.pdf</w:t>
        </w:r>
      </w:hyperlink>
    </w:p>
    <w:sectPr w:rsidR="3B936BA4" w:rsidSect="000810A7">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73057" w14:textId="77777777" w:rsidR="000810A7" w:rsidRDefault="000810A7" w:rsidP="000810A7">
      <w:pPr>
        <w:spacing w:after="0" w:line="240" w:lineRule="auto"/>
      </w:pPr>
      <w:r>
        <w:separator/>
      </w:r>
    </w:p>
  </w:endnote>
  <w:endnote w:type="continuationSeparator" w:id="0">
    <w:p w14:paraId="5044B9D2" w14:textId="77777777" w:rsidR="000810A7" w:rsidRDefault="000810A7" w:rsidP="0008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040666"/>
      <w:docPartObj>
        <w:docPartGallery w:val="Page Numbers (Bottom of Page)"/>
        <w:docPartUnique/>
      </w:docPartObj>
    </w:sdtPr>
    <w:sdtEndPr>
      <w:rPr>
        <w:noProof/>
      </w:rPr>
    </w:sdtEndPr>
    <w:sdtContent>
      <w:p w14:paraId="043376AC" w14:textId="22542A33" w:rsidR="000810A7" w:rsidRDefault="000810A7">
        <w:pPr>
          <w:pStyle w:val="Footer"/>
          <w:jc w:val="right"/>
        </w:pPr>
        <w:r>
          <w:fldChar w:fldCharType="begin"/>
        </w:r>
        <w:r>
          <w:instrText xml:space="preserve"> PAGE   \* MERGEFORMAT </w:instrText>
        </w:r>
        <w:r>
          <w:fldChar w:fldCharType="separate"/>
        </w:r>
        <w:r w:rsidR="00352F37">
          <w:rPr>
            <w:noProof/>
          </w:rPr>
          <w:t>1</w:t>
        </w:r>
        <w:r>
          <w:rPr>
            <w:noProof/>
          </w:rPr>
          <w:fldChar w:fldCharType="end"/>
        </w:r>
      </w:p>
    </w:sdtContent>
  </w:sdt>
  <w:p w14:paraId="307397EF" w14:textId="77777777" w:rsidR="000810A7" w:rsidRDefault="00081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29456" w14:textId="77777777" w:rsidR="000810A7" w:rsidRDefault="000810A7" w:rsidP="000810A7">
      <w:pPr>
        <w:spacing w:after="0" w:line="240" w:lineRule="auto"/>
      </w:pPr>
      <w:r>
        <w:separator/>
      </w:r>
    </w:p>
  </w:footnote>
  <w:footnote w:type="continuationSeparator" w:id="0">
    <w:p w14:paraId="4C543467" w14:textId="77777777" w:rsidR="000810A7" w:rsidRDefault="000810A7" w:rsidP="00081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DE4"/>
    <w:multiLevelType w:val="hybridMultilevel"/>
    <w:tmpl w:val="6CF43D02"/>
    <w:lvl w:ilvl="0" w:tplc="031A3680">
      <w:start w:val="1"/>
      <w:numFmt w:val="bullet"/>
      <w:lvlText w:val=""/>
      <w:lvlJc w:val="left"/>
      <w:pPr>
        <w:ind w:left="720" w:hanging="360"/>
      </w:pPr>
      <w:rPr>
        <w:rFonts w:ascii="Symbol" w:hAnsi="Symbol" w:hint="default"/>
      </w:rPr>
    </w:lvl>
    <w:lvl w:ilvl="1" w:tplc="239C58A4">
      <w:start w:val="1"/>
      <w:numFmt w:val="bullet"/>
      <w:lvlText w:val="o"/>
      <w:lvlJc w:val="left"/>
      <w:pPr>
        <w:ind w:left="1440" w:hanging="360"/>
      </w:pPr>
      <w:rPr>
        <w:rFonts w:ascii="Courier New" w:hAnsi="Courier New" w:hint="default"/>
      </w:rPr>
    </w:lvl>
    <w:lvl w:ilvl="2" w:tplc="01965A8E">
      <w:start w:val="1"/>
      <w:numFmt w:val="bullet"/>
      <w:lvlText w:val=""/>
      <w:lvlJc w:val="left"/>
      <w:pPr>
        <w:ind w:left="2160" w:hanging="360"/>
      </w:pPr>
      <w:rPr>
        <w:rFonts w:ascii="Wingdings" w:hAnsi="Wingdings" w:hint="default"/>
      </w:rPr>
    </w:lvl>
    <w:lvl w:ilvl="3" w:tplc="6D3C3738">
      <w:start w:val="1"/>
      <w:numFmt w:val="bullet"/>
      <w:lvlText w:val=""/>
      <w:lvlJc w:val="left"/>
      <w:pPr>
        <w:ind w:left="2880" w:hanging="360"/>
      </w:pPr>
      <w:rPr>
        <w:rFonts w:ascii="Symbol" w:hAnsi="Symbol" w:hint="default"/>
      </w:rPr>
    </w:lvl>
    <w:lvl w:ilvl="4" w:tplc="CA2EBE80">
      <w:start w:val="1"/>
      <w:numFmt w:val="bullet"/>
      <w:lvlText w:val="o"/>
      <w:lvlJc w:val="left"/>
      <w:pPr>
        <w:ind w:left="3600" w:hanging="360"/>
      </w:pPr>
      <w:rPr>
        <w:rFonts w:ascii="Courier New" w:hAnsi="Courier New" w:hint="default"/>
      </w:rPr>
    </w:lvl>
    <w:lvl w:ilvl="5" w:tplc="A7562A38">
      <w:start w:val="1"/>
      <w:numFmt w:val="bullet"/>
      <w:lvlText w:val=""/>
      <w:lvlJc w:val="left"/>
      <w:pPr>
        <w:ind w:left="4320" w:hanging="360"/>
      </w:pPr>
      <w:rPr>
        <w:rFonts w:ascii="Wingdings" w:hAnsi="Wingdings" w:hint="default"/>
      </w:rPr>
    </w:lvl>
    <w:lvl w:ilvl="6" w:tplc="F41C60C6">
      <w:start w:val="1"/>
      <w:numFmt w:val="bullet"/>
      <w:lvlText w:val=""/>
      <w:lvlJc w:val="left"/>
      <w:pPr>
        <w:ind w:left="5040" w:hanging="360"/>
      </w:pPr>
      <w:rPr>
        <w:rFonts w:ascii="Symbol" w:hAnsi="Symbol" w:hint="default"/>
      </w:rPr>
    </w:lvl>
    <w:lvl w:ilvl="7" w:tplc="258A8F7A">
      <w:start w:val="1"/>
      <w:numFmt w:val="bullet"/>
      <w:lvlText w:val="o"/>
      <w:lvlJc w:val="left"/>
      <w:pPr>
        <w:ind w:left="5760" w:hanging="360"/>
      </w:pPr>
      <w:rPr>
        <w:rFonts w:ascii="Courier New" w:hAnsi="Courier New" w:hint="default"/>
      </w:rPr>
    </w:lvl>
    <w:lvl w:ilvl="8" w:tplc="E858227C">
      <w:start w:val="1"/>
      <w:numFmt w:val="bullet"/>
      <w:lvlText w:val=""/>
      <w:lvlJc w:val="left"/>
      <w:pPr>
        <w:ind w:left="6480" w:hanging="360"/>
      </w:pPr>
      <w:rPr>
        <w:rFonts w:ascii="Wingdings" w:hAnsi="Wingdings" w:hint="default"/>
      </w:rPr>
    </w:lvl>
  </w:abstractNum>
  <w:abstractNum w:abstractNumId="1" w15:restartNumberingAfterBreak="0">
    <w:nsid w:val="1E9A37BB"/>
    <w:multiLevelType w:val="hybridMultilevel"/>
    <w:tmpl w:val="A0821172"/>
    <w:lvl w:ilvl="0" w:tplc="F95AB25E">
      <w:start w:val="1"/>
      <w:numFmt w:val="bullet"/>
      <w:lvlText w:val=""/>
      <w:lvlJc w:val="left"/>
      <w:pPr>
        <w:ind w:left="720" w:hanging="360"/>
      </w:pPr>
      <w:rPr>
        <w:rFonts w:ascii="Symbol" w:hAnsi="Symbol" w:hint="default"/>
        <w:color w:val="00A39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9C5E69"/>
    <w:multiLevelType w:val="hybridMultilevel"/>
    <w:tmpl w:val="135AB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E4744B"/>
    <w:multiLevelType w:val="hybridMultilevel"/>
    <w:tmpl w:val="B4F46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984A46"/>
    <w:multiLevelType w:val="hybridMultilevel"/>
    <w:tmpl w:val="4A3E9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2530A4"/>
    <w:multiLevelType w:val="hybridMultilevel"/>
    <w:tmpl w:val="8444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AE"/>
    <w:rsid w:val="000810A7"/>
    <w:rsid w:val="001F5618"/>
    <w:rsid w:val="00206791"/>
    <w:rsid w:val="00291694"/>
    <w:rsid w:val="00352F37"/>
    <w:rsid w:val="00371BE4"/>
    <w:rsid w:val="004D62A4"/>
    <w:rsid w:val="00521EAE"/>
    <w:rsid w:val="00534141"/>
    <w:rsid w:val="005939CE"/>
    <w:rsid w:val="007433FE"/>
    <w:rsid w:val="007C19AA"/>
    <w:rsid w:val="007D7B69"/>
    <w:rsid w:val="00821A24"/>
    <w:rsid w:val="008F3551"/>
    <w:rsid w:val="00953EE6"/>
    <w:rsid w:val="00A12FE8"/>
    <w:rsid w:val="00DC0429"/>
    <w:rsid w:val="00F12808"/>
    <w:rsid w:val="04E582CD"/>
    <w:rsid w:val="06C99E1C"/>
    <w:rsid w:val="0B952080"/>
    <w:rsid w:val="1345CBE3"/>
    <w:rsid w:val="139C0775"/>
    <w:rsid w:val="1734D6B1"/>
    <w:rsid w:val="1DDE1398"/>
    <w:rsid w:val="1F8BE61C"/>
    <w:rsid w:val="218DCA1B"/>
    <w:rsid w:val="22FD3BCA"/>
    <w:rsid w:val="24C0A597"/>
    <w:rsid w:val="2D34FE21"/>
    <w:rsid w:val="315072A9"/>
    <w:rsid w:val="353853BF"/>
    <w:rsid w:val="3815B49E"/>
    <w:rsid w:val="3AADFEBF"/>
    <w:rsid w:val="3B936BA4"/>
    <w:rsid w:val="3E24C3F3"/>
    <w:rsid w:val="44B891BD"/>
    <w:rsid w:val="451471D1"/>
    <w:rsid w:val="46A35E04"/>
    <w:rsid w:val="49640057"/>
    <w:rsid w:val="49EA6515"/>
    <w:rsid w:val="49F5AB9F"/>
    <w:rsid w:val="4A60AB41"/>
    <w:rsid w:val="4B262A2F"/>
    <w:rsid w:val="4BF9418A"/>
    <w:rsid w:val="4F44485E"/>
    <w:rsid w:val="5011AF8F"/>
    <w:rsid w:val="51EFE9D3"/>
    <w:rsid w:val="535E6D72"/>
    <w:rsid w:val="573A969B"/>
    <w:rsid w:val="58884373"/>
    <w:rsid w:val="5CD883FC"/>
    <w:rsid w:val="5E706B27"/>
    <w:rsid w:val="5F1C9727"/>
    <w:rsid w:val="5FC315A1"/>
    <w:rsid w:val="5FC59E29"/>
    <w:rsid w:val="61DF3041"/>
    <w:rsid w:val="61FFD330"/>
    <w:rsid w:val="634D1939"/>
    <w:rsid w:val="6411CC1A"/>
    <w:rsid w:val="682BCC00"/>
    <w:rsid w:val="69792752"/>
    <w:rsid w:val="6B6E2090"/>
    <w:rsid w:val="6BD43402"/>
    <w:rsid w:val="6E37D388"/>
    <w:rsid w:val="73FF2349"/>
    <w:rsid w:val="760A453A"/>
    <w:rsid w:val="760DEE3B"/>
    <w:rsid w:val="78A7EDF3"/>
    <w:rsid w:val="7FD7F0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125F"/>
  <w15:chartTrackingRefBased/>
  <w15:docId w15:val="{D9252B53-3CB0-4B2B-92EA-28F731B4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1EAE"/>
    <w:pPr>
      <w:ind w:left="720"/>
      <w:contextualSpacing/>
    </w:pPr>
  </w:style>
  <w:style w:type="table" w:styleId="TableGrid">
    <w:name w:val="Table Grid"/>
    <w:basedOn w:val="TableNormal"/>
    <w:uiPriority w:val="39"/>
    <w:rsid w:val="00521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1F5618"/>
  </w:style>
  <w:style w:type="character" w:styleId="Hyperlink">
    <w:name w:val="Hyperlink"/>
    <w:basedOn w:val="DefaultParagraphFont"/>
    <w:uiPriority w:val="99"/>
    <w:unhideWhenUsed/>
    <w:rsid w:val="001F5618"/>
    <w:rPr>
      <w:color w:val="0563C1" w:themeColor="hyperlink"/>
      <w:u w:val="single"/>
    </w:rPr>
  </w:style>
  <w:style w:type="paragraph" w:styleId="Header">
    <w:name w:val="header"/>
    <w:basedOn w:val="Normal"/>
    <w:link w:val="HeaderChar"/>
    <w:uiPriority w:val="99"/>
    <w:unhideWhenUsed/>
    <w:rsid w:val="00081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0A7"/>
  </w:style>
  <w:style w:type="paragraph" w:styleId="Footer">
    <w:name w:val="footer"/>
    <w:basedOn w:val="Normal"/>
    <w:link w:val="FooterChar"/>
    <w:uiPriority w:val="99"/>
    <w:unhideWhenUsed/>
    <w:rsid w:val="00081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8726">
      <w:bodyDiv w:val="1"/>
      <w:marLeft w:val="0"/>
      <w:marRight w:val="0"/>
      <w:marTop w:val="0"/>
      <w:marBottom w:val="0"/>
      <w:divBdr>
        <w:top w:val="none" w:sz="0" w:space="0" w:color="auto"/>
        <w:left w:val="none" w:sz="0" w:space="0" w:color="auto"/>
        <w:bottom w:val="none" w:sz="0" w:space="0" w:color="auto"/>
        <w:right w:val="none" w:sz="0" w:space="0" w:color="auto"/>
      </w:divBdr>
    </w:div>
    <w:div w:id="697436435">
      <w:bodyDiv w:val="1"/>
      <w:marLeft w:val="0"/>
      <w:marRight w:val="0"/>
      <w:marTop w:val="0"/>
      <w:marBottom w:val="0"/>
      <w:divBdr>
        <w:top w:val="none" w:sz="0" w:space="0" w:color="auto"/>
        <w:left w:val="none" w:sz="0" w:space="0" w:color="auto"/>
        <w:bottom w:val="none" w:sz="0" w:space="0" w:color="auto"/>
        <w:right w:val="none" w:sz="0" w:space="0" w:color="auto"/>
      </w:divBdr>
    </w:div>
    <w:div w:id="739450773">
      <w:bodyDiv w:val="1"/>
      <w:marLeft w:val="0"/>
      <w:marRight w:val="0"/>
      <w:marTop w:val="0"/>
      <w:marBottom w:val="0"/>
      <w:divBdr>
        <w:top w:val="none" w:sz="0" w:space="0" w:color="auto"/>
        <w:left w:val="none" w:sz="0" w:space="0" w:color="auto"/>
        <w:bottom w:val="none" w:sz="0" w:space="0" w:color="auto"/>
        <w:right w:val="none" w:sz="0" w:space="0" w:color="auto"/>
      </w:divBdr>
    </w:div>
    <w:div w:id="1438986110">
      <w:bodyDiv w:val="1"/>
      <w:marLeft w:val="0"/>
      <w:marRight w:val="0"/>
      <w:marTop w:val="0"/>
      <w:marBottom w:val="0"/>
      <w:divBdr>
        <w:top w:val="none" w:sz="0" w:space="0" w:color="auto"/>
        <w:left w:val="none" w:sz="0" w:space="0" w:color="auto"/>
        <w:bottom w:val="none" w:sz="0" w:space="0" w:color="auto"/>
        <w:right w:val="none" w:sz="0" w:space="0" w:color="auto"/>
      </w:divBdr>
    </w:div>
    <w:div w:id="1800302401">
      <w:bodyDiv w:val="1"/>
      <w:marLeft w:val="0"/>
      <w:marRight w:val="0"/>
      <w:marTop w:val="0"/>
      <w:marBottom w:val="0"/>
      <w:divBdr>
        <w:top w:val="none" w:sz="0" w:space="0" w:color="auto"/>
        <w:left w:val="none" w:sz="0" w:space="0" w:color="auto"/>
        <w:bottom w:val="none" w:sz="0" w:space="0" w:color="auto"/>
        <w:right w:val="none" w:sz="0" w:space="0" w:color="auto"/>
      </w:divBdr>
    </w:div>
    <w:div w:id="19704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cademicintegrity.eu/conference/proceedings/2017/Glendinning_Scorecard.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ademicintegrity.org/academic-integrity-rating-system-a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rotect-au.mimecast.com/s/zq63Clx15MSPJZDES9VYOC?domain=teqs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1ED27F337774CBAC9591A00F207D9" ma:contentTypeVersion="13" ma:contentTypeDescription="Create a new document." ma:contentTypeScope="" ma:versionID="59c7780a592c1f9e58a34c0f54927e64">
  <xsd:schema xmlns:xsd="http://www.w3.org/2001/XMLSchema" xmlns:xs="http://www.w3.org/2001/XMLSchema" xmlns:p="http://schemas.microsoft.com/office/2006/metadata/properties" xmlns:ns3="9c7a9d1f-75b2-4a7e-853c-9d03824ed762" xmlns:ns4="ece210ae-2c4f-4824-951d-6abba4d4acac" targetNamespace="http://schemas.microsoft.com/office/2006/metadata/properties" ma:root="true" ma:fieldsID="53674cddc781a558416e8fc4966a7e37" ns3:_="" ns4:_="">
    <xsd:import namespace="9c7a9d1f-75b2-4a7e-853c-9d03824ed762"/>
    <xsd:import namespace="ece210ae-2c4f-4824-951d-6abba4d4ac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a9d1f-75b2-4a7e-853c-9d03824ed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210ae-2c4f-4824-951d-6abba4d4ac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72E84-E985-40E8-992D-DEAFE8CC5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a9d1f-75b2-4a7e-853c-9d03824ed762"/>
    <ds:schemaRef ds:uri="ece210ae-2c4f-4824-951d-6abba4d4a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9EEBE-1A03-4623-92C9-32EADD94B5DA}">
  <ds:schemaRefs>
    <ds:schemaRef ds:uri="http://schemas.microsoft.com/sharepoint/v3/contenttype/forms"/>
  </ds:schemaRefs>
</ds:datastoreItem>
</file>

<file path=customXml/itemProps3.xml><?xml version="1.0" encoding="utf-8"?>
<ds:datastoreItem xmlns:ds="http://schemas.openxmlformats.org/officeDocument/2006/customXml" ds:itemID="{1F4BD23C-DAB7-4F0E-A1BF-8981D8D41593}">
  <ds:schemaRef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ce210ae-2c4f-4824-951d-6abba4d4acac"/>
    <ds:schemaRef ds:uri="9c7a9d1f-75b2-4a7e-853c-9d03824ed76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Self-evaluation and benchmarking checklist for academic integrity</dc:title>
  <dc:subject/>
  <dc:creator>Tracey Bretag</dc:creator>
  <cp:keywords/>
  <dc:description/>
  <cp:lastModifiedBy>Hewitt-McManus, Tom</cp:lastModifiedBy>
  <cp:revision>2</cp:revision>
  <dcterms:created xsi:type="dcterms:W3CDTF">2020-06-29T00:54:00Z</dcterms:created>
  <dcterms:modified xsi:type="dcterms:W3CDTF">2020-06-29T00:54:00Z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0x0101006191ED27F337774CBAC9591A00F207D9</vt:lpwstr>
  </property>
</Properties>
</file>